
<file path=[Content_Types].xml><?xml version="1.0" encoding="utf-8"?>
<Types xmlns="http://schemas.openxmlformats.org/package/2006/content-types">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3CC4" w:rsidRPr="001D1C28" w:rsidRDefault="00293CC4" w:rsidP="00293CC4">
      <w:pPr>
        <w:spacing w:line="360" w:lineRule="auto"/>
        <w:jc w:val="both"/>
        <w:rPr>
          <w:rFonts w:ascii="Palatino Linotype" w:hAnsi="Palatino Linotype"/>
        </w:rPr>
      </w:pPr>
      <w:r w:rsidRPr="001D1C28">
        <w:rPr>
          <w:rFonts w:ascii="Palatino Linotype" w:hAnsi="Palatino Linotype"/>
        </w:rPr>
        <w:t xml:space="preserve">Resolución del Pleno del Instituto de Transparencia, Acceso a la Información Pública y Protección de Datos Personales del Estado de México y Municipios, con domicilio en Metepec, Estado de México, a </w:t>
      </w:r>
      <w:r w:rsidR="001B0ECA" w:rsidRPr="001D1C28">
        <w:rPr>
          <w:rFonts w:ascii="Palatino Linotype" w:hAnsi="Palatino Linotype"/>
        </w:rPr>
        <w:t>trece</w:t>
      </w:r>
      <w:r w:rsidRPr="001D1C28">
        <w:rPr>
          <w:rFonts w:ascii="Palatino Linotype" w:hAnsi="Palatino Linotype"/>
        </w:rPr>
        <w:t xml:space="preserve"> de mayo de dos mil veintiséis.</w:t>
      </w:r>
    </w:p>
    <w:p w:rsidR="00293CC4" w:rsidRPr="001D1C28" w:rsidRDefault="00293CC4" w:rsidP="00293CC4">
      <w:pPr>
        <w:spacing w:line="360" w:lineRule="auto"/>
        <w:jc w:val="both"/>
        <w:rPr>
          <w:rFonts w:ascii="Palatino Linotype" w:hAnsi="Palatino Linotype"/>
        </w:rPr>
      </w:pPr>
    </w:p>
    <w:p w:rsidR="00293CC4" w:rsidRPr="001D1C28" w:rsidRDefault="00293CC4" w:rsidP="00293CC4">
      <w:pPr>
        <w:tabs>
          <w:tab w:val="left" w:pos="1701"/>
        </w:tabs>
        <w:spacing w:before="240" w:line="360" w:lineRule="auto"/>
        <w:jc w:val="both"/>
        <w:rPr>
          <w:rFonts w:ascii="Palatino Linotype" w:hAnsi="Palatino Linotype" w:cs="Arial"/>
          <w:sz w:val="28"/>
        </w:rPr>
      </w:pPr>
      <w:r w:rsidRPr="001D1C28">
        <w:rPr>
          <w:rFonts w:ascii="Palatino Linotype" w:hAnsi="Palatino Linotype" w:cs="Arial"/>
          <w:b/>
        </w:rPr>
        <w:t>VISTO</w:t>
      </w:r>
      <w:r w:rsidRPr="001D1C28">
        <w:rPr>
          <w:rFonts w:ascii="Palatino Linotype" w:hAnsi="Palatino Linotype" w:cs="Arial"/>
        </w:rPr>
        <w:t xml:space="preserve"> el expediente electrónico formado con motivo del recurso de revisión número</w:t>
      </w:r>
      <w:r w:rsidRPr="001D1C28">
        <w:rPr>
          <w:rFonts w:ascii="Palatino Linotype" w:hAnsi="Palatino Linotype" w:cs="Arial"/>
          <w:b/>
        </w:rPr>
        <w:t xml:space="preserve"> </w:t>
      </w:r>
      <w:bookmarkStart w:id="0" w:name="_GoBack"/>
      <w:r w:rsidRPr="001D1C28">
        <w:rPr>
          <w:rFonts w:ascii="Palatino Linotype" w:hAnsi="Palatino Linotype" w:cs="Arial"/>
          <w:b/>
          <w:bCs/>
          <w:lang w:eastAsia="es-MX"/>
        </w:rPr>
        <w:t>010835/INFOEM/IP/RR/2025</w:t>
      </w:r>
      <w:bookmarkEnd w:id="0"/>
      <w:r w:rsidRPr="001D1C28">
        <w:rPr>
          <w:rFonts w:ascii="Palatino Linotype" w:hAnsi="Palatino Linotype" w:cs="Arial"/>
          <w:b/>
          <w:bCs/>
          <w:lang w:eastAsia="es-MX"/>
        </w:rPr>
        <w:t xml:space="preserve">, </w:t>
      </w:r>
      <w:r w:rsidRPr="001D1C28">
        <w:rPr>
          <w:rFonts w:ascii="Palatino Linotype" w:hAnsi="Palatino Linotype"/>
        </w:rPr>
        <w:t xml:space="preserve">interpuesto por un particular que no proporcionó nombre o seudónimo, en lo sucesivo la parte </w:t>
      </w:r>
      <w:r w:rsidRPr="001D1C28">
        <w:rPr>
          <w:rFonts w:ascii="Palatino Linotype" w:hAnsi="Palatino Linotype"/>
          <w:b/>
        </w:rPr>
        <w:t>Recurrente</w:t>
      </w:r>
      <w:r w:rsidRPr="001D1C28">
        <w:rPr>
          <w:rFonts w:ascii="Palatino Linotype" w:hAnsi="Palatino Linotype"/>
        </w:rPr>
        <w:t xml:space="preserve">, en contra de la respuesta del </w:t>
      </w:r>
      <w:r w:rsidRPr="001D1C28">
        <w:rPr>
          <w:rFonts w:ascii="Palatino Linotype" w:hAnsi="Palatino Linotype"/>
          <w:b/>
        </w:rPr>
        <w:t>Ayuntamiento de Atizapán de Zaragoza</w:t>
      </w:r>
      <w:r w:rsidRPr="001D1C28">
        <w:rPr>
          <w:rFonts w:ascii="Palatino Linotype" w:hAnsi="Palatino Linotype"/>
        </w:rPr>
        <w:t xml:space="preserve">, en lo subsecuente el </w:t>
      </w:r>
      <w:r w:rsidRPr="001D1C28">
        <w:rPr>
          <w:rFonts w:ascii="Palatino Linotype" w:hAnsi="Palatino Linotype"/>
          <w:b/>
        </w:rPr>
        <w:t>Sujeto Obligado</w:t>
      </w:r>
      <w:r w:rsidRPr="001D1C28">
        <w:rPr>
          <w:rFonts w:ascii="Palatino Linotype" w:hAnsi="Palatino Linotype"/>
        </w:rPr>
        <w:t>, se procede a dictar la presente resolución.</w:t>
      </w:r>
    </w:p>
    <w:p w:rsidR="00293CC4" w:rsidRPr="001D1C28" w:rsidRDefault="00293CC4" w:rsidP="00293CC4">
      <w:pPr>
        <w:pStyle w:val="infoemcitas"/>
        <w:jc w:val="center"/>
        <w:rPr>
          <w:b/>
          <w:bCs/>
          <w:i w:val="0"/>
          <w:iCs/>
          <w:sz w:val="24"/>
          <w:szCs w:val="28"/>
        </w:rPr>
      </w:pPr>
    </w:p>
    <w:p w:rsidR="00293CC4" w:rsidRPr="001D1C28" w:rsidRDefault="00293CC4" w:rsidP="00293CC4">
      <w:pPr>
        <w:pStyle w:val="infoemcitas"/>
        <w:jc w:val="center"/>
        <w:rPr>
          <w:b/>
          <w:bCs/>
          <w:i w:val="0"/>
          <w:iCs/>
          <w:sz w:val="28"/>
          <w:szCs w:val="28"/>
        </w:rPr>
      </w:pPr>
      <w:r w:rsidRPr="001D1C28">
        <w:rPr>
          <w:b/>
          <w:bCs/>
          <w:i w:val="0"/>
          <w:iCs/>
          <w:sz w:val="28"/>
          <w:szCs w:val="28"/>
        </w:rPr>
        <w:t>A N T E C E D E N T E S   D E L   A S U N T O</w:t>
      </w:r>
    </w:p>
    <w:p w:rsidR="00293CC4" w:rsidRPr="001D1C28" w:rsidRDefault="00293CC4" w:rsidP="00293CC4">
      <w:pPr>
        <w:spacing w:before="240" w:after="240" w:line="360" w:lineRule="auto"/>
        <w:jc w:val="both"/>
        <w:rPr>
          <w:rFonts w:ascii="Palatino Linotype" w:hAnsi="Palatino Linotype"/>
        </w:rPr>
      </w:pPr>
      <w:r w:rsidRPr="001D1C28">
        <w:rPr>
          <w:rFonts w:ascii="Palatino Linotype" w:hAnsi="Palatino Linotype" w:cs="Arial"/>
          <w:b/>
          <w:sz w:val="28"/>
        </w:rPr>
        <w:t>PRIMERO.</w:t>
      </w:r>
      <w:r w:rsidRPr="001D1C28">
        <w:rPr>
          <w:rFonts w:ascii="Palatino Linotype" w:hAnsi="Palatino Linotype" w:cs="Arial"/>
        </w:rPr>
        <w:t xml:space="preserve"> </w:t>
      </w:r>
      <w:r w:rsidRPr="001D1C28">
        <w:rPr>
          <w:rFonts w:ascii="Palatino Linotype" w:hAnsi="Palatino Linotype"/>
          <w:b/>
          <w:sz w:val="28"/>
          <w:szCs w:val="28"/>
        </w:rPr>
        <w:t>De la Solicitud de Información.</w:t>
      </w:r>
    </w:p>
    <w:p w:rsidR="00293CC4" w:rsidRPr="001D1C28" w:rsidRDefault="00293CC4" w:rsidP="00293CC4">
      <w:pPr>
        <w:spacing w:before="240" w:line="360" w:lineRule="auto"/>
        <w:jc w:val="both"/>
        <w:rPr>
          <w:rFonts w:ascii="Palatino Linotype" w:hAnsi="Palatino Linotype" w:cs="Arial"/>
        </w:rPr>
      </w:pPr>
      <w:r w:rsidRPr="001D1C28">
        <w:rPr>
          <w:rFonts w:ascii="Palatino Linotype" w:hAnsi="Palatino Linotype" w:cs="Arial"/>
        </w:rPr>
        <w:t xml:space="preserve">Con fecha </w:t>
      </w:r>
      <w:r w:rsidRPr="001D1C28">
        <w:rPr>
          <w:rFonts w:ascii="Palatino Linotype" w:hAnsi="Palatino Linotype" w:cs="Arial"/>
          <w:b/>
        </w:rPr>
        <w:t>cuatro de agosto de dos mil veinticinco</w:t>
      </w:r>
      <w:r w:rsidRPr="001D1C28">
        <w:rPr>
          <w:rFonts w:ascii="Palatino Linotype" w:hAnsi="Palatino Linotype" w:cs="Arial"/>
        </w:rPr>
        <w:t>, la parte</w:t>
      </w:r>
      <w:r w:rsidRPr="001D1C28">
        <w:rPr>
          <w:rFonts w:ascii="Palatino Linotype" w:hAnsi="Palatino Linotype" w:cs="Arial"/>
          <w:b/>
        </w:rPr>
        <w:t xml:space="preserve"> Recurrente </w:t>
      </w:r>
      <w:r w:rsidRPr="001D1C28">
        <w:rPr>
          <w:rFonts w:ascii="Palatino Linotype" w:hAnsi="Palatino Linotype" w:cs="Arial"/>
        </w:rPr>
        <w:t>presentó a través del Sistema de Acceso a la Información Mexiquense (</w:t>
      </w:r>
      <w:r w:rsidRPr="001D1C28">
        <w:rPr>
          <w:rFonts w:ascii="Palatino Linotype" w:hAnsi="Palatino Linotype" w:cs="Arial"/>
          <w:b/>
        </w:rPr>
        <w:t>SAIMEX)</w:t>
      </w:r>
      <w:r w:rsidRPr="001D1C28">
        <w:rPr>
          <w:rFonts w:ascii="Palatino Linotype" w:hAnsi="Palatino Linotype" w:cs="Arial"/>
        </w:rPr>
        <w:t xml:space="preserve"> ante </w:t>
      </w:r>
      <w:r w:rsidRPr="001D1C28">
        <w:rPr>
          <w:rFonts w:ascii="Palatino Linotype" w:hAnsi="Palatino Linotype" w:cs="Arial"/>
          <w:b/>
        </w:rPr>
        <w:t>El Sujeto Obligado</w:t>
      </w:r>
      <w:r w:rsidRPr="001D1C28">
        <w:rPr>
          <w:rFonts w:ascii="Palatino Linotype" w:hAnsi="Palatino Linotype" w:cs="Arial"/>
        </w:rPr>
        <w:t xml:space="preserve">, solicitud de acceso a la información pública, registrada bajo el número de expediente </w:t>
      </w:r>
      <w:r w:rsidRPr="001D1C28">
        <w:rPr>
          <w:rFonts w:ascii="Palatino Linotype" w:hAnsi="Palatino Linotype" w:cs="Arial"/>
          <w:b/>
        </w:rPr>
        <w:t xml:space="preserve">00445/ATIZARA/IP/2025, </w:t>
      </w:r>
      <w:r w:rsidRPr="001D1C28">
        <w:rPr>
          <w:rFonts w:ascii="Palatino Linotype" w:hAnsi="Palatino Linotype" w:cs="Arial"/>
        </w:rPr>
        <w:t>mediante la cual solicitó información en el tenor siguiente:</w:t>
      </w:r>
    </w:p>
    <w:p w:rsidR="00293CC4" w:rsidRPr="001D1C28" w:rsidRDefault="00293CC4" w:rsidP="00293CC4">
      <w:pPr>
        <w:pStyle w:val="INFOEM"/>
        <w:rPr>
          <w:lang w:val="es-ES_tradnl" w:eastAsia="es-ES"/>
        </w:rPr>
      </w:pPr>
      <w:r w:rsidRPr="001D1C28">
        <w:rPr>
          <w:lang w:val="es-ES_tradnl" w:eastAsia="es-ES"/>
        </w:rPr>
        <w:t>“</w:t>
      </w:r>
      <w:r w:rsidRPr="001D1C28">
        <w:rPr>
          <w:lang w:val="es-ES" w:eastAsia="es-ES"/>
        </w:rPr>
        <w:t>Solicito la dispersión de nomina y conciliación de nomina de enero 2025 a la fecha de la solicitud</w:t>
      </w:r>
      <w:r w:rsidRPr="001D1C28">
        <w:rPr>
          <w:lang w:val="es-ES_tradnl" w:eastAsia="es-ES"/>
        </w:rPr>
        <w:t>” (Sic)</w:t>
      </w:r>
    </w:p>
    <w:p w:rsidR="00293CC4" w:rsidRPr="001D1C28" w:rsidRDefault="00293CC4" w:rsidP="00293CC4">
      <w:pPr>
        <w:spacing w:before="240" w:line="360" w:lineRule="auto"/>
        <w:jc w:val="both"/>
        <w:rPr>
          <w:rFonts w:ascii="Palatino Linotype" w:hAnsi="Palatino Linotype"/>
          <w:lang w:val="es-ES_tradnl"/>
        </w:rPr>
      </w:pPr>
    </w:p>
    <w:p w:rsidR="00293CC4" w:rsidRPr="001D1C28" w:rsidRDefault="00293CC4" w:rsidP="00293CC4">
      <w:pPr>
        <w:spacing w:before="240" w:line="360" w:lineRule="auto"/>
        <w:jc w:val="both"/>
        <w:rPr>
          <w:rFonts w:ascii="Palatino Linotype" w:hAnsi="Palatino Linotype"/>
          <w:lang w:val="es-ES_tradnl"/>
        </w:rPr>
      </w:pPr>
      <w:r w:rsidRPr="001D1C28">
        <w:rPr>
          <w:rFonts w:ascii="Palatino Linotype" w:hAnsi="Palatino Linotype"/>
          <w:b/>
          <w:lang w:val="es-ES_tradnl"/>
        </w:rPr>
        <w:lastRenderedPageBreak/>
        <w:t>Modalidad de entrega:</w:t>
      </w:r>
      <w:r w:rsidRPr="001D1C28">
        <w:rPr>
          <w:rFonts w:ascii="Palatino Linotype" w:hAnsi="Palatino Linotype"/>
          <w:lang w:val="es-ES_tradnl"/>
        </w:rPr>
        <w:t xml:space="preserve"> A través del SAIMEX.</w:t>
      </w:r>
    </w:p>
    <w:p w:rsidR="00293CC4" w:rsidRPr="001D1C28" w:rsidRDefault="00293CC4" w:rsidP="00293CC4">
      <w:pPr>
        <w:spacing w:before="240" w:line="360" w:lineRule="auto"/>
        <w:jc w:val="both"/>
        <w:rPr>
          <w:rFonts w:ascii="Palatino Linotype" w:hAnsi="Palatino Linotype" w:cs="Arial"/>
          <w:b/>
          <w:sz w:val="28"/>
        </w:rPr>
      </w:pPr>
    </w:p>
    <w:p w:rsidR="00293CC4" w:rsidRPr="001D1C28" w:rsidRDefault="00293CC4" w:rsidP="00293CC4">
      <w:pPr>
        <w:spacing w:line="360" w:lineRule="auto"/>
        <w:jc w:val="both"/>
        <w:rPr>
          <w:rFonts w:ascii="Palatino Linotype" w:hAnsi="Palatino Linotype" w:cs="Arial"/>
          <w:b/>
          <w:sz w:val="28"/>
        </w:rPr>
      </w:pPr>
      <w:r w:rsidRPr="001D1C28">
        <w:rPr>
          <w:rFonts w:ascii="Palatino Linotype" w:hAnsi="Palatino Linotype" w:cs="Arial"/>
          <w:b/>
          <w:sz w:val="28"/>
        </w:rPr>
        <w:t>SEGUNDO. De la prórroga.</w:t>
      </w:r>
    </w:p>
    <w:p w:rsidR="00293CC4" w:rsidRPr="001D1C28" w:rsidRDefault="00293CC4" w:rsidP="00293CC4">
      <w:pPr>
        <w:spacing w:line="360" w:lineRule="auto"/>
        <w:jc w:val="both"/>
        <w:rPr>
          <w:rFonts w:ascii="Palatino Linotype" w:hAnsi="Palatino Linotype" w:cs="Arial"/>
        </w:rPr>
      </w:pPr>
      <w:r w:rsidRPr="001D1C28">
        <w:rPr>
          <w:rFonts w:ascii="Palatino Linotype" w:hAnsi="Palatino Linotype" w:cs="Arial"/>
        </w:rPr>
        <w:t xml:space="preserve">En fecha </w:t>
      </w:r>
      <w:r w:rsidRPr="001D1C28">
        <w:rPr>
          <w:rFonts w:ascii="Palatino Linotype" w:hAnsi="Palatino Linotype" w:cs="Arial"/>
          <w:b/>
        </w:rPr>
        <w:t>veinticinco de agosto de dos mil veinticinco</w:t>
      </w:r>
      <w:r w:rsidRPr="001D1C28">
        <w:rPr>
          <w:rFonts w:ascii="Palatino Linotype" w:hAnsi="Palatino Linotype" w:cs="Arial"/>
        </w:rPr>
        <w:t>, el Sujeto Obligado notificó a la parte Recurrente una prórroga para dar respuesta a la solicitud de información, en los siguientes términos:</w:t>
      </w:r>
    </w:p>
    <w:p w:rsidR="00293CC4" w:rsidRPr="001D1C28" w:rsidRDefault="00293CC4" w:rsidP="00293CC4">
      <w:pPr>
        <w:pStyle w:val="Citas"/>
      </w:pPr>
      <w:r w:rsidRPr="001D1C28">
        <w:t>“Con fundamento en el artículo 163 de la Ley de Transparencia y Acceso a la Información Pública del Estado de México y Municipios, se le hace de su conocimiento que el plazo de 15 días hábiles para atender su solicitud de información ha sido prorrogado por 7 días en virtud de las siguientes razones:</w:t>
      </w:r>
    </w:p>
    <w:p w:rsidR="00293CC4" w:rsidRPr="001D1C28" w:rsidRDefault="00293CC4" w:rsidP="00293CC4">
      <w:pPr>
        <w:pStyle w:val="Citas"/>
      </w:pPr>
      <w:r w:rsidRPr="001D1C28">
        <w:t>Con fundamento en los artículos 4, 23 fracción IV, 24 último párrafo, 53 fracción VI, 59, 160, 163 segundo párrafo y demás relativos de la Ley de Transparencia y Acceso a la Información Pública del Estado de México y Municipios, se solicita la prórroga para la entrega de la información, ya que la entrega de la misma requiere un procesamiento, respecto de los cuales resulta necesario la búsqueda de la misma, además de la carga de actividades que se tiene para agilizar el proceso, por lo que resulta necesaria la ampliación de plazo legal para la correcta atención de dicha solicitud.” (Sic)</w:t>
      </w:r>
    </w:p>
    <w:p w:rsidR="00293CC4" w:rsidRPr="001D1C28" w:rsidRDefault="00293CC4" w:rsidP="00293CC4">
      <w:pPr>
        <w:spacing w:line="360" w:lineRule="auto"/>
        <w:jc w:val="both"/>
        <w:rPr>
          <w:rFonts w:ascii="Palatino Linotype" w:hAnsi="Palatino Linotype" w:cs="Arial"/>
          <w:b/>
          <w:sz w:val="28"/>
          <w:szCs w:val="20"/>
        </w:rPr>
      </w:pPr>
    </w:p>
    <w:p w:rsidR="00293CC4" w:rsidRPr="001D1C28" w:rsidRDefault="00293CC4" w:rsidP="00293CC4">
      <w:pPr>
        <w:spacing w:line="360" w:lineRule="auto"/>
        <w:jc w:val="both"/>
        <w:rPr>
          <w:rFonts w:ascii="Palatino Linotype" w:hAnsi="Palatino Linotype" w:cs="Arial"/>
          <w:b/>
          <w:sz w:val="28"/>
        </w:rPr>
      </w:pPr>
      <w:r w:rsidRPr="001D1C28">
        <w:rPr>
          <w:rFonts w:ascii="Palatino Linotype" w:hAnsi="Palatino Linotype" w:cs="Arial"/>
          <w:b/>
          <w:sz w:val="28"/>
          <w:szCs w:val="20"/>
        </w:rPr>
        <w:t>TERCERO. De la respuesta.</w:t>
      </w:r>
    </w:p>
    <w:p w:rsidR="00293CC4" w:rsidRPr="001D1C28" w:rsidRDefault="00293CC4" w:rsidP="00293CC4">
      <w:pPr>
        <w:pStyle w:val="Sinespaciado"/>
        <w:spacing w:line="360" w:lineRule="auto"/>
        <w:jc w:val="both"/>
        <w:rPr>
          <w:rFonts w:ascii="Palatino Linotype" w:hAnsi="Palatino Linotype" w:cs="Arial"/>
          <w:b/>
          <w:sz w:val="24"/>
        </w:rPr>
      </w:pPr>
      <w:r w:rsidRPr="001D1C28">
        <w:rPr>
          <w:rFonts w:ascii="Palatino Linotype" w:hAnsi="Palatino Linotype"/>
          <w:sz w:val="24"/>
        </w:rPr>
        <w:t xml:space="preserve">De las constancias que obran en el expediente electrónico, se advierte que el </w:t>
      </w:r>
      <w:r w:rsidRPr="001D1C28">
        <w:rPr>
          <w:rFonts w:ascii="Palatino Linotype" w:hAnsi="Palatino Linotype" w:cs="Arial"/>
          <w:sz w:val="24"/>
        </w:rPr>
        <w:t xml:space="preserve">día </w:t>
      </w:r>
      <w:r w:rsidRPr="001D1C28">
        <w:rPr>
          <w:rFonts w:ascii="Palatino Linotype" w:hAnsi="Palatino Linotype" w:cs="Arial"/>
          <w:b/>
          <w:sz w:val="24"/>
        </w:rPr>
        <w:t>tres de septiembre de dos mil veinticinco</w:t>
      </w:r>
      <w:r w:rsidRPr="001D1C28">
        <w:rPr>
          <w:rFonts w:ascii="Palatino Linotype" w:hAnsi="Palatino Linotype" w:cs="Arial"/>
          <w:sz w:val="24"/>
        </w:rPr>
        <w:t xml:space="preserve">, el </w:t>
      </w:r>
      <w:r w:rsidRPr="001D1C28">
        <w:rPr>
          <w:rFonts w:ascii="Palatino Linotype" w:hAnsi="Palatino Linotype" w:cs="Arial"/>
          <w:b/>
          <w:sz w:val="24"/>
        </w:rPr>
        <w:t>Sujeto Obligado</w:t>
      </w:r>
      <w:r w:rsidRPr="001D1C28">
        <w:rPr>
          <w:rFonts w:ascii="Palatino Linotype" w:hAnsi="Palatino Linotype" w:cs="Arial"/>
          <w:sz w:val="24"/>
        </w:rPr>
        <w:t xml:space="preserve"> dio respuesta a la solicitud de información en los siguientes términos: </w:t>
      </w:r>
    </w:p>
    <w:p w:rsidR="00293CC4" w:rsidRPr="001D1C28" w:rsidRDefault="00293CC4" w:rsidP="00293CC4">
      <w:pPr>
        <w:spacing w:line="360" w:lineRule="auto"/>
        <w:jc w:val="both"/>
        <w:rPr>
          <w:rFonts w:ascii="Palatino Linotype" w:hAnsi="Palatino Linotype" w:cs="Arial"/>
        </w:rPr>
      </w:pPr>
    </w:p>
    <w:p w:rsidR="00293CC4" w:rsidRPr="001D1C28" w:rsidRDefault="00293CC4" w:rsidP="00293CC4">
      <w:pPr>
        <w:ind w:left="567" w:right="567"/>
        <w:jc w:val="both"/>
        <w:rPr>
          <w:rFonts w:ascii="Palatino Linotype" w:hAnsi="Palatino Linotype" w:cs="Arial"/>
          <w:i/>
        </w:rPr>
      </w:pPr>
      <w:r w:rsidRPr="001D1C28">
        <w:rPr>
          <w:rFonts w:ascii="Palatino Linotype" w:hAnsi="Palatino Linotype" w:cs="Arial"/>
          <w:i/>
        </w:rPr>
        <w:t>“…</w:t>
      </w:r>
    </w:p>
    <w:p w:rsidR="00293CC4" w:rsidRPr="001D1C28" w:rsidRDefault="00293CC4" w:rsidP="00293CC4">
      <w:pPr>
        <w:ind w:left="567" w:right="567"/>
        <w:jc w:val="both"/>
        <w:rPr>
          <w:rFonts w:ascii="Palatino Linotype" w:hAnsi="Palatino Linotype" w:cs="Arial"/>
          <w:i/>
        </w:rPr>
      </w:pPr>
    </w:p>
    <w:p w:rsidR="00293CC4" w:rsidRPr="001D1C28" w:rsidRDefault="00293CC4" w:rsidP="00293CC4">
      <w:pPr>
        <w:ind w:left="567" w:right="567"/>
        <w:jc w:val="both"/>
        <w:rPr>
          <w:rFonts w:ascii="Palatino Linotype" w:hAnsi="Palatino Linotype" w:cs="Arial"/>
          <w:i/>
        </w:rPr>
      </w:pPr>
      <w:r w:rsidRPr="001D1C28">
        <w:rPr>
          <w:rFonts w:ascii="Palatino Linotype" w:hAnsi="Palatino Linotype" w:cs="Arial"/>
          <w:i/>
        </w:rPr>
        <w:t>En respuesta a la solicitud recibida, nos permitimos hacer de su conocimiento que con fundamento en el artículo 53, Fracciones: II, V y VI de la Ley de Transparencia y Acceso a la Información Pública del Estado de México y Municipios, le contestamos que:</w:t>
      </w:r>
    </w:p>
    <w:p w:rsidR="00293CC4" w:rsidRPr="001D1C28" w:rsidRDefault="00293CC4" w:rsidP="00293CC4">
      <w:pPr>
        <w:ind w:left="567" w:right="567"/>
        <w:jc w:val="both"/>
        <w:rPr>
          <w:rFonts w:ascii="Palatino Linotype" w:hAnsi="Palatino Linotype" w:cs="Arial"/>
          <w:i/>
        </w:rPr>
      </w:pPr>
      <w:r w:rsidRPr="001D1C28">
        <w:rPr>
          <w:rFonts w:ascii="Palatino Linotype" w:hAnsi="Palatino Linotype" w:cs="Arial"/>
          <w:i/>
        </w:rPr>
        <w:t>SE ANEXA RESPUESTA Se atiende mediante memorándum anexo.</w:t>
      </w:r>
    </w:p>
    <w:p w:rsidR="00293CC4" w:rsidRPr="001D1C28" w:rsidRDefault="00293CC4" w:rsidP="00293CC4">
      <w:pPr>
        <w:ind w:left="567" w:right="567"/>
        <w:jc w:val="both"/>
        <w:rPr>
          <w:rFonts w:ascii="Palatino Linotype" w:hAnsi="Palatino Linotype" w:cs="Arial"/>
          <w:i/>
        </w:rPr>
      </w:pPr>
      <w:r w:rsidRPr="001D1C28">
        <w:rPr>
          <w:rFonts w:ascii="Palatino Linotype" w:hAnsi="Palatino Linotype" w:cs="Arial"/>
          <w:i/>
        </w:rPr>
        <w:t>…“(Sic).</w:t>
      </w:r>
    </w:p>
    <w:p w:rsidR="00293CC4" w:rsidRPr="001D1C28" w:rsidRDefault="00293CC4" w:rsidP="00293CC4">
      <w:pPr>
        <w:spacing w:line="360" w:lineRule="auto"/>
        <w:ind w:right="567"/>
        <w:jc w:val="both"/>
        <w:rPr>
          <w:rFonts w:ascii="Palatino Linotype" w:hAnsi="Palatino Linotype" w:cs="Arial"/>
        </w:rPr>
      </w:pPr>
    </w:p>
    <w:p w:rsidR="00293CC4" w:rsidRPr="001D1C28" w:rsidRDefault="00293CC4" w:rsidP="00293CC4">
      <w:pPr>
        <w:spacing w:line="360" w:lineRule="auto"/>
        <w:jc w:val="both"/>
        <w:rPr>
          <w:rFonts w:ascii="Palatino Linotype" w:hAnsi="Palatino Linotype" w:cs="Arial"/>
        </w:rPr>
      </w:pPr>
      <w:r w:rsidRPr="001D1C28">
        <w:rPr>
          <w:rFonts w:ascii="Palatino Linotype" w:hAnsi="Palatino Linotype" w:cs="Arial"/>
        </w:rPr>
        <w:t xml:space="preserve">Adicionalmente, el </w:t>
      </w:r>
      <w:r w:rsidRPr="001D1C28">
        <w:rPr>
          <w:rFonts w:ascii="Palatino Linotype" w:hAnsi="Palatino Linotype" w:cs="Arial"/>
          <w:b/>
        </w:rPr>
        <w:t>Sujeto Obligado</w:t>
      </w:r>
      <w:r w:rsidRPr="001D1C28">
        <w:rPr>
          <w:rFonts w:ascii="Palatino Linotype" w:hAnsi="Palatino Linotype" w:cs="Arial"/>
        </w:rPr>
        <w:t xml:space="preserve"> adjuntó los archivos electrónicos denominados “</w:t>
      </w:r>
      <w:r w:rsidRPr="001D1C28">
        <w:rPr>
          <w:rFonts w:ascii="Palatino Linotype" w:hAnsi="Palatino Linotype" w:cs="Arial"/>
          <w:b/>
          <w:i/>
        </w:rPr>
        <w:t xml:space="preserve">00445-2520-2025.pdf”, “Dispersión Nómina Julio _250818_134753.pdf”, “Dispersión Nómina Enero_250818_133902.pdf”, “Dispersión Nómina Junio_250818_134637.pdf”,, “Dispersión Nómina Abril_250818_134413.pdf”, “Dispersion Nomina Mayo_250818_134531.pdf”, “Dispersión Nómina Febrero_250818_134027.pdf”, “Dispersión Nómina Marzo_250818_134234.pdf” y “ST 6870.pdf”, </w:t>
      </w:r>
      <w:r w:rsidRPr="001D1C28">
        <w:rPr>
          <w:rFonts w:ascii="Palatino Linotype" w:hAnsi="Palatino Linotype" w:cs="Arial"/>
        </w:rPr>
        <w:t xml:space="preserve">mismos que no se reproducen por ser del conocimiento de las partes, sin embargo, serán materia de estudio en el considerando respectivo. </w:t>
      </w:r>
    </w:p>
    <w:p w:rsidR="00293CC4" w:rsidRPr="001D1C28" w:rsidRDefault="00293CC4" w:rsidP="00293CC4">
      <w:pPr>
        <w:spacing w:line="360" w:lineRule="auto"/>
        <w:jc w:val="both"/>
        <w:rPr>
          <w:rFonts w:ascii="Palatino Linotype" w:hAnsi="Palatino Linotype" w:cs="Arial"/>
        </w:rPr>
      </w:pPr>
    </w:p>
    <w:p w:rsidR="00293CC4" w:rsidRPr="001D1C28" w:rsidRDefault="00293CC4" w:rsidP="00293CC4">
      <w:pPr>
        <w:spacing w:before="240" w:line="360" w:lineRule="auto"/>
        <w:jc w:val="both"/>
        <w:rPr>
          <w:rFonts w:ascii="Palatino Linotype" w:hAnsi="Palatino Linotype" w:cs="Arial"/>
          <w:b/>
          <w:sz w:val="28"/>
        </w:rPr>
      </w:pPr>
      <w:r w:rsidRPr="001D1C28">
        <w:rPr>
          <w:rFonts w:ascii="Palatino Linotype" w:hAnsi="Palatino Linotype" w:cs="Arial"/>
          <w:b/>
          <w:sz w:val="28"/>
        </w:rPr>
        <w:t xml:space="preserve">CUARTO. </w:t>
      </w:r>
      <w:r w:rsidRPr="001D1C28">
        <w:rPr>
          <w:rFonts w:ascii="Palatino Linotype" w:hAnsi="Palatino Linotype"/>
          <w:b/>
          <w:sz w:val="28"/>
        </w:rPr>
        <w:t>Del recurso de revisión.</w:t>
      </w:r>
    </w:p>
    <w:p w:rsidR="00293CC4" w:rsidRPr="001D1C28" w:rsidRDefault="00293CC4" w:rsidP="00293CC4">
      <w:pPr>
        <w:spacing w:before="240" w:line="360" w:lineRule="auto"/>
        <w:jc w:val="both"/>
        <w:rPr>
          <w:rFonts w:ascii="Palatino Linotype" w:hAnsi="Palatino Linotype" w:cs="Arial"/>
        </w:rPr>
      </w:pPr>
      <w:r w:rsidRPr="001D1C28">
        <w:rPr>
          <w:rFonts w:ascii="Palatino Linotype" w:hAnsi="Palatino Linotype" w:cs="Arial"/>
        </w:rPr>
        <w:t xml:space="preserve">Inconforme con la respuesta notificada por </w:t>
      </w:r>
      <w:r w:rsidRPr="001D1C28">
        <w:rPr>
          <w:rFonts w:ascii="Palatino Linotype" w:hAnsi="Palatino Linotype" w:cs="Arial"/>
          <w:b/>
        </w:rPr>
        <w:t xml:space="preserve">El Sujeto Obligado, </w:t>
      </w:r>
      <w:r w:rsidRPr="001D1C28">
        <w:rPr>
          <w:rFonts w:ascii="Palatino Linotype" w:hAnsi="Palatino Linotype" w:cs="Arial"/>
        </w:rPr>
        <w:t>el</w:t>
      </w:r>
      <w:r w:rsidRPr="001D1C28">
        <w:rPr>
          <w:rFonts w:ascii="Palatino Linotype" w:hAnsi="Palatino Linotype" w:cs="Arial"/>
          <w:b/>
        </w:rPr>
        <w:t xml:space="preserve"> Recurrente </w:t>
      </w:r>
      <w:r w:rsidRPr="001D1C28">
        <w:rPr>
          <w:rFonts w:ascii="Palatino Linotype" w:hAnsi="Palatino Linotype" w:cs="Arial"/>
        </w:rPr>
        <w:t xml:space="preserve">interpuso recurso de revisión, en fecha </w:t>
      </w:r>
      <w:r w:rsidRPr="001D1C28">
        <w:rPr>
          <w:rFonts w:ascii="Palatino Linotype" w:hAnsi="Palatino Linotype" w:cs="Arial"/>
          <w:b/>
        </w:rPr>
        <w:t>dieciséis de septiembre de dos mil veinticinco</w:t>
      </w:r>
      <w:r w:rsidRPr="001D1C28">
        <w:rPr>
          <w:rFonts w:ascii="Palatino Linotype" w:hAnsi="Palatino Linotype" w:cs="Arial"/>
        </w:rPr>
        <w:t xml:space="preserve">, el cual fue registrado en el sistema electrónico con el expediente número </w:t>
      </w:r>
      <w:r w:rsidRPr="001D1C28">
        <w:rPr>
          <w:rFonts w:ascii="Palatino Linotype" w:hAnsi="Palatino Linotype" w:cs="Arial"/>
          <w:b/>
        </w:rPr>
        <w:t xml:space="preserve">010835/INFOEM/IP/RR/2025; </w:t>
      </w:r>
      <w:r w:rsidRPr="001D1C28">
        <w:rPr>
          <w:rFonts w:ascii="Palatino Linotype" w:hAnsi="Palatino Linotype" w:cs="Arial"/>
        </w:rPr>
        <w:t>en los cuales arguye las siguientes manifestaciones:</w:t>
      </w:r>
    </w:p>
    <w:p w:rsidR="00293CC4" w:rsidRPr="001D1C28" w:rsidRDefault="00293CC4" w:rsidP="00293CC4">
      <w:pPr>
        <w:pStyle w:val="Prrafodelista"/>
        <w:numPr>
          <w:ilvl w:val="0"/>
          <w:numId w:val="2"/>
        </w:numPr>
        <w:spacing w:before="240" w:line="360" w:lineRule="auto"/>
        <w:ind w:left="142" w:firstLine="0"/>
        <w:jc w:val="both"/>
        <w:rPr>
          <w:rFonts w:ascii="Palatino Linotype" w:hAnsi="Palatino Linotype" w:cs="Arial"/>
          <w:b/>
          <w:i/>
        </w:rPr>
      </w:pPr>
      <w:r w:rsidRPr="001D1C28">
        <w:rPr>
          <w:rFonts w:ascii="Palatino Linotype" w:hAnsi="Palatino Linotype" w:cs="Arial"/>
          <w:b/>
          <w:i/>
        </w:rPr>
        <w:t xml:space="preserve">Acto impugnado </w:t>
      </w:r>
    </w:p>
    <w:p w:rsidR="00293CC4" w:rsidRPr="001D1C28" w:rsidRDefault="00293CC4" w:rsidP="00293CC4">
      <w:pPr>
        <w:pStyle w:val="INFOEM"/>
        <w:ind w:left="720"/>
      </w:pPr>
      <w:r w:rsidRPr="001D1C28">
        <w:lastRenderedPageBreak/>
        <w:t>“Respuesta” (sic)</w:t>
      </w:r>
    </w:p>
    <w:p w:rsidR="00293CC4" w:rsidRPr="001D1C28" w:rsidRDefault="00293CC4" w:rsidP="00293CC4">
      <w:pPr>
        <w:pStyle w:val="Prrafodelista"/>
        <w:numPr>
          <w:ilvl w:val="0"/>
          <w:numId w:val="2"/>
        </w:numPr>
        <w:spacing w:before="240" w:line="360" w:lineRule="auto"/>
        <w:ind w:left="142" w:firstLine="0"/>
        <w:jc w:val="both"/>
        <w:rPr>
          <w:rFonts w:ascii="Palatino Linotype" w:hAnsi="Palatino Linotype" w:cs="Arial"/>
          <w:b/>
          <w:i/>
        </w:rPr>
      </w:pPr>
      <w:r w:rsidRPr="001D1C28">
        <w:rPr>
          <w:rFonts w:ascii="Palatino Linotype" w:hAnsi="Palatino Linotype" w:cs="Arial"/>
          <w:b/>
          <w:i/>
        </w:rPr>
        <w:t>Razones o motivos de inconformidad</w:t>
      </w:r>
    </w:p>
    <w:p w:rsidR="00293CC4" w:rsidRPr="001D1C28" w:rsidRDefault="00293CC4" w:rsidP="00293CC4">
      <w:pPr>
        <w:pStyle w:val="INFOEM"/>
        <w:ind w:left="709"/>
      </w:pPr>
      <w:r w:rsidRPr="001D1C28">
        <w:t>“No envían lo que solicite” (sic)</w:t>
      </w:r>
    </w:p>
    <w:p w:rsidR="00293CC4" w:rsidRPr="001D1C28" w:rsidRDefault="00293CC4" w:rsidP="00293CC4">
      <w:pPr>
        <w:spacing w:before="240" w:line="360" w:lineRule="auto"/>
        <w:jc w:val="both"/>
        <w:rPr>
          <w:rFonts w:ascii="Palatino Linotype" w:hAnsi="Palatino Linotype" w:cs="Arial"/>
        </w:rPr>
      </w:pPr>
    </w:p>
    <w:p w:rsidR="00293CC4" w:rsidRPr="001D1C28" w:rsidRDefault="00293CC4" w:rsidP="00293CC4">
      <w:pPr>
        <w:spacing w:before="240" w:line="360" w:lineRule="auto"/>
        <w:jc w:val="both"/>
        <w:rPr>
          <w:rFonts w:ascii="Palatino Linotype" w:hAnsi="Palatino Linotype" w:cs="Arial"/>
          <w:b/>
        </w:rPr>
      </w:pPr>
      <w:r w:rsidRPr="001D1C28">
        <w:rPr>
          <w:rFonts w:ascii="Palatino Linotype" w:hAnsi="Palatino Linotype" w:cs="Arial"/>
          <w:b/>
          <w:sz w:val="28"/>
        </w:rPr>
        <w:t>QUINTO</w:t>
      </w:r>
      <w:r w:rsidRPr="001D1C28">
        <w:rPr>
          <w:rFonts w:ascii="Palatino Linotype" w:hAnsi="Palatino Linotype" w:cs="Arial"/>
          <w:b/>
        </w:rPr>
        <w:t xml:space="preserve">. </w:t>
      </w:r>
      <w:r w:rsidRPr="001D1C28">
        <w:rPr>
          <w:rFonts w:ascii="Palatino Linotype" w:hAnsi="Palatino Linotype" w:cs="Arial"/>
          <w:b/>
          <w:sz w:val="28"/>
          <w:szCs w:val="28"/>
        </w:rPr>
        <w:t>Del turno y admisión del recurso de revisión.</w:t>
      </w:r>
    </w:p>
    <w:p w:rsidR="00293CC4" w:rsidRPr="001D1C28" w:rsidRDefault="00293CC4" w:rsidP="00293CC4">
      <w:pPr>
        <w:spacing w:before="240" w:line="360" w:lineRule="auto"/>
        <w:jc w:val="both"/>
        <w:rPr>
          <w:rFonts w:ascii="Palatino Linotype" w:hAnsi="Palatino Linotype" w:cs="Arial"/>
          <w:sz w:val="28"/>
        </w:rPr>
      </w:pPr>
      <w:r w:rsidRPr="001D1C28">
        <w:rPr>
          <w:rFonts w:ascii="Palatino Linotype" w:hAnsi="Palatino Linotype"/>
        </w:rPr>
        <w:t xml:space="preserve">El medio de impugnación fue turnado al Comisionado Presidente </w:t>
      </w:r>
      <w:r w:rsidRPr="001D1C28">
        <w:rPr>
          <w:rFonts w:ascii="Palatino Linotype" w:hAnsi="Palatino Linotype"/>
          <w:b/>
        </w:rPr>
        <w:t>José Martínez Vilchis,</w:t>
      </w:r>
      <w:r w:rsidRPr="001D1C28">
        <w:rPr>
          <w:rFonts w:ascii="Palatino Linotype" w:hAnsi="Palatino Linotype"/>
        </w:rPr>
        <w:t xml:space="preserve"> por medio del sistema electrónico SAIMEX, en términos del artículo 185, fracción I, de la Ley de Transparencia y Acceso a la información Pública del Estado de México y Municipios, del cual recayó acuerdo de </w:t>
      </w:r>
      <w:r w:rsidRPr="001D1C28">
        <w:rPr>
          <w:rFonts w:ascii="Palatino Linotype" w:hAnsi="Palatino Linotype"/>
          <w:b/>
        </w:rPr>
        <w:t>admisión</w:t>
      </w:r>
      <w:r w:rsidRPr="001D1C28">
        <w:rPr>
          <w:rFonts w:ascii="Palatino Linotype" w:hAnsi="Palatino Linotype"/>
        </w:rPr>
        <w:t xml:space="preserve"> en fecha </w:t>
      </w:r>
      <w:r w:rsidRPr="001D1C28">
        <w:rPr>
          <w:rFonts w:ascii="Palatino Linotype" w:hAnsi="Palatino Linotype"/>
          <w:b/>
        </w:rPr>
        <w:t>dieciocho de septiembre de dos mil veinticinco</w:t>
      </w:r>
      <w:r w:rsidRPr="001D1C28">
        <w:rPr>
          <w:rFonts w:ascii="Palatino Linotype" w:hAnsi="Palatino Linotype"/>
        </w:rPr>
        <w:t>, determinándose en ellos, un plazo de siete días para que las partes manifestaran lo que a su derecho corresponda en términos del numeral ya citado.</w:t>
      </w:r>
    </w:p>
    <w:p w:rsidR="00293CC4" w:rsidRPr="001D1C28" w:rsidRDefault="00293CC4" w:rsidP="00293CC4">
      <w:pPr>
        <w:spacing w:line="360" w:lineRule="auto"/>
        <w:jc w:val="both"/>
        <w:rPr>
          <w:rFonts w:ascii="Palatino Linotype" w:hAnsi="Palatino Linotype" w:cs="Arial"/>
        </w:rPr>
      </w:pPr>
    </w:p>
    <w:p w:rsidR="00293CC4" w:rsidRPr="001D1C28" w:rsidRDefault="00293CC4" w:rsidP="00293CC4">
      <w:pPr>
        <w:pStyle w:val="Prrafodelista"/>
        <w:spacing w:line="360" w:lineRule="auto"/>
        <w:ind w:left="0"/>
        <w:jc w:val="both"/>
        <w:rPr>
          <w:rFonts w:ascii="Palatino Linotype" w:hAnsi="Palatino Linotype" w:cs="Arial"/>
          <w:b/>
          <w:sz w:val="28"/>
          <w:szCs w:val="28"/>
        </w:rPr>
      </w:pPr>
      <w:r w:rsidRPr="001D1C28">
        <w:rPr>
          <w:rFonts w:ascii="Palatino Linotype" w:hAnsi="Palatino Linotype" w:cs="Arial"/>
          <w:b/>
          <w:sz w:val="28"/>
          <w:szCs w:val="28"/>
        </w:rPr>
        <w:t>SEXTO. De la etapa de instrucción.</w:t>
      </w:r>
    </w:p>
    <w:p w:rsidR="00293CC4" w:rsidRPr="001D1C28" w:rsidRDefault="00293CC4" w:rsidP="00293CC4">
      <w:pPr>
        <w:spacing w:line="360" w:lineRule="auto"/>
        <w:jc w:val="both"/>
        <w:rPr>
          <w:rFonts w:ascii="Palatino Linotype" w:hAnsi="Palatino Linotype"/>
        </w:rPr>
      </w:pPr>
      <w:r w:rsidRPr="001D1C28">
        <w:rPr>
          <w:rFonts w:ascii="Palatino Linotype" w:hAnsi="Palatino Linotype" w:cs="Arial"/>
        </w:rPr>
        <w:t xml:space="preserve">De las constancias que obran en el expediente electrónico del SAIMEX, se advierte que el </w:t>
      </w:r>
      <w:r w:rsidRPr="001D1C28">
        <w:rPr>
          <w:rFonts w:ascii="Palatino Linotype" w:hAnsi="Palatino Linotype" w:cs="Arial"/>
          <w:b/>
        </w:rPr>
        <w:t>Sujeto Obligado</w:t>
      </w:r>
      <w:r w:rsidRPr="001D1C28">
        <w:rPr>
          <w:rFonts w:ascii="Palatino Linotype" w:hAnsi="Palatino Linotype" w:cs="Arial"/>
        </w:rPr>
        <w:t xml:space="preserve"> rindió su informe justificado en fecha veintiséis de septiembre de dos mil veinticinco, por medio de los archivos electrónicos “</w:t>
      </w:r>
      <w:r w:rsidRPr="001D1C28">
        <w:rPr>
          <w:rFonts w:ascii="Palatino Linotype" w:hAnsi="Palatino Linotype" w:cs="Arial"/>
          <w:b/>
          <w:i/>
        </w:rPr>
        <w:t xml:space="preserve">[Untitled]_2025092613503115_1-2.pdf”, “[Untitled]_2025092613505246_1-2.pdf”, “[Untitled]_2025092613505246_2-2.pdf” </w:t>
      </w:r>
      <w:r w:rsidRPr="001D1C28">
        <w:rPr>
          <w:rFonts w:ascii="Palatino Linotype" w:hAnsi="Palatino Linotype" w:cs="Arial"/>
        </w:rPr>
        <w:t>y</w:t>
      </w:r>
      <w:r w:rsidRPr="001D1C28">
        <w:rPr>
          <w:rFonts w:ascii="Palatino Linotype" w:hAnsi="Palatino Linotype" w:cs="Arial"/>
          <w:b/>
          <w:i/>
        </w:rPr>
        <w:t xml:space="preserve"> “[Untitled]_2025092613503115_2-2.pdf”</w:t>
      </w:r>
      <w:r w:rsidRPr="001D1C28">
        <w:rPr>
          <w:rFonts w:ascii="Palatino Linotype" w:hAnsi="Palatino Linotype" w:cs="Arial"/>
        </w:rPr>
        <w:t xml:space="preserve">, mismos que fue puesto a la vista del Recurrente, salvo el último documento referido. </w:t>
      </w:r>
    </w:p>
    <w:p w:rsidR="00293CC4" w:rsidRPr="001D1C28" w:rsidRDefault="00293CC4" w:rsidP="00293CC4">
      <w:pPr>
        <w:spacing w:line="360" w:lineRule="auto"/>
        <w:jc w:val="both"/>
        <w:rPr>
          <w:rFonts w:ascii="Palatino Linotype" w:hAnsi="Palatino Linotype"/>
        </w:rPr>
      </w:pPr>
    </w:p>
    <w:p w:rsidR="00293CC4" w:rsidRPr="001D1C28" w:rsidRDefault="00293CC4" w:rsidP="00293CC4">
      <w:pPr>
        <w:spacing w:line="360" w:lineRule="auto"/>
        <w:jc w:val="both"/>
        <w:rPr>
          <w:rFonts w:ascii="Palatino Linotype" w:hAnsi="Palatino Linotype" w:cs="Arial"/>
        </w:rPr>
      </w:pPr>
      <w:r w:rsidRPr="001D1C28">
        <w:rPr>
          <w:rFonts w:ascii="Palatino Linotype" w:hAnsi="Palatino Linotype" w:cs="Arial"/>
        </w:rPr>
        <w:lastRenderedPageBreak/>
        <w:t xml:space="preserve">Así mismo, se aprecia que no se llevaron a cabo audiencias durante la sustanciación del recurso de revisión, ni se ofrecieron pruebas por parte del </w:t>
      </w:r>
      <w:r w:rsidRPr="001D1C28">
        <w:rPr>
          <w:rFonts w:ascii="Palatino Linotype" w:hAnsi="Palatino Linotype" w:cs="Arial"/>
          <w:b/>
        </w:rPr>
        <w:t>Recurrente</w:t>
      </w:r>
      <w:r w:rsidRPr="001D1C28">
        <w:rPr>
          <w:rFonts w:ascii="Palatino Linotype" w:hAnsi="Palatino Linotype" w:cs="Arial"/>
        </w:rPr>
        <w:t>; todo lo anterior en términos de los artículos 185 fracciones II y IV, y 195 de la Ley de Transparencia y Acceso a la Información Pública del Estado de México y Municipios.</w:t>
      </w:r>
    </w:p>
    <w:p w:rsidR="00293CC4" w:rsidRPr="001D1C28" w:rsidRDefault="00293CC4" w:rsidP="00293CC4">
      <w:pPr>
        <w:spacing w:line="360" w:lineRule="auto"/>
        <w:jc w:val="both"/>
        <w:rPr>
          <w:rFonts w:ascii="Palatino Linotype" w:eastAsia="Calibri" w:hAnsi="Palatino Linotype" w:cs="Arial"/>
          <w:b/>
          <w:sz w:val="28"/>
          <w:szCs w:val="28"/>
        </w:rPr>
      </w:pPr>
    </w:p>
    <w:p w:rsidR="00293CC4" w:rsidRPr="001D1C28" w:rsidRDefault="00293CC4" w:rsidP="00293CC4">
      <w:pPr>
        <w:spacing w:line="360" w:lineRule="auto"/>
        <w:jc w:val="both"/>
        <w:rPr>
          <w:rFonts w:ascii="Palatino Linotype" w:eastAsia="Calibri" w:hAnsi="Palatino Linotype" w:cs="Arial"/>
          <w:b/>
          <w:sz w:val="28"/>
          <w:lang w:val="es-ES_tradnl"/>
        </w:rPr>
      </w:pPr>
      <w:r w:rsidRPr="001D1C28">
        <w:rPr>
          <w:rFonts w:ascii="Palatino Linotype" w:hAnsi="Palatino Linotype" w:cs="Arial"/>
          <w:b/>
          <w:sz w:val="28"/>
          <w:szCs w:val="28"/>
        </w:rPr>
        <w:t xml:space="preserve">SÉPTIMO. </w:t>
      </w:r>
      <w:r w:rsidRPr="001D1C28">
        <w:rPr>
          <w:rFonts w:ascii="Palatino Linotype" w:eastAsia="Calibri" w:hAnsi="Palatino Linotype" w:cs="Arial"/>
          <w:b/>
          <w:sz w:val="28"/>
          <w:lang w:val="es-ES_tradnl"/>
        </w:rPr>
        <w:t>De la ampliación del término para resolver.</w:t>
      </w:r>
    </w:p>
    <w:p w:rsidR="00293CC4" w:rsidRPr="001D1C28" w:rsidRDefault="00293CC4" w:rsidP="00293CC4">
      <w:pPr>
        <w:spacing w:line="360" w:lineRule="auto"/>
        <w:jc w:val="both"/>
        <w:rPr>
          <w:rFonts w:ascii="Palatino Linotype" w:hAnsi="Palatino Linotype" w:cs="Arial"/>
        </w:rPr>
      </w:pPr>
      <w:r w:rsidRPr="001D1C28">
        <w:rPr>
          <w:rFonts w:ascii="Palatino Linotype" w:hAnsi="Palatino Linotype" w:cs="Arial"/>
        </w:rPr>
        <w:t xml:space="preserve">De las constancias que integran el expediente electrónico, se advierte que han transcurrido los términos de Ley, para la emisión de la resolución en el presente recurso de revisión, por lo que en fecha </w:t>
      </w:r>
      <w:r w:rsidRPr="001D1C28">
        <w:rPr>
          <w:rFonts w:ascii="Palatino Linotype" w:hAnsi="Palatino Linotype" w:cs="Arial"/>
          <w:b/>
        </w:rPr>
        <w:t>veintidós de abril de dos mil veintiséis</w:t>
      </w:r>
      <w:r w:rsidRPr="001D1C28">
        <w:rPr>
          <w:rFonts w:ascii="Palatino Linotype" w:hAnsi="Palatino Linotype" w:cs="Arial"/>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rsidR="00293CC4" w:rsidRPr="001D1C28" w:rsidRDefault="00293CC4" w:rsidP="00293CC4">
      <w:pPr>
        <w:spacing w:line="360" w:lineRule="auto"/>
        <w:jc w:val="both"/>
        <w:rPr>
          <w:rFonts w:ascii="Palatino Linotype" w:hAnsi="Palatino Linotype" w:cs="Arial"/>
          <w:b/>
          <w:sz w:val="28"/>
          <w:szCs w:val="28"/>
        </w:rPr>
      </w:pPr>
    </w:p>
    <w:p w:rsidR="00293CC4" w:rsidRPr="001D1C28" w:rsidRDefault="00293CC4" w:rsidP="00293CC4">
      <w:pPr>
        <w:spacing w:line="360" w:lineRule="auto"/>
        <w:jc w:val="both"/>
        <w:rPr>
          <w:rFonts w:ascii="Palatino Linotype" w:hAnsi="Palatino Linotype" w:cs="Arial"/>
          <w:b/>
          <w:sz w:val="28"/>
          <w:szCs w:val="28"/>
        </w:rPr>
      </w:pPr>
      <w:r w:rsidRPr="001D1C28">
        <w:rPr>
          <w:rFonts w:ascii="Palatino Linotype" w:hAnsi="Palatino Linotype" w:cs="Arial"/>
          <w:b/>
          <w:sz w:val="28"/>
          <w:szCs w:val="28"/>
        </w:rPr>
        <w:t>OCTAVO. Del Cierre de Instrucción.</w:t>
      </w:r>
    </w:p>
    <w:p w:rsidR="00293CC4" w:rsidRPr="001D1C28" w:rsidRDefault="00293CC4" w:rsidP="00293CC4">
      <w:pPr>
        <w:spacing w:line="360" w:lineRule="auto"/>
        <w:jc w:val="both"/>
        <w:rPr>
          <w:rFonts w:ascii="Palatino Linotype" w:hAnsi="Palatino Linotype" w:cs="Arial"/>
        </w:rPr>
      </w:pPr>
      <w:r w:rsidRPr="001D1C28">
        <w:rPr>
          <w:rFonts w:ascii="Palatino Linotype" w:hAnsi="Palatino Linotype" w:cs="Arial"/>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E150D1" w:rsidRPr="001D1C28">
        <w:rPr>
          <w:rFonts w:ascii="Palatino Linotype" w:hAnsi="Palatino Linotype" w:cs="Arial"/>
          <w:b/>
        </w:rPr>
        <w:t xml:space="preserve">treinta </w:t>
      </w:r>
      <w:r w:rsidRPr="001D1C28">
        <w:rPr>
          <w:rFonts w:ascii="Palatino Linotype" w:hAnsi="Palatino Linotype" w:cs="Arial"/>
          <w:b/>
        </w:rPr>
        <w:t>de abril de dos mil veintiséis</w:t>
      </w:r>
      <w:r w:rsidRPr="001D1C28">
        <w:rPr>
          <w:rFonts w:ascii="Palatino Linotype" w:hAnsi="Palatino Linotype" w:cs="Arial"/>
        </w:rPr>
        <w:t>, en términos del artículo 185 fracción VI de la Ley de Transparencia y Acceso a la Información Pública del Estado de México y Municipios, ordenándose turnar el expediente a la resolución que en derecho proceda.</w:t>
      </w:r>
    </w:p>
    <w:p w:rsidR="00293CC4" w:rsidRPr="001D1C28" w:rsidRDefault="00293CC4" w:rsidP="00293CC4">
      <w:pPr>
        <w:spacing w:line="360" w:lineRule="auto"/>
        <w:jc w:val="both"/>
        <w:rPr>
          <w:rFonts w:ascii="Palatino Linotype" w:hAnsi="Palatino Linotype" w:cs="Arial"/>
          <w:b/>
          <w:sz w:val="28"/>
          <w:szCs w:val="28"/>
        </w:rPr>
      </w:pPr>
    </w:p>
    <w:p w:rsidR="00293CC4" w:rsidRPr="001D1C28" w:rsidRDefault="00293CC4" w:rsidP="00293CC4">
      <w:pPr>
        <w:spacing w:line="360" w:lineRule="auto"/>
        <w:jc w:val="center"/>
        <w:rPr>
          <w:rFonts w:ascii="Palatino Linotype" w:hAnsi="Palatino Linotype"/>
          <w:b/>
          <w:bCs/>
          <w:spacing w:val="60"/>
          <w:sz w:val="28"/>
          <w:lang w:val="es-ES_tradnl"/>
        </w:rPr>
      </w:pPr>
      <w:r w:rsidRPr="001D1C28">
        <w:rPr>
          <w:rFonts w:ascii="Palatino Linotype" w:hAnsi="Palatino Linotype"/>
          <w:b/>
          <w:bCs/>
          <w:spacing w:val="60"/>
          <w:sz w:val="28"/>
          <w:lang w:val="es-ES_tradnl"/>
        </w:rPr>
        <w:t>CONSIDERANDO</w:t>
      </w:r>
    </w:p>
    <w:p w:rsidR="00293CC4" w:rsidRPr="001D1C28" w:rsidRDefault="00293CC4" w:rsidP="00293CC4">
      <w:pPr>
        <w:spacing w:line="360" w:lineRule="auto"/>
        <w:ind w:right="49"/>
        <w:jc w:val="both"/>
        <w:rPr>
          <w:rFonts w:ascii="Palatino Linotype" w:hAnsi="Palatino Linotype"/>
          <w:szCs w:val="28"/>
        </w:rPr>
      </w:pPr>
    </w:p>
    <w:p w:rsidR="00293CC4" w:rsidRPr="001D1C28" w:rsidRDefault="00293CC4" w:rsidP="00293CC4">
      <w:pPr>
        <w:spacing w:before="240" w:line="360" w:lineRule="auto"/>
        <w:jc w:val="both"/>
        <w:rPr>
          <w:rFonts w:ascii="Palatino Linotype" w:hAnsi="Palatino Linotype" w:cs="Arial"/>
          <w:sz w:val="28"/>
          <w:szCs w:val="28"/>
        </w:rPr>
      </w:pPr>
      <w:r w:rsidRPr="001D1C28">
        <w:rPr>
          <w:rFonts w:ascii="Palatino Linotype" w:hAnsi="Palatino Linotype" w:cs="Arial"/>
          <w:b/>
          <w:sz w:val="28"/>
        </w:rPr>
        <w:t>PRIMERO.</w:t>
      </w:r>
      <w:r w:rsidRPr="001D1C28">
        <w:rPr>
          <w:rFonts w:ascii="Palatino Linotype" w:hAnsi="Palatino Linotype" w:cs="Arial"/>
          <w:b/>
        </w:rPr>
        <w:t xml:space="preserve"> </w:t>
      </w:r>
      <w:r w:rsidRPr="001D1C28">
        <w:rPr>
          <w:rFonts w:ascii="Palatino Linotype" w:hAnsi="Palatino Linotype" w:cs="Arial"/>
          <w:b/>
          <w:sz w:val="28"/>
          <w:szCs w:val="28"/>
        </w:rPr>
        <w:t>De la competencia</w:t>
      </w:r>
      <w:r w:rsidRPr="001D1C28">
        <w:rPr>
          <w:rFonts w:ascii="Palatino Linotype" w:hAnsi="Palatino Linotype" w:cs="Arial"/>
          <w:sz w:val="28"/>
          <w:szCs w:val="28"/>
        </w:rPr>
        <w:t>.</w:t>
      </w:r>
    </w:p>
    <w:p w:rsidR="00293CC4" w:rsidRPr="001D1C28" w:rsidRDefault="00293CC4" w:rsidP="00293CC4">
      <w:pPr>
        <w:tabs>
          <w:tab w:val="left" w:pos="3402"/>
        </w:tabs>
        <w:spacing w:line="360" w:lineRule="auto"/>
        <w:jc w:val="both"/>
        <w:rPr>
          <w:rFonts w:ascii="Palatino Linotype" w:hAnsi="Palatino Linotype"/>
        </w:rPr>
      </w:pPr>
      <w:r w:rsidRPr="001D1C28">
        <w:rPr>
          <w:rFonts w:ascii="Palatino Linotype" w:hAnsi="Palatino Linotype"/>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293CC4" w:rsidRPr="001D1C28" w:rsidRDefault="00293CC4" w:rsidP="00293CC4">
      <w:pPr>
        <w:pStyle w:val="Prrafodelista"/>
        <w:autoSpaceDE w:val="0"/>
        <w:autoSpaceDN w:val="0"/>
        <w:adjustRightInd w:val="0"/>
        <w:spacing w:line="360" w:lineRule="auto"/>
        <w:ind w:left="0"/>
        <w:jc w:val="both"/>
        <w:rPr>
          <w:rFonts w:ascii="Palatino Linotype" w:hAnsi="Palatino Linotype" w:cs="Arial"/>
          <w:b/>
          <w:sz w:val="28"/>
        </w:rPr>
      </w:pPr>
    </w:p>
    <w:p w:rsidR="00293CC4" w:rsidRPr="001D1C28" w:rsidRDefault="00293CC4" w:rsidP="00293CC4">
      <w:pPr>
        <w:pStyle w:val="Prrafodelista"/>
        <w:autoSpaceDE w:val="0"/>
        <w:autoSpaceDN w:val="0"/>
        <w:adjustRightInd w:val="0"/>
        <w:spacing w:before="240" w:after="160" w:line="360" w:lineRule="auto"/>
        <w:ind w:left="0"/>
        <w:jc w:val="both"/>
        <w:rPr>
          <w:rFonts w:ascii="Palatino Linotype" w:hAnsi="Palatino Linotype" w:cs="Arial"/>
          <w:b/>
        </w:rPr>
      </w:pPr>
      <w:r w:rsidRPr="001D1C28">
        <w:rPr>
          <w:rFonts w:ascii="Palatino Linotype" w:hAnsi="Palatino Linotype" w:cs="Arial"/>
          <w:b/>
          <w:sz w:val="28"/>
        </w:rPr>
        <w:t>SEGUNDO</w:t>
      </w:r>
      <w:r w:rsidRPr="001D1C28">
        <w:rPr>
          <w:rFonts w:ascii="Palatino Linotype" w:hAnsi="Palatino Linotype" w:cs="Arial"/>
          <w:b/>
        </w:rPr>
        <w:t xml:space="preserve">. </w:t>
      </w:r>
      <w:r w:rsidRPr="001D1C28">
        <w:rPr>
          <w:rFonts w:ascii="Palatino Linotype" w:hAnsi="Palatino Linotype" w:cs="Arial"/>
          <w:b/>
          <w:sz w:val="28"/>
          <w:szCs w:val="28"/>
        </w:rPr>
        <w:t>Sobre los alcances del recurso de revisión.</w:t>
      </w:r>
      <w:r w:rsidRPr="001D1C28">
        <w:rPr>
          <w:rFonts w:ascii="Palatino Linotype" w:hAnsi="Palatino Linotype" w:cs="Arial"/>
          <w:b/>
        </w:rPr>
        <w:t xml:space="preserve"> </w:t>
      </w:r>
    </w:p>
    <w:p w:rsidR="00293CC4" w:rsidRPr="001D1C28" w:rsidRDefault="00293CC4" w:rsidP="00293CC4">
      <w:pPr>
        <w:pStyle w:val="Prrafodelista"/>
        <w:autoSpaceDE w:val="0"/>
        <w:autoSpaceDN w:val="0"/>
        <w:adjustRightInd w:val="0"/>
        <w:spacing w:before="240" w:after="160" w:line="360" w:lineRule="auto"/>
        <w:ind w:left="0"/>
        <w:jc w:val="both"/>
        <w:rPr>
          <w:rFonts w:ascii="Palatino Linotype" w:hAnsi="Palatino Linotype" w:cs="Arial"/>
        </w:rPr>
      </w:pPr>
      <w:r w:rsidRPr="001D1C28">
        <w:rPr>
          <w:rFonts w:ascii="Palatino Linotype" w:hAnsi="Palatino Linotype" w:cs="Arial"/>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rsidR="00293CC4" w:rsidRPr="001D1C28" w:rsidRDefault="00293CC4" w:rsidP="00293CC4">
      <w:pPr>
        <w:autoSpaceDE w:val="0"/>
        <w:autoSpaceDN w:val="0"/>
        <w:adjustRightInd w:val="0"/>
        <w:spacing w:before="240" w:line="360" w:lineRule="auto"/>
        <w:jc w:val="both"/>
        <w:rPr>
          <w:rFonts w:ascii="Palatino Linotype" w:hAnsi="Palatino Linotype" w:cs="Arial"/>
        </w:rPr>
      </w:pPr>
      <w:r w:rsidRPr="001D1C28">
        <w:rPr>
          <w:rFonts w:ascii="Palatino Linotype" w:hAnsi="Palatino Linotype" w:cs="Arial"/>
        </w:rPr>
        <w:lastRenderedPageBreak/>
        <w:t>El Recurso de Revisión en estudio contiene los elementos normativos de validez exigidos en la Ley de Transparencia y Acceso a la Información Pública del Estado de México y Municipios, establecidos en el artículo 180 que enuncia:</w:t>
      </w:r>
    </w:p>
    <w:p w:rsidR="00293CC4" w:rsidRPr="001D1C28" w:rsidRDefault="00293CC4" w:rsidP="00293CC4">
      <w:pPr>
        <w:autoSpaceDE w:val="0"/>
        <w:autoSpaceDN w:val="0"/>
        <w:adjustRightInd w:val="0"/>
        <w:spacing w:before="240" w:line="360" w:lineRule="auto"/>
        <w:ind w:left="1134"/>
        <w:jc w:val="both"/>
        <w:rPr>
          <w:rFonts w:ascii="Palatino Linotype" w:hAnsi="Palatino Linotype" w:cs="Arial"/>
          <w:i/>
        </w:rPr>
      </w:pPr>
      <w:r w:rsidRPr="001D1C28">
        <w:rPr>
          <w:rFonts w:ascii="Palatino Linotype" w:hAnsi="Palatino Linotype" w:cs="Arial"/>
          <w:i/>
        </w:rPr>
        <w:t xml:space="preserve">“Artículo 180. El recurso de revisión contendrá: </w:t>
      </w:r>
    </w:p>
    <w:p w:rsidR="00293CC4" w:rsidRPr="001D1C28" w:rsidRDefault="00293CC4" w:rsidP="00293CC4">
      <w:pPr>
        <w:autoSpaceDE w:val="0"/>
        <w:autoSpaceDN w:val="0"/>
        <w:adjustRightInd w:val="0"/>
        <w:ind w:left="1134"/>
        <w:jc w:val="both"/>
        <w:rPr>
          <w:rFonts w:ascii="Palatino Linotype" w:hAnsi="Palatino Linotype" w:cs="Arial"/>
          <w:i/>
          <w:lang w:val="es-ES_tradnl"/>
        </w:rPr>
      </w:pPr>
      <w:r w:rsidRPr="001D1C28">
        <w:rPr>
          <w:rFonts w:ascii="Palatino Linotype" w:hAnsi="Palatino Linotype" w:cs="Arial"/>
          <w:i/>
          <w:lang w:val="es-ES_tradnl"/>
        </w:rPr>
        <w:t xml:space="preserve">I. El sujeto obligado ante la cual se presentó la solicitud; </w:t>
      </w:r>
    </w:p>
    <w:p w:rsidR="00293CC4" w:rsidRPr="001D1C28" w:rsidRDefault="00293CC4" w:rsidP="00293CC4">
      <w:pPr>
        <w:autoSpaceDE w:val="0"/>
        <w:autoSpaceDN w:val="0"/>
        <w:adjustRightInd w:val="0"/>
        <w:ind w:left="1134" w:right="567"/>
        <w:jc w:val="both"/>
        <w:rPr>
          <w:rFonts w:ascii="Palatino Linotype" w:hAnsi="Palatino Linotype" w:cs="Arial"/>
          <w:i/>
          <w:lang w:val="es-ES_tradnl"/>
        </w:rPr>
      </w:pPr>
      <w:r w:rsidRPr="001D1C28">
        <w:rPr>
          <w:rFonts w:ascii="Palatino Linotype" w:hAnsi="Palatino Linotype" w:cs="Arial"/>
          <w:b/>
          <w:i/>
          <w:lang w:val="es-ES_tradnl"/>
        </w:rPr>
        <w:t>II. El nombre del solicitante que recurre</w:t>
      </w:r>
      <w:r w:rsidRPr="001D1C28">
        <w:rPr>
          <w:rFonts w:ascii="Palatino Linotype" w:hAnsi="Palatino Linotype" w:cs="Arial"/>
          <w:i/>
          <w:lang w:val="es-ES_tradnl"/>
        </w:rPr>
        <w:t xml:space="preserve"> o de su representante y, en su caso, del tercero interesado, así como la dirección o medio que señale para recibir notificaciones;</w:t>
      </w:r>
    </w:p>
    <w:p w:rsidR="00293CC4" w:rsidRPr="001D1C28" w:rsidRDefault="00293CC4" w:rsidP="00293CC4">
      <w:pPr>
        <w:autoSpaceDE w:val="0"/>
        <w:autoSpaceDN w:val="0"/>
        <w:adjustRightInd w:val="0"/>
        <w:ind w:left="1134"/>
        <w:jc w:val="both"/>
        <w:rPr>
          <w:rFonts w:ascii="Palatino Linotype" w:hAnsi="Palatino Linotype" w:cs="Arial"/>
          <w:i/>
          <w:lang w:val="es-ES_tradnl"/>
        </w:rPr>
      </w:pPr>
      <w:r w:rsidRPr="001D1C28">
        <w:rPr>
          <w:rFonts w:ascii="Palatino Linotype" w:hAnsi="Palatino Linotype" w:cs="Arial"/>
          <w:i/>
          <w:lang w:val="es-ES_tradnl"/>
        </w:rPr>
        <w:t>III. El número de folio de respuesta de la solicitud de acceso;</w:t>
      </w:r>
    </w:p>
    <w:p w:rsidR="00293CC4" w:rsidRPr="001D1C28" w:rsidRDefault="00293CC4" w:rsidP="00293CC4">
      <w:pPr>
        <w:autoSpaceDE w:val="0"/>
        <w:autoSpaceDN w:val="0"/>
        <w:adjustRightInd w:val="0"/>
        <w:ind w:left="1134" w:right="567"/>
        <w:jc w:val="both"/>
        <w:rPr>
          <w:rFonts w:ascii="Palatino Linotype" w:hAnsi="Palatino Linotype" w:cs="Arial"/>
          <w:i/>
          <w:lang w:val="es-ES_tradnl"/>
        </w:rPr>
      </w:pPr>
      <w:r w:rsidRPr="001D1C28">
        <w:rPr>
          <w:rFonts w:ascii="Palatino Linotype" w:hAnsi="Palatino Linotype" w:cs="Arial"/>
          <w:i/>
          <w:lang w:val="es-ES_tradnl"/>
        </w:rPr>
        <w:t>IV. La fecha en que fue notificada la respuesta al solicitante o tuvo conocimiento del acto reclamado, o de presentación de la solicitud, en caso de falta de respuesta;</w:t>
      </w:r>
    </w:p>
    <w:p w:rsidR="00293CC4" w:rsidRPr="001D1C28" w:rsidRDefault="00293CC4" w:rsidP="00293CC4">
      <w:pPr>
        <w:autoSpaceDE w:val="0"/>
        <w:autoSpaceDN w:val="0"/>
        <w:adjustRightInd w:val="0"/>
        <w:ind w:left="1134" w:right="567"/>
        <w:jc w:val="both"/>
        <w:rPr>
          <w:rFonts w:ascii="Palatino Linotype" w:hAnsi="Palatino Linotype" w:cs="Arial"/>
          <w:i/>
          <w:lang w:val="es-ES_tradnl"/>
        </w:rPr>
      </w:pPr>
      <w:r w:rsidRPr="001D1C28">
        <w:rPr>
          <w:rFonts w:ascii="Palatino Linotype" w:hAnsi="Palatino Linotype" w:cs="Arial"/>
          <w:i/>
          <w:lang w:val="es-ES_tradnl"/>
        </w:rPr>
        <w:t>V. El acto que se recurre;</w:t>
      </w:r>
    </w:p>
    <w:p w:rsidR="00293CC4" w:rsidRPr="001D1C28" w:rsidRDefault="00293CC4" w:rsidP="00293CC4">
      <w:pPr>
        <w:autoSpaceDE w:val="0"/>
        <w:autoSpaceDN w:val="0"/>
        <w:adjustRightInd w:val="0"/>
        <w:ind w:left="1134"/>
        <w:jc w:val="both"/>
        <w:rPr>
          <w:rFonts w:ascii="Palatino Linotype" w:hAnsi="Palatino Linotype" w:cs="Arial"/>
          <w:i/>
          <w:lang w:val="es-ES_tradnl"/>
        </w:rPr>
      </w:pPr>
      <w:r w:rsidRPr="001D1C28">
        <w:rPr>
          <w:rFonts w:ascii="Palatino Linotype" w:hAnsi="Palatino Linotype" w:cs="Arial"/>
          <w:i/>
          <w:lang w:val="es-ES_tradnl"/>
        </w:rPr>
        <w:t>VI. Las razones o motivos de inconformidad;</w:t>
      </w:r>
    </w:p>
    <w:p w:rsidR="00293CC4" w:rsidRPr="001D1C28" w:rsidRDefault="00293CC4" w:rsidP="00293CC4">
      <w:pPr>
        <w:autoSpaceDE w:val="0"/>
        <w:autoSpaceDN w:val="0"/>
        <w:adjustRightInd w:val="0"/>
        <w:ind w:left="1134" w:right="567"/>
        <w:jc w:val="both"/>
        <w:rPr>
          <w:rFonts w:ascii="Palatino Linotype" w:hAnsi="Palatino Linotype" w:cs="Arial"/>
          <w:i/>
          <w:lang w:val="es-ES_tradnl"/>
        </w:rPr>
      </w:pPr>
      <w:r w:rsidRPr="001D1C28">
        <w:rPr>
          <w:rFonts w:ascii="Palatino Linotype" w:hAnsi="Palatino Linotype" w:cs="Arial"/>
          <w:i/>
          <w:lang w:val="es-ES_tradnl"/>
        </w:rPr>
        <w:t xml:space="preserve">VII. La copia de la respuesta que se impugna y, en su caso, de la notificación correspondiente, en el caso de respuesta de la solicitud; y </w:t>
      </w:r>
    </w:p>
    <w:p w:rsidR="00293CC4" w:rsidRPr="001D1C28" w:rsidRDefault="00293CC4" w:rsidP="00293CC4">
      <w:pPr>
        <w:autoSpaceDE w:val="0"/>
        <w:autoSpaceDN w:val="0"/>
        <w:adjustRightInd w:val="0"/>
        <w:ind w:left="1134" w:right="567"/>
        <w:jc w:val="both"/>
        <w:rPr>
          <w:rFonts w:ascii="Palatino Linotype" w:hAnsi="Palatino Linotype" w:cs="Arial"/>
          <w:i/>
          <w:lang w:val="es-ES_tradnl"/>
        </w:rPr>
      </w:pPr>
      <w:r w:rsidRPr="001D1C28">
        <w:rPr>
          <w:rFonts w:ascii="Palatino Linotype" w:hAnsi="Palatino Linotype" w:cs="Arial"/>
          <w:i/>
          <w:lang w:val="es-ES_tradnl"/>
        </w:rPr>
        <w:t xml:space="preserve">VIII. Firma del recurrente, en su caso, cuando se presente por escrito, requisito sin el cual se dará trámite al recurso. </w:t>
      </w:r>
    </w:p>
    <w:p w:rsidR="00293CC4" w:rsidRPr="001D1C28" w:rsidRDefault="00293CC4" w:rsidP="00293CC4">
      <w:pPr>
        <w:autoSpaceDE w:val="0"/>
        <w:autoSpaceDN w:val="0"/>
        <w:adjustRightInd w:val="0"/>
        <w:spacing w:before="240" w:line="276" w:lineRule="auto"/>
        <w:ind w:left="1134" w:right="567"/>
        <w:jc w:val="both"/>
        <w:rPr>
          <w:rFonts w:ascii="Palatino Linotype" w:hAnsi="Palatino Linotype" w:cs="Arial"/>
          <w:i/>
          <w:lang w:val="es-ES_tradnl"/>
        </w:rPr>
      </w:pPr>
      <w:r w:rsidRPr="001D1C28">
        <w:rPr>
          <w:rFonts w:ascii="Palatino Linotype" w:hAnsi="Palatino Linotype" w:cs="Arial"/>
          <w:i/>
          <w:lang w:val="es-ES_tradnl"/>
        </w:rPr>
        <w:t xml:space="preserve">Adicionalmente, se podrán anexar las pruebas y demás elementos que considere procedentes someter a juicio del Instituto. </w:t>
      </w:r>
    </w:p>
    <w:p w:rsidR="00293CC4" w:rsidRPr="001D1C28" w:rsidRDefault="00293CC4" w:rsidP="00293CC4">
      <w:pPr>
        <w:autoSpaceDE w:val="0"/>
        <w:autoSpaceDN w:val="0"/>
        <w:adjustRightInd w:val="0"/>
        <w:spacing w:before="240" w:line="276" w:lineRule="auto"/>
        <w:ind w:left="1134" w:right="567"/>
        <w:jc w:val="both"/>
        <w:rPr>
          <w:rFonts w:ascii="Palatino Linotype" w:hAnsi="Palatino Linotype" w:cs="Arial"/>
          <w:i/>
          <w:lang w:val="es-ES_tradnl"/>
        </w:rPr>
      </w:pPr>
      <w:r w:rsidRPr="001D1C28">
        <w:rPr>
          <w:rFonts w:ascii="Palatino Linotype" w:hAnsi="Palatino Linotype" w:cs="Arial"/>
          <w:i/>
          <w:lang w:val="es-ES_tradnl"/>
        </w:rPr>
        <w:t xml:space="preserve">En ningún caso será necesario que el particular ratifique el recurso de revisión interpuesto. </w:t>
      </w:r>
    </w:p>
    <w:p w:rsidR="00293CC4" w:rsidRPr="001D1C28" w:rsidRDefault="00293CC4" w:rsidP="00293CC4">
      <w:pPr>
        <w:autoSpaceDE w:val="0"/>
        <w:autoSpaceDN w:val="0"/>
        <w:adjustRightInd w:val="0"/>
        <w:spacing w:before="240" w:line="360" w:lineRule="auto"/>
        <w:ind w:left="1134" w:right="567"/>
        <w:jc w:val="both"/>
        <w:rPr>
          <w:rFonts w:ascii="Palatino Linotype" w:hAnsi="Palatino Linotype" w:cs="Arial"/>
        </w:rPr>
      </w:pPr>
      <w:r w:rsidRPr="001D1C28">
        <w:rPr>
          <w:rFonts w:ascii="Palatino Linotype" w:eastAsia="Calibri" w:hAnsi="Palatino Linotype" w:cs="Arial"/>
          <w:b/>
          <w:i/>
        </w:rPr>
        <w:t>En caso de que el recurso se interponga de manera electrónica no será indispensable que contengan los requisitos establecidos en las fracciones II, IV, VII y VIII.”</w:t>
      </w:r>
    </w:p>
    <w:p w:rsidR="00293CC4" w:rsidRPr="001D1C28" w:rsidRDefault="00293CC4" w:rsidP="00293CC4">
      <w:pPr>
        <w:autoSpaceDE w:val="0"/>
        <w:autoSpaceDN w:val="0"/>
        <w:adjustRightInd w:val="0"/>
        <w:spacing w:before="240" w:line="360" w:lineRule="auto"/>
        <w:jc w:val="both"/>
        <w:rPr>
          <w:rFonts w:ascii="Palatino Linotype" w:hAnsi="Palatino Linotype"/>
        </w:rPr>
      </w:pPr>
    </w:p>
    <w:p w:rsidR="00293CC4" w:rsidRPr="001D1C28" w:rsidRDefault="00293CC4" w:rsidP="00293CC4">
      <w:pPr>
        <w:autoSpaceDE w:val="0"/>
        <w:autoSpaceDN w:val="0"/>
        <w:adjustRightInd w:val="0"/>
        <w:spacing w:before="240" w:line="360" w:lineRule="auto"/>
        <w:jc w:val="both"/>
        <w:rPr>
          <w:rFonts w:ascii="Palatino Linotype" w:hAnsi="Palatino Linotype"/>
        </w:rPr>
      </w:pPr>
      <w:r w:rsidRPr="001D1C28">
        <w:rPr>
          <w:rFonts w:ascii="Palatino Linotype" w:hAnsi="Palatino Linotype"/>
        </w:rPr>
        <w:lastRenderedPageBreak/>
        <w:t>Cabe señalar que El Recurrente ejerció de manera anónima su derecho de acceso a la información pública, sin embargo, no es motivo para desechar las solicitudes de acceso a la información pública conforme a lo previsto en el artículo 155, penúltimo párrafo de la Ley de Transparencia y Acceso a la Información Pública del Estado de México y Municipios que señala lo siguiente:</w:t>
      </w:r>
    </w:p>
    <w:tbl>
      <w:tblPr>
        <w:tblStyle w:val="Tablaconcuadrcula1"/>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82"/>
      </w:tblGrid>
      <w:tr w:rsidR="00293CC4" w:rsidRPr="001D1C28" w:rsidTr="00785A65">
        <w:trPr>
          <w:trHeight w:val="1360"/>
        </w:trPr>
        <w:tc>
          <w:tcPr>
            <w:tcW w:w="7982" w:type="dxa"/>
          </w:tcPr>
          <w:p w:rsidR="00293CC4" w:rsidRPr="001D1C28" w:rsidRDefault="00293CC4" w:rsidP="00785A65">
            <w:pPr>
              <w:autoSpaceDE w:val="0"/>
              <w:autoSpaceDN w:val="0"/>
              <w:adjustRightInd w:val="0"/>
              <w:spacing w:before="240" w:line="360" w:lineRule="auto"/>
              <w:jc w:val="both"/>
              <w:rPr>
                <w:rFonts w:ascii="Palatino Linotype" w:hAnsi="Palatino Linotype"/>
                <w:i/>
              </w:rPr>
            </w:pPr>
            <w:r w:rsidRPr="001D1C28">
              <w:rPr>
                <w:rFonts w:ascii="Palatino Linotype" w:hAnsi="Palatino Linotype"/>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p>
        </w:tc>
      </w:tr>
    </w:tbl>
    <w:p w:rsidR="00293CC4" w:rsidRPr="001D1C28" w:rsidRDefault="00293CC4" w:rsidP="00293CC4">
      <w:pPr>
        <w:autoSpaceDE w:val="0"/>
        <w:autoSpaceDN w:val="0"/>
        <w:adjustRightInd w:val="0"/>
        <w:spacing w:before="240" w:line="360" w:lineRule="auto"/>
        <w:jc w:val="both"/>
        <w:rPr>
          <w:rFonts w:ascii="Palatino Linotype" w:hAnsi="Palatino Linotype"/>
        </w:rPr>
      </w:pPr>
      <w:r w:rsidRPr="001D1C28">
        <w:rPr>
          <w:rFonts w:ascii="Palatino Linotype" w:hAnsi="Palatino Linotype"/>
        </w:rPr>
        <w:t>Robusteciendo lo anterior se encuentra lo dispuesto en los artículos 6, Apartado A, fracciones III y IV, de la Constitución Política de los Estados Unidos Mexicanos y 5 párrafos vigésimo, vigésimo primero y vigésimo segundo, de la Constitución Política del Estado Libre y Soberano de México, se establece lo siguiente:</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tblGrid>
      <w:tr w:rsidR="00293CC4" w:rsidRPr="001D1C28" w:rsidTr="00785A65">
        <w:trPr>
          <w:jc w:val="center"/>
        </w:trPr>
        <w:tc>
          <w:tcPr>
            <w:tcW w:w="8075" w:type="dxa"/>
          </w:tcPr>
          <w:p w:rsidR="00293CC4" w:rsidRPr="001D1C28" w:rsidRDefault="00293CC4" w:rsidP="00785A65">
            <w:pPr>
              <w:autoSpaceDE w:val="0"/>
              <w:autoSpaceDN w:val="0"/>
              <w:adjustRightInd w:val="0"/>
              <w:spacing w:before="240" w:line="360" w:lineRule="auto"/>
              <w:jc w:val="center"/>
              <w:rPr>
                <w:rFonts w:ascii="Palatino Linotype" w:hAnsi="Palatino Linotype"/>
                <w:b/>
                <w:i/>
              </w:rPr>
            </w:pPr>
            <w:r w:rsidRPr="001D1C28">
              <w:rPr>
                <w:rFonts w:ascii="Palatino Linotype" w:hAnsi="Palatino Linotype"/>
                <w:b/>
                <w:i/>
              </w:rPr>
              <w:t xml:space="preserve">Constitución Política de los Estados Unidos Mexicanos </w:t>
            </w:r>
          </w:p>
          <w:p w:rsidR="00293CC4" w:rsidRPr="001D1C28" w:rsidRDefault="00293CC4" w:rsidP="00785A65">
            <w:pPr>
              <w:autoSpaceDE w:val="0"/>
              <w:autoSpaceDN w:val="0"/>
              <w:adjustRightInd w:val="0"/>
              <w:spacing w:before="240" w:line="360" w:lineRule="auto"/>
              <w:jc w:val="both"/>
              <w:rPr>
                <w:rFonts w:ascii="Palatino Linotype" w:hAnsi="Palatino Linotype"/>
                <w:i/>
              </w:rPr>
            </w:pPr>
            <w:r w:rsidRPr="001D1C28">
              <w:rPr>
                <w:rFonts w:ascii="Palatino Linotype" w:hAnsi="Palatino Linotype"/>
                <w:i/>
              </w:rPr>
              <w:t xml:space="preserve">“Artículo 6°.-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 </w:t>
            </w:r>
          </w:p>
          <w:p w:rsidR="00293CC4" w:rsidRPr="001D1C28" w:rsidRDefault="00293CC4" w:rsidP="00785A65">
            <w:pPr>
              <w:autoSpaceDE w:val="0"/>
              <w:autoSpaceDN w:val="0"/>
              <w:adjustRightInd w:val="0"/>
              <w:spacing w:before="240" w:line="360" w:lineRule="auto"/>
              <w:jc w:val="both"/>
              <w:rPr>
                <w:rFonts w:ascii="Palatino Linotype" w:hAnsi="Palatino Linotype"/>
                <w:i/>
              </w:rPr>
            </w:pPr>
            <w:r w:rsidRPr="001D1C28">
              <w:rPr>
                <w:rFonts w:ascii="Palatino Linotype" w:hAnsi="Palatino Linotype"/>
                <w:i/>
              </w:rPr>
              <w:t xml:space="preserve">(…) </w:t>
            </w:r>
          </w:p>
          <w:p w:rsidR="00293CC4" w:rsidRPr="001D1C28" w:rsidRDefault="00293CC4" w:rsidP="00785A65">
            <w:pPr>
              <w:autoSpaceDE w:val="0"/>
              <w:autoSpaceDN w:val="0"/>
              <w:adjustRightInd w:val="0"/>
              <w:spacing w:before="240" w:line="360" w:lineRule="auto"/>
              <w:jc w:val="both"/>
              <w:rPr>
                <w:rFonts w:ascii="Palatino Linotype" w:hAnsi="Palatino Linotype"/>
                <w:i/>
              </w:rPr>
            </w:pPr>
            <w:r w:rsidRPr="001D1C28">
              <w:rPr>
                <w:rFonts w:ascii="Palatino Linotype" w:hAnsi="Palatino Linotype"/>
                <w:i/>
              </w:rPr>
              <w:t xml:space="preserve">Para efectos de lo dispuesto en el presente artículo se observará lo siguiente: A. Para el ejercicio del derecho de acceso a la información, la Federación, los Estados </w:t>
            </w:r>
            <w:r w:rsidRPr="001D1C28">
              <w:rPr>
                <w:rFonts w:ascii="Palatino Linotype" w:hAnsi="Palatino Linotype"/>
                <w:i/>
              </w:rPr>
              <w:lastRenderedPageBreak/>
              <w:t>y el Distrito Federal, en el ámbito de sus respectivas competencias, se regirán por los siguientes principios y bases:</w:t>
            </w:r>
          </w:p>
          <w:p w:rsidR="00293CC4" w:rsidRPr="001D1C28" w:rsidRDefault="00293CC4" w:rsidP="00785A65">
            <w:pPr>
              <w:autoSpaceDE w:val="0"/>
              <w:autoSpaceDN w:val="0"/>
              <w:adjustRightInd w:val="0"/>
              <w:spacing w:before="240" w:line="360" w:lineRule="auto"/>
              <w:jc w:val="both"/>
              <w:rPr>
                <w:rFonts w:ascii="Palatino Linotype" w:hAnsi="Palatino Linotype"/>
                <w:i/>
              </w:rPr>
            </w:pPr>
            <w:r w:rsidRPr="001D1C28">
              <w:rPr>
                <w:rFonts w:ascii="Palatino Linotype" w:hAnsi="Palatino Linotype"/>
                <w:i/>
              </w:rPr>
              <w:t xml:space="preserve"> (…) </w:t>
            </w:r>
          </w:p>
          <w:p w:rsidR="00293CC4" w:rsidRPr="001D1C28" w:rsidRDefault="00293CC4" w:rsidP="00785A65">
            <w:pPr>
              <w:autoSpaceDE w:val="0"/>
              <w:autoSpaceDN w:val="0"/>
              <w:adjustRightInd w:val="0"/>
              <w:spacing w:before="240" w:line="360" w:lineRule="auto"/>
              <w:jc w:val="both"/>
              <w:rPr>
                <w:rFonts w:ascii="Palatino Linotype" w:hAnsi="Palatino Linotype"/>
                <w:i/>
              </w:rPr>
            </w:pPr>
            <w:r w:rsidRPr="001D1C28">
              <w:rPr>
                <w:rFonts w:ascii="Palatino Linotype" w:hAnsi="Palatino Linotype"/>
                <w:i/>
              </w:rPr>
              <w:t>III. Toda persona, sin necesidad de acreditar interés alguno o justificar su utilización, tendrá acceso gratuito a la información pública, a sus datos personales o a la rectificación de éstos.</w:t>
            </w:r>
          </w:p>
          <w:p w:rsidR="00293CC4" w:rsidRPr="001D1C28" w:rsidRDefault="00293CC4" w:rsidP="00785A65">
            <w:pPr>
              <w:autoSpaceDE w:val="0"/>
              <w:autoSpaceDN w:val="0"/>
              <w:adjustRightInd w:val="0"/>
              <w:spacing w:before="240" w:line="360" w:lineRule="auto"/>
              <w:jc w:val="both"/>
              <w:rPr>
                <w:rFonts w:ascii="Palatino Linotype" w:hAnsi="Palatino Linotype" w:cs="Arial"/>
                <w:i/>
              </w:rPr>
            </w:pPr>
            <w:r w:rsidRPr="001D1C28">
              <w:rPr>
                <w:rFonts w:ascii="Palatino Linotype" w:hAnsi="Palatino Linotype" w:cs="Arial"/>
                <w:i/>
              </w:rPr>
              <w:t>IV. Se establecerán mecanismos de acceso a la información y procedimientos de revisión expeditos que se sustanciarán ante los organismos autónomos especializados e imparciales que establece esta Constitución.”</w:t>
            </w:r>
          </w:p>
          <w:p w:rsidR="00293CC4" w:rsidRPr="001D1C28" w:rsidRDefault="00293CC4" w:rsidP="00785A65">
            <w:pPr>
              <w:autoSpaceDE w:val="0"/>
              <w:autoSpaceDN w:val="0"/>
              <w:adjustRightInd w:val="0"/>
              <w:spacing w:before="240" w:line="360" w:lineRule="auto"/>
              <w:jc w:val="both"/>
              <w:rPr>
                <w:rFonts w:ascii="Palatino Linotype" w:hAnsi="Palatino Linotype" w:cs="Arial"/>
                <w:b/>
                <w:i/>
              </w:rPr>
            </w:pPr>
            <w:r w:rsidRPr="001D1C28">
              <w:rPr>
                <w:rFonts w:ascii="Palatino Linotype" w:hAnsi="Palatino Linotype" w:cs="Arial"/>
                <w:b/>
                <w:i/>
              </w:rPr>
              <w:t>Constitución Política del Estado Libre y Soberano de México</w:t>
            </w:r>
          </w:p>
          <w:p w:rsidR="00293CC4" w:rsidRPr="001D1C28" w:rsidRDefault="00293CC4" w:rsidP="00785A65">
            <w:pPr>
              <w:autoSpaceDE w:val="0"/>
              <w:autoSpaceDN w:val="0"/>
              <w:adjustRightInd w:val="0"/>
              <w:spacing w:before="240" w:line="360" w:lineRule="auto"/>
              <w:jc w:val="both"/>
              <w:rPr>
                <w:rFonts w:ascii="Palatino Linotype" w:eastAsia="Calibri" w:hAnsi="Palatino Linotype" w:cs="Arial"/>
                <w:i/>
                <w:lang w:val="es-ES_tradnl" w:eastAsia="es-MX"/>
              </w:rPr>
            </w:pPr>
            <w:r w:rsidRPr="001D1C28">
              <w:rPr>
                <w:rFonts w:ascii="Palatino Linotype" w:eastAsia="Calibri" w:hAnsi="Palatino Linotype" w:cs="Arial"/>
                <w:i/>
                <w:lang w:val="es-ES_tradnl" w:eastAsia="es-MX"/>
              </w:rPr>
              <w:t>“Artículo 5.-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 para su protección, las cuales no podrán restringirse ni suspenderse salvo en los casos y bajo las condiciones que la Constitución Política de los Estados Unidos Mexicanos establece.</w:t>
            </w:r>
          </w:p>
          <w:p w:rsidR="00293CC4" w:rsidRPr="001D1C28" w:rsidRDefault="00293CC4" w:rsidP="00785A65">
            <w:pPr>
              <w:autoSpaceDE w:val="0"/>
              <w:autoSpaceDN w:val="0"/>
              <w:adjustRightInd w:val="0"/>
              <w:spacing w:before="240" w:line="360" w:lineRule="auto"/>
              <w:jc w:val="both"/>
              <w:rPr>
                <w:rFonts w:ascii="Palatino Linotype" w:eastAsia="Calibri" w:hAnsi="Palatino Linotype" w:cs="Arial"/>
                <w:i/>
                <w:lang w:val="es-ES_tradnl" w:eastAsia="es-MX"/>
              </w:rPr>
            </w:pPr>
            <w:r w:rsidRPr="001D1C28">
              <w:rPr>
                <w:rFonts w:ascii="Palatino Linotype" w:eastAsia="Calibri" w:hAnsi="Palatino Linotype" w:cs="Arial"/>
                <w:i/>
                <w:lang w:val="es-ES_tradnl" w:eastAsia="es-MX"/>
              </w:rPr>
              <w:t>(…)</w:t>
            </w:r>
          </w:p>
          <w:p w:rsidR="00293CC4" w:rsidRPr="001D1C28" w:rsidRDefault="00293CC4" w:rsidP="00785A65">
            <w:pPr>
              <w:autoSpaceDE w:val="0"/>
              <w:autoSpaceDN w:val="0"/>
              <w:adjustRightInd w:val="0"/>
              <w:spacing w:before="240" w:line="360" w:lineRule="auto"/>
              <w:jc w:val="both"/>
              <w:rPr>
                <w:rFonts w:ascii="Palatino Linotype" w:eastAsia="Calibri" w:hAnsi="Palatino Linotype" w:cs="Arial"/>
                <w:i/>
                <w:lang w:val="es-ES_tradnl" w:eastAsia="es-MX"/>
              </w:rPr>
            </w:pPr>
            <w:r w:rsidRPr="001D1C28">
              <w:rPr>
                <w:rFonts w:ascii="Palatino Linotype" w:eastAsia="Calibri" w:hAnsi="Palatino Linotype" w:cs="Arial"/>
                <w:i/>
                <w:lang w:val="es-ES_tradnl" w:eastAsia="es-MX"/>
              </w:rPr>
              <w:t>Toda persona en el Estado de México, tiene derecho al libre acceso a la información plural y oportuna, así como a buscar recibir y difundir información e ideas de toda índole por cualquier medio de expresión.</w:t>
            </w:r>
          </w:p>
          <w:p w:rsidR="00293CC4" w:rsidRPr="001D1C28" w:rsidRDefault="00293CC4" w:rsidP="00785A65">
            <w:pPr>
              <w:autoSpaceDE w:val="0"/>
              <w:autoSpaceDN w:val="0"/>
              <w:adjustRightInd w:val="0"/>
              <w:spacing w:before="240" w:line="360" w:lineRule="auto"/>
              <w:jc w:val="both"/>
              <w:rPr>
                <w:rFonts w:ascii="Palatino Linotype" w:eastAsia="Calibri" w:hAnsi="Palatino Linotype" w:cs="Arial"/>
                <w:i/>
                <w:lang w:val="es-ES_tradnl" w:eastAsia="es-MX"/>
              </w:rPr>
            </w:pPr>
            <w:r w:rsidRPr="001D1C28">
              <w:rPr>
                <w:rFonts w:ascii="Palatino Linotype" w:eastAsia="Calibri" w:hAnsi="Palatino Linotype" w:cs="Arial"/>
                <w:i/>
                <w:lang w:val="es-ES_tradnl" w:eastAsia="es-MX"/>
              </w:rPr>
              <w:lastRenderedPageBreak/>
              <w:t>(…)</w:t>
            </w:r>
          </w:p>
          <w:p w:rsidR="00293CC4" w:rsidRPr="001D1C28" w:rsidRDefault="00293CC4" w:rsidP="00785A65">
            <w:pPr>
              <w:autoSpaceDE w:val="0"/>
              <w:autoSpaceDN w:val="0"/>
              <w:adjustRightInd w:val="0"/>
              <w:spacing w:before="240" w:line="360" w:lineRule="auto"/>
              <w:jc w:val="both"/>
              <w:rPr>
                <w:rFonts w:ascii="Palatino Linotype" w:eastAsia="Calibri" w:hAnsi="Palatino Linotype" w:cs="Arial"/>
                <w:i/>
                <w:lang w:val="es-ES_tradnl" w:eastAsia="es-MX"/>
              </w:rPr>
            </w:pPr>
            <w:r w:rsidRPr="001D1C28">
              <w:rPr>
                <w:rFonts w:ascii="Palatino Linotype" w:eastAsia="Calibri" w:hAnsi="Palatino Linotype" w:cs="Arial"/>
                <w:i/>
                <w:lang w:val="es-ES_tradnl" w:eastAsia="es-MX"/>
              </w:rPr>
              <w:t>El derecho a la información será garantizado por el Estado. La ley establecerá las previsiones que permitan asegurar la protección, el respeto y la difusión de este derecho.</w:t>
            </w:r>
          </w:p>
          <w:p w:rsidR="00293CC4" w:rsidRPr="001D1C28" w:rsidRDefault="00293CC4" w:rsidP="00785A65">
            <w:pPr>
              <w:autoSpaceDE w:val="0"/>
              <w:autoSpaceDN w:val="0"/>
              <w:adjustRightInd w:val="0"/>
              <w:spacing w:before="240" w:line="360" w:lineRule="auto"/>
              <w:jc w:val="both"/>
              <w:rPr>
                <w:rFonts w:ascii="Palatino Linotype" w:eastAsia="Calibri" w:hAnsi="Palatino Linotype" w:cs="Arial"/>
                <w:i/>
                <w:lang w:val="es-ES_tradnl" w:eastAsia="es-MX"/>
              </w:rPr>
            </w:pPr>
            <w:r w:rsidRPr="001D1C28">
              <w:rPr>
                <w:rFonts w:ascii="Palatino Linotype" w:eastAsia="Calibri" w:hAnsi="Palatino Linotype" w:cs="Arial"/>
                <w:i/>
                <w:lang w:val="es-ES_tradnl" w:eastAsia="es-MX"/>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rsidR="00293CC4" w:rsidRPr="001D1C28" w:rsidRDefault="00293CC4" w:rsidP="00785A65">
            <w:pPr>
              <w:autoSpaceDE w:val="0"/>
              <w:autoSpaceDN w:val="0"/>
              <w:adjustRightInd w:val="0"/>
              <w:spacing w:before="240" w:line="360" w:lineRule="auto"/>
              <w:jc w:val="both"/>
              <w:rPr>
                <w:rFonts w:ascii="Palatino Linotype" w:eastAsia="Calibri" w:hAnsi="Palatino Linotype" w:cs="Arial"/>
                <w:i/>
                <w:lang w:val="es-ES_tradnl" w:eastAsia="es-MX"/>
              </w:rPr>
            </w:pPr>
            <w:r w:rsidRPr="001D1C28">
              <w:rPr>
                <w:rFonts w:ascii="Palatino Linotype" w:eastAsia="Calibri" w:hAnsi="Palatino Linotype" w:cs="Arial"/>
                <w:i/>
                <w:lang w:val="es-ES_tradnl" w:eastAsia="es-MX"/>
              </w:rPr>
              <w:t>III. Toda persona, sin necesidad de acreditar interés alguno o justificar su utilización, tendrá acceso gratuito a la información pública, a sus datos personales o a la rectificación de éstos;</w:t>
            </w:r>
          </w:p>
          <w:p w:rsidR="00293CC4" w:rsidRPr="001D1C28" w:rsidRDefault="00293CC4" w:rsidP="00785A65">
            <w:pPr>
              <w:autoSpaceDE w:val="0"/>
              <w:autoSpaceDN w:val="0"/>
              <w:adjustRightInd w:val="0"/>
              <w:spacing w:before="240" w:line="360" w:lineRule="auto"/>
              <w:jc w:val="both"/>
              <w:rPr>
                <w:rFonts w:ascii="Palatino Linotype" w:eastAsia="Calibri" w:hAnsi="Palatino Linotype" w:cs="Arial"/>
                <w:i/>
                <w:lang w:val="es-ES_tradnl" w:eastAsia="es-MX"/>
              </w:rPr>
            </w:pPr>
            <w:r w:rsidRPr="001D1C28">
              <w:rPr>
                <w:rFonts w:ascii="Palatino Linotype" w:eastAsia="Calibri" w:hAnsi="Palatino Linotype" w:cs="Arial"/>
                <w:i/>
                <w:lang w:val="es-ES_tradnl" w:eastAsia="es-MX"/>
              </w:rPr>
              <w:t>IV. Se establecerán mecanismos de acceso a la información y procedimientos de revisión expeditos que se sustanciarán ante el organismo autónomo especializado e imparcial que establece esta Constitución.</w:t>
            </w:r>
          </w:p>
          <w:p w:rsidR="00293CC4" w:rsidRPr="001D1C28" w:rsidRDefault="00293CC4" w:rsidP="00785A65">
            <w:pPr>
              <w:autoSpaceDE w:val="0"/>
              <w:autoSpaceDN w:val="0"/>
              <w:adjustRightInd w:val="0"/>
              <w:spacing w:before="240" w:line="360" w:lineRule="auto"/>
              <w:jc w:val="both"/>
              <w:rPr>
                <w:rFonts w:ascii="Palatino Linotype" w:hAnsi="Palatino Linotype" w:cs="Arial"/>
                <w:i/>
              </w:rPr>
            </w:pPr>
            <w:r w:rsidRPr="001D1C28">
              <w:rPr>
                <w:rFonts w:ascii="Palatino Linotype" w:hAnsi="Palatino Linotype" w:cs="Arial"/>
                <w:i/>
              </w:rPr>
              <w:t>(…)</w:t>
            </w:r>
          </w:p>
          <w:p w:rsidR="00293CC4" w:rsidRPr="001D1C28" w:rsidRDefault="00293CC4" w:rsidP="00785A65">
            <w:pPr>
              <w:autoSpaceDE w:val="0"/>
              <w:autoSpaceDN w:val="0"/>
              <w:adjustRightInd w:val="0"/>
              <w:spacing w:before="240" w:line="360" w:lineRule="auto"/>
              <w:jc w:val="both"/>
              <w:rPr>
                <w:rFonts w:ascii="Palatino Linotype" w:hAnsi="Palatino Linotype" w:cs="Arial"/>
                <w:i/>
              </w:rPr>
            </w:pPr>
            <w:r w:rsidRPr="001D1C28">
              <w:rPr>
                <w:rFonts w:ascii="Palatino Linotype" w:hAnsi="Palatino Linotype" w:cs="Arial"/>
                <w:i/>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w:t>
            </w:r>
            <w:r w:rsidRPr="001D1C28">
              <w:rPr>
                <w:rFonts w:ascii="Palatino Linotype" w:hAnsi="Palatino Linotype" w:cs="Arial"/>
                <w:i/>
              </w:rPr>
              <w:lastRenderedPageBreak/>
              <w:t>datos personales en posesión de los sujetos obligados en los términos que establezca la ley. (…)”</w:t>
            </w:r>
          </w:p>
        </w:tc>
      </w:tr>
    </w:tbl>
    <w:p w:rsidR="00293CC4" w:rsidRPr="001D1C28" w:rsidRDefault="00293CC4" w:rsidP="00293CC4">
      <w:pPr>
        <w:autoSpaceDE w:val="0"/>
        <w:autoSpaceDN w:val="0"/>
        <w:adjustRightInd w:val="0"/>
        <w:spacing w:before="240" w:line="360" w:lineRule="auto"/>
        <w:jc w:val="both"/>
        <w:rPr>
          <w:rFonts w:ascii="Palatino Linotype" w:hAnsi="Palatino Linotype"/>
        </w:rPr>
      </w:pPr>
      <w:r w:rsidRPr="001D1C28">
        <w:rPr>
          <w:rFonts w:ascii="Palatino Linotype" w:hAnsi="Palatino Linotype"/>
        </w:rPr>
        <w:lastRenderedPageBreak/>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1D1C28">
        <w:rPr>
          <w:rFonts w:ascii="Palatino Linotype" w:hAnsi="Palatino Linotype"/>
          <w:b/>
          <w:u w:val="single"/>
        </w:rPr>
        <w:t>incluso, la solicitud de acceso a la información pueda ser anónima o no contener un nombre que identifique al solicitante o que permita tener certeza sobre su identidad</w:t>
      </w:r>
      <w:r w:rsidRPr="001D1C28">
        <w:rPr>
          <w:rFonts w:ascii="Palatino Linotype" w:hAnsi="Palatino Linotype"/>
        </w:rPr>
        <w:t xml:space="preserve">. </w:t>
      </w:r>
    </w:p>
    <w:p w:rsidR="00293CC4" w:rsidRPr="001D1C28" w:rsidRDefault="00293CC4" w:rsidP="00293CC4">
      <w:pPr>
        <w:autoSpaceDE w:val="0"/>
        <w:autoSpaceDN w:val="0"/>
        <w:adjustRightInd w:val="0"/>
        <w:spacing w:before="240" w:line="360" w:lineRule="auto"/>
        <w:jc w:val="both"/>
        <w:rPr>
          <w:rFonts w:ascii="Palatino Linotype" w:hAnsi="Palatino Linotype"/>
        </w:rPr>
      </w:pPr>
      <w:r w:rsidRPr="001D1C28">
        <w:rPr>
          <w:rFonts w:ascii="Palatino Linotype" w:hAnsi="Palatino Linotype"/>
        </w:rPr>
        <w:t>En conclusión, se cubrieron los requisitos de procedencia y procedibilidad y conforme a las constancias que obran en el expediente.</w:t>
      </w:r>
    </w:p>
    <w:p w:rsidR="00293CC4" w:rsidRPr="001D1C28" w:rsidRDefault="00293CC4" w:rsidP="00293CC4">
      <w:pPr>
        <w:pStyle w:val="Prrafodelista"/>
        <w:autoSpaceDE w:val="0"/>
        <w:autoSpaceDN w:val="0"/>
        <w:adjustRightInd w:val="0"/>
        <w:spacing w:before="240" w:after="160" w:line="360" w:lineRule="auto"/>
        <w:ind w:left="0"/>
        <w:jc w:val="both"/>
        <w:rPr>
          <w:rFonts w:ascii="Palatino Linotype" w:hAnsi="Palatino Linotype" w:cs="Arial"/>
        </w:rPr>
      </w:pPr>
    </w:p>
    <w:p w:rsidR="00293CC4" w:rsidRPr="001D1C28" w:rsidRDefault="00293CC4" w:rsidP="00293CC4">
      <w:pPr>
        <w:pStyle w:val="Prrafodelista"/>
        <w:autoSpaceDE w:val="0"/>
        <w:autoSpaceDN w:val="0"/>
        <w:adjustRightInd w:val="0"/>
        <w:spacing w:before="240" w:after="160" w:line="360" w:lineRule="auto"/>
        <w:ind w:left="0"/>
        <w:jc w:val="both"/>
        <w:rPr>
          <w:rFonts w:ascii="Palatino Linotype" w:hAnsi="Palatino Linotype" w:cs="Arial"/>
          <w:b/>
          <w:sz w:val="28"/>
          <w:szCs w:val="28"/>
        </w:rPr>
      </w:pPr>
      <w:r w:rsidRPr="001D1C28">
        <w:rPr>
          <w:rFonts w:ascii="Palatino Linotype" w:hAnsi="Palatino Linotype" w:cs="Arial"/>
          <w:b/>
          <w:sz w:val="28"/>
        </w:rPr>
        <w:t>TERCERO</w:t>
      </w:r>
      <w:r w:rsidRPr="001D1C28">
        <w:rPr>
          <w:rFonts w:ascii="Palatino Linotype" w:hAnsi="Palatino Linotype" w:cs="Arial"/>
          <w:b/>
        </w:rPr>
        <w:t xml:space="preserve">. </w:t>
      </w:r>
      <w:r w:rsidRPr="001D1C28">
        <w:rPr>
          <w:rFonts w:ascii="Palatino Linotype" w:hAnsi="Palatino Linotype" w:cs="Arial"/>
          <w:b/>
          <w:sz w:val="28"/>
          <w:szCs w:val="28"/>
        </w:rPr>
        <w:t>De las causas de improcedencia.</w:t>
      </w:r>
    </w:p>
    <w:p w:rsidR="00293CC4" w:rsidRPr="001D1C28" w:rsidRDefault="00293CC4" w:rsidP="00293CC4">
      <w:pPr>
        <w:pStyle w:val="Prrafodelista"/>
        <w:autoSpaceDE w:val="0"/>
        <w:autoSpaceDN w:val="0"/>
        <w:adjustRightInd w:val="0"/>
        <w:spacing w:before="240" w:after="160" w:line="360" w:lineRule="auto"/>
        <w:ind w:left="0"/>
        <w:jc w:val="both"/>
        <w:rPr>
          <w:rFonts w:ascii="Palatino Linotype" w:hAnsi="Palatino Linotype" w:cs="Arial"/>
        </w:rPr>
      </w:pPr>
      <w:r w:rsidRPr="001D1C28">
        <w:rPr>
          <w:rFonts w:ascii="Palatino Linotype" w:hAnsi="Palatino Linotype" w:cs="Arial"/>
        </w:rPr>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rsidR="00293CC4" w:rsidRPr="001D1C28" w:rsidRDefault="00293CC4" w:rsidP="00293CC4">
      <w:pPr>
        <w:pStyle w:val="Prrafodelista"/>
        <w:autoSpaceDE w:val="0"/>
        <w:autoSpaceDN w:val="0"/>
        <w:adjustRightInd w:val="0"/>
        <w:spacing w:line="360" w:lineRule="auto"/>
        <w:ind w:left="0"/>
        <w:jc w:val="both"/>
        <w:rPr>
          <w:rFonts w:ascii="Palatino Linotype" w:hAnsi="Palatino Linotype" w:cs="Arial"/>
        </w:rPr>
      </w:pPr>
      <w:r w:rsidRPr="001D1C28">
        <w:rPr>
          <w:rFonts w:ascii="Palatino Linotype" w:hAnsi="Palatino Linotype" w:cs="Arial"/>
        </w:rPr>
        <w:t xml:space="preserve">Siendo facultad de este Órgano entrar al estudio de las causas de improcedencia que hagan valer las partes o que se adviertan de oficio por este Resolutor y por ende objeto </w:t>
      </w:r>
      <w:r w:rsidRPr="001D1C28">
        <w:rPr>
          <w:rFonts w:ascii="Palatino Linotype" w:hAnsi="Palatino Linotype" w:cs="Arial"/>
        </w:rPr>
        <w:lastRenderedPageBreak/>
        <w:t>de análisis previo al estudio de fondo del asunto, en los presupuestos procesales sobre 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1D1C28">
        <w:rPr>
          <w:rStyle w:val="Refdenotaalpie"/>
          <w:rFonts w:ascii="Palatino Linotype" w:hAnsi="Palatino Linotype" w:cs="Arial"/>
        </w:rPr>
        <w:footnoteReference w:id="1"/>
      </w:r>
      <w:r w:rsidRPr="001D1C28">
        <w:rPr>
          <w:rFonts w:ascii="Palatino Linotype" w:hAnsi="Palatino Linotype" w:cs="Arial"/>
        </w:rPr>
        <w:t>. Así las cosas, del análisis de los expedientes electrónicos no se advierte ninguna causa de improcedencia que se actualice ni mucho menos alguna hecha valer por alguna de las partes, procediendo al estudio del fondo del asunto, en los siguientes términos.</w:t>
      </w:r>
    </w:p>
    <w:p w:rsidR="00293CC4" w:rsidRPr="001D1C28" w:rsidRDefault="00293CC4" w:rsidP="00293CC4">
      <w:pPr>
        <w:tabs>
          <w:tab w:val="left" w:pos="709"/>
        </w:tabs>
        <w:spacing w:before="240" w:line="360" w:lineRule="auto"/>
        <w:ind w:right="51"/>
        <w:jc w:val="both"/>
        <w:rPr>
          <w:rFonts w:ascii="Palatino Linotype" w:hAnsi="Palatino Linotype"/>
          <w:b/>
          <w:sz w:val="28"/>
          <w:szCs w:val="28"/>
        </w:rPr>
      </w:pPr>
    </w:p>
    <w:p w:rsidR="00293CC4" w:rsidRPr="001D1C28" w:rsidRDefault="00293CC4" w:rsidP="00293CC4">
      <w:pPr>
        <w:tabs>
          <w:tab w:val="left" w:pos="709"/>
        </w:tabs>
        <w:spacing w:before="240" w:line="360" w:lineRule="auto"/>
        <w:ind w:right="51"/>
        <w:jc w:val="both"/>
        <w:rPr>
          <w:rFonts w:ascii="Palatino Linotype" w:hAnsi="Palatino Linotype"/>
          <w:b/>
          <w:sz w:val="28"/>
          <w:szCs w:val="28"/>
        </w:rPr>
      </w:pPr>
      <w:r w:rsidRPr="001D1C28">
        <w:rPr>
          <w:rFonts w:ascii="Palatino Linotype" w:hAnsi="Palatino Linotype"/>
          <w:b/>
          <w:sz w:val="28"/>
          <w:szCs w:val="28"/>
        </w:rPr>
        <w:t xml:space="preserve">CUARTO. Estudio y resolución del asunto </w:t>
      </w:r>
      <w:r w:rsidRPr="001D1C28">
        <w:rPr>
          <w:rFonts w:ascii="Palatino Linotype" w:hAnsi="Palatino Linotype"/>
          <w:b/>
          <w:sz w:val="28"/>
          <w:szCs w:val="28"/>
        </w:rPr>
        <w:tab/>
      </w:r>
    </w:p>
    <w:p w:rsidR="00293CC4" w:rsidRPr="001D1C28" w:rsidRDefault="00293CC4" w:rsidP="00293CC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1D1C28">
        <w:rPr>
          <w:rFonts w:ascii="Palatino Linotype" w:eastAsia="Palatino Linotype" w:hAnsi="Palatino Linotype" w:cs="Palatino Linotype"/>
          <w:color w:val="000000"/>
        </w:rPr>
        <w:t xml:space="preserve">El análisis y resolución del presente recurso, se funda en el contenido íntegro de las actuaciones que obran en el expediente electrónico, para así estar en posibilidad este Órgano Colegiado de dictar el fallo correspondiente conforme a derecho, tomando en </w:t>
      </w:r>
      <w:r w:rsidRPr="001D1C28">
        <w:rPr>
          <w:rFonts w:ascii="Palatino Linotype" w:eastAsia="Palatino Linotype" w:hAnsi="Palatino Linotype" w:cs="Palatino Linotype"/>
          <w:color w:val="000000"/>
        </w:rPr>
        <w:lastRenderedPageBreak/>
        <w:t>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rsidR="00293CC4" w:rsidRPr="001D1C28" w:rsidRDefault="00293CC4" w:rsidP="00293CC4">
      <w:pPr>
        <w:autoSpaceDE w:val="0"/>
        <w:autoSpaceDN w:val="0"/>
        <w:adjustRightInd w:val="0"/>
        <w:ind w:right="567"/>
        <w:rPr>
          <w:rFonts w:ascii="Palatino Linotype" w:eastAsia="Calibri" w:hAnsi="Palatino Linotype" w:cs="Arial"/>
        </w:rPr>
      </w:pPr>
    </w:p>
    <w:p w:rsidR="00293CC4" w:rsidRPr="001D1C28" w:rsidRDefault="00293CC4" w:rsidP="00293CC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1D1C28">
        <w:rPr>
          <w:rFonts w:ascii="Palatino Linotype" w:eastAsia="Palatino Linotype" w:hAnsi="Palatino Linotype" w:cs="Palatino Linotype"/>
          <w:color w:val="000000"/>
        </w:rPr>
        <w:t>Ahora bien, el artículo 179 de la Ley de Transparencia establece las causales para la procedencia del recurso de revisión, tal como se transcribe:</w:t>
      </w:r>
    </w:p>
    <w:p w:rsidR="00293CC4" w:rsidRPr="001D1C28" w:rsidRDefault="00293CC4" w:rsidP="00293CC4">
      <w:pPr>
        <w:pStyle w:val="Citas"/>
        <w:spacing w:before="0" w:after="0" w:line="240" w:lineRule="auto"/>
      </w:pPr>
      <w:r w:rsidRPr="001D1C28">
        <w:rPr>
          <w:b/>
        </w:rPr>
        <w:t>Artículo 179.</w:t>
      </w:r>
      <w:r w:rsidRPr="001D1C28">
        <w:t xml:space="preserve"> El recurso de revisión es un medio de protección que la Ley otorga a los particulares, para hacer valer su derecho de acceso a la información pública, y procederá en contra de las siguientes causas: </w:t>
      </w:r>
    </w:p>
    <w:p w:rsidR="00293CC4" w:rsidRPr="001D1C28" w:rsidRDefault="00293CC4" w:rsidP="00293CC4">
      <w:pPr>
        <w:pStyle w:val="Citas"/>
        <w:numPr>
          <w:ilvl w:val="0"/>
          <w:numId w:val="3"/>
        </w:numPr>
        <w:spacing w:before="0" w:after="0" w:line="240" w:lineRule="auto"/>
        <w:rPr>
          <w:b/>
        </w:rPr>
      </w:pPr>
      <w:r w:rsidRPr="001D1C28">
        <w:rPr>
          <w:b/>
        </w:rPr>
        <w:t xml:space="preserve">La negativa a la información solicitada; </w:t>
      </w:r>
    </w:p>
    <w:p w:rsidR="00293CC4" w:rsidRPr="001D1C28" w:rsidRDefault="00293CC4" w:rsidP="00293CC4">
      <w:pPr>
        <w:pStyle w:val="Citas"/>
        <w:numPr>
          <w:ilvl w:val="0"/>
          <w:numId w:val="3"/>
        </w:numPr>
        <w:spacing w:before="0" w:after="0" w:line="240" w:lineRule="auto"/>
      </w:pPr>
      <w:r w:rsidRPr="001D1C28">
        <w:t xml:space="preserve">La clasificación de la información; </w:t>
      </w:r>
    </w:p>
    <w:p w:rsidR="00293CC4" w:rsidRPr="001D1C28" w:rsidRDefault="00293CC4" w:rsidP="00293CC4">
      <w:pPr>
        <w:pStyle w:val="Citas"/>
        <w:numPr>
          <w:ilvl w:val="0"/>
          <w:numId w:val="3"/>
        </w:numPr>
        <w:spacing w:before="0" w:after="0" w:line="240" w:lineRule="auto"/>
      </w:pPr>
      <w:r w:rsidRPr="001D1C28">
        <w:t xml:space="preserve">La declaración de inexistencia de la información; </w:t>
      </w:r>
    </w:p>
    <w:p w:rsidR="00293CC4" w:rsidRPr="001D1C28" w:rsidRDefault="00293CC4" w:rsidP="00293CC4">
      <w:pPr>
        <w:pStyle w:val="Citas"/>
        <w:numPr>
          <w:ilvl w:val="0"/>
          <w:numId w:val="3"/>
        </w:numPr>
        <w:spacing w:before="0" w:after="0" w:line="240" w:lineRule="auto"/>
      </w:pPr>
      <w:r w:rsidRPr="001D1C28">
        <w:t xml:space="preserve">La declaración de incompetencia por el sujeto obligado; </w:t>
      </w:r>
    </w:p>
    <w:p w:rsidR="00293CC4" w:rsidRPr="001D1C28" w:rsidRDefault="00293CC4" w:rsidP="00293CC4">
      <w:pPr>
        <w:pStyle w:val="Citas"/>
        <w:numPr>
          <w:ilvl w:val="0"/>
          <w:numId w:val="3"/>
        </w:numPr>
        <w:spacing w:before="0" w:after="0" w:line="240" w:lineRule="auto"/>
      </w:pPr>
      <w:r w:rsidRPr="001D1C28">
        <w:t xml:space="preserve">La entrega de información incompleta; </w:t>
      </w:r>
    </w:p>
    <w:p w:rsidR="00293CC4" w:rsidRPr="001D1C28" w:rsidRDefault="00293CC4" w:rsidP="00293CC4">
      <w:pPr>
        <w:pStyle w:val="Citas"/>
        <w:numPr>
          <w:ilvl w:val="0"/>
          <w:numId w:val="3"/>
        </w:numPr>
        <w:spacing w:before="0" w:after="0" w:line="240" w:lineRule="auto"/>
      </w:pPr>
      <w:r w:rsidRPr="001D1C28">
        <w:t xml:space="preserve">La entrega de información que no corresponda con lo solicitado; </w:t>
      </w:r>
    </w:p>
    <w:p w:rsidR="00293CC4" w:rsidRPr="001D1C28" w:rsidRDefault="00293CC4" w:rsidP="00293CC4">
      <w:pPr>
        <w:pStyle w:val="Citas"/>
        <w:numPr>
          <w:ilvl w:val="0"/>
          <w:numId w:val="3"/>
        </w:numPr>
        <w:spacing w:before="0" w:after="0" w:line="240" w:lineRule="auto"/>
      </w:pPr>
      <w:r w:rsidRPr="001D1C28">
        <w:t xml:space="preserve">La falta de respuesta a una solicitud de acceso a la información; </w:t>
      </w:r>
    </w:p>
    <w:p w:rsidR="00293CC4" w:rsidRPr="001D1C28" w:rsidRDefault="00293CC4" w:rsidP="00293CC4">
      <w:pPr>
        <w:pStyle w:val="Citas"/>
        <w:numPr>
          <w:ilvl w:val="0"/>
          <w:numId w:val="3"/>
        </w:numPr>
        <w:spacing w:before="0" w:after="0" w:line="240" w:lineRule="auto"/>
      </w:pPr>
      <w:r w:rsidRPr="001D1C28">
        <w:t xml:space="preserve">La notificación, entrega o puesta a disposición de información en una modalidad o formato distinto al solicitado; </w:t>
      </w:r>
    </w:p>
    <w:p w:rsidR="00293CC4" w:rsidRPr="001D1C28" w:rsidRDefault="00293CC4" w:rsidP="00293CC4">
      <w:pPr>
        <w:pStyle w:val="Citas"/>
        <w:numPr>
          <w:ilvl w:val="0"/>
          <w:numId w:val="3"/>
        </w:numPr>
        <w:spacing w:before="0" w:after="0" w:line="240" w:lineRule="auto"/>
      </w:pPr>
      <w:r w:rsidRPr="001D1C28">
        <w:t xml:space="preserve">La entrega o puesta a disposición de información en un formato incomprensible y/o no accesible para el solicitante; </w:t>
      </w:r>
    </w:p>
    <w:p w:rsidR="00293CC4" w:rsidRPr="001D1C28" w:rsidRDefault="00293CC4" w:rsidP="00293CC4">
      <w:pPr>
        <w:pStyle w:val="Citas"/>
        <w:numPr>
          <w:ilvl w:val="0"/>
          <w:numId w:val="3"/>
        </w:numPr>
        <w:spacing w:before="0" w:after="0" w:line="240" w:lineRule="auto"/>
      </w:pPr>
      <w:r w:rsidRPr="001D1C28">
        <w:t xml:space="preserve">Los costos o tiempos de entrega de la información; </w:t>
      </w:r>
    </w:p>
    <w:p w:rsidR="00293CC4" w:rsidRPr="001D1C28" w:rsidRDefault="00293CC4" w:rsidP="00293CC4">
      <w:pPr>
        <w:pStyle w:val="Citas"/>
        <w:numPr>
          <w:ilvl w:val="0"/>
          <w:numId w:val="3"/>
        </w:numPr>
        <w:spacing w:before="0" w:after="0" w:line="240" w:lineRule="auto"/>
      </w:pPr>
      <w:r w:rsidRPr="001D1C28">
        <w:t xml:space="preserve">La falta de trámite a una solicitud; </w:t>
      </w:r>
    </w:p>
    <w:p w:rsidR="00293CC4" w:rsidRPr="001D1C28" w:rsidRDefault="00293CC4" w:rsidP="00293CC4">
      <w:pPr>
        <w:pStyle w:val="Citas"/>
        <w:numPr>
          <w:ilvl w:val="0"/>
          <w:numId w:val="3"/>
        </w:numPr>
        <w:spacing w:before="0" w:after="0" w:line="240" w:lineRule="auto"/>
      </w:pPr>
      <w:r w:rsidRPr="001D1C28">
        <w:t xml:space="preserve">La negativa a permitir la consulta directa de la información; </w:t>
      </w:r>
    </w:p>
    <w:p w:rsidR="00293CC4" w:rsidRPr="001D1C28" w:rsidRDefault="00293CC4" w:rsidP="00293CC4">
      <w:pPr>
        <w:pStyle w:val="Citas"/>
        <w:numPr>
          <w:ilvl w:val="0"/>
          <w:numId w:val="3"/>
        </w:numPr>
        <w:spacing w:before="0" w:after="0" w:line="240" w:lineRule="auto"/>
      </w:pPr>
      <w:r w:rsidRPr="001D1C28">
        <w:t xml:space="preserve">La falta, deficiencia o insuficiencia de la fundamentación y/o motivación en la respuesta; y </w:t>
      </w:r>
    </w:p>
    <w:p w:rsidR="00293CC4" w:rsidRPr="001D1C28" w:rsidRDefault="00293CC4" w:rsidP="00293CC4">
      <w:pPr>
        <w:pStyle w:val="Citas"/>
        <w:numPr>
          <w:ilvl w:val="0"/>
          <w:numId w:val="3"/>
        </w:numPr>
        <w:spacing w:before="0" w:after="0" w:line="240" w:lineRule="auto"/>
      </w:pPr>
      <w:r w:rsidRPr="001D1C28">
        <w:t xml:space="preserve">La orientación a un trámite específico. </w:t>
      </w:r>
    </w:p>
    <w:p w:rsidR="00293CC4" w:rsidRPr="001D1C28" w:rsidRDefault="00293CC4" w:rsidP="00293CC4">
      <w:pPr>
        <w:pStyle w:val="Citas"/>
        <w:spacing w:before="0" w:after="0" w:line="240" w:lineRule="auto"/>
      </w:pPr>
      <w:r w:rsidRPr="001D1C28">
        <w:t>La respuesta que den los sujetos obligados derivada de la resolución a un recurso de revisión que proceda por las causales señaladas en las fracciones IV, VII, IX, X, XI y XII es susceptible de ser impugnada de nueva cuenta, mediante recurso de revisión, ante el Instituto.</w:t>
      </w:r>
    </w:p>
    <w:p w:rsidR="00293CC4" w:rsidRPr="001D1C28" w:rsidRDefault="00293CC4" w:rsidP="00293CC4">
      <w:pPr>
        <w:autoSpaceDE w:val="0"/>
        <w:autoSpaceDN w:val="0"/>
        <w:adjustRightInd w:val="0"/>
        <w:ind w:right="567"/>
        <w:rPr>
          <w:rFonts w:ascii="Palatino Linotype" w:eastAsia="Calibri" w:hAnsi="Palatino Linotype" w:cs="Arial"/>
        </w:rPr>
      </w:pPr>
    </w:p>
    <w:p w:rsidR="00293CC4" w:rsidRPr="001D1C28" w:rsidRDefault="00293CC4" w:rsidP="00293CC4">
      <w:pPr>
        <w:autoSpaceDE w:val="0"/>
        <w:autoSpaceDN w:val="0"/>
        <w:adjustRightInd w:val="0"/>
        <w:ind w:right="567"/>
        <w:rPr>
          <w:rFonts w:ascii="Palatino Linotype" w:eastAsia="Calibri" w:hAnsi="Palatino Linotype" w:cs="Arial"/>
        </w:rPr>
      </w:pPr>
    </w:p>
    <w:p w:rsidR="00293CC4" w:rsidRPr="001D1C28" w:rsidRDefault="00293CC4" w:rsidP="00293CC4">
      <w:pPr>
        <w:spacing w:line="360" w:lineRule="auto"/>
        <w:jc w:val="both"/>
        <w:rPr>
          <w:rFonts w:ascii="Palatino Linotype" w:hAnsi="Palatino Linotype" w:cs="Tahoma"/>
          <w:bCs/>
        </w:rPr>
      </w:pPr>
      <w:r w:rsidRPr="001D1C28">
        <w:rPr>
          <w:rFonts w:ascii="Palatino Linotype" w:hAnsi="Palatino Linotype" w:cs="Tahoma"/>
          <w:bCs/>
        </w:rPr>
        <w:lastRenderedPageBreak/>
        <w:t xml:space="preserve">Bajo estas líneas argumentativas, al retomar y delimitar los requerimientos del ahora </w:t>
      </w:r>
      <w:r w:rsidRPr="001D1C28">
        <w:rPr>
          <w:rFonts w:ascii="Palatino Linotype" w:hAnsi="Palatino Linotype" w:cs="Tahoma"/>
          <w:b/>
          <w:bCs/>
        </w:rPr>
        <w:t>Recurrente</w:t>
      </w:r>
      <w:r w:rsidRPr="001D1C28">
        <w:rPr>
          <w:rFonts w:ascii="Palatino Linotype" w:hAnsi="Palatino Linotype" w:cs="Tahoma"/>
          <w:bCs/>
        </w:rPr>
        <w:t>, de manera objetiva se precisa que requiere la siguiente información:</w:t>
      </w:r>
    </w:p>
    <w:p w:rsidR="00293CC4" w:rsidRPr="001D1C28" w:rsidRDefault="00853AC2" w:rsidP="00853AC2">
      <w:pPr>
        <w:pStyle w:val="Prrafodelista"/>
        <w:numPr>
          <w:ilvl w:val="0"/>
          <w:numId w:val="4"/>
        </w:numPr>
        <w:spacing w:before="240" w:line="360" w:lineRule="auto"/>
        <w:jc w:val="both"/>
        <w:rPr>
          <w:rFonts w:ascii="Palatino Linotype" w:hAnsi="Palatino Linotype" w:cs="Arial"/>
        </w:rPr>
      </w:pPr>
      <w:r w:rsidRPr="001D1C28">
        <w:rPr>
          <w:rFonts w:ascii="Palatino Linotype" w:hAnsi="Palatino Linotype" w:cs="Arial"/>
        </w:rPr>
        <w:t>Solicito la dispersión de nómina y conciliación de nómina de enero 2025 a la fecha de la solicitud</w:t>
      </w:r>
      <w:r w:rsidR="00293CC4" w:rsidRPr="001D1C28">
        <w:rPr>
          <w:rFonts w:ascii="Palatino Linotype" w:hAnsi="Palatino Linotype" w:cs="Arial"/>
        </w:rPr>
        <w:t>.</w:t>
      </w:r>
    </w:p>
    <w:p w:rsidR="00293CC4" w:rsidRPr="001D1C28" w:rsidRDefault="00E150D1" w:rsidP="00293CC4">
      <w:pPr>
        <w:spacing w:before="240" w:line="360" w:lineRule="auto"/>
        <w:jc w:val="both"/>
        <w:rPr>
          <w:rFonts w:ascii="Palatino Linotype" w:hAnsi="Palatino Linotype" w:cs="Arial"/>
        </w:rPr>
      </w:pPr>
      <w:r w:rsidRPr="001D1C28">
        <w:rPr>
          <w:rFonts w:ascii="Palatino Linotype" w:hAnsi="Palatino Linotype" w:cs="Arial"/>
        </w:rPr>
        <w:t xml:space="preserve">Si bien, la información se requiere a la fecha de solicitud, se tiene que se tuvo por presentada el 04 de agosto de 2025, sin embargo, en dicha fecha aún no se generaba la primer quincena de agosto, por lo que la temporalidad se acotara de la primer quincena de enero a la segunda quincena de julio. </w:t>
      </w:r>
    </w:p>
    <w:p w:rsidR="00293CC4" w:rsidRPr="001D1C28" w:rsidRDefault="00293CC4" w:rsidP="00293CC4">
      <w:pPr>
        <w:spacing w:before="240" w:line="360" w:lineRule="auto"/>
        <w:jc w:val="both"/>
        <w:rPr>
          <w:rFonts w:ascii="Palatino Linotype" w:hAnsi="Palatino Linotype" w:cs="Arial"/>
          <w:b/>
        </w:rPr>
      </w:pPr>
      <w:r w:rsidRPr="001D1C28">
        <w:rPr>
          <w:rFonts w:ascii="Palatino Linotype" w:hAnsi="Palatino Linotype" w:cs="Arial"/>
        </w:rPr>
        <w:t xml:space="preserve">De conformidad con las constancias que obran en el expediente electrónico, se observa que el </w:t>
      </w:r>
      <w:r w:rsidRPr="001D1C28">
        <w:rPr>
          <w:rFonts w:ascii="Palatino Linotype" w:hAnsi="Palatino Linotype" w:cs="Arial"/>
          <w:b/>
        </w:rPr>
        <w:t>Sujeto Obligado</w:t>
      </w:r>
      <w:r w:rsidRPr="001D1C28">
        <w:rPr>
          <w:rFonts w:ascii="Palatino Linotype" w:hAnsi="Palatino Linotype" w:cs="Arial"/>
        </w:rPr>
        <w:t xml:space="preserve"> dio respuesta por medio del sistema SAIMEX, a la solicitud de información</w:t>
      </w:r>
      <w:r w:rsidRPr="001D1C28">
        <w:rPr>
          <w:rFonts w:ascii="Palatino Linotype" w:eastAsia="Palatino Linotype" w:hAnsi="Palatino Linotype" w:cs="Palatino Linotype"/>
          <w:b/>
          <w:color w:val="000000"/>
        </w:rPr>
        <w:t xml:space="preserve"> </w:t>
      </w:r>
      <w:r w:rsidRPr="001D1C28">
        <w:rPr>
          <w:rFonts w:ascii="Palatino Linotype" w:hAnsi="Palatino Linotype" w:cs="Arial"/>
          <w:b/>
        </w:rPr>
        <w:t xml:space="preserve">00445/ATIZARA/IP/2025; </w:t>
      </w:r>
      <w:r w:rsidRPr="001D1C28">
        <w:rPr>
          <w:rFonts w:ascii="Palatino Linotype" w:hAnsi="Palatino Linotype" w:cs="Arial"/>
        </w:rPr>
        <w:t>a través del archivo electrónico</w:t>
      </w:r>
      <w:r w:rsidRPr="001D1C28">
        <w:rPr>
          <w:rFonts w:ascii="Palatino Linotype" w:hAnsi="Palatino Linotype" w:cs="Arial"/>
          <w:b/>
        </w:rPr>
        <w:t>:</w:t>
      </w:r>
    </w:p>
    <w:p w:rsidR="00853AC2" w:rsidRPr="001D1C28" w:rsidRDefault="00853AC2" w:rsidP="00853AC2">
      <w:pPr>
        <w:pStyle w:val="Sinespaciado"/>
        <w:numPr>
          <w:ilvl w:val="0"/>
          <w:numId w:val="1"/>
        </w:numPr>
        <w:spacing w:before="240" w:line="360" w:lineRule="auto"/>
        <w:jc w:val="both"/>
        <w:rPr>
          <w:rFonts w:ascii="Palatino Linotype" w:hAnsi="Palatino Linotype" w:cs="Arial"/>
          <w:b/>
          <w:i/>
          <w:sz w:val="24"/>
        </w:rPr>
      </w:pPr>
      <w:r w:rsidRPr="001D1C28">
        <w:rPr>
          <w:rFonts w:ascii="Palatino Linotype" w:hAnsi="Palatino Linotype" w:cs="Arial"/>
          <w:b/>
          <w:i/>
          <w:sz w:val="24"/>
        </w:rPr>
        <w:t>00445-2520-2025.pdf:</w:t>
      </w:r>
      <w:r w:rsidR="00785A65" w:rsidRPr="001D1C28">
        <w:rPr>
          <w:rFonts w:ascii="Palatino Linotype" w:hAnsi="Palatino Linotype" w:cs="Arial"/>
          <w:b/>
          <w:i/>
          <w:sz w:val="24"/>
        </w:rPr>
        <w:t xml:space="preserve"> </w:t>
      </w:r>
      <w:r w:rsidR="00785A65" w:rsidRPr="001D1C28">
        <w:rPr>
          <w:rFonts w:ascii="Palatino Linotype" w:hAnsi="Palatino Linotype" w:cs="Arial"/>
          <w:sz w:val="24"/>
        </w:rPr>
        <w:t xml:space="preserve">oficio número TM/STE/2520/2025, firmado por el Tesorero Municipal, en el que refiere remitir la dispersión de nómina, por lo que hace a la conciliación de nómina refiere que es competencia de la Dirección de Administración. </w:t>
      </w:r>
    </w:p>
    <w:p w:rsidR="00853AC2" w:rsidRPr="001D1C28" w:rsidRDefault="00853AC2" w:rsidP="00853AC2">
      <w:pPr>
        <w:pStyle w:val="Sinespaciado"/>
        <w:numPr>
          <w:ilvl w:val="0"/>
          <w:numId w:val="1"/>
        </w:numPr>
        <w:spacing w:before="240" w:line="360" w:lineRule="auto"/>
        <w:jc w:val="both"/>
        <w:rPr>
          <w:rFonts w:ascii="Palatino Linotype" w:hAnsi="Palatino Linotype" w:cs="Arial"/>
          <w:b/>
          <w:i/>
          <w:sz w:val="24"/>
        </w:rPr>
      </w:pPr>
      <w:r w:rsidRPr="001D1C28">
        <w:rPr>
          <w:rFonts w:ascii="Palatino Linotype" w:hAnsi="Palatino Linotype" w:cs="Arial"/>
          <w:b/>
          <w:i/>
          <w:sz w:val="24"/>
        </w:rPr>
        <w:t>Dispersión Nómina Julio _250818_134753.pdf:</w:t>
      </w:r>
      <w:r w:rsidR="005C3F4E" w:rsidRPr="001D1C28">
        <w:rPr>
          <w:rFonts w:ascii="Palatino Linotype" w:hAnsi="Palatino Linotype" w:cs="Arial"/>
          <w:b/>
          <w:i/>
          <w:sz w:val="24"/>
        </w:rPr>
        <w:t xml:space="preserve"> </w:t>
      </w:r>
      <w:r w:rsidR="005C3F4E" w:rsidRPr="001D1C28">
        <w:rPr>
          <w:rFonts w:ascii="Palatino Linotype" w:hAnsi="Palatino Linotype" w:cs="Arial"/>
          <w:sz w:val="24"/>
        </w:rPr>
        <w:t xml:space="preserve">contiene comprobantes de operación del mes de julio, no así la dispersión de nómina. </w:t>
      </w:r>
    </w:p>
    <w:p w:rsidR="00853AC2" w:rsidRPr="001D1C28" w:rsidRDefault="00853AC2" w:rsidP="00853AC2">
      <w:pPr>
        <w:pStyle w:val="Sinespaciado"/>
        <w:numPr>
          <w:ilvl w:val="0"/>
          <w:numId w:val="1"/>
        </w:numPr>
        <w:spacing w:before="240" w:line="360" w:lineRule="auto"/>
        <w:jc w:val="both"/>
        <w:rPr>
          <w:rFonts w:ascii="Palatino Linotype" w:hAnsi="Palatino Linotype" w:cs="Arial"/>
          <w:b/>
          <w:i/>
          <w:sz w:val="24"/>
        </w:rPr>
      </w:pPr>
      <w:r w:rsidRPr="001D1C28">
        <w:rPr>
          <w:rFonts w:ascii="Palatino Linotype" w:hAnsi="Palatino Linotype" w:cs="Arial"/>
          <w:b/>
          <w:i/>
          <w:sz w:val="24"/>
        </w:rPr>
        <w:t>Dispersión Nómina Enero_250818_133902.pdf:</w:t>
      </w:r>
      <w:r w:rsidR="005C3F4E" w:rsidRPr="001D1C28">
        <w:rPr>
          <w:rFonts w:ascii="Palatino Linotype" w:hAnsi="Palatino Linotype" w:cs="Arial"/>
          <w:sz w:val="24"/>
        </w:rPr>
        <w:t xml:space="preserve"> contiene comprobantes de operación del mes de enero, no así la dispersión de nómina.</w:t>
      </w:r>
    </w:p>
    <w:p w:rsidR="00853AC2" w:rsidRPr="001D1C28" w:rsidRDefault="00853AC2" w:rsidP="00853AC2">
      <w:pPr>
        <w:pStyle w:val="Sinespaciado"/>
        <w:numPr>
          <w:ilvl w:val="0"/>
          <w:numId w:val="1"/>
        </w:numPr>
        <w:spacing w:before="240" w:line="360" w:lineRule="auto"/>
        <w:jc w:val="both"/>
        <w:rPr>
          <w:rFonts w:ascii="Palatino Linotype" w:hAnsi="Palatino Linotype" w:cs="Arial"/>
          <w:b/>
          <w:i/>
          <w:sz w:val="24"/>
        </w:rPr>
      </w:pPr>
      <w:r w:rsidRPr="001D1C28">
        <w:rPr>
          <w:rFonts w:ascii="Palatino Linotype" w:hAnsi="Palatino Linotype" w:cs="Arial"/>
          <w:b/>
          <w:i/>
          <w:sz w:val="24"/>
        </w:rPr>
        <w:t>Dispersión Nómina Junio_250818_134637.pdf:</w:t>
      </w:r>
      <w:r w:rsidR="005C3F4E" w:rsidRPr="001D1C28">
        <w:rPr>
          <w:rFonts w:ascii="Palatino Linotype" w:hAnsi="Palatino Linotype" w:cs="Arial"/>
          <w:b/>
          <w:i/>
          <w:sz w:val="24"/>
        </w:rPr>
        <w:t xml:space="preserve"> </w:t>
      </w:r>
      <w:r w:rsidR="005C3F4E" w:rsidRPr="001D1C28">
        <w:rPr>
          <w:rFonts w:ascii="Palatino Linotype" w:hAnsi="Palatino Linotype" w:cs="Arial"/>
          <w:sz w:val="24"/>
        </w:rPr>
        <w:t>contiene comprobantes de operación del mes de junio, no así la dispersión de nómina</w:t>
      </w:r>
    </w:p>
    <w:p w:rsidR="00853AC2" w:rsidRPr="001D1C28" w:rsidRDefault="00853AC2" w:rsidP="00853AC2">
      <w:pPr>
        <w:pStyle w:val="Sinespaciado"/>
        <w:numPr>
          <w:ilvl w:val="0"/>
          <w:numId w:val="1"/>
        </w:numPr>
        <w:spacing w:before="240" w:line="360" w:lineRule="auto"/>
        <w:jc w:val="both"/>
        <w:rPr>
          <w:rFonts w:ascii="Palatino Linotype" w:hAnsi="Palatino Linotype" w:cs="Arial"/>
          <w:b/>
          <w:i/>
          <w:sz w:val="24"/>
        </w:rPr>
      </w:pPr>
      <w:r w:rsidRPr="001D1C28">
        <w:rPr>
          <w:rFonts w:ascii="Palatino Linotype" w:hAnsi="Palatino Linotype" w:cs="Arial"/>
          <w:b/>
          <w:i/>
          <w:sz w:val="24"/>
        </w:rPr>
        <w:lastRenderedPageBreak/>
        <w:t>Dispersión Nómina Abril_250818_134413.pdf:</w:t>
      </w:r>
      <w:r w:rsidR="005C3F4E" w:rsidRPr="001D1C28">
        <w:rPr>
          <w:rFonts w:ascii="Palatino Linotype" w:hAnsi="Palatino Linotype" w:cs="Arial"/>
          <w:b/>
          <w:i/>
          <w:sz w:val="24"/>
        </w:rPr>
        <w:t xml:space="preserve"> </w:t>
      </w:r>
      <w:r w:rsidR="005C3F4E" w:rsidRPr="001D1C28">
        <w:rPr>
          <w:rFonts w:ascii="Palatino Linotype" w:hAnsi="Palatino Linotype" w:cs="Arial"/>
          <w:sz w:val="24"/>
        </w:rPr>
        <w:t>contiene comprobantes de operación del mes de abril, no así la dispersión de nómina</w:t>
      </w:r>
    </w:p>
    <w:p w:rsidR="00853AC2" w:rsidRPr="001D1C28" w:rsidRDefault="00853AC2" w:rsidP="00853AC2">
      <w:pPr>
        <w:pStyle w:val="Sinespaciado"/>
        <w:numPr>
          <w:ilvl w:val="0"/>
          <w:numId w:val="1"/>
        </w:numPr>
        <w:spacing w:before="240" w:line="360" w:lineRule="auto"/>
        <w:jc w:val="both"/>
        <w:rPr>
          <w:rFonts w:ascii="Palatino Linotype" w:hAnsi="Palatino Linotype" w:cs="Arial"/>
          <w:b/>
          <w:i/>
          <w:sz w:val="24"/>
        </w:rPr>
      </w:pPr>
      <w:r w:rsidRPr="001D1C28">
        <w:rPr>
          <w:rFonts w:ascii="Palatino Linotype" w:hAnsi="Palatino Linotype" w:cs="Arial"/>
          <w:b/>
          <w:i/>
          <w:sz w:val="24"/>
        </w:rPr>
        <w:t>Dispersion Nomina Mayo_250818_134531.pdf:</w:t>
      </w:r>
      <w:r w:rsidR="005C3F4E" w:rsidRPr="001D1C28">
        <w:rPr>
          <w:rFonts w:ascii="Palatino Linotype" w:hAnsi="Palatino Linotype" w:cs="Arial"/>
          <w:b/>
          <w:i/>
          <w:sz w:val="24"/>
        </w:rPr>
        <w:t xml:space="preserve"> </w:t>
      </w:r>
      <w:r w:rsidR="005C3F4E" w:rsidRPr="001D1C28">
        <w:rPr>
          <w:rFonts w:ascii="Palatino Linotype" w:hAnsi="Palatino Linotype" w:cs="Arial"/>
          <w:sz w:val="24"/>
        </w:rPr>
        <w:t>contiene comprobantes de operación del mes de mayo, no así la dispersión de nómina</w:t>
      </w:r>
    </w:p>
    <w:p w:rsidR="00853AC2" w:rsidRPr="001D1C28" w:rsidRDefault="00853AC2" w:rsidP="00853AC2">
      <w:pPr>
        <w:pStyle w:val="Sinespaciado"/>
        <w:numPr>
          <w:ilvl w:val="0"/>
          <w:numId w:val="1"/>
        </w:numPr>
        <w:spacing w:before="240" w:line="360" w:lineRule="auto"/>
        <w:jc w:val="both"/>
        <w:rPr>
          <w:rFonts w:ascii="Palatino Linotype" w:hAnsi="Palatino Linotype" w:cs="Arial"/>
          <w:b/>
          <w:i/>
          <w:sz w:val="24"/>
        </w:rPr>
      </w:pPr>
      <w:r w:rsidRPr="001D1C28">
        <w:rPr>
          <w:rFonts w:ascii="Palatino Linotype" w:hAnsi="Palatino Linotype" w:cs="Arial"/>
          <w:b/>
          <w:i/>
          <w:sz w:val="24"/>
        </w:rPr>
        <w:t>Dispersión Nómina Febrero_250818_134027.pdf:</w:t>
      </w:r>
      <w:r w:rsidR="005C3F4E" w:rsidRPr="001D1C28">
        <w:rPr>
          <w:rFonts w:ascii="Palatino Linotype" w:hAnsi="Palatino Linotype" w:cs="Arial"/>
          <w:b/>
          <w:i/>
          <w:sz w:val="24"/>
        </w:rPr>
        <w:t xml:space="preserve"> </w:t>
      </w:r>
      <w:r w:rsidR="005C3F4E" w:rsidRPr="001D1C28">
        <w:rPr>
          <w:rFonts w:ascii="Palatino Linotype" w:hAnsi="Palatino Linotype" w:cs="Arial"/>
          <w:sz w:val="24"/>
        </w:rPr>
        <w:t>contiene comprobantes de operación del mes de febrero, no así la dispersión de nómina</w:t>
      </w:r>
    </w:p>
    <w:p w:rsidR="00853AC2" w:rsidRPr="001D1C28" w:rsidRDefault="00853AC2" w:rsidP="00853AC2">
      <w:pPr>
        <w:pStyle w:val="Sinespaciado"/>
        <w:numPr>
          <w:ilvl w:val="0"/>
          <w:numId w:val="1"/>
        </w:numPr>
        <w:spacing w:before="240" w:line="360" w:lineRule="auto"/>
        <w:jc w:val="both"/>
        <w:rPr>
          <w:rFonts w:ascii="Palatino Linotype" w:hAnsi="Palatino Linotype" w:cs="Arial"/>
          <w:b/>
          <w:i/>
          <w:sz w:val="24"/>
        </w:rPr>
      </w:pPr>
      <w:r w:rsidRPr="001D1C28">
        <w:rPr>
          <w:rFonts w:ascii="Palatino Linotype" w:hAnsi="Palatino Linotype" w:cs="Arial"/>
          <w:b/>
          <w:i/>
          <w:sz w:val="24"/>
        </w:rPr>
        <w:t>Dispersión Nómina Marzo_250818_134234.pdf:</w:t>
      </w:r>
      <w:r w:rsidR="005C3F4E" w:rsidRPr="001D1C28">
        <w:rPr>
          <w:rFonts w:ascii="Palatino Linotype" w:hAnsi="Palatino Linotype" w:cs="Arial"/>
          <w:b/>
          <w:i/>
          <w:sz w:val="24"/>
        </w:rPr>
        <w:t xml:space="preserve"> </w:t>
      </w:r>
      <w:r w:rsidR="005C3F4E" w:rsidRPr="001D1C28">
        <w:rPr>
          <w:rFonts w:ascii="Palatino Linotype" w:hAnsi="Palatino Linotype" w:cs="Arial"/>
          <w:sz w:val="24"/>
        </w:rPr>
        <w:t>contiene comprobantes de operación del mes de marzo, no así la dispersión de nómina</w:t>
      </w:r>
    </w:p>
    <w:p w:rsidR="00293CC4" w:rsidRPr="001D1C28" w:rsidRDefault="00853AC2" w:rsidP="00853AC2">
      <w:pPr>
        <w:pStyle w:val="Sinespaciado"/>
        <w:numPr>
          <w:ilvl w:val="0"/>
          <w:numId w:val="1"/>
        </w:numPr>
        <w:spacing w:before="240" w:line="360" w:lineRule="auto"/>
        <w:jc w:val="both"/>
        <w:rPr>
          <w:rFonts w:ascii="Palatino Linotype" w:hAnsi="Palatino Linotype" w:cs="Arial"/>
          <w:b/>
          <w:i/>
          <w:sz w:val="24"/>
        </w:rPr>
      </w:pPr>
      <w:r w:rsidRPr="001D1C28">
        <w:rPr>
          <w:rFonts w:ascii="Palatino Linotype" w:hAnsi="Palatino Linotype" w:cs="Arial"/>
          <w:b/>
          <w:i/>
          <w:sz w:val="24"/>
        </w:rPr>
        <w:t>ST 6870.pdf</w:t>
      </w:r>
      <w:r w:rsidR="00293CC4" w:rsidRPr="001D1C28">
        <w:rPr>
          <w:rFonts w:ascii="Palatino Linotype" w:hAnsi="Palatino Linotype" w:cs="Arial"/>
          <w:b/>
          <w:i/>
          <w:sz w:val="24"/>
        </w:rPr>
        <w:t xml:space="preserve">: </w:t>
      </w:r>
      <w:r w:rsidR="00293CC4" w:rsidRPr="001D1C28">
        <w:rPr>
          <w:rFonts w:ascii="Palatino Linotype" w:hAnsi="Palatino Linotype" w:cs="Arial"/>
          <w:sz w:val="24"/>
        </w:rPr>
        <w:t xml:space="preserve">oficio número </w:t>
      </w:r>
      <w:r w:rsidR="005C3F4E" w:rsidRPr="001D1C28">
        <w:rPr>
          <w:rFonts w:ascii="Palatino Linotype" w:hAnsi="Palatino Linotype" w:cs="Arial"/>
          <w:sz w:val="24"/>
        </w:rPr>
        <w:t>DA</w:t>
      </w:r>
      <w:r w:rsidR="00293CC4" w:rsidRPr="001D1C28">
        <w:rPr>
          <w:rFonts w:ascii="Palatino Linotype" w:hAnsi="Palatino Linotype" w:cs="Arial"/>
          <w:sz w:val="24"/>
        </w:rPr>
        <w:t>/</w:t>
      </w:r>
      <w:r w:rsidR="005C3F4E" w:rsidRPr="001D1C28">
        <w:rPr>
          <w:rFonts w:ascii="Palatino Linotype" w:hAnsi="Palatino Linotype" w:cs="Arial"/>
          <w:sz w:val="24"/>
        </w:rPr>
        <w:t>S</w:t>
      </w:r>
      <w:r w:rsidR="00293CC4" w:rsidRPr="001D1C28">
        <w:rPr>
          <w:rFonts w:ascii="Palatino Linotype" w:hAnsi="Palatino Linotype" w:cs="Arial"/>
          <w:sz w:val="24"/>
        </w:rPr>
        <w:t>T/</w:t>
      </w:r>
      <w:r w:rsidR="005C3F4E" w:rsidRPr="001D1C28">
        <w:rPr>
          <w:rFonts w:ascii="Palatino Linotype" w:hAnsi="Palatino Linotype" w:cs="Arial"/>
          <w:sz w:val="24"/>
        </w:rPr>
        <w:t>6870</w:t>
      </w:r>
      <w:r w:rsidR="00293CC4" w:rsidRPr="001D1C28">
        <w:rPr>
          <w:rFonts w:ascii="Palatino Linotype" w:hAnsi="Palatino Linotype" w:cs="Arial"/>
          <w:sz w:val="24"/>
        </w:rPr>
        <w:t>/202</w:t>
      </w:r>
      <w:r w:rsidR="005C3F4E" w:rsidRPr="001D1C28">
        <w:rPr>
          <w:rFonts w:ascii="Palatino Linotype" w:hAnsi="Palatino Linotype" w:cs="Arial"/>
          <w:sz w:val="24"/>
        </w:rPr>
        <w:t>5</w:t>
      </w:r>
      <w:r w:rsidR="00293CC4" w:rsidRPr="001D1C28">
        <w:rPr>
          <w:rFonts w:ascii="Palatino Linotype" w:hAnsi="Palatino Linotype" w:cs="Arial"/>
          <w:sz w:val="24"/>
        </w:rPr>
        <w:t>, firmado por el Director</w:t>
      </w:r>
      <w:r w:rsidR="005C3F4E" w:rsidRPr="001D1C28">
        <w:rPr>
          <w:rFonts w:ascii="Palatino Linotype" w:hAnsi="Palatino Linotype" w:cs="Arial"/>
          <w:sz w:val="24"/>
        </w:rPr>
        <w:t xml:space="preserve"> de Administración</w:t>
      </w:r>
      <w:r w:rsidR="00293CC4" w:rsidRPr="001D1C28">
        <w:rPr>
          <w:rFonts w:ascii="Palatino Linotype" w:hAnsi="Palatino Linotype" w:cs="Arial"/>
          <w:sz w:val="24"/>
        </w:rPr>
        <w:t xml:space="preserve">, en el que refiere </w:t>
      </w:r>
      <w:r w:rsidR="005C3F4E" w:rsidRPr="001D1C28">
        <w:rPr>
          <w:rFonts w:ascii="Palatino Linotype" w:hAnsi="Palatino Linotype" w:cs="Arial"/>
          <w:sz w:val="24"/>
        </w:rPr>
        <w:t>que no cuenta con facultades para generar la información, siendo competencia del Tesorero Municipal.</w:t>
      </w:r>
    </w:p>
    <w:p w:rsidR="00293CC4" w:rsidRPr="001D1C28" w:rsidRDefault="00293CC4" w:rsidP="00293CC4">
      <w:pPr>
        <w:spacing w:line="360" w:lineRule="auto"/>
        <w:jc w:val="both"/>
        <w:rPr>
          <w:rFonts w:ascii="Palatino Linotype" w:hAnsi="Palatino Linotype" w:cs="Arial"/>
          <w:bCs/>
        </w:rPr>
      </w:pPr>
    </w:p>
    <w:p w:rsidR="00293CC4" w:rsidRPr="001D1C28" w:rsidRDefault="00293CC4" w:rsidP="00293CC4">
      <w:pPr>
        <w:spacing w:line="360" w:lineRule="auto"/>
        <w:jc w:val="both"/>
        <w:rPr>
          <w:rFonts w:ascii="Palatino Linotype" w:hAnsi="Palatino Linotype"/>
          <w:b/>
          <w:i/>
          <w:u w:val="single"/>
        </w:rPr>
      </w:pPr>
      <w:r w:rsidRPr="001D1C28">
        <w:rPr>
          <w:rFonts w:ascii="Palatino Linotype" w:hAnsi="Palatino Linotype" w:cs="Arial"/>
          <w:bCs/>
        </w:rPr>
        <w:t xml:space="preserve">Es así como, derivado de la respuesta emitida por </w:t>
      </w:r>
      <w:r w:rsidRPr="001D1C28">
        <w:rPr>
          <w:rFonts w:ascii="Palatino Linotype" w:hAnsi="Palatino Linotype" w:cs="Arial"/>
          <w:b/>
          <w:bCs/>
        </w:rPr>
        <w:t>El Sujeto Obligado</w:t>
      </w:r>
      <w:r w:rsidRPr="001D1C28">
        <w:rPr>
          <w:rFonts w:ascii="Palatino Linotype" w:hAnsi="Palatino Linotype" w:cs="Arial"/>
          <w:bCs/>
        </w:rPr>
        <w:t xml:space="preserve">, </w:t>
      </w:r>
      <w:r w:rsidRPr="001D1C28">
        <w:rPr>
          <w:rFonts w:ascii="Palatino Linotype" w:hAnsi="Palatino Linotype" w:cs="Arial"/>
          <w:b/>
          <w:bCs/>
        </w:rPr>
        <w:t>el Recurrente</w:t>
      </w:r>
      <w:r w:rsidRPr="001D1C28">
        <w:rPr>
          <w:rFonts w:ascii="Palatino Linotype" w:hAnsi="Palatino Linotype" w:cs="Arial"/>
          <w:bCs/>
        </w:rPr>
        <w:t>, interpuso el presente recurso de revisión, señalando sustancialmente como sus razones o motivos de inconformidad, lo siguiente:</w:t>
      </w:r>
      <w:r w:rsidRPr="001D1C28" w:rsidDel="00107C3B">
        <w:rPr>
          <w:rFonts w:ascii="Palatino Linotype" w:hAnsi="Palatino Linotype"/>
          <w:b/>
          <w:i/>
        </w:rPr>
        <w:t xml:space="preserve"> </w:t>
      </w:r>
      <w:r w:rsidRPr="001D1C28">
        <w:rPr>
          <w:rFonts w:ascii="Palatino Linotype" w:hAnsi="Palatino Linotype"/>
          <w:i/>
        </w:rPr>
        <w:t>“</w:t>
      </w:r>
      <w:r w:rsidR="005C3F4E" w:rsidRPr="001D1C28">
        <w:rPr>
          <w:rFonts w:ascii="Palatino Linotype" w:hAnsi="Palatino Linotype"/>
          <w:i/>
        </w:rPr>
        <w:t>No envían lo que solicite</w:t>
      </w:r>
      <w:r w:rsidRPr="001D1C28">
        <w:rPr>
          <w:rFonts w:ascii="Palatino Linotype" w:hAnsi="Palatino Linotype"/>
          <w:i/>
        </w:rPr>
        <w:t>” (Sic).</w:t>
      </w:r>
    </w:p>
    <w:p w:rsidR="00293CC4" w:rsidRPr="001D1C28" w:rsidRDefault="00293CC4" w:rsidP="00293CC4">
      <w:pPr>
        <w:spacing w:line="360" w:lineRule="auto"/>
        <w:jc w:val="both"/>
        <w:rPr>
          <w:rFonts w:ascii="Palatino Linotype" w:hAnsi="Palatino Linotype"/>
        </w:rPr>
      </w:pPr>
      <w:r w:rsidRPr="001D1C28">
        <w:rPr>
          <w:rFonts w:ascii="Palatino Linotype" w:hAnsi="Palatino Linotype"/>
          <w:i/>
        </w:rPr>
        <w:t xml:space="preserve"> </w:t>
      </w:r>
    </w:p>
    <w:p w:rsidR="00293CC4" w:rsidRPr="001D1C28" w:rsidRDefault="00293CC4" w:rsidP="00293CC4">
      <w:pPr>
        <w:spacing w:line="360" w:lineRule="auto"/>
        <w:jc w:val="both"/>
        <w:rPr>
          <w:rFonts w:ascii="Palatino Linotype" w:eastAsia="Calibri" w:hAnsi="Palatino Linotype" w:cs="Calibri"/>
          <w:lang w:val="es-ES_tradnl" w:eastAsia="es-MX"/>
        </w:rPr>
      </w:pPr>
      <w:r w:rsidRPr="001D1C28">
        <w:rPr>
          <w:rFonts w:ascii="Palatino Linotype" w:eastAsia="Calibri" w:hAnsi="Palatino Linotype" w:cs="Calibri"/>
          <w:lang w:val="es-ES_tradnl" w:eastAsia="es-MX"/>
        </w:rPr>
        <w:t>De las constancias que obran en el expediente electrónico del SAIMEX, se advierte que el Sujeto Obligado rindió su informe justificado por medio de</w:t>
      </w:r>
      <w:r w:rsidR="00B20036" w:rsidRPr="001D1C28">
        <w:rPr>
          <w:rFonts w:ascii="Palatino Linotype" w:eastAsia="Calibri" w:hAnsi="Palatino Linotype" w:cs="Calibri"/>
          <w:lang w:val="es-ES_tradnl" w:eastAsia="es-MX"/>
        </w:rPr>
        <w:t xml:space="preserve"> </w:t>
      </w:r>
      <w:r w:rsidRPr="001D1C28">
        <w:rPr>
          <w:rFonts w:ascii="Palatino Linotype" w:eastAsia="Calibri" w:hAnsi="Palatino Linotype" w:cs="Calibri"/>
          <w:lang w:val="es-ES_tradnl" w:eastAsia="es-MX"/>
        </w:rPr>
        <w:t>l</w:t>
      </w:r>
      <w:r w:rsidR="00B20036" w:rsidRPr="001D1C28">
        <w:rPr>
          <w:rFonts w:ascii="Palatino Linotype" w:eastAsia="Calibri" w:hAnsi="Palatino Linotype" w:cs="Calibri"/>
          <w:lang w:val="es-ES_tradnl" w:eastAsia="es-MX"/>
        </w:rPr>
        <w:t>os</w:t>
      </w:r>
      <w:r w:rsidRPr="001D1C28">
        <w:rPr>
          <w:rFonts w:ascii="Palatino Linotype" w:eastAsia="Calibri" w:hAnsi="Palatino Linotype" w:cs="Calibri"/>
          <w:lang w:val="es-ES_tradnl" w:eastAsia="es-MX"/>
        </w:rPr>
        <w:t xml:space="preserve"> archivo</w:t>
      </w:r>
      <w:r w:rsidR="00B20036" w:rsidRPr="001D1C28">
        <w:rPr>
          <w:rFonts w:ascii="Palatino Linotype" w:eastAsia="Calibri" w:hAnsi="Palatino Linotype" w:cs="Calibri"/>
          <w:lang w:val="es-ES_tradnl" w:eastAsia="es-MX"/>
        </w:rPr>
        <w:t>s</w:t>
      </w:r>
      <w:r w:rsidRPr="001D1C28">
        <w:rPr>
          <w:rFonts w:ascii="Palatino Linotype" w:eastAsia="Calibri" w:hAnsi="Palatino Linotype" w:cs="Calibri"/>
          <w:lang w:val="es-ES_tradnl" w:eastAsia="es-MX"/>
        </w:rPr>
        <w:t xml:space="preserve"> electrónico</w:t>
      </w:r>
      <w:r w:rsidR="00B20036" w:rsidRPr="001D1C28">
        <w:rPr>
          <w:rFonts w:ascii="Palatino Linotype" w:eastAsia="Calibri" w:hAnsi="Palatino Linotype" w:cs="Calibri"/>
          <w:lang w:val="es-ES_tradnl" w:eastAsia="es-MX"/>
        </w:rPr>
        <w:t xml:space="preserve">s denominados </w:t>
      </w:r>
      <w:r w:rsidR="00B20036" w:rsidRPr="001D1C28">
        <w:rPr>
          <w:rFonts w:ascii="Palatino Linotype" w:hAnsi="Palatino Linotype" w:cs="Arial"/>
        </w:rPr>
        <w:t>“</w:t>
      </w:r>
      <w:r w:rsidR="00B20036" w:rsidRPr="001D1C28">
        <w:rPr>
          <w:rFonts w:ascii="Palatino Linotype" w:hAnsi="Palatino Linotype" w:cs="Arial"/>
          <w:b/>
          <w:i/>
        </w:rPr>
        <w:t xml:space="preserve">[Untitled]_2025092613503115_1-2.pdf”, “[Untitled]_2025092613505246_1-2.pdf”, “[Untitled]_2025092613505246_2-2.pdf” </w:t>
      </w:r>
      <w:r w:rsidR="00B20036" w:rsidRPr="001D1C28">
        <w:rPr>
          <w:rFonts w:ascii="Palatino Linotype" w:hAnsi="Palatino Linotype" w:cs="Arial"/>
        </w:rPr>
        <w:t>y</w:t>
      </w:r>
      <w:r w:rsidR="00B20036" w:rsidRPr="001D1C28">
        <w:rPr>
          <w:rFonts w:ascii="Palatino Linotype" w:hAnsi="Palatino Linotype" w:cs="Arial"/>
          <w:b/>
          <w:i/>
        </w:rPr>
        <w:t xml:space="preserve"> “[Untitled]_2025092613503115_2-2.pdf”</w:t>
      </w:r>
      <w:r w:rsidRPr="001D1C28">
        <w:rPr>
          <w:rFonts w:ascii="Palatino Linotype" w:eastAsia="Calibri" w:hAnsi="Palatino Linotype" w:cs="Calibri"/>
          <w:lang w:val="es-ES_tradnl" w:eastAsia="es-MX"/>
        </w:rPr>
        <w:t>, e</w:t>
      </w:r>
      <w:r w:rsidR="00B20036" w:rsidRPr="001D1C28">
        <w:rPr>
          <w:rFonts w:ascii="Palatino Linotype" w:eastAsia="Calibri" w:hAnsi="Palatino Linotype" w:cs="Calibri"/>
          <w:lang w:val="es-ES_tradnl" w:eastAsia="es-MX"/>
        </w:rPr>
        <w:t>n los</w:t>
      </w:r>
      <w:r w:rsidRPr="001D1C28">
        <w:rPr>
          <w:rFonts w:ascii="Palatino Linotype" w:eastAsia="Calibri" w:hAnsi="Palatino Linotype" w:cs="Calibri"/>
          <w:lang w:val="es-ES_tradnl" w:eastAsia="es-MX"/>
        </w:rPr>
        <w:t xml:space="preserve"> que ratifica su respuesta.</w:t>
      </w:r>
    </w:p>
    <w:p w:rsidR="00293CC4" w:rsidRPr="001D1C28" w:rsidRDefault="00293CC4" w:rsidP="00293CC4">
      <w:pPr>
        <w:autoSpaceDE w:val="0"/>
        <w:autoSpaceDN w:val="0"/>
        <w:adjustRightInd w:val="0"/>
        <w:spacing w:line="360" w:lineRule="auto"/>
        <w:jc w:val="both"/>
        <w:rPr>
          <w:rFonts w:ascii="Palatino Linotype" w:hAnsi="Palatino Linotype" w:cs="Arial"/>
        </w:rPr>
      </w:pPr>
    </w:p>
    <w:p w:rsidR="0075429A" w:rsidRPr="001D1C28" w:rsidRDefault="0075429A" w:rsidP="00293CC4">
      <w:pPr>
        <w:autoSpaceDE w:val="0"/>
        <w:autoSpaceDN w:val="0"/>
        <w:adjustRightInd w:val="0"/>
        <w:spacing w:line="360" w:lineRule="auto"/>
        <w:jc w:val="both"/>
        <w:rPr>
          <w:rFonts w:ascii="Palatino Linotype" w:hAnsi="Palatino Linotype" w:cs="Arial"/>
        </w:rPr>
      </w:pPr>
    </w:p>
    <w:p w:rsidR="00293CC4" w:rsidRPr="001D1C28" w:rsidRDefault="00293CC4" w:rsidP="00293CC4">
      <w:pPr>
        <w:autoSpaceDE w:val="0"/>
        <w:autoSpaceDN w:val="0"/>
        <w:adjustRightInd w:val="0"/>
        <w:spacing w:line="360" w:lineRule="auto"/>
        <w:jc w:val="both"/>
        <w:rPr>
          <w:rFonts w:ascii="Palatino Linotype" w:hAnsi="Palatino Linotype" w:cs="Arial"/>
        </w:rPr>
      </w:pPr>
      <w:r w:rsidRPr="001D1C28">
        <w:rPr>
          <w:rFonts w:ascii="Palatino Linotype" w:hAnsi="Palatino Linotype" w:cs="Arial"/>
        </w:rPr>
        <w:lastRenderedPageBreak/>
        <w:t>Del estudio realizado, es necesario acotar si el Sujeto Obligado colmó el derecho de acceso a la información pública mediante respuesta:</w:t>
      </w:r>
    </w:p>
    <w:tbl>
      <w:tblPr>
        <w:tblStyle w:val="Tablaconcuadrcula"/>
        <w:tblW w:w="915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537"/>
        <w:gridCol w:w="5245"/>
        <w:gridCol w:w="1372"/>
      </w:tblGrid>
      <w:tr w:rsidR="00293CC4" w:rsidRPr="001D1C28" w:rsidTr="00785A65">
        <w:trPr>
          <w:trHeight w:val="396"/>
        </w:trPr>
        <w:tc>
          <w:tcPr>
            <w:tcW w:w="2537" w:type="dxa"/>
            <w:shd w:val="clear" w:color="auto" w:fill="E7E6E6" w:themeFill="background2"/>
          </w:tcPr>
          <w:p w:rsidR="00293CC4" w:rsidRPr="001D1C28" w:rsidRDefault="00293CC4" w:rsidP="00785A65">
            <w:pPr>
              <w:spacing w:line="360" w:lineRule="auto"/>
              <w:jc w:val="center"/>
              <w:rPr>
                <w:rFonts w:ascii="Palatino Linotype" w:hAnsi="Palatino Linotype"/>
                <w:b/>
                <w:i/>
                <w:color w:val="000000"/>
              </w:rPr>
            </w:pPr>
            <w:r w:rsidRPr="001D1C28">
              <w:rPr>
                <w:rFonts w:ascii="Palatino Linotype" w:hAnsi="Palatino Linotype"/>
                <w:b/>
                <w:i/>
                <w:color w:val="000000"/>
              </w:rPr>
              <w:t>Requerimientos</w:t>
            </w:r>
          </w:p>
        </w:tc>
        <w:tc>
          <w:tcPr>
            <w:tcW w:w="5245" w:type="dxa"/>
            <w:shd w:val="clear" w:color="auto" w:fill="E7E6E6" w:themeFill="background2"/>
          </w:tcPr>
          <w:p w:rsidR="00293CC4" w:rsidRPr="001D1C28" w:rsidRDefault="00293CC4" w:rsidP="00785A65">
            <w:pPr>
              <w:spacing w:line="360" w:lineRule="auto"/>
              <w:jc w:val="center"/>
              <w:rPr>
                <w:rFonts w:ascii="Palatino Linotype" w:hAnsi="Palatino Linotype"/>
                <w:b/>
                <w:i/>
                <w:color w:val="000000"/>
              </w:rPr>
            </w:pPr>
            <w:r w:rsidRPr="001D1C28">
              <w:rPr>
                <w:rFonts w:ascii="Palatino Linotype" w:hAnsi="Palatino Linotype"/>
                <w:b/>
                <w:i/>
                <w:color w:val="000000"/>
              </w:rPr>
              <w:t>Respuesta</w:t>
            </w:r>
          </w:p>
        </w:tc>
        <w:tc>
          <w:tcPr>
            <w:tcW w:w="1372" w:type="dxa"/>
            <w:shd w:val="clear" w:color="auto" w:fill="E7E6E6" w:themeFill="background2"/>
          </w:tcPr>
          <w:p w:rsidR="00293CC4" w:rsidRPr="001D1C28" w:rsidRDefault="00293CC4" w:rsidP="00785A65">
            <w:pPr>
              <w:spacing w:line="360" w:lineRule="auto"/>
              <w:jc w:val="center"/>
              <w:rPr>
                <w:rFonts w:ascii="Palatino Linotype" w:hAnsi="Palatino Linotype"/>
                <w:b/>
                <w:i/>
                <w:color w:val="000000"/>
              </w:rPr>
            </w:pPr>
            <w:r w:rsidRPr="001D1C28">
              <w:rPr>
                <w:rFonts w:ascii="Palatino Linotype" w:hAnsi="Palatino Linotype"/>
                <w:b/>
                <w:i/>
                <w:color w:val="000000"/>
              </w:rPr>
              <w:t>Colma</w:t>
            </w:r>
          </w:p>
        </w:tc>
      </w:tr>
      <w:tr w:rsidR="00293CC4" w:rsidRPr="001D1C28" w:rsidTr="00785A65">
        <w:trPr>
          <w:trHeight w:val="1393"/>
        </w:trPr>
        <w:tc>
          <w:tcPr>
            <w:tcW w:w="2537" w:type="dxa"/>
            <w:shd w:val="clear" w:color="auto" w:fill="auto"/>
          </w:tcPr>
          <w:p w:rsidR="00293CC4" w:rsidRPr="001D1C28" w:rsidRDefault="00B20036" w:rsidP="00B20036">
            <w:pPr>
              <w:tabs>
                <w:tab w:val="left" w:pos="1828"/>
              </w:tabs>
              <w:jc w:val="both"/>
              <w:rPr>
                <w:rFonts w:ascii="Palatino Linotype" w:hAnsi="Palatino Linotype"/>
                <w:color w:val="000000"/>
                <w:sz w:val="22"/>
              </w:rPr>
            </w:pPr>
            <w:r w:rsidRPr="001D1C28">
              <w:rPr>
                <w:rFonts w:ascii="Palatino Linotype" w:hAnsi="Palatino Linotype"/>
                <w:color w:val="000000"/>
                <w:sz w:val="22"/>
              </w:rPr>
              <w:t>Solicito la dispersión de nómina de enero 2025 a la fecha de la solicitud</w:t>
            </w:r>
          </w:p>
        </w:tc>
        <w:tc>
          <w:tcPr>
            <w:tcW w:w="5245" w:type="dxa"/>
            <w:shd w:val="clear" w:color="auto" w:fill="auto"/>
          </w:tcPr>
          <w:p w:rsidR="00293CC4" w:rsidRPr="001D1C28" w:rsidRDefault="00B20036" w:rsidP="00785A65">
            <w:pPr>
              <w:jc w:val="both"/>
              <w:rPr>
                <w:rFonts w:ascii="Palatino Linotype" w:hAnsi="Palatino Linotype"/>
                <w:color w:val="000000"/>
                <w:sz w:val="22"/>
              </w:rPr>
            </w:pPr>
            <w:r w:rsidRPr="001D1C28">
              <w:rPr>
                <w:rFonts w:ascii="Palatino Linotype" w:hAnsi="Palatino Linotype"/>
                <w:color w:val="000000"/>
                <w:sz w:val="22"/>
              </w:rPr>
              <w:t>El Tesorero envía comprobantes de operaciones bancarias, no así la dispersión.</w:t>
            </w:r>
          </w:p>
          <w:p w:rsidR="00B20036" w:rsidRPr="001D1C28" w:rsidRDefault="00B20036" w:rsidP="00785A65">
            <w:pPr>
              <w:jc w:val="both"/>
              <w:rPr>
                <w:rFonts w:ascii="Palatino Linotype" w:hAnsi="Palatino Linotype"/>
                <w:color w:val="000000"/>
                <w:sz w:val="22"/>
              </w:rPr>
            </w:pPr>
            <w:r w:rsidRPr="001D1C28">
              <w:rPr>
                <w:rFonts w:ascii="Palatino Linotype" w:hAnsi="Palatino Linotype"/>
                <w:color w:val="000000"/>
                <w:sz w:val="22"/>
              </w:rPr>
              <w:t>Por lo que hace a la conciliación de nómina, refiere que el área competente es la D. de Administración.</w:t>
            </w:r>
          </w:p>
        </w:tc>
        <w:tc>
          <w:tcPr>
            <w:tcW w:w="1372" w:type="dxa"/>
            <w:shd w:val="clear" w:color="auto" w:fill="auto"/>
          </w:tcPr>
          <w:p w:rsidR="00293CC4" w:rsidRPr="001D1C28" w:rsidRDefault="00B20036" w:rsidP="00785A65">
            <w:pPr>
              <w:jc w:val="center"/>
              <w:rPr>
                <w:rFonts w:ascii="Palatino Linotype" w:hAnsi="Palatino Linotype"/>
                <w:b/>
                <w:i/>
                <w:color w:val="000000"/>
              </w:rPr>
            </w:pPr>
            <w:r w:rsidRPr="001D1C28">
              <w:rPr>
                <w:rFonts w:ascii="Palatino Linotype" w:hAnsi="Palatino Linotype"/>
                <w:b/>
                <w:i/>
                <w:color w:val="000000"/>
              </w:rPr>
              <w:t>No</w:t>
            </w:r>
          </w:p>
        </w:tc>
      </w:tr>
      <w:tr w:rsidR="00293CC4" w:rsidRPr="001D1C28" w:rsidTr="00785A65">
        <w:trPr>
          <w:trHeight w:val="1393"/>
        </w:trPr>
        <w:tc>
          <w:tcPr>
            <w:tcW w:w="2537" w:type="dxa"/>
            <w:shd w:val="clear" w:color="auto" w:fill="auto"/>
          </w:tcPr>
          <w:p w:rsidR="00293CC4" w:rsidRPr="001D1C28" w:rsidRDefault="00B20036" w:rsidP="00B20036">
            <w:pPr>
              <w:tabs>
                <w:tab w:val="left" w:pos="1828"/>
              </w:tabs>
              <w:jc w:val="both"/>
              <w:rPr>
                <w:rFonts w:ascii="Palatino Linotype" w:hAnsi="Palatino Linotype"/>
                <w:color w:val="000000"/>
                <w:sz w:val="22"/>
              </w:rPr>
            </w:pPr>
            <w:r w:rsidRPr="001D1C28">
              <w:rPr>
                <w:rFonts w:ascii="Palatino Linotype" w:hAnsi="Palatino Linotype"/>
                <w:color w:val="000000"/>
                <w:sz w:val="22"/>
              </w:rPr>
              <w:t>Solicito la conciliación de nómina de enero 2025 a la fecha de la solicitud</w:t>
            </w:r>
          </w:p>
        </w:tc>
        <w:tc>
          <w:tcPr>
            <w:tcW w:w="5245" w:type="dxa"/>
            <w:shd w:val="clear" w:color="auto" w:fill="auto"/>
          </w:tcPr>
          <w:p w:rsidR="00293CC4" w:rsidRPr="001D1C28" w:rsidRDefault="0075429A" w:rsidP="00785A65">
            <w:pPr>
              <w:jc w:val="both"/>
              <w:rPr>
                <w:rFonts w:ascii="Palatino Linotype" w:hAnsi="Palatino Linotype"/>
                <w:color w:val="000000"/>
                <w:sz w:val="22"/>
              </w:rPr>
            </w:pPr>
            <w:r w:rsidRPr="001D1C28">
              <w:rPr>
                <w:rFonts w:ascii="Palatino Linotype" w:hAnsi="Palatino Linotype"/>
                <w:color w:val="000000"/>
                <w:sz w:val="22"/>
              </w:rPr>
              <w:t>El Director de Administración refiere que es competencia del Tesorero Municipal.</w:t>
            </w:r>
          </w:p>
        </w:tc>
        <w:tc>
          <w:tcPr>
            <w:tcW w:w="1372" w:type="dxa"/>
            <w:shd w:val="clear" w:color="auto" w:fill="auto"/>
          </w:tcPr>
          <w:p w:rsidR="00293CC4" w:rsidRPr="001D1C28" w:rsidRDefault="00B20036" w:rsidP="00785A65">
            <w:pPr>
              <w:jc w:val="center"/>
              <w:rPr>
                <w:rFonts w:ascii="Palatino Linotype" w:hAnsi="Palatino Linotype"/>
                <w:b/>
                <w:i/>
                <w:color w:val="000000"/>
              </w:rPr>
            </w:pPr>
            <w:r w:rsidRPr="001D1C28">
              <w:rPr>
                <w:rFonts w:ascii="Palatino Linotype" w:hAnsi="Palatino Linotype"/>
                <w:b/>
                <w:i/>
                <w:color w:val="000000"/>
              </w:rPr>
              <w:t xml:space="preserve">No </w:t>
            </w:r>
          </w:p>
        </w:tc>
      </w:tr>
    </w:tbl>
    <w:p w:rsidR="00293CC4" w:rsidRPr="001D1C28" w:rsidRDefault="00293CC4" w:rsidP="00293CC4">
      <w:pPr>
        <w:spacing w:line="360" w:lineRule="auto"/>
        <w:jc w:val="both"/>
        <w:rPr>
          <w:rFonts w:ascii="Palatino Linotype" w:hAnsi="Palatino Linotype"/>
          <w:color w:val="000000"/>
        </w:rPr>
      </w:pPr>
    </w:p>
    <w:p w:rsidR="0075429A" w:rsidRPr="001D1C28" w:rsidRDefault="0075429A" w:rsidP="00293CC4">
      <w:pPr>
        <w:spacing w:line="360" w:lineRule="auto"/>
        <w:jc w:val="both"/>
        <w:rPr>
          <w:rFonts w:ascii="Palatino Linotype" w:hAnsi="Palatino Linotype"/>
          <w:color w:val="000000"/>
        </w:rPr>
      </w:pPr>
      <w:r w:rsidRPr="001D1C28">
        <w:rPr>
          <w:rFonts w:ascii="Palatino Linotype" w:hAnsi="Palatino Linotype"/>
          <w:color w:val="000000"/>
        </w:rPr>
        <w:t xml:space="preserve">En primer término, es necesario traer a colación el </w:t>
      </w:r>
      <w:r w:rsidR="00670D95" w:rsidRPr="001D1C28">
        <w:rPr>
          <w:rFonts w:ascii="Palatino Linotype" w:hAnsi="Palatino Linotype"/>
          <w:color w:val="000000"/>
        </w:rPr>
        <w:t>organigrama del Sujeto Obligado:</w:t>
      </w:r>
    </w:p>
    <w:p w:rsidR="00670D95" w:rsidRPr="001D1C28" w:rsidRDefault="00670D95" w:rsidP="00670D95">
      <w:pPr>
        <w:spacing w:line="360" w:lineRule="auto"/>
        <w:jc w:val="center"/>
        <w:rPr>
          <w:rFonts w:ascii="Palatino Linotype" w:hAnsi="Palatino Linotype"/>
          <w:color w:val="000000"/>
        </w:rPr>
      </w:pPr>
      <w:r w:rsidRPr="001D1C28">
        <w:rPr>
          <w:rFonts w:ascii="Palatino Linotype" w:hAnsi="Palatino Linotype"/>
          <w:noProof/>
          <w:color w:val="000000"/>
          <w:lang w:val="es-MX" w:eastAsia="es-MX"/>
        </w:rPr>
        <w:drawing>
          <wp:inline distT="0" distB="0" distL="0" distR="0">
            <wp:extent cx="3442765" cy="3448050"/>
            <wp:effectExtent l="0" t="0" r="571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8BC51FC.tmp"/>
                    <pic:cNvPicPr/>
                  </pic:nvPicPr>
                  <pic:blipFill>
                    <a:blip r:embed="rId7">
                      <a:extLst>
                        <a:ext uri="{28A0092B-C50C-407E-A947-70E740481C1C}">
                          <a14:useLocalDpi xmlns:a14="http://schemas.microsoft.com/office/drawing/2010/main" val="0"/>
                        </a:ext>
                      </a:extLst>
                    </a:blip>
                    <a:stretch>
                      <a:fillRect/>
                    </a:stretch>
                  </pic:blipFill>
                  <pic:spPr>
                    <a:xfrm>
                      <a:off x="0" y="0"/>
                      <a:ext cx="3472127" cy="3477457"/>
                    </a:xfrm>
                    <a:prstGeom prst="rect">
                      <a:avLst/>
                    </a:prstGeom>
                  </pic:spPr>
                </pic:pic>
              </a:graphicData>
            </a:graphic>
          </wp:inline>
        </w:drawing>
      </w:r>
    </w:p>
    <w:p w:rsidR="00670D95" w:rsidRPr="001D1C28" w:rsidRDefault="00670D95" w:rsidP="00670D95">
      <w:pPr>
        <w:spacing w:line="360" w:lineRule="auto"/>
        <w:jc w:val="center"/>
        <w:rPr>
          <w:rFonts w:ascii="Palatino Linotype" w:hAnsi="Palatino Linotype"/>
          <w:color w:val="000000"/>
        </w:rPr>
      </w:pPr>
      <w:r w:rsidRPr="001D1C28">
        <w:rPr>
          <w:rFonts w:ascii="Palatino Linotype" w:hAnsi="Palatino Linotype"/>
          <w:noProof/>
          <w:color w:val="000000"/>
          <w:lang w:val="es-MX" w:eastAsia="es-MX"/>
        </w:rPr>
        <w:lastRenderedPageBreak/>
        <w:drawing>
          <wp:inline distT="0" distB="0" distL="0" distR="0">
            <wp:extent cx="3295650" cy="3516134"/>
            <wp:effectExtent l="0" t="0" r="0" b="825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8BC75A6.tmp"/>
                    <pic:cNvPicPr/>
                  </pic:nvPicPr>
                  <pic:blipFill>
                    <a:blip r:embed="rId8">
                      <a:extLst>
                        <a:ext uri="{28A0092B-C50C-407E-A947-70E740481C1C}">
                          <a14:useLocalDpi xmlns:a14="http://schemas.microsoft.com/office/drawing/2010/main" val="0"/>
                        </a:ext>
                      </a:extLst>
                    </a:blip>
                    <a:stretch>
                      <a:fillRect/>
                    </a:stretch>
                  </pic:blipFill>
                  <pic:spPr>
                    <a:xfrm>
                      <a:off x="0" y="0"/>
                      <a:ext cx="3332143" cy="3555069"/>
                    </a:xfrm>
                    <a:prstGeom prst="rect">
                      <a:avLst/>
                    </a:prstGeom>
                  </pic:spPr>
                </pic:pic>
              </a:graphicData>
            </a:graphic>
          </wp:inline>
        </w:drawing>
      </w:r>
    </w:p>
    <w:p w:rsidR="00670D95" w:rsidRPr="001D1C28" w:rsidRDefault="00670D95" w:rsidP="00670D95">
      <w:pPr>
        <w:spacing w:line="360" w:lineRule="auto"/>
        <w:jc w:val="center"/>
        <w:rPr>
          <w:rFonts w:ascii="Palatino Linotype" w:hAnsi="Palatino Linotype"/>
          <w:color w:val="000000"/>
        </w:rPr>
      </w:pPr>
      <w:r w:rsidRPr="001D1C28">
        <w:rPr>
          <w:rFonts w:ascii="Palatino Linotype" w:hAnsi="Palatino Linotype"/>
          <w:noProof/>
          <w:color w:val="000000"/>
          <w:lang w:val="es-MX" w:eastAsia="es-MX"/>
        </w:rPr>
        <mc:AlternateContent>
          <mc:Choice Requires="wps">
            <w:drawing>
              <wp:anchor distT="0" distB="0" distL="114300" distR="114300" simplePos="0" relativeHeight="251659264" behindDoc="0" locked="0" layoutInCell="1" allowOverlap="1">
                <wp:simplePos x="0" y="0"/>
                <wp:positionH relativeFrom="column">
                  <wp:posOffset>1948815</wp:posOffset>
                </wp:positionH>
                <wp:positionV relativeFrom="paragraph">
                  <wp:posOffset>1844675</wp:posOffset>
                </wp:positionV>
                <wp:extent cx="571500" cy="276225"/>
                <wp:effectExtent l="19050" t="19050" r="19050" b="28575"/>
                <wp:wrapNone/>
                <wp:docPr id="5" name="Rectángulo 5"/>
                <wp:cNvGraphicFramePr/>
                <a:graphic xmlns:a="http://schemas.openxmlformats.org/drawingml/2006/main">
                  <a:graphicData uri="http://schemas.microsoft.com/office/word/2010/wordprocessingShape">
                    <wps:wsp>
                      <wps:cNvSpPr/>
                      <wps:spPr>
                        <a:xfrm>
                          <a:off x="0" y="0"/>
                          <a:ext cx="571500" cy="276225"/>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318F31" id="Rectángulo 5" o:spid="_x0000_s1026" style="position:absolute;margin-left:153.45pt;margin-top:145.25pt;width:4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" filled="f" strokecolor="red" strokeweight="3pt"/>
            </w:pict>
          </mc:Fallback>
        </mc:AlternateContent>
      </w:r>
      <w:r w:rsidRPr="001D1C28">
        <w:rPr>
          <w:rFonts w:ascii="Palatino Linotype" w:hAnsi="Palatino Linotype"/>
          <w:noProof/>
          <w:color w:val="000000"/>
          <w:lang w:val="es-MX" w:eastAsia="es-MX"/>
        </w:rPr>
        <w:drawing>
          <wp:inline distT="0" distB="0" distL="0" distR="0">
            <wp:extent cx="3200400" cy="3262506"/>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8BCFE9E.tmp"/>
                    <pic:cNvPicPr/>
                  </pic:nvPicPr>
                  <pic:blipFill>
                    <a:blip r:embed="rId9">
                      <a:extLst>
                        <a:ext uri="{28A0092B-C50C-407E-A947-70E740481C1C}">
                          <a14:useLocalDpi xmlns:a14="http://schemas.microsoft.com/office/drawing/2010/main" val="0"/>
                        </a:ext>
                      </a:extLst>
                    </a:blip>
                    <a:stretch>
                      <a:fillRect/>
                    </a:stretch>
                  </pic:blipFill>
                  <pic:spPr>
                    <a:xfrm>
                      <a:off x="0" y="0"/>
                      <a:ext cx="3209465" cy="3271746"/>
                    </a:xfrm>
                    <a:prstGeom prst="rect">
                      <a:avLst/>
                    </a:prstGeom>
                  </pic:spPr>
                </pic:pic>
              </a:graphicData>
            </a:graphic>
          </wp:inline>
        </w:drawing>
      </w:r>
    </w:p>
    <w:p w:rsidR="00670D95" w:rsidRPr="001D1C28" w:rsidRDefault="00670D95" w:rsidP="00670D95">
      <w:pPr>
        <w:spacing w:line="360" w:lineRule="auto"/>
        <w:jc w:val="center"/>
        <w:rPr>
          <w:rFonts w:ascii="Palatino Linotype" w:hAnsi="Palatino Linotype"/>
          <w:color w:val="000000"/>
        </w:rPr>
      </w:pPr>
    </w:p>
    <w:p w:rsidR="0075429A" w:rsidRPr="001D1C28" w:rsidRDefault="00670D95" w:rsidP="00293CC4">
      <w:pPr>
        <w:spacing w:line="360" w:lineRule="auto"/>
        <w:jc w:val="both"/>
        <w:rPr>
          <w:rFonts w:ascii="Palatino Linotype" w:hAnsi="Palatino Linotype"/>
          <w:color w:val="000000"/>
        </w:rPr>
      </w:pPr>
      <w:r w:rsidRPr="001D1C28">
        <w:rPr>
          <w:rFonts w:ascii="Palatino Linotype" w:hAnsi="Palatino Linotype"/>
          <w:color w:val="000000"/>
        </w:rPr>
        <w:lastRenderedPageBreak/>
        <w:t>Conforme al Organigrama antes referido, se tiene que el Sujeto Obligado cuenta con diversas Direcciones, subdirecciones, departamentos y unidades administrativas, siendo de nuestro interés la Tesorería Municipal y el Departamento de Nóminas y Pagos dependiente de la Dirección de Administración.</w:t>
      </w:r>
    </w:p>
    <w:p w:rsidR="00670D95" w:rsidRPr="001D1C28" w:rsidRDefault="00670D95" w:rsidP="00293CC4">
      <w:pPr>
        <w:spacing w:line="360" w:lineRule="auto"/>
        <w:jc w:val="both"/>
        <w:rPr>
          <w:rFonts w:ascii="Palatino Linotype" w:hAnsi="Palatino Linotype"/>
          <w:color w:val="000000"/>
        </w:rPr>
      </w:pPr>
    </w:p>
    <w:p w:rsidR="00670D95" w:rsidRPr="001D1C28" w:rsidRDefault="00670D95" w:rsidP="00670D95">
      <w:pPr>
        <w:spacing w:line="360" w:lineRule="auto"/>
        <w:jc w:val="both"/>
        <w:rPr>
          <w:rFonts w:ascii="Palatino Linotype" w:hAnsi="Palatino Linotype"/>
          <w:color w:val="000000"/>
        </w:rPr>
      </w:pPr>
      <w:r w:rsidRPr="001D1C28">
        <w:rPr>
          <w:rFonts w:ascii="Palatino Linotype" w:hAnsi="Palatino Linotype"/>
          <w:color w:val="000000"/>
        </w:rPr>
        <w:t xml:space="preserve">Para delimitar esferas competenciales, resulta necesario analizar las facultades y atribuciones que tienen dichas áreas, conforme al </w:t>
      </w:r>
      <w:r w:rsidR="00757A78" w:rsidRPr="001D1C28">
        <w:rPr>
          <w:rFonts w:ascii="Palatino Linotype" w:hAnsi="Palatino Linotype"/>
          <w:color w:val="000000"/>
        </w:rPr>
        <w:t>Reglamento Interno de la Tesorería Municipal</w:t>
      </w:r>
      <w:r w:rsidR="00DD34A7" w:rsidRPr="001D1C28">
        <w:rPr>
          <w:rFonts w:ascii="Palatino Linotype" w:hAnsi="Palatino Linotype"/>
          <w:color w:val="000000"/>
        </w:rPr>
        <w:t xml:space="preserve"> y el Reglamento Interno De La Dirección De Administración</w:t>
      </w:r>
    </w:p>
    <w:p w:rsidR="00757A78" w:rsidRPr="001D1C28" w:rsidRDefault="00757A78" w:rsidP="00DD34A7">
      <w:pPr>
        <w:pStyle w:val="INFOEM"/>
        <w:jc w:val="center"/>
      </w:pPr>
      <w:r w:rsidRPr="001D1C28">
        <w:t>Reglamento Interno de la Tesorería Municipal</w:t>
      </w:r>
    </w:p>
    <w:p w:rsidR="00DD34A7" w:rsidRPr="001D1C28" w:rsidRDefault="00DD34A7" w:rsidP="00DD34A7">
      <w:pPr>
        <w:pStyle w:val="INFOEM"/>
      </w:pPr>
      <w:r w:rsidRPr="001D1C28">
        <w:t xml:space="preserve">Artículo 11.- Además de las establecidas en las disposiciones legales aplicables el Tesorero tendrá las siguientes atribuciones:   </w:t>
      </w:r>
    </w:p>
    <w:p w:rsidR="00DD34A7" w:rsidRPr="001D1C28" w:rsidRDefault="00DD34A7" w:rsidP="00DD34A7">
      <w:pPr>
        <w:pStyle w:val="INFOEM"/>
        <w:numPr>
          <w:ilvl w:val="0"/>
          <w:numId w:val="10"/>
        </w:numPr>
        <w:spacing w:line="240" w:lineRule="auto"/>
      </w:pPr>
      <w:r w:rsidRPr="001D1C28">
        <w:t xml:space="preserve">Vigilar el adecuado funcionamiento de las diversas unidades administrativas a su cargo y dictar las medidas necesarias para su mejoramiento mediante la capacitación y profesionalización de los servidores públicos adscritos a las mismas;  </w:t>
      </w:r>
    </w:p>
    <w:p w:rsidR="00DD34A7" w:rsidRPr="001D1C28" w:rsidRDefault="00DD34A7" w:rsidP="00DD34A7">
      <w:pPr>
        <w:pStyle w:val="INFOEM"/>
        <w:numPr>
          <w:ilvl w:val="0"/>
          <w:numId w:val="10"/>
        </w:numPr>
        <w:spacing w:line="240" w:lineRule="auto"/>
      </w:pPr>
      <w:r w:rsidRPr="001D1C28">
        <w:t xml:space="preserve">Suscribir los convenios que se lleven a cabo con contribuyentes para el cumplimiento de sus obligaciones fiscales;  </w:t>
      </w:r>
    </w:p>
    <w:p w:rsidR="00DD34A7" w:rsidRPr="001D1C28" w:rsidRDefault="00DD34A7" w:rsidP="00DD34A7">
      <w:pPr>
        <w:pStyle w:val="INFOEM"/>
        <w:numPr>
          <w:ilvl w:val="0"/>
          <w:numId w:val="10"/>
        </w:numPr>
        <w:spacing w:line="240" w:lineRule="auto"/>
      </w:pPr>
      <w:r w:rsidRPr="001D1C28">
        <w:t xml:space="preserve">Suscribir convenios y contratos de prestación de servicios que contribuyan al cumplimiento de las funciones previstas en ordenamientos municipales, estatales y federales; </w:t>
      </w:r>
    </w:p>
    <w:p w:rsidR="00DD34A7" w:rsidRPr="001D1C28" w:rsidRDefault="00DD34A7" w:rsidP="00DD34A7">
      <w:pPr>
        <w:pStyle w:val="INFOEM"/>
        <w:numPr>
          <w:ilvl w:val="0"/>
          <w:numId w:val="10"/>
        </w:numPr>
        <w:spacing w:line="240" w:lineRule="auto"/>
      </w:pPr>
      <w:r w:rsidRPr="001D1C28">
        <w:t xml:space="preserve">Calcular y recaudar impuestos, derechos, productos, aprovechamientos y contribuciones especiales que correspondan al Municipio, así como las aportaciones y participaciones Federales y Estatales e ingresos extraordinarios que se establezcan a favor del Municipio; </w:t>
      </w:r>
    </w:p>
    <w:p w:rsidR="00DD34A7" w:rsidRPr="001D1C28" w:rsidRDefault="00DD34A7" w:rsidP="00DD34A7">
      <w:pPr>
        <w:pStyle w:val="INFOEM"/>
        <w:numPr>
          <w:ilvl w:val="0"/>
          <w:numId w:val="10"/>
        </w:numPr>
        <w:spacing w:line="240" w:lineRule="auto"/>
      </w:pPr>
      <w:r w:rsidRPr="001D1C28">
        <w:t xml:space="preserve">Formular los proyectos de Egresos y pronóstico de Ingresos para cada ejercicio fiscal, cumpliendo el principio de equilibrio presupuestario; </w:t>
      </w:r>
    </w:p>
    <w:p w:rsidR="00DD34A7" w:rsidRPr="001D1C28" w:rsidRDefault="00DD34A7" w:rsidP="00DD34A7">
      <w:pPr>
        <w:pStyle w:val="INFOEM"/>
        <w:numPr>
          <w:ilvl w:val="0"/>
          <w:numId w:val="10"/>
        </w:numPr>
        <w:spacing w:line="240" w:lineRule="auto"/>
      </w:pPr>
      <w:r w:rsidRPr="001D1C28">
        <w:t xml:space="preserve">Dar cumplimiento a los convenios de coordinación fiscal; </w:t>
      </w:r>
    </w:p>
    <w:p w:rsidR="00DD34A7" w:rsidRPr="001D1C28" w:rsidRDefault="00DD34A7" w:rsidP="00DD34A7">
      <w:pPr>
        <w:pStyle w:val="INFOEM"/>
        <w:numPr>
          <w:ilvl w:val="0"/>
          <w:numId w:val="10"/>
        </w:numPr>
        <w:spacing w:line="240" w:lineRule="auto"/>
      </w:pPr>
      <w:r w:rsidRPr="001D1C28">
        <w:lastRenderedPageBreak/>
        <w:t xml:space="preserve">Asesorar a las dependencias de la Administración Pública Municipal, en la formulación y programación de su anteproyecto de presupuesto de egresos de cada ejercicio fiscal;  </w:t>
      </w:r>
    </w:p>
    <w:p w:rsidR="00DD34A7" w:rsidRPr="001D1C28" w:rsidRDefault="00DD34A7" w:rsidP="00DD34A7">
      <w:pPr>
        <w:pStyle w:val="INFOEM"/>
        <w:numPr>
          <w:ilvl w:val="0"/>
          <w:numId w:val="10"/>
        </w:numPr>
        <w:spacing w:line="240" w:lineRule="auto"/>
      </w:pPr>
      <w:r w:rsidRPr="001D1C28">
        <w:t xml:space="preserve">Integrar, revisar y validar conjuntamente con la UIPPE, los anteproyectos de presupuesto con base a resultados de las dependencias municipales;  </w:t>
      </w:r>
    </w:p>
    <w:p w:rsidR="00DD34A7" w:rsidRPr="001D1C28" w:rsidRDefault="00DD34A7" w:rsidP="00DD34A7">
      <w:pPr>
        <w:pStyle w:val="INFOEM"/>
        <w:numPr>
          <w:ilvl w:val="0"/>
          <w:numId w:val="10"/>
        </w:numPr>
        <w:spacing w:line="240" w:lineRule="auto"/>
      </w:pPr>
      <w:r w:rsidRPr="001D1C28">
        <w:t xml:space="preserve">Imponer las sanciones que correspondan por infracciones a las disposiciones fiscales y, en su caso, ordenar la instrumentación del procedimiento administrativo de ejecución; </w:t>
      </w:r>
    </w:p>
    <w:p w:rsidR="00DD34A7" w:rsidRPr="001D1C28" w:rsidRDefault="00DD34A7" w:rsidP="00DD34A7">
      <w:pPr>
        <w:pStyle w:val="INFOEM"/>
        <w:numPr>
          <w:ilvl w:val="0"/>
          <w:numId w:val="10"/>
        </w:numPr>
        <w:spacing w:line="240" w:lineRule="auto"/>
      </w:pPr>
      <w:r w:rsidRPr="001D1C28">
        <w:t xml:space="preserve">Dirigir las actividades del Catastro Municipal; </w:t>
      </w:r>
    </w:p>
    <w:p w:rsidR="00DD34A7" w:rsidRPr="001D1C28" w:rsidRDefault="00DD34A7" w:rsidP="00DD34A7">
      <w:pPr>
        <w:pStyle w:val="INFOEM"/>
        <w:numPr>
          <w:ilvl w:val="0"/>
          <w:numId w:val="10"/>
        </w:numPr>
        <w:spacing w:line="240" w:lineRule="auto"/>
      </w:pPr>
      <w:r w:rsidRPr="001D1C28">
        <w:t xml:space="preserve">Autorizar y Firmar los nombramientos del personal que se desempeñará como notificador, ejecutor, verificador e interventor; </w:t>
      </w:r>
    </w:p>
    <w:p w:rsidR="00DD34A7" w:rsidRPr="001D1C28" w:rsidRDefault="00DD34A7" w:rsidP="00DD34A7">
      <w:pPr>
        <w:pStyle w:val="INFOEM"/>
        <w:numPr>
          <w:ilvl w:val="0"/>
          <w:numId w:val="10"/>
        </w:numPr>
        <w:spacing w:line="240" w:lineRule="auto"/>
      </w:pPr>
      <w:r w:rsidRPr="001D1C28">
        <w:t xml:space="preserve">Validar con su firma los documentos de su competencia como las conciliaciones bancarias, las pólizas de egresos, las pólizas de diario; </w:t>
      </w:r>
    </w:p>
    <w:p w:rsidR="00DD34A7" w:rsidRPr="001D1C28" w:rsidRDefault="00DD34A7" w:rsidP="00DD34A7">
      <w:pPr>
        <w:pStyle w:val="INFOEM"/>
        <w:numPr>
          <w:ilvl w:val="0"/>
          <w:numId w:val="10"/>
        </w:numPr>
        <w:spacing w:line="240" w:lineRule="auto"/>
      </w:pPr>
      <w:r w:rsidRPr="001D1C28">
        <w:t xml:space="preserve">Expedir a través de la Subdirección de Normatividad y Verificación, permisos de cualquier tipo y demás autorizaciones que emita en ejercicio de las facultades que le confiera el presente reglamento y las demás disposiciones jurídicas aplicables y que correspondan a las actividades económicas que realicen los particulares, previstas en los diversos ordenamientos a nivel municipal y estatal; </w:t>
      </w:r>
    </w:p>
    <w:p w:rsidR="00DD34A7" w:rsidRPr="001D1C28" w:rsidRDefault="00DD34A7" w:rsidP="00DD34A7">
      <w:pPr>
        <w:pStyle w:val="INFOEM"/>
        <w:numPr>
          <w:ilvl w:val="0"/>
          <w:numId w:val="10"/>
        </w:numPr>
        <w:spacing w:line="240" w:lineRule="auto"/>
      </w:pPr>
      <w:r w:rsidRPr="001D1C28">
        <w:t xml:space="preserve">Expedir y revalidar a través de la Subdirección de Normatividad y Verificación, las autorizaciones para ejercer la actividad comercial en puesto fijo, semifijo, comercio ambulante o de temporada; </w:t>
      </w:r>
    </w:p>
    <w:p w:rsidR="00DD34A7" w:rsidRPr="001D1C28" w:rsidRDefault="00DD34A7" w:rsidP="00DD34A7">
      <w:pPr>
        <w:pStyle w:val="INFOEM"/>
        <w:numPr>
          <w:ilvl w:val="0"/>
          <w:numId w:val="10"/>
        </w:numPr>
        <w:spacing w:line="240" w:lineRule="auto"/>
      </w:pPr>
      <w:r w:rsidRPr="001D1C28">
        <w:t xml:space="preserve">Habilitar días y horas inhábiles, para el ejercicio de sus facultades y competencia, de conformidad con lo dispuesto y ordenado en el Código de Procedimientos Administrativos del Estado de México; </w:t>
      </w:r>
    </w:p>
    <w:p w:rsidR="00DD34A7" w:rsidRPr="001D1C28" w:rsidRDefault="00DD34A7" w:rsidP="00DD34A7">
      <w:pPr>
        <w:pStyle w:val="INFOEM"/>
        <w:numPr>
          <w:ilvl w:val="0"/>
          <w:numId w:val="10"/>
        </w:numPr>
        <w:spacing w:line="240" w:lineRule="auto"/>
      </w:pPr>
      <w:r w:rsidRPr="001D1C28">
        <w:t xml:space="preserve">Resolver los procedimientos administrativos, de cancelación, revocación, o nulidad de licencia de funcionamiento o permisos en general; iniciados por infracciones cometidas a la reglamentación municipal; otorgando la garantía de audiencia correspondiente; </w:t>
      </w:r>
    </w:p>
    <w:p w:rsidR="00DD34A7" w:rsidRPr="001D1C28" w:rsidRDefault="00DD34A7" w:rsidP="00DD34A7">
      <w:pPr>
        <w:pStyle w:val="INFOEM"/>
        <w:numPr>
          <w:ilvl w:val="0"/>
          <w:numId w:val="10"/>
        </w:numPr>
        <w:spacing w:line="240" w:lineRule="auto"/>
      </w:pPr>
      <w:r w:rsidRPr="001D1C28">
        <w:t xml:space="preserve">Supervisar, inspeccionar, verificar y sancionar con base en las disposiciones legales aplicables, los incumplimientos en materia de reglamentación </w:t>
      </w:r>
      <w:r w:rsidRPr="001D1C28">
        <w:lastRenderedPageBreak/>
        <w:t xml:space="preserve">municipal en actividades comerciales, industriales y de servicios, anuncios, publicidad, mercados, vía pública y tianguis; </w:t>
      </w:r>
    </w:p>
    <w:p w:rsidR="00DD34A7" w:rsidRPr="001D1C28" w:rsidRDefault="00DD34A7" w:rsidP="00DD34A7">
      <w:pPr>
        <w:pStyle w:val="INFOEM"/>
        <w:numPr>
          <w:ilvl w:val="0"/>
          <w:numId w:val="10"/>
        </w:numPr>
        <w:spacing w:line="240" w:lineRule="auto"/>
      </w:pPr>
      <w:r w:rsidRPr="001D1C28">
        <w:t xml:space="preserve">Imponer medidas de seguridad y ejecutar sanciones en términos del Código de Procedimientos Administrativos del Estado de México, la Ley de Competitividad y Ordenamiento Comercial del Estado de México, y demás disposiciones legales aplicables, en aquellas unidades económicas que incumplan con la normatividad; </w:t>
      </w:r>
    </w:p>
    <w:p w:rsidR="00DD34A7" w:rsidRPr="001D1C28" w:rsidRDefault="00DD34A7" w:rsidP="00DD34A7">
      <w:pPr>
        <w:pStyle w:val="INFOEM"/>
        <w:numPr>
          <w:ilvl w:val="0"/>
          <w:numId w:val="10"/>
        </w:numPr>
        <w:spacing w:line="240" w:lineRule="auto"/>
      </w:pPr>
      <w:r w:rsidRPr="001D1C28">
        <w:t xml:space="preserve">Disponer las medidas necesarias e instruir a la Subdirección de Normatividad y Verificación, para proveer, en el ámbito de su competencia, el cumplimiento de la reglamentación municipal sujetándose a la normatividad aplicable; solictando en su caso la coadyuvancia de autoridades administrativas, fuerza pública y de carácter judicial; </w:t>
      </w:r>
    </w:p>
    <w:p w:rsidR="00DD34A7" w:rsidRPr="001D1C28" w:rsidRDefault="00DD34A7" w:rsidP="00DD34A7">
      <w:pPr>
        <w:pStyle w:val="INFOEM"/>
        <w:numPr>
          <w:ilvl w:val="0"/>
          <w:numId w:val="10"/>
        </w:numPr>
        <w:spacing w:line="240" w:lineRule="auto"/>
      </w:pPr>
      <w:r w:rsidRPr="001D1C28">
        <w:rPr>
          <w:b/>
          <w:u w:val="single"/>
        </w:rPr>
        <w:t>Autorizar órdenes de pago</w:t>
      </w:r>
      <w:r w:rsidRPr="001D1C28">
        <w:t xml:space="preserve">, derechos, impuestos, aportaciones diversas de conformidad con las disposiciones del Código Financiero del Estado de México y Municipios; </w:t>
      </w:r>
    </w:p>
    <w:p w:rsidR="00DD34A7" w:rsidRPr="001D1C28" w:rsidRDefault="00DD34A7" w:rsidP="00DD34A7">
      <w:pPr>
        <w:pStyle w:val="INFOEM"/>
        <w:numPr>
          <w:ilvl w:val="0"/>
          <w:numId w:val="10"/>
        </w:numPr>
        <w:spacing w:line="240" w:lineRule="auto"/>
      </w:pPr>
      <w:r w:rsidRPr="001D1C28">
        <w:t xml:space="preserve">Expedir y revalidar a través de la Subdirección de Normatividad y Verificación la Licencia de Funcionamiento para ejercer la actividad comercial y de servicios en mercados municipales; </w:t>
      </w:r>
    </w:p>
    <w:p w:rsidR="00DD34A7" w:rsidRPr="001D1C28" w:rsidRDefault="00DD34A7" w:rsidP="00DD34A7">
      <w:pPr>
        <w:pStyle w:val="INFOEM"/>
        <w:numPr>
          <w:ilvl w:val="0"/>
          <w:numId w:val="10"/>
        </w:numPr>
        <w:spacing w:line="240" w:lineRule="auto"/>
      </w:pPr>
      <w:r w:rsidRPr="001D1C28">
        <w:t xml:space="preserve">Autorizar a través de la Subdirección de Normatividad y Verificación el uso de la vía pública para la realización de manera enunciativa más no limitativa de filmaciones o grabaciones cinematográficas, series televisión, comerciales entre otros; y </w:t>
      </w:r>
    </w:p>
    <w:p w:rsidR="00DD34A7" w:rsidRPr="001D1C28" w:rsidRDefault="00DD34A7" w:rsidP="00DD34A7">
      <w:pPr>
        <w:pStyle w:val="INFOEM"/>
        <w:numPr>
          <w:ilvl w:val="0"/>
          <w:numId w:val="10"/>
        </w:numPr>
        <w:spacing w:line="240" w:lineRule="auto"/>
      </w:pPr>
      <w:r w:rsidRPr="001D1C28">
        <w:t>Las demás que le encomienden el Presidente Municipal y/o el Ayuntamiento.</w:t>
      </w:r>
    </w:p>
    <w:p w:rsidR="00DD34A7" w:rsidRPr="001D1C28" w:rsidRDefault="00DD34A7" w:rsidP="00DD34A7">
      <w:pPr>
        <w:pStyle w:val="INFOEM"/>
      </w:pPr>
    </w:p>
    <w:p w:rsidR="00DD34A7" w:rsidRPr="001D1C28" w:rsidRDefault="00DD34A7" w:rsidP="00DD34A7">
      <w:pPr>
        <w:pStyle w:val="INFOEM"/>
        <w:jc w:val="center"/>
        <w:rPr>
          <w:b/>
        </w:rPr>
      </w:pPr>
      <w:r w:rsidRPr="001D1C28">
        <w:rPr>
          <w:b/>
        </w:rPr>
        <w:t>Reglamento Interno De La Dirección De Administración</w:t>
      </w:r>
    </w:p>
    <w:p w:rsidR="00DD34A7" w:rsidRPr="001D1C28" w:rsidRDefault="00DD34A7" w:rsidP="00DD34A7">
      <w:pPr>
        <w:pStyle w:val="INFOEM"/>
      </w:pPr>
      <w:r w:rsidRPr="001D1C28">
        <w:t xml:space="preserve">Artículo 11.- El director tendrá las siguientes atribuciones:  </w:t>
      </w:r>
    </w:p>
    <w:p w:rsidR="00DD34A7" w:rsidRPr="001D1C28" w:rsidRDefault="00DD34A7" w:rsidP="00DD34A7">
      <w:pPr>
        <w:pStyle w:val="INFOEM"/>
      </w:pPr>
      <w:r w:rsidRPr="001D1C28">
        <w:t>…</w:t>
      </w:r>
    </w:p>
    <w:p w:rsidR="00DD34A7" w:rsidRPr="001D1C28" w:rsidRDefault="00DD34A7" w:rsidP="00DD34A7">
      <w:pPr>
        <w:pStyle w:val="INFOEM"/>
      </w:pPr>
      <w:r w:rsidRPr="001D1C28">
        <w:t>XXVI</w:t>
      </w:r>
      <w:r w:rsidR="0088522B" w:rsidRPr="001D1C28">
        <w:t>I</w:t>
      </w:r>
      <w:r w:rsidRPr="001D1C28">
        <w:t xml:space="preserve">. </w:t>
      </w:r>
      <w:r w:rsidRPr="001D1C28">
        <w:rPr>
          <w:b/>
        </w:rPr>
        <w:t xml:space="preserve">Dirigir, evaluar y autorizar los programas, procesos y procedimientos para la elaboración de la nómina y su timbrado para efectos </w:t>
      </w:r>
      <w:r w:rsidRPr="001D1C28">
        <w:rPr>
          <w:b/>
        </w:rPr>
        <w:lastRenderedPageBreak/>
        <w:t>fiscales</w:t>
      </w:r>
      <w:r w:rsidRPr="001D1C28">
        <w:t xml:space="preserve">, </w:t>
      </w:r>
      <w:r w:rsidRPr="001D1C28">
        <w:rPr>
          <w:b/>
        </w:rPr>
        <w:t>así como validar que se encuentren firmados los listados de nómina previo a la dispersión,</w:t>
      </w:r>
      <w:r w:rsidRPr="001D1C28">
        <w:t xml:space="preserve"> de acuerdo con lo establecido en los Lineamientos de Control Financiero y Administrativo;</w:t>
      </w:r>
    </w:p>
    <w:p w:rsidR="0088522B" w:rsidRPr="001D1C28" w:rsidRDefault="0088522B" w:rsidP="00DD34A7">
      <w:pPr>
        <w:pStyle w:val="INFOEM"/>
      </w:pPr>
      <w:r w:rsidRPr="001D1C28">
        <w:t xml:space="preserve">Artículo 42.- La Subdirección de Recursos Humanos, para el eficiente y eficaz desempeño de sus actividades contará con los siguientes Departamentos: </w:t>
      </w:r>
    </w:p>
    <w:p w:rsidR="0088522B" w:rsidRPr="001D1C28" w:rsidRDefault="0088522B" w:rsidP="00DD34A7">
      <w:pPr>
        <w:pStyle w:val="INFOEM"/>
      </w:pPr>
      <w:r w:rsidRPr="001D1C28">
        <w:t xml:space="preserve">• Departamento de Nóminas y Pagos  </w:t>
      </w:r>
    </w:p>
    <w:p w:rsidR="0088522B" w:rsidRPr="001D1C28" w:rsidRDefault="0088522B" w:rsidP="00DD34A7">
      <w:pPr>
        <w:pStyle w:val="INFOEM"/>
      </w:pPr>
      <w:r w:rsidRPr="001D1C28">
        <w:t>• Departamento de Relaciones Laborales</w:t>
      </w:r>
    </w:p>
    <w:p w:rsidR="0088522B" w:rsidRPr="001D1C28" w:rsidRDefault="0088522B" w:rsidP="0088522B">
      <w:pPr>
        <w:pStyle w:val="INFOEM"/>
        <w:spacing w:line="240" w:lineRule="auto"/>
        <w:rPr>
          <w:b/>
        </w:rPr>
      </w:pPr>
      <w:r w:rsidRPr="001D1C28">
        <w:rPr>
          <w:b/>
        </w:rPr>
        <w:t xml:space="preserve">Sección I </w:t>
      </w:r>
    </w:p>
    <w:p w:rsidR="0088522B" w:rsidRPr="001D1C28" w:rsidRDefault="0088522B" w:rsidP="0088522B">
      <w:pPr>
        <w:pStyle w:val="INFOEM"/>
        <w:spacing w:line="240" w:lineRule="auto"/>
        <w:rPr>
          <w:b/>
        </w:rPr>
      </w:pPr>
      <w:r w:rsidRPr="001D1C28">
        <w:rPr>
          <w:b/>
        </w:rPr>
        <w:t xml:space="preserve">Del Departamento de Nóminas y Pagos  </w:t>
      </w:r>
    </w:p>
    <w:p w:rsidR="0088522B" w:rsidRPr="001D1C28" w:rsidRDefault="0088522B" w:rsidP="0088522B">
      <w:pPr>
        <w:pStyle w:val="INFOEM"/>
        <w:rPr>
          <w:b/>
          <w:u w:val="single"/>
        </w:rPr>
      </w:pPr>
      <w:r w:rsidRPr="001D1C28">
        <w:rPr>
          <w:b/>
          <w:u w:val="single"/>
        </w:rPr>
        <w:t xml:space="preserve">Artículo 44.- Corresponde al titular del Departamento de Nóminas y Pagos, el despacho de los siguientes asuntos:  </w:t>
      </w:r>
    </w:p>
    <w:p w:rsidR="0088522B" w:rsidRPr="001D1C28" w:rsidRDefault="0088522B" w:rsidP="0088522B">
      <w:pPr>
        <w:pStyle w:val="INFOEM"/>
        <w:numPr>
          <w:ilvl w:val="0"/>
          <w:numId w:val="11"/>
        </w:numPr>
      </w:pPr>
      <w:r w:rsidRPr="001D1C28">
        <w:rPr>
          <w:b/>
          <w:u w:val="single"/>
        </w:rPr>
        <w:t>Generar el proceso de pago de nómina en tiempo y forma, así como el timbrado de nómina</w:t>
      </w:r>
      <w:r w:rsidRPr="001D1C28">
        <w:t xml:space="preserve">;  </w:t>
      </w:r>
    </w:p>
    <w:p w:rsidR="0088522B" w:rsidRPr="001D1C28" w:rsidRDefault="0088522B" w:rsidP="0088522B">
      <w:pPr>
        <w:pStyle w:val="INFOEM"/>
        <w:numPr>
          <w:ilvl w:val="0"/>
          <w:numId w:val="11"/>
        </w:numPr>
      </w:pPr>
      <w:r w:rsidRPr="001D1C28">
        <w:t xml:space="preserve">Generar pago de aguinaldo, prima vacacional u otras prestaciones del trabajador; </w:t>
      </w:r>
    </w:p>
    <w:p w:rsidR="0088522B" w:rsidRPr="001D1C28" w:rsidRDefault="0088522B" w:rsidP="0088522B">
      <w:pPr>
        <w:pStyle w:val="INFOEM"/>
        <w:numPr>
          <w:ilvl w:val="0"/>
          <w:numId w:val="11"/>
        </w:numPr>
      </w:pPr>
      <w:r w:rsidRPr="001D1C28">
        <w:t xml:space="preserve">Generar los descuentos correspondientes para el pago de impuestos y aportaciones, así como las deducciones emanadas de algún crédito, préstamo, acuerdo, convenio o por resolución de algún Tribunal competente;  </w:t>
      </w:r>
    </w:p>
    <w:p w:rsidR="0088522B" w:rsidRPr="001D1C28" w:rsidRDefault="0088522B" w:rsidP="0088522B">
      <w:pPr>
        <w:pStyle w:val="INFOEM"/>
        <w:numPr>
          <w:ilvl w:val="0"/>
          <w:numId w:val="11"/>
        </w:numPr>
      </w:pPr>
      <w:r w:rsidRPr="001D1C28">
        <w:t xml:space="preserve">Realizar el trámite de pago correspondiente al ISSEMYM por los conceptos de seguridad social: cuota obligatoria del sistema de capitalización individualizado, servicio médico y fondo de sistema solidario de reparto;  </w:t>
      </w:r>
    </w:p>
    <w:p w:rsidR="0088522B" w:rsidRPr="001D1C28" w:rsidRDefault="0088522B" w:rsidP="0088522B">
      <w:pPr>
        <w:pStyle w:val="INFOEM"/>
        <w:numPr>
          <w:ilvl w:val="0"/>
          <w:numId w:val="11"/>
        </w:numPr>
      </w:pPr>
      <w:r w:rsidRPr="001D1C28">
        <w:t xml:space="preserve">Conciliar cuentas con la Tesorería Municipal e ISSEMYM;  </w:t>
      </w:r>
    </w:p>
    <w:p w:rsidR="0088522B" w:rsidRPr="001D1C28" w:rsidRDefault="0088522B" w:rsidP="0088522B">
      <w:pPr>
        <w:pStyle w:val="INFOEM"/>
        <w:numPr>
          <w:ilvl w:val="0"/>
          <w:numId w:val="11"/>
        </w:numPr>
      </w:pPr>
      <w:r w:rsidRPr="001D1C28">
        <w:lastRenderedPageBreak/>
        <w:t xml:space="preserve">Generar calendario anual de nóminas;  </w:t>
      </w:r>
    </w:p>
    <w:p w:rsidR="0088522B" w:rsidRPr="001D1C28" w:rsidRDefault="0088522B" w:rsidP="0088522B">
      <w:pPr>
        <w:pStyle w:val="INFOEM"/>
        <w:numPr>
          <w:ilvl w:val="0"/>
          <w:numId w:val="11"/>
        </w:numPr>
      </w:pPr>
      <w:r w:rsidRPr="001D1C28">
        <w:t xml:space="preserve">Cálculo de finiquitos, liquidaciones, indemnizaciones e impuestos; y  </w:t>
      </w:r>
    </w:p>
    <w:p w:rsidR="0088522B" w:rsidRPr="001D1C28" w:rsidRDefault="0088522B" w:rsidP="0088522B">
      <w:pPr>
        <w:pStyle w:val="INFOEM"/>
        <w:numPr>
          <w:ilvl w:val="0"/>
          <w:numId w:val="11"/>
        </w:numPr>
      </w:pPr>
      <w:r w:rsidRPr="001D1C28">
        <w:t xml:space="preserve">Todas aquellas que le sean encomendadas por su superior jerárquico. </w:t>
      </w:r>
    </w:p>
    <w:p w:rsidR="0088522B" w:rsidRPr="001D1C28" w:rsidRDefault="0088522B" w:rsidP="0088522B">
      <w:pPr>
        <w:pStyle w:val="INFOEM"/>
      </w:pPr>
    </w:p>
    <w:p w:rsidR="0088522B" w:rsidRPr="001D1C28" w:rsidRDefault="0088522B" w:rsidP="0088522B">
      <w:pPr>
        <w:pStyle w:val="INFOEM"/>
      </w:pPr>
      <w:r w:rsidRPr="001D1C28">
        <w:t>Artículo 45.- El personal del Departamento de Nóminas y Pagos, responderá directamente del desempeño de sus funciones al titular del Departamento.</w:t>
      </w:r>
    </w:p>
    <w:p w:rsidR="00757A78" w:rsidRPr="001D1C28" w:rsidRDefault="00E03AC1" w:rsidP="00670D95">
      <w:pPr>
        <w:spacing w:line="360" w:lineRule="auto"/>
        <w:jc w:val="both"/>
        <w:rPr>
          <w:rFonts w:ascii="Palatino Linotype" w:hAnsi="Palatino Linotype"/>
          <w:color w:val="000000"/>
        </w:rPr>
      </w:pPr>
      <w:r w:rsidRPr="001D1C28">
        <w:rPr>
          <w:rFonts w:ascii="Palatino Linotype" w:hAnsi="Palatino Linotype"/>
          <w:color w:val="000000"/>
        </w:rPr>
        <w:t xml:space="preserve">Conforme a las atribuciones conferidas a cada unidad administrativa, se tiene que si bien la Tesorería es la encargada </w:t>
      </w:r>
      <w:r w:rsidR="004A3335" w:rsidRPr="001D1C28">
        <w:rPr>
          <w:rFonts w:ascii="Palatino Linotype" w:hAnsi="Palatino Linotype"/>
          <w:color w:val="000000"/>
        </w:rPr>
        <w:t xml:space="preserve">de los registros contables, ingresos y egresos, lo cierto es que, la Dirección de Administración por conducto del Departamento de Nóminas y Pagos es el área responsable de generar todo el proceso para el pago de nómina, así como, el timbrado de la nómina. Por lo que, para entregar la conciliación de nómina la Dirección de Administración es el área competente. </w:t>
      </w:r>
    </w:p>
    <w:p w:rsidR="004A3335" w:rsidRPr="001D1C28" w:rsidRDefault="004A3335" w:rsidP="00670D95">
      <w:pPr>
        <w:spacing w:line="360" w:lineRule="auto"/>
        <w:jc w:val="both"/>
        <w:rPr>
          <w:rFonts w:ascii="Palatino Linotype" w:hAnsi="Palatino Linotype"/>
          <w:color w:val="000000"/>
        </w:rPr>
      </w:pPr>
    </w:p>
    <w:p w:rsidR="004A3335" w:rsidRPr="001D1C28" w:rsidRDefault="004A3335" w:rsidP="00670D95">
      <w:pPr>
        <w:spacing w:line="360" w:lineRule="auto"/>
        <w:jc w:val="both"/>
        <w:rPr>
          <w:rFonts w:ascii="Palatino Linotype" w:hAnsi="Palatino Linotype"/>
          <w:color w:val="000000"/>
        </w:rPr>
      </w:pPr>
      <w:r w:rsidRPr="001D1C28">
        <w:rPr>
          <w:rFonts w:ascii="Palatino Linotype" w:hAnsi="Palatino Linotype"/>
          <w:color w:val="000000"/>
        </w:rPr>
        <w:t xml:space="preserve">Derivado de dichas precisiones se exhorta al Servidor Público titular de </w:t>
      </w:r>
      <w:r w:rsidR="005E63A9" w:rsidRPr="001D1C28">
        <w:rPr>
          <w:rFonts w:ascii="Palatino Linotype" w:hAnsi="Palatino Linotype"/>
          <w:color w:val="000000"/>
        </w:rPr>
        <w:t>la Dirección de Administración</w:t>
      </w:r>
      <w:r w:rsidRPr="001D1C28">
        <w:rPr>
          <w:rFonts w:ascii="Palatino Linotype" w:hAnsi="Palatino Linotype"/>
          <w:color w:val="000000"/>
        </w:rPr>
        <w:t xml:space="preserve"> a cumplir diligentemente sus obligaciones en materia de transparencia</w:t>
      </w:r>
      <w:r w:rsidR="005E63A9" w:rsidRPr="001D1C28">
        <w:rPr>
          <w:rFonts w:ascii="Palatino Linotype" w:hAnsi="Palatino Linotype"/>
          <w:color w:val="000000"/>
        </w:rPr>
        <w:t xml:space="preserve"> y remitir la información que conforme a sus obligaciones y atribuciones genera, posee y administrativa. </w:t>
      </w:r>
    </w:p>
    <w:p w:rsidR="00E03AC1" w:rsidRPr="001D1C28" w:rsidRDefault="00E03AC1" w:rsidP="0088522B">
      <w:pPr>
        <w:spacing w:line="360" w:lineRule="auto"/>
        <w:jc w:val="both"/>
        <w:rPr>
          <w:rFonts w:ascii="Palatino Linotype" w:hAnsi="Palatino Linotype" w:cs="Arial"/>
        </w:rPr>
      </w:pPr>
    </w:p>
    <w:p w:rsidR="0088522B" w:rsidRPr="001D1C28" w:rsidRDefault="0088522B" w:rsidP="0088522B">
      <w:pPr>
        <w:spacing w:line="360" w:lineRule="auto"/>
        <w:jc w:val="both"/>
        <w:rPr>
          <w:rFonts w:ascii="Palatino Linotype" w:hAnsi="Palatino Linotype"/>
        </w:rPr>
      </w:pPr>
      <w:r w:rsidRPr="001D1C28">
        <w:rPr>
          <w:rFonts w:ascii="Palatino Linotype" w:hAnsi="Palatino Linotype" w:cs="Arial"/>
        </w:rPr>
        <w:t xml:space="preserve">Por otro lado y para establecer la fuente obligacional resulta necesario traer a colación </w:t>
      </w:r>
      <w:r w:rsidRPr="001D1C28">
        <w:rPr>
          <w:rFonts w:ascii="Palatino Linotype" w:hAnsi="Palatino Linotype"/>
        </w:rPr>
        <w:t xml:space="preserve">la Ley Orgánica Municipal del Estado de México, en la que se establecen las atribuciones del tesorero municipal en </w:t>
      </w:r>
      <w:r w:rsidRPr="001D1C28">
        <w:rPr>
          <w:rFonts w:ascii="Palatino Linotype" w:hAnsi="Palatino Linotype" w:cs="Arial"/>
        </w:rPr>
        <w:t>los</w:t>
      </w:r>
      <w:r w:rsidRPr="001D1C28">
        <w:rPr>
          <w:rFonts w:ascii="Palatino Linotype" w:hAnsi="Palatino Linotype"/>
        </w:rPr>
        <w:t xml:space="preserve"> artículos 87, 93, 94 y 95, fracciones I, IV, V, XVI y XVII; porciones normativas que disponen a la literalidad lo siguiente: </w:t>
      </w:r>
    </w:p>
    <w:p w:rsidR="0088522B" w:rsidRPr="001D1C28" w:rsidRDefault="0088522B" w:rsidP="0088522B">
      <w:pPr>
        <w:spacing w:line="360" w:lineRule="auto"/>
        <w:jc w:val="both"/>
        <w:rPr>
          <w:rFonts w:ascii="Palatino Linotype" w:hAnsi="Palatino Linotype"/>
        </w:rPr>
      </w:pPr>
    </w:p>
    <w:p w:rsidR="0088522B" w:rsidRPr="001D1C28" w:rsidRDefault="0088522B" w:rsidP="0088522B">
      <w:pPr>
        <w:ind w:left="567" w:right="567"/>
        <w:jc w:val="center"/>
        <w:rPr>
          <w:rFonts w:ascii="Palatino Linotype" w:hAnsi="Palatino Linotype"/>
          <w:b/>
          <w:i/>
        </w:rPr>
      </w:pPr>
      <w:r w:rsidRPr="001D1C28">
        <w:rPr>
          <w:rFonts w:ascii="Palatino Linotype" w:hAnsi="Palatino Linotype"/>
          <w:b/>
          <w:i/>
        </w:rPr>
        <w:lastRenderedPageBreak/>
        <w:t>LEY ORGÁNICA MUNICIPAL DEL ESTADO DE MÉXICO</w:t>
      </w:r>
    </w:p>
    <w:p w:rsidR="0088522B" w:rsidRPr="001D1C28" w:rsidRDefault="0088522B" w:rsidP="0088522B">
      <w:pPr>
        <w:ind w:left="567" w:right="567"/>
        <w:jc w:val="both"/>
        <w:rPr>
          <w:rFonts w:ascii="Palatino Linotype" w:hAnsi="Palatino Linotype"/>
          <w:i/>
        </w:rPr>
      </w:pPr>
    </w:p>
    <w:p w:rsidR="0088522B" w:rsidRPr="001D1C28" w:rsidRDefault="0088522B" w:rsidP="0088522B">
      <w:pPr>
        <w:ind w:left="567" w:right="567"/>
        <w:jc w:val="both"/>
        <w:rPr>
          <w:rFonts w:ascii="Palatino Linotype" w:hAnsi="Palatino Linotype"/>
          <w:i/>
        </w:rPr>
      </w:pPr>
      <w:r w:rsidRPr="001D1C28">
        <w:rPr>
          <w:rFonts w:ascii="Palatino Linotype" w:hAnsi="Palatino Linotype"/>
          <w:i/>
        </w:rPr>
        <w:t>“</w:t>
      </w:r>
      <w:r w:rsidRPr="001D1C28">
        <w:rPr>
          <w:rFonts w:ascii="Palatino Linotype" w:hAnsi="Palatino Linotype"/>
          <w:b/>
          <w:i/>
        </w:rPr>
        <w:t xml:space="preserve">Artículo 87.- </w:t>
      </w:r>
      <w:r w:rsidRPr="001D1C28">
        <w:rPr>
          <w:rFonts w:ascii="Palatino Linotype" w:hAnsi="Palatino Linotype"/>
          <w:i/>
        </w:rPr>
        <w:t>Para el despacho, estudio y planeación de los diversos asuntos de la administración municipal, el ayuntamiento contará por lo menos con las siguientes Dependencias:</w:t>
      </w:r>
    </w:p>
    <w:p w:rsidR="0088522B" w:rsidRPr="001D1C28" w:rsidRDefault="0088522B" w:rsidP="0088522B">
      <w:pPr>
        <w:ind w:left="567" w:right="567"/>
        <w:jc w:val="both"/>
        <w:rPr>
          <w:rFonts w:ascii="Palatino Linotype" w:hAnsi="Palatino Linotype"/>
          <w:i/>
        </w:rPr>
      </w:pPr>
      <w:r w:rsidRPr="001D1C28">
        <w:rPr>
          <w:rFonts w:ascii="Palatino Linotype" w:hAnsi="Palatino Linotype"/>
          <w:i/>
        </w:rPr>
        <w:t>I. La secretaría del ayuntamiento;</w:t>
      </w:r>
    </w:p>
    <w:p w:rsidR="0088522B" w:rsidRPr="001D1C28" w:rsidRDefault="0088522B" w:rsidP="0088522B">
      <w:pPr>
        <w:ind w:left="567" w:right="567"/>
        <w:jc w:val="both"/>
        <w:rPr>
          <w:rFonts w:ascii="Palatino Linotype" w:hAnsi="Palatino Linotype"/>
          <w:b/>
          <w:i/>
        </w:rPr>
      </w:pPr>
      <w:r w:rsidRPr="001D1C28">
        <w:rPr>
          <w:rFonts w:ascii="Palatino Linotype" w:hAnsi="Palatino Linotype"/>
          <w:b/>
          <w:i/>
          <w:u w:val="single"/>
        </w:rPr>
        <w:t>II. La tesorería municipal</w:t>
      </w:r>
      <w:r w:rsidRPr="001D1C28">
        <w:rPr>
          <w:rFonts w:ascii="Palatino Linotype" w:hAnsi="Palatino Linotype"/>
          <w:b/>
          <w:i/>
        </w:rPr>
        <w:t>.</w:t>
      </w:r>
    </w:p>
    <w:p w:rsidR="0088522B" w:rsidRPr="001D1C28" w:rsidRDefault="0088522B" w:rsidP="0088522B">
      <w:pPr>
        <w:ind w:left="567" w:right="567"/>
        <w:jc w:val="both"/>
        <w:rPr>
          <w:rFonts w:ascii="Palatino Linotype" w:hAnsi="Palatino Linotype"/>
          <w:i/>
        </w:rPr>
      </w:pPr>
      <w:r w:rsidRPr="001D1C28">
        <w:rPr>
          <w:rFonts w:ascii="Palatino Linotype" w:hAnsi="Palatino Linotype"/>
          <w:i/>
        </w:rPr>
        <w:t>III. La Dirección de Obras Públicas o equivalente.</w:t>
      </w:r>
    </w:p>
    <w:p w:rsidR="0088522B" w:rsidRPr="001D1C28" w:rsidRDefault="0088522B" w:rsidP="0088522B">
      <w:pPr>
        <w:ind w:left="567" w:right="567"/>
        <w:jc w:val="both"/>
        <w:rPr>
          <w:rFonts w:ascii="Palatino Linotype" w:hAnsi="Palatino Linotype"/>
          <w:i/>
        </w:rPr>
      </w:pPr>
      <w:r w:rsidRPr="001D1C28">
        <w:rPr>
          <w:rFonts w:ascii="Palatino Linotype" w:hAnsi="Palatino Linotype"/>
          <w:i/>
        </w:rPr>
        <w:t>IV. La Dirección de Desarrollo Económico o equivalente.</w:t>
      </w:r>
    </w:p>
    <w:p w:rsidR="0088522B" w:rsidRPr="001D1C28" w:rsidRDefault="0088522B" w:rsidP="0088522B">
      <w:pPr>
        <w:ind w:left="567" w:right="567"/>
        <w:jc w:val="both"/>
        <w:rPr>
          <w:rFonts w:ascii="Palatino Linotype" w:hAnsi="Palatino Linotype"/>
          <w:i/>
        </w:rPr>
      </w:pPr>
      <w:r w:rsidRPr="001D1C28">
        <w:rPr>
          <w:rFonts w:ascii="Palatino Linotype" w:hAnsi="Palatino Linotype"/>
          <w:i/>
        </w:rPr>
        <w:t>V. La Dirección de Desarrollo Urbano o equivalente;</w:t>
      </w:r>
    </w:p>
    <w:p w:rsidR="0088522B" w:rsidRPr="001D1C28" w:rsidRDefault="0088522B" w:rsidP="0088522B">
      <w:pPr>
        <w:ind w:left="567" w:right="567"/>
        <w:jc w:val="both"/>
        <w:rPr>
          <w:rFonts w:ascii="Palatino Linotype" w:hAnsi="Palatino Linotype"/>
          <w:i/>
        </w:rPr>
      </w:pPr>
      <w:r w:rsidRPr="001D1C28">
        <w:rPr>
          <w:rFonts w:ascii="Palatino Linotype" w:hAnsi="Palatino Linotype"/>
          <w:i/>
        </w:rPr>
        <w:t>VI. La Dirección de Ecología o equivalente.</w:t>
      </w:r>
    </w:p>
    <w:p w:rsidR="0088522B" w:rsidRPr="001D1C28" w:rsidRDefault="0088522B" w:rsidP="0088522B">
      <w:pPr>
        <w:ind w:left="567" w:right="567"/>
        <w:jc w:val="both"/>
        <w:rPr>
          <w:rFonts w:ascii="Palatino Linotype" w:hAnsi="Palatino Linotype"/>
          <w:i/>
        </w:rPr>
      </w:pPr>
      <w:r w:rsidRPr="001D1C28">
        <w:rPr>
          <w:rFonts w:ascii="Palatino Linotype" w:hAnsi="Palatino Linotype"/>
          <w:i/>
        </w:rPr>
        <w:t>VII. La Dirección de Desarrollo Social o equivalente.</w:t>
      </w:r>
    </w:p>
    <w:p w:rsidR="0088522B" w:rsidRPr="001D1C28" w:rsidRDefault="0088522B" w:rsidP="0088522B">
      <w:pPr>
        <w:ind w:left="567" w:right="567"/>
        <w:jc w:val="both"/>
        <w:rPr>
          <w:rFonts w:ascii="Palatino Linotype" w:hAnsi="Palatino Linotype"/>
          <w:i/>
        </w:rPr>
      </w:pPr>
      <w:r w:rsidRPr="001D1C28">
        <w:rPr>
          <w:rFonts w:ascii="Palatino Linotype" w:hAnsi="Palatino Linotype"/>
          <w:i/>
        </w:rPr>
        <w:t>VIII. La Coordinación Municipal de Protección Civil o equivalente.</w:t>
      </w:r>
    </w:p>
    <w:p w:rsidR="0088522B" w:rsidRPr="001D1C28" w:rsidRDefault="0088522B" w:rsidP="0088522B">
      <w:pPr>
        <w:ind w:left="567" w:right="567"/>
        <w:jc w:val="both"/>
        <w:rPr>
          <w:rFonts w:ascii="Palatino Linotype" w:hAnsi="Palatino Linotype"/>
          <w:i/>
        </w:rPr>
      </w:pPr>
      <w:r w:rsidRPr="001D1C28">
        <w:rPr>
          <w:rFonts w:ascii="Palatino Linotype" w:hAnsi="Palatino Linotype"/>
          <w:i/>
        </w:rPr>
        <w:t>IX. La Dirección de las Mujeres o equivalente.”</w:t>
      </w:r>
    </w:p>
    <w:p w:rsidR="0088522B" w:rsidRPr="001D1C28" w:rsidRDefault="0088522B" w:rsidP="0088522B">
      <w:pPr>
        <w:ind w:left="567" w:right="567"/>
        <w:jc w:val="both"/>
        <w:rPr>
          <w:rFonts w:ascii="Palatino Linotype" w:hAnsi="Palatino Linotype"/>
          <w:i/>
        </w:rPr>
      </w:pPr>
    </w:p>
    <w:p w:rsidR="0088522B" w:rsidRPr="001D1C28" w:rsidRDefault="0088522B" w:rsidP="0088522B">
      <w:pPr>
        <w:ind w:left="567" w:right="567"/>
        <w:jc w:val="both"/>
        <w:rPr>
          <w:rFonts w:ascii="Palatino Linotype" w:eastAsia="Calibri" w:hAnsi="Palatino Linotype" w:cs="Arial"/>
          <w:i/>
          <w:lang w:val="es-ES_tradnl"/>
        </w:rPr>
      </w:pPr>
      <w:r w:rsidRPr="001D1C28">
        <w:rPr>
          <w:rFonts w:ascii="Palatino Linotype" w:eastAsia="Calibri" w:hAnsi="Palatino Linotype" w:cs="Arial"/>
          <w:b/>
          <w:i/>
          <w:lang w:val="es-ES_tradnl"/>
        </w:rPr>
        <w:t>Artículo 93</w:t>
      </w:r>
      <w:r w:rsidRPr="001D1C28">
        <w:rPr>
          <w:rFonts w:ascii="Palatino Linotype" w:eastAsia="Calibri" w:hAnsi="Palatino Linotype" w:cs="Arial"/>
          <w:i/>
          <w:lang w:val="es-ES_tradnl"/>
        </w:rPr>
        <w:t xml:space="preserve">.- </w:t>
      </w:r>
      <w:r w:rsidRPr="001D1C28">
        <w:rPr>
          <w:rFonts w:ascii="Palatino Linotype" w:eastAsia="Calibri" w:hAnsi="Palatino Linotype" w:cs="Arial"/>
          <w:b/>
          <w:bCs/>
          <w:i/>
          <w:lang w:val="es-ES_tradnl"/>
        </w:rPr>
        <w:t>La tesorería municipal es el órgano encargado de la recaudación de los ingresos municipales y responsable de realizar las erogaciones que haga el ayuntamiento</w:t>
      </w:r>
      <w:r w:rsidRPr="001D1C28">
        <w:rPr>
          <w:rFonts w:ascii="Palatino Linotype" w:eastAsia="Calibri" w:hAnsi="Palatino Linotype" w:cs="Arial"/>
          <w:i/>
          <w:lang w:val="es-ES_tradnl"/>
        </w:rPr>
        <w:t>.</w:t>
      </w:r>
    </w:p>
    <w:p w:rsidR="0088522B" w:rsidRPr="001D1C28" w:rsidRDefault="0088522B" w:rsidP="0088522B">
      <w:pPr>
        <w:ind w:left="567" w:right="567"/>
        <w:jc w:val="both"/>
        <w:rPr>
          <w:rFonts w:ascii="Palatino Linotype" w:eastAsia="Calibri" w:hAnsi="Palatino Linotype" w:cs="Arial"/>
          <w:i/>
          <w:lang w:val="es-ES_tradnl"/>
        </w:rPr>
      </w:pPr>
    </w:p>
    <w:p w:rsidR="0088522B" w:rsidRPr="001D1C28" w:rsidRDefault="0088522B" w:rsidP="0088522B">
      <w:pPr>
        <w:ind w:left="567" w:right="567"/>
        <w:jc w:val="both"/>
        <w:rPr>
          <w:rFonts w:ascii="Palatino Linotype" w:eastAsia="Calibri" w:hAnsi="Palatino Linotype" w:cs="Arial"/>
          <w:i/>
          <w:lang w:val="es-ES_tradnl"/>
        </w:rPr>
      </w:pPr>
      <w:r w:rsidRPr="001D1C28">
        <w:rPr>
          <w:rFonts w:ascii="Palatino Linotype" w:eastAsia="Calibri" w:hAnsi="Palatino Linotype" w:cs="Arial"/>
          <w:b/>
          <w:bCs/>
          <w:i/>
          <w:lang w:val="es-ES_tradnl"/>
        </w:rPr>
        <w:t>Artículo 94.-</w:t>
      </w:r>
      <w:r w:rsidRPr="001D1C28">
        <w:rPr>
          <w:rFonts w:ascii="Palatino Linotype" w:eastAsia="Calibri" w:hAnsi="Palatino Linotype" w:cs="Arial"/>
          <w:i/>
          <w:lang w:val="es-ES_tradnl"/>
        </w:rPr>
        <w:t xml:space="preserve"> El tesorero municipal, al tomar posesión de su cargo, recibirá la hacienda pública de acuerdo con las previsiones a que se refiere el artículo 19 de esta Ley y remitirá un ejemplar de dicha documentación al ayuntamiento, al Órgano Superior de Fiscalización del Estado de México y al archivo de la tesorería.</w:t>
      </w:r>
    </w:p>
    <w:p w:rsidR="0088522B" w:rsidRPr="001D1C28" w:rsidRDefault="0088522B" w:rsidP="0088522B">
      <w:pPr>
        <w:ind w:left="567" w:right="567"/>
        <w:jc w:val="both"/>
        <w:rPr>
          <w:rFonts w:ascii="Palatino Linotype" w:hAnsi="Palatino Linotype"/>
          <w:i/>
        </w:rPr>
      </w:pPr>
    </w:p>
    <w:p w:rsidR="0088522B" w:rsidRPr="001D1C28" w:rsidRDefault="0088522B" w:rsidP="0088522B">
      <w:pPr>
        <w:ind w:left="567" w:right="567"/>
        <w:jc w:val="both"/>
        <w:rPr>
          <w:rFonts w:ascii="Palatino Linotype" w:hAnsi="Palatino Linotype"/>
          <w:i/>
        </w:rPr>
      </w:pPr>
      <w:r w:rsidRPr="001D1C28">
        <w:rPr>
          <w:rFonts w:ascii="Palatino Linotype" w:hAnsi="Palatino Linotype"/>
          <w:i/>
        </w:rPr>
        <w:t>“</w:t>
      </w:r>
      <w:r w:rsidRPr="001D1C28">
        <w:rPr>
          <w:rFonts w:ascii="Palatino Linotype" w:hAnsi="Palatino Linotype"/>
          <w:b/>
          <w:i/>
        </w:rPr>
        <w:t>Artículo 95.-</w:t>
      </w:r>
      <w:r w:rsidRPr="001D1C28">
        <w:rPr>
          <w:rFonts w:ascii="Palatino Linotype" w:hAnsi="Palatino Linotype"/>
          <w:i/>
        </w:rPr>
        <w:t xml:space="preserve"> Son atribuciones del </w:t>
      </w:r>
      <w:r w:rsidRPr="001D1C28">
        <w:rPr>
          <w:rFonts w:ascii="Palatino Linotype" w:hAnsi="Palatino Linotype"/>
          <w:b/>
          <w:i/>
          <w:u w:val="single"/>
        </w:rPr>
        <w:t>tesorero municipal</w:t>
      </w:r>
      <w:r w:rsidRPr="001D1C28">
        <w:rPr>
          <w:rFonts w:ascii="Palatino Linotype" w:hAnsi="Palatino Linotype"/>
          <w:i/>
        </w:rPr>
        <w:t xml:space="preserve">: </w:t>
      </w:r>
    </w:p>
    <w:p w:rsidR="0088522B" w:rsidRPr="001D1C28" w:rsidRDefault="0088522B" w:rsidP="0088522B">
      <w:pPr>
        <w:ind w:left="567" w:right="567"/>
        <w:jc w:val="both"/>
        <w:rPr>
          <w:rFonts w:ascii="Palatino Linotype" w:hAnsi="Palatino Linotype"/>
          <w:i/>
        </w:rPr>
      </w:pPr>
      <w:r w:rsidRPr="001D1C28">
        <w:rPr>
          <w:rFonts w:ascii="Palatino Linotype" w:hAnsi="Palatino Linotype"/>
          <w:i/>
        </w:rPr>
        <w:t>I. Administrar la hacienda pública municipal, de conformidad con las disposiciones legales aplicables;</w:t>
      </w:r>
    </w:p>
    <w:p w:rsidR="0088522B" w:rsidRPr="001D1C28" w:rsidRDefault="0088522B" w:rsidP="0088522B">
      <w:pPr>
        <w:ind w:left="567" w:right="567"/>
        <w:jc w:val="both"/>
        <w:rPr>
          <w:rFonts w:ascii="Palatino Linotype" w:hAnsi="Palatino Linotype"/>
          <w:i/>
        </w:rPr>
      </w:pPr>
      <w:r w:rsidRPr="001D1C28">
        <w:rPr>
          <w:rFonts w:ascii="Palatino Linotype" w:hAnsi="Palatino Linotype"/>
          <w:i/>
        </w:rPr>
        <w:t>(…)</w:t>
      </w:r>
    </w:p>
    <w:p w:rsidR="0088522B" w:rsidRPr="001D1C28" w:rsidRDefault="0088522B" w:rsidP="0088522B">
      <w:pPr>
        <w:ind w:left="567" w:right="567"/>
        <w:jc w:val="both"/>
        <w:rPr>
          <w:rFonts w:ascii="Palatino Linotype" w:hAnsi="Palatino Linotype"/>
          <w:i/>
          <w:u w:val="single"/>
        </w:rPr>
      </w:pPr>
      <w:r w:rsidRPr="001D1C28">
        <w:rPr>
          <w:rFonts w:ascii="Palatino Linotype" w:hAnsi="Palatino Linotype"/>
          <w:i/>
        </w:rPr>
        <w:t>IV</w:t>
      </w:r>
      <w:r w:rsidRPr="001D1C28">
        <w:rPr>
          <w:rFonts w:ascii="Palatino Linotype" w:hAnsi="Palatino Linotype"/>
          <w:b/>
          <w:i/>
          <w:u w:val="single"/>
        </w:rPr>
        <w:t>. Llevar los registros contables, financieros y administrativos de los ingresos, egresos, e inventarios;</w:t>
      </w:r>
    </w:p>
    <w:p w:rsidR="0088522B" w:rsidRPr="001D1C28" w:rsidRDefault="0088522B" w:rsidP="0088522B">
      <w:pPr>
        <w:ind w:left="567" w:right="567"/>
        <w:jc w:val="both"/>
        <w:rPr>
          <w:rFonts w:ascii="Palatino Linotype" w:hAnsi="Palatino Linotype"/>
          <w:i/>
        </w:rPr>
      </w:pPr>
      <w:r w:rsidRPr="001D1C28">
        <w:rPr>
          <w:rFonts w:ascii="Palatino Linotype" w:hAnsi="Palatino Linotype"/>
          <w:i/>
        </w:rPr>
        <w:t>V. Proporcionar oportunamente al ayuntamiento todos los datos o informes que sean necesarios para la formulación del Presupuesto de Egresos Municipales, vigilando que se ajuste a las disposiciones de esta Ley y otros ordenamientos aplicables;</w:t>
      </w:r>
    </w:p>
    <w:p w:rsidR="0088522B" w:rsidRPr="001D1C28" w:rsidRDefault="0088522B" w:rsidP="0088522B">
      <w:pPr>
        <w:ind w:left="567" w:right="567"/>
        <w:jc w:val="both"/>
        <w:rPr>
          <w:rFonts w:ascii="Palatino Linotype" w:hAnsi="Palatino Linotype"/>
          <w:i/>
        </w:rPr>
      </w:pPr>
      <w:r w:rsidRPr="001D1C28">
        <w:rPr>
          <w:rFonts w:ascii="Palatino Linotype" w:hAnsi="Palatino Linotype"/>
          <w:i/>
        </w:rPr>
        <w:t>(…)</w:t>
      </w:r>
    </w:p>
    <w:p w:rsidR="0088522B" w:rsidRPr="001D1C28" w:rsidRDefault="0088522B" w:rsidP="0088522B">
      <w:pPr>
        <w:ind w:left="567" w:right="567"/>
        <w:jc w:val="both"/>
        <w:rPr>
          <w:rFonts w:ascii="Palatino Linotype" w:hAnsi="Palatino Linotype"/>
          <w:i/>
        </w:rPr>
      </w:pPr>
      <w:r w:rsidRPr="001D1C28">
        <w:rPr>
          <w:rFonts w:ascii="Palatino Linotype" w:hAnsi="Palatino Linotype"/>
          <w:i/>
        </w:rPr>
        <w:t xml:space="preserve">XVI. Glosar oportunamente las cuentas del ayuntamiento; </w:t>
      </w:r>
    </w:p>
    <w:p w:rsidR="0088522B" w:rsidRPr="001D1C28" w:rsidRDefault="0088522B" w:rsidP="0088522B">
      <w:pPr>
        <w:ind w:left="567" w:right="567"/>
        <w:jc w:val="both"/>
        <w:rPr>
          <w:rFonts w:ascii="Palatino Linotype" w:hAnsi="Palatino Linotype"/>
          <w:i/>
        </w:rPr>
      </w:pPr>
      <w:r w:rsidRPr="001D1C28">
        <w:rPr>
          <w:rFonts w:ascii="Palatino Linotype" w:hAnsi="Palatino Linotype"/>
          <w:i/>
        </w:rPr>
        <w:t xml:space="preserve">XVII. Contestar oportunamente los pliegos de observaciones y responsabilidad que haga el Órgano Superior de Fiscalización del Estado de México, así como atender en </w:t>
      </w:r>
      <w:r w:rsidRPr="001D1C28">
        <w:rPr>
          <w:rFonts w:ascii="Palatino Linotype" w:hAnsi="Palatino Linotype"/>
          <w:i/>
        </w:rPr>
        <w:lastRenderedPageBreak/>
        <w:t>tiempo y forma las solicitudes de información que éste requiera, informando al Ayuntamiento;</w:t>
      </w:r>
    </w:p>
    <w:p w:rsidR="0088522B" w:rsidRPr="001D1C28" w:rsidRDefault="0088522B" w:rsidP="0088522B">
      <w:pPr>
        <w:ind w:left="567" w:right="567"/>
        <w:jc w:val="both"/>
        <w:rPr>
          <w:rFonts w:ascii="Palatino Linotype" w:hAnsi="Palatino Linotype"/>
          <w:i/>
        </w:rPr>
      </w:pPr>
      <w:r w:rsidRPr="001D1C28">
        <w:rPr>
          <w:rFonts w:ascii="Palatino Linotype" w:hAnsi="Palatino Linotype"/>
          <w:i/>
        </w:rPr>
        <w:t>(…)” (Sic)</w:t>
      </w:r>
    </w:p>
    <w:p w:rsidR="0088522B" w:rsidRPr="001D1C28" w:rsidRDefault="0088522B" w:rsidP="0088522B">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p>
    <w:p w:rsidR="0088522B" w:rsidRPr="001D1C28" w:rsidRDefault="0088522B" w:rsidP="0088522B">
      <w:pPr>
        <w:spacing w:line="360" w:lineRule="auto"/>
        <w:ind w:right="49"/>
        <w:contextualSpacing/>
        <w:jc w:val="both"/>
        <w:rPr>
          <w:rFonts w:ascii="Palatino Linotype" w:hAnsi="Palatino Linotype" w:cs="Arial"/>
        </w:rPr>
      </w:pPr>
      <w:r w:rsidRPr="001D1C28">
        <w:rPr>
          <w:rFonts w:ascii="Palatino Linotype" w:hAnsi="Palatino Linotype" w:cs="Arial"/>
        </w:rPr>
        <w:t xml:space="preserve">De lo anterior se advierte que los Ayuntamientos tienen la atribución de administrar libremente su hacienda y controlar la aplicación del presupuesto de egresos aprobado por dicho cuerpo colegiado, </w:t>
      </w:r>
      <w:r w:rsidRPr="001D1C28">
        <w:rPr>
          <w:rFonts w:ascii="Palatino Linotype" w:hAnsi="Palatino Linotype" w:cs="Arial"/>
          <w:b/>
        </w:rPr>
        <w:t>siendo atribución del Tesorero Municipal la de llevar los registros contables, financieros y administrativos de los ingresos, egresos e inventarios</w:t>
      </w:r>
      <w:r w:rsidRPr="001D1C28">
        <w:rPr>
          <w:rFonts w:ascii="Palatino Linotype" w:hAnsi="Palatino Linotype" w:cs="Arial"/>
        </w:rPr>
        <w:t>.</w:t>
      </w:r>
    </w:p>
    <w:p w:rsidR="0088522B" w:rsidRPr="001D1C28" w:rsidRDefault="0088522B" w:rsidP="0088522B">
      <w:pPr>
        <w:spacing w:line="360" w:lineRule="auto"/>
        <w:jc w:val="both"/>
        <w:rPr>
          <w:rFonts w:ascii="Palatino Linotype" w:eastAsia="Calibri" w:hAnsi="Palatino Linotype" w:cs="Arial"/>
          <w:lang w:val="es-MX" w:eastAsia="en-US"/>
        </w:rPr>
      </w:pPr>
    </w:p>
    <w:p w:rsidR="0088522B" w:rsidRPr="001D1C28" w:rsidRDefault="0088522B" w:rsidP="0088522B">
      <w:pPr>
        <w:spacing w:line="360" w:lineRule="auto"/>
        <w:jc w:val="both"/>
        <w:rPr>
          <w:rFonts w:ascii="Palatino Linotype" w:eastAsia="Calibri" w:hAnsi="Palatino Linotype" w:cs="Arial"/>
          <w:lang w:val="es-MX" w:eastAsia="en-US"/>
        </w:rPr>
      </w:pPr>
      <w:r w:rsidRPr="001D1C28">
        <w:rPr>
          <w:rFonts w:ascii="Palatino Linotype" w:eastAsia="Calibri" w:hAnsi="Palatino Linotype" w:cs="Arial"/>
          <w:lang w:val="es-MX" w:eastAsia="en-US"/>
        </w:rPr>
        <w:t>Dicho lo anterior, el “Glosario de Términos Usuales de Finanzas Públicas” del Centro de Estudios de las Finanzas Públicas de la Cámara de Diputados del H. Congreso de la Unión, el “Glosario de Términos Administrativos”, emitido por el Instituto Nacional de Administración Pública, A.C. y el “Glosario de Términos para el Proceso de Planeación, Programación, Presupuestación y Evaluación en la Administración Pública”, elaborado por el Grupo de Trabajo de Sistemas de Información Financiera, Contable y Presupuestal de la Comisión Permanente de Funcionarios Fiscales del Instituto para el Desarrollo Técnico de las Haciendas Públicas (INDETEC) señalan la siguiente definición de la palabra:</w:t>
      </w:r>
    </w:p>
    <w:p w:rsidR="0088522B" w:rsidRPr="001D1C28" w:rsidRDefault="0088522B" w:rsidP="0088522B">
      <w:pPr>
        <w:spacing w:line="360" w:lineRule="auto"/>
        <w:jc w:val="both"/>
        <w:rPr>
          <w:rFonts w:ascii="Palatino Linotype" w:eastAsia="Calibri" w:hAnsi="Palatino Linotype" w:cs="Arial"/>
          <w:lang w:val="es-MX" w:eastAsia="en-US"/>
        </w:rPr>
      </w:pPr>
    </w:p>
    <w:p w:rsidR="0088522B" w:rsidRPr="001D1C28" w:rsidRDefault="0088522B" w:rsidP="0088522B">
      <w:pPr>
        <w:ind w:left="567" w:right="567"/>
        <w:jc w:val="both"/>
        <w:rPr>
          <w:rFonts w:ascii="Palatino Linotype" w:eastAsia="Calibri" w:hAnsi="Palatino Linotype" w:cs="Arial"/>
          <w:i/>
          <w:lang w:val="es-MX" w:eastAsia="en-US"/>
        </w:rPr>
      </w:pPr>
      <w:r w:rsidRPr="001D1C28">
        <w:rPr>
          <w:rFonts w:ascii="Palatino Linotype" w:eastAsia="Calibri" w:hAnsi="Palatino Linotype" w:cs="Arial"/>
          <w:i/>
          <w:lang w:val="es-MX" w:eastAsia="en-US"/>
        </w:rPr>
        <w:t>“</w:t>
      </w:r>
      <w:r w:rsidRPr="001D1C28">
        <w:rPr>
          <w:rFonts w:ascii="Palatino Linotype" w:eastAsia="Calibri" w:hAnsi="Palatino Linotype" w:cs="Arial"/>
          <w:b/>
          <w:i/>
          <w:lang w:val="es-MX" w:eastAsia="en-US"/>
        </w:rPr>
        <w:t>NÓMINA</w:t>
      </w:r>
      <w:r w:rsidRPr="001D1C28">
        <w:rPr>
          <w:rFonts w:ascii="Palatino Linotype" w:eastAsia="Calibri" w:hAnsi="Palatino Linotype" w:cs="Arial"/>
          <w:i/>
          <w:lang w:val="es-MX" w:eastAsia="en-US"/>
        </w:rPr>
        <w:t>: Listado general de los trabajadores de una institución, en el cual se asientan las percepciones brutas, deducciones y alcance neto de las mismas; la nómina es utilizada para efectuar los pagos periódicos (semanales, quincenales o mensuales) a los trabajadores por concepto de sueldos y salarios.”</w:t>
      </w:r>
    </w:p>
    <w:p w:rsidR="0088522B" w:rsidRPr="001D1C28" w:rsidRDefault="0088522B" w:rsidP="0088522B">
      <w:pPr>
        <w:spacing w:line="360" w:lineRule="auto"/>
        <w:jc w:val="both"/>
        <w:rPr>
          <w:rFonts w:ascii="Palatino Linotype" w:eastAsia="Calibri" w:hAnsi="Palatino Linotype" w:cs="Arial"/>
          <w:lang w:val="es-MX" w:eastAsia="en-US"/>
        </w:rPr>
      </w:pPr>
    </w:p>
    <w:p w:rsidR="0088522B" w:rsidRPr="001D1C28" w:rsidRDefault="0088522B" w:rsidP="0088522B">
      <w:pPr>
        <w:spacing w:line="360" w:lineRule="auto"/>
        <w:jc w:val="both"/>
        <w:rPr>
          <w:rFonts w:ascii="Palatino Linotype" w:eastAsia="Calibri" w:hAnsi="Palatino Linotype" w:cs="Arial"/>
          <w:lang w:val="es-MX" w:eastAsia="en-US"/>
        </w:rPr>
      </w:pPr>
      <w:r w:rsidRPr="001D1C28">
        <w:rPr>
          <w:rFonts w:ascii="Palatino Linotype" w:eastAsia="Calibri" w:hAnsi="Palatino Linotype" w:cs="Arial"/>
          <w:lang w:val="es-MX" w:eastAsia="en-US"/>
        </w:rPr>
        <w:t xml:space="preserve">Relativo al tema, debemos traer a colación que el artículo 147 de la Constitución Política del Estado Libre y Soberano de México, establece que los trabajadores al servicio del </w:t>
      </w:r>
      <w:r w:rsidRPr="001D1C28">
        <w:rPr>
          <w:rFonts w:ascii="Palatino Linotype" w:eastAsia="Calibri" w:hAnsi="Palatino Linotype" w:cs="Arial"/>
          <w:lang w:val="es-MX" w:eastAsia="en-US"/>
        </w:rPr>
        <w:lastRenderedPageBreak/>
        <w:t>Estado y los miembros de los Ayuntamientos, recibirán una remuneración adecuada e irrenunciable por el desempeño de su empleo, cargo o comisión, que será determinada en el presupuesto de egresos que corresponda.</w:t>
      </w:r>
    </w:p>
    <w:p w:rsidR="0088522B" w:rsidRPr="001D1C28" w:rsidRDefault="0088522B" w:rsidP="0088522B">
      <w:pPr>
        <w:spacing w:line="360" w:lineRule="auto"/>
        <w:jc w:val="both"/>
        <w:rPr>
          <w:rFonts w:ascii="Palatino Linotype" w:eastAsia="Calibri" w:hAnsi="Palatino Linotype" w:cs="Arial"/>
          <w:lang w:val="es-MX" w:eastAsia="en-US"/>
        </w:rPr>
      </w:pPr>
    </w:p>
    <w:p w:rsidR="0088522B" w:rsidRPr="001D1C28" w:rsidRDefault="0088522B" w:rsidP="0088522B">
      <w:pPr>
        <w:spacing w:line="360" w:lineRule="auto"/>
        <w:jc w:val="both"/>
        <w:rPr>
          <w:rFonts w:ascii="Palatino Linotype" w:eastAsia="Calibri" w:hAnsi="Palatino Linotype" w:cs="Arial"/>
          <w:lang w:val="es-MX" w:eastAsia="en-US"/>
        </w:rPr>
      </w:pPr>
      <w:r w:rsidRPr="001D1C28">
        <w:rPr>
          <w:rFonts w:ascii="Palatino Linotype" w:eastAsia="Calibri" w:hAnsi="Palatino Linotype" w:cs="Arial"/>
          <w:lang w:val="es-MX" w:eastAsia="en-US"/>
        </w:rPr>
        <w:t>En el mismo sentido, el Código Financiero del Estado de México y Municipios, en su artículo 3° fracción XXXXII estipula lo siguiente:</w:t>
      </w:r>
    </w:p>
    <w:p w:rsidR="0088522B" w:rsidRPr="001D1C28" w:rsidRDefault="0088522B" w:rsidP="0088522B">
      <w:pPr>
        <w:spacing w:line="360" w:lineRule="auto"/>
        <w:jc w:val="both"/>
        <w:rPr>
          <w:rFonts w:ascii="Palatino Linotype" w:eastAsia="Calibri" w:hAnsi="Palatino Linotype" w:cs="Arial"/>
          <w:lang w:val="es-MX" w:eastAsia="en-US"/>
        </w:rPr>
      </w:pPr>
    </w:p>
    <w:p w:rsidR="0088522B" w:rsidRPr="001D1C28" w:rsidRDefault="0088522B" w:rsidP="0088522B">
      <w:pPr>
        <w:ind w:left="567" w:right="567"/>
        <w:jc w:val="both"/>
        <w:rPr>
          <w:rFonts w:ascii="Palatino Linotype" w:eastAsia="Calibri" w:hAnsi="Palatino Linotype" w:cs="Arial"/>
          <w:b/>
          <w:i/>
          <w:sz w:val="22"/>
          <w:lang w:val="es-MX" w:eastAsia="en-US"/>
        </w:rPr>
      </w:pPr>
      <w:r w:rsidRPr="001D1C28">
        <w:rPr>
          <w:rFonts w:ascii="Palatino Linotype" w:eastAsia="Calibri" w:hAnsi="Palatino Linotype" w:cs="Arial"/>
          <w:i/>
          <w:sz w:val="22"/>
          <w:lang w:val="es-MX" w:eastAsia="en-US"/>
        </w:rPr>
        <w:t>“</w:t>
      </w:r>
      <w:r w:rsidRPr="001D1C28">
        <w:rPr>
          <w:rFonts w:ascii="Palatino Linotype" w:eastAsia="Calibri" w:hAnsi="Palatino Linotype" w:cs="Arial"/>
          <w:b/>
          <w:i/>
          <w:sz w:val="22"/>
          <w:lang w:val="es-MX" w:eastAsia="en-US"/>
        </w:rPr>
        <w:t xml:space="preserve">Artículo 3. </w:t>
      </w:r>
    </w:p>
    <w:p w:rsidR="0088522B" w:rsidRPr="001D1C28" w:rsidRDefault="0088522B" w:rsidP="0088522B">
      <w:pPr>
        <w:ind w:left="567" w:right="567"/>
        <w:jc w:val="both"/>
        <w:rPr>
          <w:rFonts w:ascii="Palatino Linotype" w:eastAsia="Calibri" w:hAnsi="Palatino Linotype" w:cs="Arial"/>
          <w:b/>
          <w:i/>
          <w:sz w:val="22"/>
          <w:lang w:val="es-MX" w:eastAsia="en-US"/>
        </w:rPr>
      </w:pPr>
      <w:r w:rsidRPr="001D1C28">
        <w:rPr>
          <w:rFonts w:ascii="Palatino Linotype" w:eastAsia="Calibri" w:hAnsi="Palatino Linotype" w:cs="Arial"/>
          <w:b/>
          <w:i/>
          <w:sz w:val="22"/>
          <w:lang w:val="es-MX" w:eastAsia="en-US"/>
        </w:rPr>
        <w:t>(…)</w:t>
      </w:r>
    </w:p>
    <w:p w:rsidR="0088522B" w:rsidRPr="001D1C28" w:rsidRDefault="0088522B" w:rsidP="0088522B">
      <w:pPr>
        <w:ind w:left="567" w:right="567"/>
        <w:jc w:val="both"/>
        <w:rPr>
          <w:rFonts w:ascii="Palatino Linotype" w:eastAsia="Calibri" w:hAnsi="Palatino Linotype" w:cs="Arial"/>
          <w:i/>
          <w:sz w:val="22"/>
          <w:lang w:val="es-MX" w:eastAsia="en-US"/>
        </w:rPr>
      </w:pPr>
      <w:r w:rsidRPr="001D1C28">
        <w:rPr>
          <w:rFonts w:ascii="Palatino Linotype" w:eastAsia="Calibri" w:hAnsi="Palatino Linotype" w:cs="Arial"/>
          <w:b/>
          <w:i/>
          <w:sz w:val="22"/>
          <w:lang w:val="es-MX" w:eastAsia="en-US"/>
        </w:rPr>
        <w:t>XXXII. Remuneración:</w:t>
      </w:r>
      <w:r w:rsidRPr="001D1C28">
        <w:rPr>
          <w:rFonts w:ascii="Palatino Linotype" w:eastAsia="Calibri" w:hAnsi="Palatino Linotype" w:cs="Arial"/>
          <w:i/>
          <w:sz w:val="22"/>
          <w:lang w:val="es-MX" w:eastAsia="en-US"/>
        </w:rPr>
        <w:t xml:space="preserve"> A los pagos hechos por concepto de sueldo, compensaciones, gratificaciones, habitación, primas, comisiones, prestaciones en especie y cualquier otra percepción o prestación que se entregue al servidor público por su trabajo. Esta definición no será aplicable para los efectos del Impuesto sobre Erogaciones por Remuneraciones al Trabajo Personal;</w:t>
      </w:r>
    </w:p>
    <w:p w:rsidR="0088522B" w:rsidRPr="001D1C28" w:rsidRDefault="0088522B" w:rsidP="0088522B">
      <w:pPr>
        <w:ind w:left="567" w:right="567"/>
        <w:jc w:val="both"/>
        <w:rPr>
          <w:rFonts w:ascii="Palatino Linotype" w:eastAsia="Calibri" w:hAnsi="Palatino Linotype" w:cs="Arial"/>
          <w:i/>
          <w:sz w:val="22"/>
          <w:lang w:val="es-MX" w:eastAsia="en-US"/>
        </w:rPr>
      </w:pPr>
      <w:r w:rsidRPr="001D1C28">
        <w:rPr>
          <w:rFonts w:ascii="Palatino Linotype" w:eastAsia="Calibri" w:hAnsi="Palatino Linotype" w:cs="Arial"/>
          <w:i/>
          <w:sz w:val="22"/>
          <w:lang w:val="es-MX" w:eastAsia="en-US"/>
        </w:rPr>
        <w:t>(…)”</w:t>
      </w:r>
    </w:p>
    <w:p w:rsidR="0088522B" w:rsidRPr="001D1C28" w:rsidRDefault="0088522B" w:rsidP="0088522B">
      <w:pPr>
        <w:spacing w:line="360" w:lineRule="auto"/>
        <w:jc w:val="both"/>
        <w:rPr>
          <w:rFonts w:ascii="Palatino Linotype" w:eastAsia="Calibri" w:hAnsi="Palatino Linotype" w:cs="Arial"/>
          <w:lang w:val="es-MX" w:eastAsia="en-US"/>
        </w:rPr>
      </w:pPr>
    </w:p>
    <w:p w:rsidR="0088522B" w:rsidRPr="001D1C28" w:rsidRDefault="0088522B" w:rsidP="0088522B">
      <w:pPr>
        <w:spacing w:line="360" w:lineRule="auto"/>
        <w:jc w:val="both"/>
        <w:rPr>
          <w:rFonts w:ascii="Palatino Linotype" w:eastAsia="Calibri" w:hAnsi="Palatino Linotype" w:cs="Arial"/>
          <w:lang w:val="es-MX" w:eastAsia="en-US"/>
        </w:rPr>
      </w:pPr>
      <w:r w:rsidRPr="001D1C28">
        <w:rPr>
          <w:rFonts w:ascii="Palatino Linotype" w:eastAsia="Calibri" w:hAnsi="Palatino Linotype" w:cs="Arial"/>
          <w:lang w:val="es-MX" w:eastAsia="en-US"/>
        </w:rPr>
        <w:t xml:space="preserve">Además, la Ley Orgánica Municipal del Estado de México en el artículo 31 fracción XIX establece como atribución de los Ayuntamientos aprobar su </w:t>
      </w:r>
      <w:r w:rsidRPr="001D1C28">
        <w:rPr>
          <w:rFonts w:ascii="Palatino Linotype" w:eastAsia="Calibri" w:hAnsi="Palatino Linotype" w:cs="Arial"/>
          <w:b/>
          <w:lang w:val="es-MX" w:eastAsia="en-US"/>
        </w:rPr>
        <w:t>Presupuesto de Egresos</w:t>
      </w:r>
      <w:r w:rsidRPr="001D1C28">
        <w:rPr>
          <w:rFonts w:ascii="Palatino Linotype" w:eastAsia="Calibri" w:hAnsi="Palatino Linotype" w:cs="Arial"/>
          <w:lang w:val="es-MX" w:eastAsia="en-US"/>
        </w:rPr>
        <w:t xml:space="preserve">, y al hacerlo deberán señalar </w:t>
      </w:r>
      <w:r w:rsidRPr="001D1C28">
        <w:rPr>
          <w:rFonts w:ascii="Palatino Linotype" w:eastAsia="Calibri" w:hAnsi="Palatino Linotype" w:cs="Arial"/>
          <w:i/>
          <w:lang w:val="es-MX" w:eastAsia="en-US"/>
        </w:rPr>
        <w:t>“</w:t>
      </w:r>
      <w:r w:rsidRPr="001D1C28">
        <w:rPr>
          <w:rFonts w:ascii="Palatino Linotype" w:eastAsia="Calibri" w:hAnsi="Palatino Linotype" w:cs="Arial"/>
          <w:b/>
          <w:i/>
          <w:lang w:val="es-MX" w:eastAsia="en-US"/>
        </w:rPr>
        <w:t>la remuneración</w:t>
      </w:r>
      <w:r w:rsidRPr="001D1C28">
        <w:rPr>
          <w:rFonts w:ascii="Palatino Linotype" w:eastAsia="Calibri" w:hAnsi="Palatino Linotype" w:cs="Arial"/>
          <w:i/>
          <w:lang w:val="es-MX" w:eastAsia="en-US"/>
        </w:rPr>
        <w:t xml:space="preserve"> de todo tipo que corresponda a un empleo, cargo o comisión de cualquier naturaleza, determinada conforme a principios de racionalidad, austeridad, disciplina financiera, equidad, legalidad, igualdad y transparencia, sujetándose a lo dispuesto por el Código Financiero y demás disposiciones legales aplicables“ y además “las remuneraciones de todo tipo del Presidente Municipal, Síndicos, Regidores y servidores públicos en general, incluyendo mandos medios y superiores de la administración municipal, serán </w:t>
      </w:r>
      <w:r w:rsidRPr="001D1C28">
        <w:rPr>
          <w:rFonts w:ascii="Palatino Linotype" w:eastAsia="Calibri" w:hAnsi="Palatino Linotype" w:cs="Arial"/>
          <w:b/>
          <w:i/>
          <w:lang w:val="es-MX" w:eastAsia="en-US"/>
        </w:rPr>
        <w:t>determinadas anualmente en el presupuesto de egresos</w:t>
      </w:r>
      <w:r w:rsidRPr="001D1C28">
        <w:rPr>
          <w:rFonts w:ascii="Palatino Linotype" w:eastAsia="Calibri" w:hAnsi="Palatino Linotype" w:cs="Arial"/>
          <w:i/>
          <w:lang w:val="es-MX" w:eastAsia="en-US"/>
        </w:rPr>
        <w:t xml:space="preserve"> correspondiente y se sujetarán a los lineamientos legales establecidos para todos los servidores públicos municipales”.(…)</w:t>
      </w:r>
    </w:p>
    <w:p w:rsidR="0088522B" w:rsidRPr="001D1C28" w:rsidRDefault="0088522B" w:rsidP="0088522B">
      <w:pPr>
        <w:spacing w:line="360" w:lineRule="auto"/>
        <w:jc w:val="both"/>
        <w:rPr>
          <w:rFonts w:ascii="Palatino Linotype" w:eastAsia="Calibri" w:hAnsi="Palatino Linotype" w:cs="Arial"/>
          <w:lang w:val="es-MX" w:eastAsia="en-US"/>
        </w:rPr>
      </w:pPr>
    </w:p>
    <w:p w:rsidR="0088522B" w:rsidRPr="001D1C28" w:rsidRDefault="0088522B" w:rsidP="0088522B">
      <w:pPr>
        <w:spacing w:line="360" w:lineRule="auto"/>
        <w:jc w:val="both"/>
        <w:rPr>
          <w:rFonts w:ascii="Palatino Linotype" w:eastAsia="Calibri" w:hAnsi="Palatino Linotype" w:cs="Arial"/>
          <w:b/>
          <w:lang w:val="es-MX" w:eastAsia="en-US"/>
        </w:rPr>
      </w:pPr>
      <w:r w:rsidRPr="001D1C28">
        <w:rPr>
          <w:rFonts w:ascii="Palatino Linotype" w:eastAsia="Calibri" w:hAnsi="Palatino Linotype" w:cs="Arial"/>
          <w:lang w:val="es-MX" w:eastAsia="en-US"/>
        </w:rPr>
        <w:lastRenderedPageBreak/>
        <w:t xml:space="preserve">De lo anteriormente expuesto, este Instituto advierte que tanto en la nómina general o recibos de pagos de salarios es donde se registran las remuneraciones otorgadas a los servidores públicos, las cuales de acuerdo con los artículos 127 de la Constitución Política de los Estados Unidos Mexicanos y 3, fracción XXXII del Código Financiero del Estado de México y Municipios, </w:t>
      </w:r>
      <w:r w:rsidRPr="001D1C28">
        <w:rPr>
          <w:rFonts w:ascii="Palatino Linotype" w:eastAsia="Calibri" w:hAnsi="Palatino Linotype" w:cs="Arial"/>
          <w:b/>
          <w:lang w:val="es-MX" w:eastAsia="en-US"/>
        </w:rPr>
        <w:t>constituyen toda percepción o pagos por concepto de sueldo, compensaciones, gratificaciones, habitación, primas, comisiones, prestaciones en especie, premios, recompensas, bonos, estímulos, dietas, aguinaldos, comisiones y cualquier otra prestación que se entregue a los servidores públicos por su trabajo.</w:t>
      </w:r>
    </w:p>
    <w:p w:rsidR="00A32B98" w:rsidRPr="001D1C28" w:rsidRDefault="00A32B98" w:rsidP="0088522B">
      <w:pPr>
        <w:spacing w:line="360" w:lineRule="auto"/>
        <w:jc w:val="both"/>
        <w:rPr>
          <w:rFonts w:ascii="Palatino Linotype" w:eastAsia="Calibri" w:hAnsi="Palatino Linotype" w:cs="Arial"/>
          <w:b/>
          <w:lang w:val="es-MX" w:eastAsia="en-US"/>
        </w:rPr>
      </w:pPr>
    </w:p>
    <w:p w:rsidR="0088522B" w:rsidRPr="001D1C28" w:rsidRDefault="0088522B" w:rsidP="0088522B">
      <w:pPr>
        <w:spacing w:before="240" w:after="240" w:line="360" w:lineRule="auto"/>
        <w:jc w:val="both"/>
        <w:rPr>
          <w:rFonts w:ascii="Palatino Linotype" w:hAnsi="Palatino Linotype"/>
        </w:rPr>
      </w:pPr>
      <w:r w:rsidRPr="001D1C28">
        <w:rPr>
          <w:rFonts w:ascii="Palatino Linotype" w:hAnsi="Palatino Linotype"/>
        </w:rPr>
        <w:t xml:space="preserve">Aunado a lo anterior, </w:t>
      </w:r>
      <w:r w:rsidRPr="001D1C28">
        <w:rPr>
          <w:rFonts w:ascii="Palatino Linotype" w:hAnsi="Palatino Linotype" w:cs="Arial"/>
          <w:color w:val="000000"/>
        </w:rPr>
        <w:t>l</w:t>
      </w:r>
      <w:r w:rsidRPr="001D1C28">
        <w:rPr>
          <w:rFonts w:ascii="Palatino Linotype" w:hAnsi="Palatino Linotype"/>
          <w:color w:val="000000"/>
        </w:rPr>
        <w:t xml:space="preserve">os Lineamientos para la Presentación del Informe Trimestral Municipal Ejercicio Fiscal 2025, visibles en la página oficial del Órgano Superior de Fiscalización del Estado de México (OSFEM), </w:t>
      </w:r>
      <w:r w:rsidRPr="001D1C28">
        <w:rPr>
          <w:rFonts w:ascii="Palatino Linotype" w:hAnsi="Palatino Linotype"/>
        </w:rPr>
        <w:t xml:space="preserve">donde se destaca que dentro de los informes trimestrales que </w:t>
      </w:r>
      <w:r w:rsidRPr="001D1C28">
        <w:rPr>
          <w:rFonts w:ascii="Palatino Linotype" w:hAnsi="Palatino Linotype"/>
          <w:b/>
        </w:rPr>
        <w:t xml:space="preserve">El Sujeto Obligado </w:t>
      </w:r>
      <w:r w:rsidRPr="001D1C28">
        <w:rPr>
          <w:rFonts w:ascii="Palatino Linotype" w:hAnsi="Palatino Linotype"/>
        </w:rPr>
        <w:t>tiene la obligación de rendir, se contempla precisamente la presentación de la información referente a la Conciliación de Nómina, los cuales define como:</w:t>
      </w:r>
    </w:p>
    <w:p w:rsidR="0088522B" w:rsidRPr="001D1C28" w:rsidRDefault="0088522B" w:rsidP="0088522B">
      <w:pPr>
        <w:numPr>
          <w:ilvl w:val="0"/>
          <w:numId w:val="12"/>
        </w:numPr>
        <w:spacing w:before="240" w:after="240" w:line="360" w:lineRule="auto"/>
        <w:jc w:val="both"/>
        <w:rPr>
          <w:rFonts w:ascii="Palatino Linotype" w:hAnsi="Palatino Linotype"/>
        </w:rPr>
      </w:pPr>
      <w:r w:rsidRPr="001D1C28">
        <w:rPr>
          <w:rFonts w:ascii="Palatino Linotype" w:hAnsi="Palatino Linotype"/>
          <w:b/>
        </w:rPr>
        <w:t>Conciliación de Nómina:</w:t>
      </w:r>
      <w:r w:rsidRPr="001D1C28">
        <w:rPr>
          <w:rFonts w:ascii="Palatino Linotype" w:hAnsi="Palatino Linotype"/>
        </w:rPr>
        <w:t xml:space="preserve"> es el concentrado mensual de las cifras derivadas de todas las erogaciones realizadas por concepto de remuneraciones al trabajo, registradas en la nómina; las cuales deben coincidir con las contenidas en los registros contables, por concepto de remuneraciones o trabajo personal.</w:t>
      </w:r>
    </w:p>
    <w:p w:rsidR="0088522B" w:rsidRPr="001D1C28" w:rsidRDefault="0088522B" w:rsidP="00A32B98">
      <w:pPr>
        <w:spacing w:before="240" w:after="240" w:line="360" w:lineRule="auto"/>
        <w:jc w:val="center"/>
        <w:rPr>
          <w:rFonts w:ascii="Palatino Linotype" w:hAnsi="Palatino Linotype"/>
        </w:rPr>
      </w:pPr>
      <w:r w:rsidRPr="001D1C28">
        <w:rPr>
          <w:rFonts w:ascii="Palatino Linotype" w:hAnsi="Palatino Linotype" w:cs="Arial"/>
          <w:noProof/>
          <w:lang w:val="es-MX" w:eastAsia="es-MX"/>
        </w:rPr>
        <w:lastRenderedPageBreak/>
        <w:drawing>
          <wp:inline distT="0" distB="0" distL="0" distR="0" wp14:anchorId="723385B3" wp14:editId="3D9D1E29">
            <wp:extent cx="5362575" cy="3102512"/>
            <wp:effectExtent l="0" t="0" r="0" b="317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3C43E3B.tmp"/>
                    <pic:cNvPicPr/>
                  </pic:nvPicPr>
                  <pic:blipFill>
                    <a:blip r:embed="rId10">
                      <a:extLst>
                        <a:ext uri="{28A0092B-C50C-407E-A947-70E740481C1C}">
                          <a14:useLocalDpi xmlns:a14="http://schemas.microsoft.com/office/drawing/2010/main" val="0"/>
                        </a:ext>
                      </a:extLst>
                    </a:blip>
                    <a:stretch>
                      <a:fillRect/>
                    </a:stretch>
                  </pic:blipFill>
                  <pic:spPr>
                    <a:xfrm>
                      <a:off x="0" y="0"/>
                      <a:ext cx="5428472" cy="3140637"/>
                    </a:xfrm>
                    <a:prstGeom prst="rect">
                      <a:avLst/>
                    </a:prstGeom>
                  </pic:spPr>
                </pic:pic>
              </a:graphicData>
            </a:graphic>
          </wp:inline>
        </w:drawing>
      </w:r>
    </w:p>
    <w:p w:rsidR="0088522B" w:rsidRPr="001D1C28" w:rsidRDefault="0088522B" w:rsidP="0088522B">
      <w:pPr>
        <w:spacing w:before="240" w:after="240" w:line="360" w:lineRule="auto"/>
        <w:rPr>
          <w:rFonts w:ascii="Palatino Linotype" w:hAnsi="Palatino Linotype"/>
        </w:rPr>
      </w:pPr>
      <w:r w:rsidRPr="001D1C28">
        <w:rPr>
          <w:rFonts w:ascii="Palatino Linotype" w:hAnsi="Palatino Linotype" w:cs="Arial"/>
          <w:noProof/>
          <w:lang w:val="es-MX" w:eastAsia="es-MX"/>
        </w:rPr>
        <w:drawing>
          <wp:inline distT="0" distB="0" distL="0" distR="0" wp14:anchorId="4F9AE7BB" wp14:editId="04B8CCCD">
            <wp:extent cx="5781028" cy="329565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3C4A880.tmp"/>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01373" cy="3307248"/>
                    </a:xfrm>
                    <a:prstGeom prst="rect">
                      <a:avLst/>
                    </a:prstGeom>
                  </pic:spPr>
                </pic:pic>
              </a:graphicData>
            </a:graphic>
          </wp:inline>
        </w:drawing>
      </w:r>
    </w:p>
    <w:p w:rsidR="0088522B" w:rsidRPr="001D1C28" w:rsidRDefault="0088522B" w:rsidP="0088522B">
      <w:pPr>
        <w:spacing w:before="240" w:after="240" w:line="360" w:lineRule="auto"/>
        <w:rPr>
          <w:rFonts w:ascii="Palatino Linotype" w:hAnsi="Palatino Linotype"/>
        </w:rPr>
      </w:pPr>
      <w:r w:rsidRPr="001D1C28">
        <w:rPr>
          <w:rFonts w:ascii="Palatino Linotype" w:hAnsi="Palatino Linotype" w:cs="Arial"/>
          <w:noProof/>
          <w:lang w:val="es-MX" w:eastAsia="es-MX"/>
        </w:rPr>
        <w:lastRenderedPageBreak/>
        <w:drawing>
          <wp:inline distT="0" distB="0" distL="0" distR="0" wp14:anchorId="40957C1C" wp14:editId="41C71B62">
            <wp:extent cx="5791835" cy="219075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3C47.tmp"/>
                    <pic:cNvPicPr/>
                  </pic:nvPicPr>
                  <pic:blipFill>
                    <a:blip r:embed="rId12">
                      <a:extLst>
                        <a:ext uri="{28A0092B-C50C-407E-A947-70E740481C1C}">
                          <a14:useLocalDpi xmlns:a14="http://schemas.microsoft.com/office/drawing/2010/main" val="0"/>
                        </a:ext>
                      </a:extLst>
                    </a:blip>
                    <a:stretch>
                      <a:fillRect/>
                    </a:stretch>
                  </pic:blipFill>
                  <pic:spPr>
                    <a:xfrm>
                      <a:off x="0" y="0"/>
                      <a:ext cx="5791835" cy="2190750"/>
                    </a:xfrm>
                    <a:prstGeom prst="rect">
                      <a:avLst/>
                    </a:prstGeom>
                  </pic:spPr>
                </pic:pic>
              </a:graphicData>
            </a:graphic>
          </wp:inline>
        </w:drawing>
      </w:r>
    </w:p>
    <w:p w:rsidR="0088522B" w:rsidRPr="001D1C28" w:rsidRDefault="0088522B" w:rsidP="0088522B">
      <w:pPr>
        <w:spacing w:before="240" w:after="240" w:line="360" w:lineRule="auto"/>
        <w:rPr>
          <w:rFonts w:ascii="Palatino Linotype" w:hAnsi="Palatino Linotype"/>
        </w:rPr>
      </w:pPr>
      <w:r w:rsidRPr="001D1C28">
        <w:rPr>
          <w:rFonts w:ascii="Palatino Linotype" w:hAnsi="Palatino Linotype" w:cs="Arial"/>
          <w:noProof/>
          <w:lang w:val="es-MX" w:eastAsia="es-MX"/>
        </w:rPr>
        <w:lastRenderedPageBreak/>
        <w:drawing>
          <wp:inline distT="0" distB="0" distL="0" distR="0" wp14:anchorId="0E7256F2" wp14:editId="537E3B4F">
            <wp:extent cx="5791835" cy="564261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3C44D6C.tmp"/>
                    <pic:cNvPicPr/>
                  </pic:nvPicPr>
                  <pic:blipFill>
                    <a:blip r:embed="rId13">
                      <a:extLst>
                        <a:ext uri="{28A0092B-C50C-407E-A947-70E740481C1C}">
                          <a14:useLocalDpi xmlns:a14="http://schemas.microsoft.com/office/drawing/2010/main" val="0"/>
                        </a:ext>
                      </a:extLst>
                    </a:blip>
                    <a:stretch>
                      <a:fillRect/>
                    </a:stretch>
                  </pic:blipFill>
                  <pic:spPr>
                    <a:xfrm>
                      <a:off x="0" y="0"/>
                      <a:ext cx="5791835" cy="5642610"/>
                    </a:xfrm>
                    <a:prstGeom prst="rect">
                      <a:avLst/>
                    </a:prstGeom>
                  </pic:spPr>
                </pic:pic>
              </a:graphicData>
            </a:graphic>
          </wp:inline>
        </w:drawing>
      </w:r>
    </w:p>
    <w:p w:rsidR="0088522B" w:rsidRPr="001D1C28" w:rsidRDefault="0088522B" w:rsidP="0088522B">
      <w:pPr>
        <w:spacing w:before="240" w:after="240" w:line="360" w:lineRule="auto"/>
        <w:rPr>
          <w:rFonts w:ascii="Palatino Linotype" w:hAnsi="Palatino Linotype"/>
        </w:rPr>
      </w:pPr>
      <w:r w:rsidRPr="001D1C28">
        <w:rPr>
          <w:rFonts w:ascii="Palatino Linotype" w:hAnsi="Palatino Linotype" w:cs="Arial"/>
          <w:noProof/>
          <w:lang w:val="es-MX" w:eastAsia="es-MX"/>
        </w:rPr>
        <w:drawing>
          <wp:inline distT="0" distB="0" distL="0" distR="0" wp14:anchorId="2CB624C9" wp14:editId="62ADF9C0">
            <wp:extent cx="5791835" cy="375920"/>
            <wp:effectExtent l="0" t="0" r="0" b="508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C492D3.tmp"/>
                    <pic:cNvPicPr/>
                  </pic:nvPicPr>
                  <pic:blipFill>
                    <a:blip r:embed="rId14">
                      <a:extLst>
                        <a:ext uri="{28A0092B-C50C-407E-A947-70E740481C1C}">
                          <a14:useLocalDpi xmlns:a14="http://schemas.microsoft.com/office/drawing/2010/main" val="0"/>
                        </a:ext>
                      </a:extLst>
                    </a:blip>
                    <a:stretch>
                      <a:fillRect/>
                    </a:stretch>
                  </pic:blipFill>
                  <pic:spPr>
                    <a:xfrm>
                      <a:off x="0" y="0"/>
                      <a:ext cx="5791835" cy="375920"/>
                    </a:xfrm>
                    <a:prstGeom prst="rect">
                      <a:avLst/>
                    </a:prstGeom>
                  </pic:spPr>
                </pic:pic>
              </a:graphicData>
            </a:graphic>
          </wp:inline>
        </w:drawing>
      </w:r>
    </w:p>
    <w:p w:rsidR="00E869B3" w:rsidRPr="001D1C28" w:rsidRDefault="00E869B3" w:rsidP="00C863F6">
      <w:pPr>
        <w:pStyle w:val="Prrafodelista"/>
        <w:numPr>
          <w:ilvl w:val="0"/>
          <w:numId w:val="12"/>
        </w:numPr>
        <w:spacing w:before="240" w:after="240" w:line="360" w:lineRule="auto"/>
        <w:jc w:val="both"/>
        <w:rPr>
          <w:rFonts w:ascii="Palatino Linotype" w:hAnsi="Palatino Linotype"/>
        </w:rPr>
      </w:pPr>
      <w:r w:rsidRPr="001D1C28">
        <w:rPr>
          <w:rFonts w:ascii="Palatino Linotype" w:hAnsi="Palatino Linotype"/>
          <w:b/>
        </w:rPr>
        <w:t>Dispersión de nómina:</w:t>
      </w:r>
      <w:r w:rsidRPr="001D1C28">
        <w:rPr>
          <w:rFonts w:ascii="Palatino Linotype" w:hAnsi="Palatino Linotype"/>
        </w:rPr>
        <w:t xml:space="preserve"> es el documento que emite la institución bancaria por la transferencia realizada del pago de las remuneraciones de cada servidor del Ente Público por cada quincena. </w:t>
      </w:r>
      <w:r w:rsidR="00C863F6" w:rsidRPr="001D1C28">
        <w:rPr>
          <w:rFonts w:ascii="Palatino Linotype" w:hAnsi="Palatino Linotype"/>
        </w:rPr>
        <w:t xml:space="preserve">Este método consiste en transferir de manera </w:t>
      </w:r>
      <w:r w:rsidR="00C863F6" w:rsidRPr="001D1C28">
        <w:rPr>
          <w:rFonts w:ascii="Palatino Linotype" w:hAnsi="Palatino Linotype"/>
        </w:rPr>
        <w:lastRenderedPageBreak/>
        <w:t>automatizada los sueldos desde la cuenta bancaria de la empresa hacia las cuentas de los colaboradores.</w:t>
      </w:r>
    </w:p>
    <w:p w:rsidR="00E869B3" w:rsidRPr="001D1C28" w:rsidRDefault="00E869B3" w:rsidP="0088522B">
      <w:pPr>
        <w:spacing w:before="240" w:after="240" w:line="360" w:lineRule="auto"/>
        <w:rPr>
          <w:rFonts w:ascii="Palatino Linotype" w:hAnsi="Palatino Linotype"/>
        </w:rPr>
      </w:pPr>
    </w:p>
    <w:p w:rsidR="0088522B" w:rsidRPr="001D1C28" w:rsidRDefault="00E869B3" w:rsidP="0088522B">
      <w:pPr>
        <w:spacing w:before="240" w:after="240" w:line="360" w:lineRule="auto"/>
        <w:jc w:val="center"/>
        <w:rPr>
          <w:rFonts w:ascii="Palatino Linotype" w:hAnsi="Palatino Linotype"/>
        </w:rPr>
      </w:pPr>
      <w:r w:rsidRPr="001D1C28">
        <w:rPr>
          <w:rFonts w:ascii="Palatino Linotype" w:hAnsi="Palatino Linotype"/>
          <w:noProof/>
          <w:lang w:val="es-MX" w:eastAsia="es-MX"/>
        </w:rPr>
        <mc:AlternateContent>
          <mc:Choice Requires="wps">
            <w:drawing>
              <wp:anchor distT="0" distB="0" distL="114300" distR="114300" simplePos="0" relativeHeight="251660288" behindDoc="0" locked="0" layoutInCell="1" allowOverlap="1">
                <wp:simplePos x="0" y="0"/>
                <wp:positionH relativeFrom="column">
                  <wp:posOffset>-60960</wp:posOffset>
                </wp:positionH>
                <wp:positionV relativeFrom="paragraph">
                  <wp:posOffset>1709420</wp:posOffset>
                </wp:positionV>
                <wp:extent cx="5848985" cy="521335"/>
                <wp:effectExtent l="19050" t="19050" r="18415" b="12065"/>
                <wp:wrapNone/>
                <wp:docPr id="9" name="Rectángulo 9"/>
                <wp:cNvGraphicFramePr/>
                <a:graphic xmlns:a="http://schemas.openxmlformats.org/drawingml/2006/main">
                  <a:graphicData uri="http://schemas.microsoft.com/office/word/2010/wordprocessingShape">
                    <wps:wsp>
                      <wps:cNvSpPr/>
                      <wps:spPr>
                        <a:xfrm>
                          <a:off x="0" y="0"/>
                          <a:ext cx="5848985" cy="521335"/>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cx="http://schemas.microsoft.com/office/drawing/2014/chartex">
            <w:pict>
              <v:rect w14:anchorId="2C95CB10" id="Rectángulo 9" o:spid="_x0000_s1026" style="position:absolute;margin-left:-4.8pt;margin-top:134.6pt;width:460.55pt;height:41.0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" filled="f" strokecolor="red" strokeweight="3pt"/>
            </w:pict>
          </mc:Fallback>
        </mc:AlternateContent>
      </w:r>
      <w:r w:rsidR="009E1E95" w:rsidRPr="001D1C28">
        <w:rPr>
          <w:rFonts w:ascii="Palatino Linotype" w:hAnsi="Palatino Linotype"/>
          <w:noProof/>
          <w:lang w:val="es-MX" w:eastAsia="es-MX"/>
        </w:rPr>
        <w:drawing>
          <wp:inline distT="0" distB="0" distL="0" distR="0">
            <wp:extent cx="5791835" cy="2226310"/>
            <wp:effectExtent l="0" t="0" r="0" b="254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8BCA8F6.tmp"/>
                    <pic:cNvPicPr/>
                  </pic:nvPicPr>
                  <pic:blipFill>
                    <a:blip r:embed="rId15">
                      <a:extLst>
                        <a:ext uri="{28A0092B-C50C-407E-A947-70E740481C1C}">
                          <a14:useLocalDpi xmlns:a14="http://schemas.microsoft.com/office/drawing/2010/main" val="0"/>
                        </a:ext>
                      </a:extLst>
                    </a:blip>
                    <a:stretch>
                      <a:fillRect/>
                    </a:stretch>
                  </pic:blipFill>
                  <pic:spPr>
                    <a:xfrm>
                      <a:off x="0" y="0"/>
                      <a:ext cx="5791835" cy="2226310"/>
                    </a:xfrm>
                    <a:prstGeom prst="rect">
                      <a:avLst/>
                    </a:prstGeom>
                  </pic:spPr>
                </pic:pic>
              </a:graphicData>
            </a:graphic>
          </wp:inline>
        </w:drawing>
      </w:r>
    </w:p>
    <w:p w:rsidR="007C562D" w:rsidRPr="001D1C28" w:rsidRDefault="007C562D" w:rsidP="0088522B">
      <w:pPr>
        <w:autoSpaceDE w:val="0"/>
        <w:autoSpaceDN w:val="0"/>
        <w:adjustRightInd w:val="0"/>
        <w:spacing w:before="240" w:after="160" w:line="360" w:lineRule="auto"/>
        <w:jc w:val="both"/>
        <w:rPr>
          <w:rFonts w:ascii="Palatino Linotype" w:eastAsia="Calibri" w:hAnsi="Palatino Linotype" w:cs="Arial"/>
          <w:lang w:val="es-MX" w:eastAsia="en-US"/>
        </w:rPr>
      </w:pPr>
    </w:p>
    <w:p w:rsidR="0088522B" w:rsidRPr="001D1C28" w:rsidRDefault="0088522B" w:rsidP="0088522B">
      <w:pPr>
        <w:autoSpaceDE w:val="0"/>
        <w:autoSpaceDN w:val="0"/>
        <w:adjustRightInd w:val="0"/>
        <w:spacing w:before="240" w:after="160" w:line="360" w:lineRule="auto"/>
        <w:jc w:val="both"/>
        <w:rPr>
          <w:rFonts w:ascii="Palatino Linotype" w:eastAsia="Calibri" w:hAnsi="Palatino Linotype" w:cs="Arial"/>
          <w:lang w:val="es-MX" w:eastAsia="en-US"/>
        </w:rPr>
      </w:pPr>
      <w:r w:rsidRPr="001D1C28">
        <w:rPr>
          <w:rFonts w:ascii="Palatino Linotype" w:eastAsia="Calibri" w:hAnsi="Palatino Linotype" w:cs="Arial"/>
          <w:lang w:val="es-MX" w:eastAsia="en-US"/>
        </w:rPr>
        <w:t xml:space="preserve">De manera complementaria, resulta oportuno traer a colación los artículos 24 fracción XII y 92, fracción VIII de la Ley de Transparencia y Acceso a la Información Pública del Estado de México y Municipios, cuyo contenido literal es el siguiente: </w:t>
      </w:r>
    </w:p>
    <w:p w:rsidR="0088522B" w:rsidRPr="001D1C28" w:rsidRDefault="0088522B" w:rsidP="0088522B">
      <w:pPr>
        <w:autoSpaceDE w:val="0"/>
        <w:autoSpaceDN w:val="0"/>
        <w:adjustRightInd w:val="0"/>
        <w:spacing w:before="240" w:after="160" w:line="360" w:lineRule="auto"/>
        <w:ind w:left="851" w:right="851"/>
        <w:jc w:val="both"/>
        <w:rPr>
          <w:rFonts w:ascii="Palatino Linotype" w:eastAsia="Calibri" w:hAnsi="Palatino Linotype" w:cs="Arial"/>
          <w:b/>
          <w:bCs/>
          <w:i/>
          <w:color w:val="000000"/>
          <w:sz w:val="22"/>
          <w:szCs w:val="22"/>
          <w:lang w:val="es-MX" w:eastAsia="en-US"/>
        </w:rPr>
      </w:pPr>
      <w:r w:rsidRPr="001D1C28">
        <w:rPr>
          <w:rFonts w:ascii="Palatino Linotype" w:eastAsia="Calibri" w:hAnsi="Palatino Linotype" w:cs="Arial"/>
          <w:b/>
          <w:bCs/>
          <w:i/>
          <w:color w:val="000000"/>
          <w:sz w:val="22"/>
          <w:szCs w:val="22"/>
          <w:lang w:val="es-MX" w:eastAsia="en-US"/>
        </w:rPr>
        <w:t xml:space="preserve">“Artículo 24. </w:t>
      </w:r>
      <w:r w:rsidRPr="001D1C28">
        <w:rPr>
          <w:rFonts w:ascii="Palatino Linotype" w:eastAsia="Calibri" w:hAnsi="Palatino Linotype" w:cs="Arial"/>
          <w:i/>
          <w:color w:val="000000"/>
          <w:sz w:val="22"/>
          <w:szCs w:val="22"/>
          <w:lang w:val="es-MX" w:eastAsia="en-US"/>
        </w:rPr>
        <w:t>Para el cumplimiento de los objetivos de esta Ley, los sujetos obligados deberán cumplir con las siguientes obligaciones, según corresponda, de acuerdo a su naturaleza:</w:t>
      </w:r>
    </w:p>
    <w:p w:rsidR="0088522B" w:rsidRPr="001D1C28" w:rsidRDefault="0088522B" w:rsidP="0088522B">
      <w:pPr>
        <w:autoSpaceDE w:val="0"/>
        <w:autoSpaceDN w:val="0"/>
        <w:adjustRightInd w:val="0"/>
        <w:spacing w:before="240" w:after="160" w:line="360" w:lineRule="auto"/>
        <w:ind w:left="851" w:right="851"/>
        <w:jc w:val="both"/>
        <w:rPr>
          <w:rFonts w:ascii="Palatino Linotype" w:eastAsia="Calibri" w:hAnsi="Palatino Linotype" w:cs="Arial"/>
          <w:b/>
          <w:bCs/>
          <w:i/>
          <w:color w:val="000000"/>
          <w:sz w:val="22"/>
          <w:szCs w:val="22"/>
          <w:lang w:val="es-MX" w:eastAsia="en-US"/>
        </w:rPr>
      </w:pPr>
      <w:r w:rsidRPr="001D1C28">
        <w:rPr>
          <w:rFonts w:ascii="Palatino Linotype" w:eastAsia="Calibri" w:hAnsi="Palatino Linotype" w:cs="Arial"/>
          <w:b/>
          <w:bCs/>
          <w:i/>
          <w:color w:val="000000"/>
          <w:sz w:val="22"/>
          <w:szCs w:val="22"/>
          <w:lang w:val="es-MX" w:eastAsia="en-US"/>
        </w:rPr>
        <w:t xml:space="preserve">XII. </w:t>
      </w:r>
      <w:r w:rsidRPr="001D1C28">
        <w:rPr>
          <w:rFonts w:ascii="Palatino Linotype" w:eastAsia="Calibri" w:hAnsi="Palatino Linotype" w:cs="Arial"/>
          <w:b/>
          <w:i/>
          <w:color w:val="000000"/>
          <w:sz w:val="22"/>
          <w:szCs w:val="22"/>
          <w:u w:val="single"/>
          <w:lang w:val="es-MX" w:eastAsia="en-US"/>
        </w:rPr>
        <w:t>Publicar y mantener actualizada la información relativa a las obligaciones generales de transparencia</w:t>
      </w:r>
      <w:r w:rsidRPr="001D1C28">
        <w:rPr>
          <w:rFonts w:ascii="Palatino Linotype" w:eastAsia="Calibri" w:hAnsi="Palatino Linotype" w:cs="Arial"/>
          <w:i/>
          <w:color w:val="000000"/>
          <w:sz w:val="22"/>
          <w:szCs w:val="22"/>
          <w:lang w:val="es-MX" w:eastAsia="en-US"/>
        </w:rPr>
        <w:t xml:space="preserve"> previstas en la presente Ley o determinadas así por el Instituto, y en general aquella que sea de interés público;</w:t>
      </w:r>
    </w:p>
    <w:p w:rsidR="0088522B" w:rsidRPr="001D1C28" w:rsidRDefault="0088522B" w:rsidP="0088522B">
      <w:pPr>
        <w:autoSpaceDE w:val="0"/>
        <w:autoSpaceDN w:val="0"/>
        <w:adjustRightInd w:val="0"/>
        <w:spacing w:before="240" w:after="160" w:line="360" w:lineRule="auto"/>
        <w:ind w:left="851" w:right="851"/>
        <w:jc w:val="both"/>
        <w:rPr>
          <w:rFonts w:ascii="Palatino Linotype" w:eastAsia="Calibri" w:hAnsi="Palatino Linotype" w:cs="Arial"/>
          <w:i/>
          <w:color w:val="000000"/>
          <w:sz w:val="22"/>
          <w:szCs w:val="22"/>
          <w:lang w:val="es-MX" w:eastAsia="en-US"/>
        </w:rPr>
      </w:pPr>
      <w:r w:rsidRPr="001D1C28">
        <w:rPr>
          <w:rFonts w:ascii="Palatino Linotype" w:eastAsia="Calibri" w:hAnsi="Palatino Linotype" w:cs="Arial"/>
          <w:b/>
          <w:bCs/>
          <w:i/>
          <w:color w:val="000000"/>
          <w:sz w:val="22"/>
          <w:szCs w:val="22"/>
          <w:lang w:val="es-MX" w:eastAsia="en-US"/>
        </w:rPr>
        <w:lastRenderedPageBreak/>
        <w:t xml:space="preserve">Artículo 92. </w:t>
      </w:r>
      <w:r w:rsidRPr="001D1C28">
        <w:rPr>
          <w:rFonts w:ascii="Palatino Linotype" w:eastAsia="Calibri" w:hAnsi="Palatino Linotype" w:cs="Arial"/>
          <w:i/>
          <w:color w:val="000000"/>
          <w:sz w:val="22"/>
          <w:szCs w:val="22"/>
          <w:lang w:val="es-MX" w:eastAsia="en-US"/>
        </w:rPr>
        <w:t xml:space="preserve">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 </w:t>
      </w:r>
    </w:p>
    <w:p w:rsidR="0088522B" w:rsidRPr="001D1C28" w:rsidRDefault="0088522B" w:rsidP="0088522B">
      <w:pPr>
        <w:autoSpaceDE w:val="0"/>
        <w:autoSpaceDN w:val="0"/>
        <w:adjustRightInd w:val="0"/>
        <w:spacing w:before="240" w:after="160" w:line="360" w:lineRule="auto"/>
        <w:ind w:left="851" w:right="851"/>
        <w:jc w:val="both"/>
        <w:rPr>
          <w:rFonts w:ascii="Palatino Linotype" w:eastAsia="Calibri" w:hAnsi="Palatino Linotype" w:cs="Arial"/>
          <w:i/>
          <w:color w:val="000000"/>
          <w:sz w:val="22"/>
          <w:szCs w:val="22"/>
          <w:lang w:val="es-MX" w:eastAsia="en-US"/>
        </w:rPr>
      </w:pPr>
      <w:r w:rsidRPr="001D1C28">
        <w:rPr>
          <w:rFonts w:ascii="Palatino Linotype" w:eastAsia="Calibri" w:hAnsi="Palatino Linotype" w:cs="Arial"/>
          <w:b/>
          <w:bCs/>
          <w:i/>
          <w:color w:val="000000"/>
          <w:sz w:val="22"/>
          <w:szCs w:val="22"/>
          <w:lang w:val="es-MX" w:eastAsia="en-US"/>
        </w:rPr>
        <w:t>(…</w:t>
      </w:r>
      <w:r w:rsidRPr="001D1C28">
        <w:rPr>
          <w:rFonts w:ascii="Palatino Linotype" w:eastAsia="Calibri" w:hAnsi="Palatino Linotype" w:cs="Arial"/>
          <w:i/>
          <w:color w:val="000000"/>
          <w:sz w:val="22"/>
          <w:szCs w:val="22"/>
          <w:lang w:val="es-MX" w:eastAsia="en-US"/>
        </w:rPr>
        <w:t>)</w:t>
      </w:r>
    </w:p>
    <w:p w:rsidR="0088522B" w:rsidRPr="001D1C28" w:rsidRDefault="0088522B" w:rsidP="0088522B">
      <w:pPr>
        <w:autoSpaceDE w:val="0"/>
        <w:autoSpaceDN w:val="0"/>
        <w:adjustRightInd w:val="0"/>
        <w:spacing w:before="240" w:after="160" w:line="360" w:lineRule="auto"/>
        <w:ind w:left="851" w:right="851"/>
        <w:jc w:val="both"/>
        <w:rPr>
          <w:rFonts w:ascii="Palatino Linotype" w:eastAsia="Calibri" w:hAnsi="Palatino Linotype"/>
          <w:b/>
          <w:i/>
          <w:sz w:val="22"/>
          <w:szCs w:val="22"/>
          <w:u w:val="single"/>
          <w:lang w:val="es-MX" w:eastAsia="en-US"/>
        </w:rPr>
      </w:pPr>
      <w:r w:rsidRPr="001D1C28">
        <w:rPr>
          <w:rFonts w:ascii="Palatino Linotype" w:eastAsia="Calibri" w:hAnsi="Palatino Linotype"/>
          <w:b/>
          <w:bCs/>
          <w:i/>
          <w:sz w:val="22"/>
          <w:szCs w:val="22"/>
          <w:u w:val="single"/>
          <w:lang w:val="es-MX" w:eastAsia="en-US"/>
        </w:rPr>
        <w:t xml:space="preserve">VIII. </w:t>
      </w:r>
      <w:r w:rsidRPr="001D1C28">
        <w:rPr>
          <w:rFonts w:ascii="Palatino Linotype" w:eastAsia="Calibri" w:hAnsi="Palatino Linotype"/>
          <w:b/>
          <w:i/>
          <w:sz w:val="22"/>
          <w:szCs w:val="22"/>
          <w:u w:val="single"/>
          <w:lang w:val="es-MX" w:eastAsia="en-US"/>
        </w:rPr>
        <w:t>La remuneración bruta y neta de todos los servidores públicos de base o de confianza, de todas las percepciones, incluyendo sueldos, prestaciones, gratificaciones, primas, comisiones, dietas, bonos, estímulos, ingresos y sistemas de compensación, señalando la periodicidad de dicha remuneración;</w:t>
      </w:r>
    </w:p>
    <w:p w:rsidR="0088522B" w:rsidRPr="001D1C28" w:rsidRDefault="0088522B" w:rsidP="0088522B">
      <w:pPr>
        <w:autoSpaceDE w:val="0"/>
        <w:autoSpaceDN w:val="0"/>
        <w:adjustRightInd w:val="0"/>
        <w:spacing w:before="240" w:after="160" w:line="360" w:lineRule="auto"/>
        <w:ind w:left="851" w:right="851"/>
        <w:jc w:val="both"/>
        <w:rPr>
          <w:rFonts w:ascii="Palatino Linotype" w:eastAsia="Calibri" w:hAnsi="Palatino Linotype"/>
          <w:b/>
          <w:i/>
          <w:sz w:val="22"/>
          <w:szCs w:val="22"/>
          <w:u w:val="single"/>
          <w:lang w:val="es-MX" w:eastAsia="en-US"/>
        </w:rPr>
      </w:pPr>
      <w:r w:rsidRPr="001D1C28">
        <w:rPr>
          <w:rFonts w:ascii="Palatino Linotype" w:eastAsia="Calibri" w:hAnsi="Palatino Linotype"/>
          <w:b/>
          <w:i/>
          <w:sz w:val="22"/>
          <w:szCs w:val="22"/>
          <w:u w:val="single"/>
          <w:lang w:val="es-MX" w:eastAsia="en-US"/>
        </w:rPr>
        <w:t>(…)”</w:t>
      </w:r>
      <w:r w:rsidRPr="001D1C28">
        <w:rPr>
          <w:rFonts w:ascii="Palatino Linotype" w:eastAsia="Calibri" w:hAnsi="Palatino Linotype"/>
          <w:i/>
          <w:sz w:val="22"/>
          <w:szCs w:val="22"/>
          <w:u w:val="single"/>
          <w:lang w:val="es-MX" w:eastAsia="en-US"/>
        </w:rPr>
        <w:t xml:space="preserve"> </w:t>
      </w:r>
      <w:r w:rsidRPr="001D1C28">
        <w:rPr>
          <w:rFonts w:ascii="Palatino Linotype" w:eastAsia="Calibri" w:hAnsi="Palatino Linotype"/>
          <w:b/>
          <w:i/>
          <w:sz w:val="22"/>
          <w:szCs w:val="22"/>
          <w:u w:val="single"/>
          <w:lang w:val="es-MX" w:eastAsia="en-US"/>
        </w:rPr>
        <w:t>[Sic]</w:t>
      </w:r>
    </w:p>
    <w:p w:rsidR="00670D95" w:rsidRPr="001D1C28" w:rsidRDefault="00670D95" w:rsidP="00293CC4">
      <w:pPr>
        <w:spacing w:line="360" w:lineRule="auto"/>
        <w:jc w:val="both"/>
        <w:rPr>
          <w:rFonts w:ascii="Palatino Linotype" w:hAnsi="Palatino Linotype"/>
          <w:color w:val="000000"/>
        </w:rPr>
      </w:pPr>
    </w:p>
    <w:p w:rsidR="00293CC4" w:rsidRPr="001D1C28" w:rsidRDefault="0075429A" w:rsidP="00293CC4">
      <w:pPr>
        <w:spacing w:line="360" w:lineRule="auto"/>
        <w:jc w:val="both"/>
        <w:rPr>
          <w:rFonts w:ascii="Palatino Linotype" w:hAnsi="Palatino Linotype"/>
          <w:color w:val="000000"/>
        </w:rPr>
      </w:pPr>
      <w:r w:rsidRPr="001D1C28">
        <w:rPr>
          <w:rFonts w:ascii="Palatino Linotype" w:hAnsi="Palatino Linotype"/>
          <w:color w:val="000000"/>
        </w:rPr>
        <w:t>A</w:t>
      </w:r>
      <w:r w:rsidR="00293CC4" w:rsidRPr="001D1C28">
        <w:rPr>
          <w:rFonts w:ascii="Palatino Linotype" w:hAnsi="Palatino Linotype"/>
          <w:color w:val="000000"/>
        </w:rPr>
        <w:t>hora bien, Nuestra Carta Magna dispone que para el ejercicio del derecho de acceso a la información los Estados deben observar diversos principios y bases, entre los cuales se establece que toda la información en posesión de cualquier autoridad, órgano, organismo, órganos autónomos, así como de cualquier sindicato que reciba y ejerza recursos públicos o realice actos de autoridad en el ámbito federal, estatal y municipal, es pública y sólo podrá ser reservada temporalmente por razones de interés público y seguridad nacional, en los términos que fijen las leyes, ello se aprecia en el Artículo 6, apartado A, numeral I de la Constitución Política de los Estados Unidos Mexicanos que a la letra establece:</w:t>
      </w:r>
    </w:p>
    <w:p w:rsidR="00293CC4" w:rsidRPr="001D1C28" w:rsidRDefault="00293CC4" w:rsidP="00293CC4">
      <w:pPr>
        <w:spacing w:line="360" w:lineRule="auto"/>
        <w:jc w:val="both"/>
        <w:rPr>
          <w:rFonts w:ascii="Palatino Linotype" w:hAnsi="Palatino Linotype"/>
          <w:color w:val="000000"/>
        </w:rPr>
      </w:pPr>
    </w:p>
    <w:p w:rsidR="00293CC4" w:rsidRPr="001D1C28" w:rsidRDefault="00293CC4" w:rsidP="00293CC4">
      <w:pPr>
        <w:ind w:left="567" w:right="567"/>
        <w:jc w:val="both"/>
        <w:rPr>
          <w:rFonts w:ascii="Palatino Linotype" w:hAnsi="Palatino Linotype"/>
          <w:b/>
          <w:i/>
        </w:rPr>
      </w:pPr>
      <w:r w:rsidRPr="001D1C28">
        <w:rPr>
          <w:rFonts w:ascii="Palatino Linotype" w:hAnsi="Palatino Linotype"/>
          <w:b/>
          <w:i/>
        </w:rPr>
        <w:t>Artículo 6</w:t>
      </w:r>
    </w:p>
    <w:p w:rsidR="00293CC4" w:rsidRPr="001D1C28" w:rsidRDefault="00293CC4" w:rsidP="00293CC4">
      <w:pPr>
        <w:ind w:left="567" w:right="567"/>
        <w:jc w:val="both"/>
        <w:rPr>
          <w:rFonts w:ascii="Palatino Linotype" w:hAnsi="Palatino Linotype"/>
          <w:i/>
        </w:rPr>
      </w:pPr>
      <w:r w:rsidRPr="001D1C28">
        <w:rPr>
          <w:rFonts w:ascii="Palatino Linotype" w:hAnsi="Palatino Linotype"/>
          <w:i/>
        </w:rPr>
        <w:lastRenderedPageBreak/>
        <w:t>…</w:t>
      </w:r>
    </w:p>
    <w:p w:rsidR="00293CC4" w:rsidRPr="001D1C28" w:rsidRDefault="00293CC4" w:rsidP="00293CC4">
      <w:pPr>
        <w:ind w:left="567" w:right="567"/>
        <w:jc w:val="both"/>
        <w:rPr>
          <w:rFonts w:ascii="Palatino Linotype" w:hAnsi="Palatino Linotype"/>
          <w:i/>
        </w:rPr>
      </w:pPr>
      <w:r w:rsidRPr="001D1C28">
        <w:rPr>
          <w:rFonts w:ascii="Palatino Linotype" w:hAnsi="Palatino Linotype"/>
          <w:i/>
        </w:rPr>
        <w:t>Para el ejercicio del derecho de acceso a la información, la Federación, los Estados y el Distrito Federal, en el ámbito de sus respectivas competencias, se regirán por los siguientes principios y bases:</w:t>
      </w:r>
    </w:p>
    <w:p w:rsidR="00293CC4" w:rsidRPr="001D1C28" w:rsidRDefault="00293CC4" w:rsidP="00293CC4">
      <w:pPr>
        <w:ind w:left="567" w:right="567"/>
        <w:jc w:val="both"/>
        <w:rPr>
          <w:rFonts w:ascii="Palatino Linotype" w:hAnsi="Palatino Linotype"/>
          <w:i/>
        </w:rPr>
      </w:pPr>
    </w:p>
    <w:p w:rsidR="00293CC4" w:rsidRPr="001D1C28" w:rsidRDefault="00293CC4" w:rsidP="00293CC4">
      <w:pPr>
        <w:numPr>
          <w:ilvl w:val="0"/>
          <w:numId w:val="5"/>
        </w:numPr>
        <w:ind w:left="993" w:right="567"/>
        <w:jc w:val="both"/>
        <w:rPr>
          <w:rFonts w:ascii="Palatino Linotype" w:hAnsi="Palatino Linotype"/>
          <w:i/>
        </w:rPr>
      </w:pPr>
      <w:r w:rsidRPr="001D1C28">
        <w:rPr>
          <w:rFonts w:ascii="Palatino Linotype" w:hAnsi="Palatino Linotype"/>
          <w:i/>
        </w:rPr>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rsidR="00293CC4" w:rsidRPr="001D1C28" w:rsidRDefault="00293CC4" w:rsidP="00293CC4">
      <w:pPr>
        <w:spacing w:line="360" w:lineRule="auto"/>
        <w:jc w:val="both"/>
        <w:rPr>
          <w:rFonts w:ascii="Palatino Linotype" w:hAnsi="Palatino Linotype"/>
        </w:rPr>
      </w:pPr>
    </w:p>
    <w:p w:rsidR="00293CC4" w:rsidRPr="001D1C28" w:rsidRDefault="00293CC4" w:rsidP="00293CC4">
      <w:pPr>
        <w:spacing w:line="360" w:lineRule="auto"/>
        <w:jc w:val="both"/>
        <w:rPr>
          <w:rFonts w:ascii="Palatino Linotype" w:hAnsi="Palatino Linotype" w:cs="Arial"/>
        </w:rPr>
      </w:pPr>
      <w:r w:rsidRPr="001D1C28">
        <w:rPr>
          <w:rFonts w:ascii="Palatino Linotype" w:hAnsi="Palatino Linotype" w:cs="Arial"/>
        </w:rPr>
        <w:t xml:space="preserve">Por otro lado, en atención a lo dispuesto por los artículos 3, fracción XI y 12 </w:t>
      </w:r>
      <w:r w:rsidRPr="001D1C28">
        <w:rPr>
          <w:rFonts w:ascii="Palatino Linotype" w:hAnsi="Palatino Linotype" w:cs="Arial"/>
          <w:bCs/>
        </w:rPr>
        <w:t>de la Ley de Transparencia y Acceso a la Información Pública del Estado de México y Municipios</w:t>
      </w:r>
      <w:r w:rsidRPr="001D1C28">
        <w:rPr>
          <w:rFonts w:ascii="Palatino Linotype" w:hAnsi="Palatino Linotype" w:cs="Arial"/>
        </w:rPr>
        <w:t>, los cuales son del tenor literal siguiente:</w:t>
      </w:r>
    </w:p>
    <w:p w:rsidR="00293CC4" w:rsidRPr="001D1C28" w:rsidRDefault="00293CC4" w:rsidP="00293CC4">
      <w:pPr>
        <w:ind w:left="567" w:right="567"/>
        <w:jc w:val="both"/>
        <w:rPr>
          <w:rFonts w:ascii="Palatino Linotype" w:hAnsi="Palatino Linotype"/>
        </w:rPr>
      </w:pPr>
    </w:p>
    <w:p w:rsidR="00293CC4" w:rsidRPr="001D1C28" w:rsidRDefault="00293CC4" w:rsidP="00293CC4">
      <w:pPr>
        <w:ind w:left="567" w:right="332"/>
        <w:jc w:val="both"/>
        <w:rPr>
          <w:rFonts w:ascii="Palatino Linotype" w:hAnsi="Palatino Linotype"/>
          <w:i/>
        </w:rPr>
      </w:pPr>
      <w:r w:rsidRPr="001D1C28">
        <w:rPr>
          <w:rFonts w:ascii="Palatino Linotype" w:hAnsi="Palatino Linotype"/>
          <w:b/>
          <w:bCs/>
          <w:i/>
        </w:rPr>
        <w:t xml:space="preserve">Artículo 3.- </w:t>
      </w:r>
      <w:r w:rsidRPr="001D1C28">
        <w:rPr>
          <w:rFonts w:ascii="Palatino Linotype" w:hAnsi="Palatino Linotype"/>
          <w:i/>
        </w:rPr>
        <w:t>Para los efectos de la presente Ley se entenderá por:</w:t>
      </w:r>
    </w:p>
    <w:p w:rsidR="00293CC4" w:rsidRPr="001D1C28" w:rsidRDefault="00293CC4" w:rsidP="00293CC4">
      <w:pPr>
        <w:ind w:left="567" w:right="332"/>
        <w:jc w:val="both"/>
        <w:rPr>
          <w:rFonts w:ascii="Palatino Linotype" w:hAnsi="Palatino Linotype"/>
          <w:i/>
        </w:rPr>
      </w:pPr>
      <w:r w:rsidRPr="001D1C28">
        <w:rPr>
          <w:rFonts w:ascii="Palatino Linotype" w:hAnsi="Palatino Linotype"/>
          <w:i/>
        </w:rPr>
        <w:t>…</w:t>
      </w:r>
    </w:p>
    <w:p w:rsidR="00293CC4" w:rsidRPr="001D1C28" w:rsidRDefault="00293CC4" w:rsidP="00293CC4">
      <w:pPr>
        <w:ind w:left="567" w:right="332"/>
        <w:jc w:val="both"/>
        <w:rPr>
          <w:rFonts w:ascii="Palatino Linotype" w:hAnsi="Palatino Linotype"/>
          <w:i/>
        </w:rPr>
      </w:pPr>
      <w:r w:rsidRPr="001D1C28">
        <w:rPr>
          <w:rFonts w:ascii="Palatino Linotype" w:hAnsi="Palatino Linotype"/>
          <w:b/>
          <w:i/>
        </w:rPr>
        <w:t>XI.</w:t>
      </w:r>
      <w:r w:rsidRPr="001D1C28">
        <w:rPr>
          <w:rFonts w:ascii="Palatino Linotype" w:hAnsi="Palatino Linotype"/>
          <w:i/>
        </w:rPr>
        <w:t xml:space="preserve"> </w:t>
      </w:r>
      <w:r w:rsidRPr="001D1C28">
        <w:rPr>
          <w:rFonts w:ascii="Palatino Linotype" w:hAnsi="Palatino Linotype"/>
          <w:b/>
          <w:i/>
        </w:rPr>
        <w:t>Documento:</w:t>
      </w:r>
      <w:r w:rsidRPr="001D1C28">
        <w:rPr>
          <w:rFonts w:ascii="Palatino Linotype" w:hAnsi="Palatino Linotype"/>
          <w:i/>
        </w:rPr>
        <w:t xml:space="preserve"> Los expedientes, reportes, estudios, actas, resoluciones, oficios, correspondencia, acuerdos, directivas, directrices, circulares, contratos, convenios, instructivos, notas, memorandos, estadísticas o bien, </w:t>
      </w:r>
      <w:r w:rsidRPr="001D1C28">
        <w:rPr>
          <w:rFonts w:ascii="Palatino Linotype" w:hAnsi="Palatino Linotype"/>
          <w:b/>
          <w:i/>
          <w:u w:val="single"/>
        </w:rPr>
        <w:t>cualquier otro registro que documente el ejercicio de las facultades, funciones y competencias de los sujetos obligados, sus servidores públicos e integrantes, sin importar su fuente o fecha de elaboración.</w:t>
      </w:r>
      <w:r w:rsidRPr="001D1C28">
        <w:rPr>
          <w:rFonts w:ascii="Palatino Linotype" w:hAnsi="Palatino Linotype"/>
          <w:i/>
        </w:rPr>
        <w:t xml:space="preserve"> Los documentos podrán estar en cualquier medio, sea escrito, impreso, sonoro, visual, electrónico, informático u holográfico;</w:t>
      </w:r>
    </w:p>
    <w:p w:rsidR="00293CC4" w:rsidRPr="001D1C28" w:rsidRDefault="00293CC4" w:rsidP="00293CC4">
      <w:pPr>
        <w:ind w:left="567" w:right="332"/>
        <w:jc w:val="both"/>
        <w:rPr>
          <w:rFonts w:ascii="Palatino Linotype" w:hAnsi="Palatino Linotype"/>
          <w:i/>
        </w:rPr>
      </w:pPr>
    </w:p>
    <w:p w:rsidR="00293CC4" w:rsidRPr="001D1C28" w:rsidRDefault="00293CC4" w:rsidP="00293CC4">
      <w:pPr>
        <w:ind w:left="567" w:right="332"/>
        <w:jc w:val="both"/>
        <w:rPr>
          <w:rFonts w:ascii="Palatino Linotype" w:hAnsi="Palatino Linotype"/>
          <w:i/>
        </w:rPr>
      </w:pPr>
    </w:p>
    <w:p w:rsidR="00293CC4" w:rsidRPr="001D1C28" w:rsidRDefault="00293CC4" w:rsidP="00293CC4">
      <w:pPr>
        <w:ind w:left="567" w:right="332"/>
        <w:jc w:val="both"/>
        <w:rPr>
          <w:rFonts w:ascii="Palatino Linotype" w:hAnsi="Palatino Linotype"/>
          <w:bCs/>
          <w:i/>
        </w:rPr>
      </w:pPr>
      <w:r w:rsidRPr="001D1C28">
        <w:rPr>
          <w:rFonts w:ascii="Palatino Linotype" w:hAnsi="Palatino Linotype"/>
          <w:b/>
          <w:bCs/>
          <w:i/>
        </w:rPr>
        <w:t>Artículo 4.</w:t>
      </w:r>
      <w:r w:rsidRPr="001D1C28">
        <w:rPr>
          <w:rFonts w:ascii="Palatino Linotype" w:hAnsi="Palatino Linotype"/>
          <w:bCs/>
          <w:i/>
        </w:rPr>
        <w:t xml:space="preserve"> El derecho humano de acceso a la información pública es la prerrogativa de las personas para buscar, difundir, investigar, recabar, recibir y solicitar información pública, sin necesidad de acreditar personalidad ni interés jurídico.</w:t>
      </w:r>
    </w:p>
    <w:p w:rsidR="00293CC4" w:rsidRPr="001D1C28" w:rsidRDefault="00293CC4" w:rsidP="00293CC4">
      <w:pPr>
        <w:ind w:left="567" w:right="332"/>
        <w:jc w:val="both"/>
        <w:rPr>
          <w:rFonts w:ascii="Palatino Linotype" w:hAnsi="Palatino Linotype"/>
          <w:bCs/>
          <w:i/>
        </w:rPr>
      </w:pPr>
      <w:r w:rsidRPr="001D1C28">
        <w:rPr>
          <w:rFonts w:ascii="Palatino Linotype" w:hAnsi="Palatino Linotype"/>
          <w:b/>
          <w:bCs/>
          <w:i/>
          <w:u w:val="single"/>
        </w:rPr>
        <w:lastRenderedPageBreak/>
        <w:t>Toda la información generada, obtenida, adquirida, transformada, administrada o en posesión de los sujetos obligados es pública y accesible de manera permanente a cualquier persona,</w:t>
      </w:r>
      <w:r w:rsidRPr="001D1C28">
        <w:rPr>
          <w:rFonts w:ascii="Palatino Linotype" w:hAnsi="Palatino Linotype"/>
          <w:bCs/>
          <w:i/>
        </w:rPr>
        <w:t xml:space="preserve">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293CC4" w:rsidRPr="001D1C28" w:rsidRDefault="00293CC4" w:rsidP="00293CC4">
      <w:pPr>
        <w:ind w:left="567" w:right="332"/>
        <w:jc w:val="both"/>
        <w:rPr>
          <w:rFonts w:ascii="Palatino Linotype" w:hAnsi="Palatino Linotype"/>
          <w:bCs/>
          <w:i/>
        </w:rPr>
      </w:pPr>
      <w:r w:rsidRPr="001D1C28">
        <w:rPr>
          <w:rFonts w:ascii="Palatino Linotype" w:hAnsi="Palatino Linotype"/>
          <w:bCs/>
          <w:i/>
        </w:rPr>
        <w:t>Los sujetos obligados deben poner en práctica, políticas y programas de acceso a la información que se apeguen a criterios de publicidad, veracidad, oportunidad, precisión y suficiencia en beneficio de los solicitantes.</w:t>
      </w:r>
    </w:p>
    <w:p w:rsidR="00293CC4" w:rsidRPr="001D1C28" w:rsidRDefault="00293CC4" w:rsidP="00293CC4">
      <w:pPr>
        <w:ind w:left="567" w:right="332"/>
        <w:jc w:val="both"/>
        <w:rPr>
          <w:rFonts w:ascii="Palatino Linotype" w:hAnsi="Palatino Linotype"/>
          <w:i/>
        </w:rPr>
      </w:pPr>
    </w:p>
    <w:p w:rsidR="00293CC4" w:rsidRPr="001D1C28" w:rsidRDefault="00293CC4" w:rsidP="00293CC4">
      <w:pPr>
        <w:ind w:left="567" w:right="332"/>
        <w:jc w:val="both"/>
        <w:rPr>
          <w:rFonts w:ascii="Palatino Linotype" w:hAnsi="Palatino Linotype"/>
          <w:i/>
        </w:rPr>
      </w:pPr>
      <w:r w:rsidRPr="001D1C28">
        <w:rPr>
          <w:rFonts w:ascii="Palatino Linotype" w:hAnsi="Palatino Linotype"/>
          <w:b/>
          <w:i/>
        </w:rPr>
        <w:t>Artículo 12.</w:t>
      </w:r>
      <w:r w:rsidRPr="001D1C28">
        <w:rPr>
          <w:rFonts w:ascii="Palatino Linotype" w:hAnsi="Palatino Linotype"/>
          <w:i/>
        </w:rPr>
        <w:t xml:space="preserve"> Quienes generen, recopilen, administren, manejen, procesen, archiven o conserven información pública serán responsables de la misma en los términos de las disposiciones jurídicas aplicables.</w:t>
      </w:r>
    </w:p>
    <w:p w:rsidR="00293CC4" w:rsidRPr="001D1C28" w:rsidRDefault="00293CC4" w:rsidP="00293CC4">
      <w:pPr>
        <w:ind w:left="567" w:right="332"/>
        <w:jc w:val="both"/>
        <w:rPr>
          <w:rFonts w:ascii="Palatino Linotype" w:hAnsi="Palatino Linotype"/>
          <w:i/>
          <w:u w:val="single"/>
        </w:rPr>
      </w:pPr>
      <w:r w:rsidRPr="001D1C28">
        <w:rPr>
          <w:rFonts w:ascii="Palatino Linotype" w:hAnsi="Palatino Linotype"/>
          <w:b/>
          <w:i/>
          <w:u w:val="single"/>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r w:rsidRPr="001D1C28">
        <w:rPr>
          <w:rFonts w:ascii="Palatino Linotype" w:hAnsi="Palatino Linotype"/>
          <w:i/>
        </w:rPr>
        <w:t>.</w:t>
      </w:r>
    </w:p>
    <w:p w:rsidR="00293CC4" w:rsidRPr="001D1C28" w:rsidRDefault="00293CC4" w:rsidP="00293CC4">
      <w:pPr>
        <w:spacing w:line="360" w:lineRule="auto"/>
        <w:jc w:val="both"/>
        <w:rPr>
          <w:rFonts w:ascii="Palatino Linotype" w:hAnsi="Palatino Linotype"/>
        </w:rPr>
      </w:pPr>
    </w:p>
    <w:p w:rsidR="00293CC4" w:rsidRPr="001D1C28" w:rsidRDefault="00293CC4" w:rsidP="00293CC4">
      <w:pPr>
        <w:spacing w:line="360" w:lineRule="auto"/>
        <w:jc w:val="both"/>
        <w:rPr>
          <w:rFonts w:ascii="Palatino Linotype" w:hAnsi="Palatino Linotype"/>
        </w:rPr>
      </w:pPr>
      <w:r w:rsidRPr="001D1C28">
        <w:rPr>
          <w:rFonts w:ascii="Palatino Linotype" w:hAnsi="Palatino Linotype" w:cs="Arial"/>
        </w:rPr>
        <w:t>De la interpretación a los preceptos citados, se desprende que es información pública la contenida en los documentos que los Sujetos Obligados generen, administren o se encuentre en su posesión en el ejercicio de sus atribuciones y que toda la información generada, obtenida, adquirida, transformada, administrada o en posesión de los sujetos obligados es pública y accesible de manera permanente a cualquier persona.</w:t>
      </w:r>
    </w:p>
    <w:p w:rsidR="00293CC4" w:rsidRPr="001D1C28" w:rsidRDefault="00293CC4" w:rsidP="00293CC4">
      <w:pPr>
        <w:spacing w:line="360" w:lineRule="auto"/>
        <w:jc w:val="both"/>
        <w:rPr>
          <w:rFonts w:ascii="Palatino Linotype" w:eastAsia="Calibri" w:hAnsi="Palatino Linotype" w:cs="Arial"/>
          <w:color w:val="000000"/>
          <w:lang w:val="es-ES_tradnl" w:eastAsia="es-MX"/>
        </w:rPr>
      </w:pPr>
    </w:p>
    <w:p w:rsidR="00293CC4" w:rsidRPr="001D1C28" w:rsidRDefault="00293CC4" w:rsidP="00293CC4">
      <w:pPr>
        <w:spacing w:line="360" w:lineRule="auto"/>
        <w:jc w:val="both"/>
        <w:rPr>
          <w:rFonts w:ascii="Palatino Linotype" w:hAnsi="Palatino Linotype" w:cs="Palatino Linotype"/>
          <w:b/>
          <w:i/>
          <w:color w:val="000000"/>
          <w:sz w:val="28"/>
        </w:rPr>
      </w:pPr>
      <w:r w:rsidRPr="001D1C28">
        <w:rPr>
          <w:rFonts w:ascii="Palatino Linotype" w:hAnsi="Palatino Linotype" w:cs="Palatino Linotype"/>
          <w:b/>
          <w:i/>
          <w:color w:val="000000"/>
          <w:sz w:val="28"/>
        </w:rPr>
        <w:t xml:space="preserve">De la Versión Pública </w:t>
      </w:r>
    </w:p>
    <w:p w:rsidR="00293CC4" w:rsidRPr="001D1C28" w:rsidRDefault="00293CC4" w:rsidP="00293CC4">
      <w:pPr>
        <w:tabs>
          <w:tab w:val="left" w:pos="7938"/>
        </w:tabs>
        <w:spacing w:before="240" w:after="240" w:line="360" w:lineRule="auto"/>
        <w:jc w:val="both"/>
        <w:rPr>
          <w:rFonts w:ascii="Palatino Linotype" w:eastAsia="Arial Unicode MS" w:hAnsi="Palatino Linotype" w:cs="Arial"/>
          <w:lang w:val="es-ES_tradnl" w:eastAsia="es-MX"/>
        </w:rPr>
      </w:pPr>
      <w:r w:rsidRPr="001D1C28">
        <w:rPr>
          <w:rFonts w:ascii="Palatino Linotype" w:eastAsia="Arial Unicode MS" w:hAnsi="Palatino Linotype" w:cs="Arial"/>
          <w:lang w:val="es-ES_tradnl" w:eastAsia="es-MX"/>
        </w:rPr>
        <w:t xml:space="preserve">No pasa desapercibido que la información podría contener información susceptible de clasificar, por lo cual, dicha información debe ser clasificada para no vulnerar un </w:t>
      </w:r>
      <w:r w:rsidRPr="001D1C28">
        <w:rPr>
          <w:rFonts w:ascii="Palatino Linotype" w:eastAsia="Arial Unicode MS" w:hAnsi="Palatino Linotype" w:cs="Arial"/>
          <w:lang w:val="es-ES_tradnl" w:eastAsia="es-MX"/>
        </w:rPr>
        <w:lastRenderedPageBreak/>
        <w:t>derecho intangible. Aunado a que de ser en caso de contar con otra información consistente en datos personales, deberá generarse una versión pública, tal excepción a la publicidad, atiende a la coexistencia de datos públicos e información que tenga el carácter de confidencial (datos personales) o reservada, por lo que debe privilegiarse el acceso a la información bajo el principio de máxima divulgación, empero sin violar el derecho a la protección de datos personales, cuyo fundamento legal aplicable se encuentra inmerso en los numerales de la Ley de la materia, que a la letra esgrimen:</w:t>
      </w:r>
    </w:p>
    <w:p w:rsidR="00293CC4" w:rsidRPr="001D1C28" w:rsidRDefault="00293CC4" w:rsidP="00754A00">
      <w:pPr>
        <w:ind w:left="851" w:right="851"/>
        <w:jc w:val="both"/>
        <w:rPr>
          <w:rFonts w:ascii="Palatino Linotype" w:eastAsia="Calibri" w:hAnsi="Palatino Linotype" w:cs="Arial"/>
          <w:i/>
          <w:lang w:val="es-ES_tradnl" w:eastAsia="es-MX"/>
        </w:rPr>
      </w:pPr>
      <w:r w:rsidRPr="001D1C28">
        <w:rPr>
          <w:rFonts w:ascii="Palatino Linotype" w:eastAsia="Calibri" w:hAnsi="Palatino Linotype" w:cs="Arial"/>
          <w:i/>
          <w:lang w:val="es-ES_tradnl" w:eastAsia="es-MX"/>
        </w:rPr>
        <w:t>“Artículo 3. Para los efectos de la presente Ley se entenderá por:</w:t>
      </w:r>
    </w:p>
    <w:p w:rsidR="00293CC4" w:rsidRPr="001D1C28" w:rsidRDefault="00293CC4" w:rsidP="00754A00">
      <w:pPr>
        <w:ind w:left="851" w:right="851"/>
        <w:jc w:val="both"/>
        <w:rPr>
          <w:rFonts w:ascii="Palatino Linotype" w:eastAsia="Calibri" w:hAnsi="Palatino Linotype" w:cs="Arial"/>
          <w:i/>
          <w:lang w:val="es-ES_tradnl" w:eastAsia="es-MX"/>
        </w:rPr>
      </w:pPr>
      <w:r w:rsidRPr="001D1C28">
        <w:rPr>
          <w:rFonts w:ascii="Palatino Linotype" w:eastAsia="Calibri" w:hAnsi="Palatino Linotype" w:cs="Arial"/>
          <w:i/>
          <w:lang w:val="es-ES_tradnl" w:eastAsia="es-MX"/>
        </w:rPr>
        <w:t>(…)</w:t>
      </w:r>
    </w:p>
    <w:p w:rsidR="00293CC4" w:rsidRPr="001D1C28" w:rsidRDefault="00293CC4" w:rsidP="00754A00">
      <w:pPr>
        <w:ind w:left="851" w:right="851"/>
        <w:jc w:val="both"/>
        <w:rPr>
          <w:rFonts w:ascii="Palatino Linotype" w:eastAsia="Calibri" w:hAnsi="Palatino Linotype" w:cs="Arial"/>
          <w:b/>
          <w:i/>
          <w:lang w:val="es-ES_tradnl" w:eastAsia="es-MX"/>
        </w:rPr>
      </w:pPr>
      <w:r w:rsidRPr="001D1C28">
        <w:rPr>
          <w:rFonts w:ascii="Palatino Linotype" w:eastAsia="Calibri" w:hAnsi="Palatino Linotype" w:cs="Arial"/>
          <w:b/>
          <w:i/>
          <w:u w:val="single"/>
          <w:lang w:val="es-ES_tradnl" w:eastAsia="es-MX"/>
        </w:rPr>
        <w:t>IX. Datos personales:</w:t>
      </w:r>
      <w:r w:rsidRPr="001D1C28">
        <w:rPr>
          <w:rFonts w:ascii="Palatino Linotype" w:eastAsia="Calibri" w:hAnsi="Palatino Linotype" w:cs="Arial"/>
          <w:b/>
          <w:i/>
          <w:lang w:val="es-ES_tradnl" w:eastAsia="es-MX"/>
        </w:rPr>
        <w:t xml:space="preserve"> </w:t>
      </w:r>
      <w:r w:rsidRPr="001D1C28">
        <w:rPr>
          <w:rFonts w:ascii="Palatino Linotype" w:eastAsia="Calibri" w:hAnsi="Palatino Linotype" w:cs="Arial"/>
          <w:i/>
          <w:lang w:val="es-ES_tradnl" w:eastAsia="es-MX"/>
        </w:rPr>
        <w:t>La información concerniente a una persona, identificada o identificable según lo dispuesto por la Ley de Protección de Datos Personales del Estado de México;</w:t>
      </w:r>
    </w:p>
    <w:p w:rsidR="00293CC4" w:rsidRPr="001D1C28" w:rsidRDefault="00293CC4" w:rsidP="00754A00">
      <w:pPr>
        <w:ind w:left="851" w:right="851"/>
        <w:jc w:val="both"/>
        <w:rPr>
          <w:rFonts w:ascii="Palatino Linotype" w:eastAsia="Calibri" w:hAnsi="Palatino Linotype" w:cs="Arial"/>
          <w:b/>
          <w:i/>
          <w:lang w:val="es-ES_tradnl" w:eastAsia="es-MX"/>
        </w:rPr>
      </w:pPr>
      <w:r w:rsidRPr="001D1C28">
        <w:rPr>
          <w:rFonts w:ascii="Palatino Linotype" w:eastAsia="Calibri" w:hAnsi="Palatino Linotype" w:cs="Arial"/>
          <w:b/>
          <w:i/>
          <w:lang w:val="es-ES_tradnl" w:eastAsia="es-MX"/>
        </w:rPr>
        <w:t>(…)</w:t>
      </w:r>
    </w:p>
    <w:p w:rsidR="00293CC4" w:rsidRPr="001D1C28" w:rsidRDefault="00293CC4" w:rsidP="00754A00">
      <w:pPr>
        <w:ind w:left="851" w:right="851"/>
        <w:jc w:val="both"/>
        <w:rPr>
          <w:rFonts w:ascii="Palatino Linotype" w:eastAsia="Calibri" w:hAnsi="Palatino Linotype" w:cs="Arial"/>
          <w:b/>
          <w:i/>
          <w:lang w:val="es-ES_tradnl" w:eastAsia="es-MX"/>
        </w:rPr>
      </w:pPr>
      <w:r w:rsidRPr="001D1C28">
        <w:rPr>
          <w:rFonts w:ascii="Palatino Linotype" w:eastAsia="Calibri" w:hAnsi="Palatino Linotype" w:cs="Arial"/>
          <w:b/>
          <w:i/>
          <w:u w:val="single"/>
          <w:lang w:val="es-ES_tradnl" w:eastAsia="es-MX"/>
        </w:rPr>
        <w:t>XLV. Versión pública:</w:t>
      </w:r>
      <w:r w:rsidRPr="001D1C28">
        <w:rPr>
          <w:rFonts w:ascii="Palatino Linotype" w:eastAsia="Calibri" w:hAnsi="Palatino Linotype" w:cs="Arial"/>
          <w:b/>
          <w:i/>
          <w:lang w:val="es-ES_tradnl" w:eastAsia="es-MX"/>
        </w:rPr>
        <w:t xml:space="preserve"> </w:t>
      </w:r>
      <w:r w:rsidRPr="001D1C28">
        <w:rPr>
          <w:rFonts w:ascii="Palatino Linotype" w:eastAsia="Calibri" w:hAnsi="Palatino Linotype" w:cs="Arial"/>
          <w:i/>
          <w:lang w:val="es-ES_tradnl" w:eastAsia="es-MX"/>
        </w:rPr>
        <w:t>Documento en el que se elimine, suprime o borra la información clasificada como reservada o confidencial para permitir su acceso.</w:t>
      </w:r>
    </w:p>
    <w:p w:rsidR="00293CC4" w:rsidRPr="001D1C28" w:rsidRDefault="00293CC4" w:rsidP="00754A00">
      <w:pPr>
        <w:ind w:left="851" w:right="851"/>
        <w:jc w:val="both"/>
        <w:rPr>
          <w:rFonts w:ascii="Palatino Linotype" w:eastAsia="Calibri" w:hAnsi="Palatino Linotype" w:cs="Arial"/>
          <w:b/>
          <w:i/>
          <w:lang w:val="es-ES_tradnl" w:eastAsia="es-MX"/>
        </w:rPr>
      </w:pPr>
      <w:r w:rsidRPr="001D1C28">
        <w:rPr>
          <w:rFonts w:ascii="Palatino Linotype" w:eastAsia="Calibri" w:hAnsi="Palatino Linotype" w:cs="Arial"/>
          <w:i/>
          <w:lang w:val="es-ES_tradnl" w:eastAsia="es-MX"/>
        </w:rPr>
        <w:t xml:space="preserve">Artículo 122. </w:t>
      </w:r>
      <w:r w:rsidRPr="001D1C28">
        <w:rPr>
          <w:rFonts w:ascii="Palatino Linotype" w:eastAsia="Calibri" w:hAnsi="Palatino Linotype" w:cs="Arial"/>
          <w:b/>
          <w:i/>
          <w:u w:val="single"/>
          <w:lang w:val="es-ES_tradnl" w:eastAsia="es-MX"/>
        </w:rPr>
        <w:t>La clasificación es el proceso mediante el cual el sujeto obligado determina que la información en su poder actualiza alguno de los supuestos de reserva o confidencialidad, de conformidad con lo dispuesto en el presente título.</w:t>
      </w:r>
    </w:p>
    <w:p w:rsidR="00293CC4" w:rsidRPr="001D1C28" w:rsidRDefault="00293CC4" w:rsidP="00754A00">
      <w:pPr>
        <w:ind w:left="851" w:right="851"/>
        <w:jc w:val="both"/>
        <w:rPr>
          <w:rFonts w:ascii="Palatino Linotype" w:eastAsia="Calibri" w:hAnsi="Palatino Linotype" w:cs="Arial"/>
          <w:i/>
          <w:lang w:val="es-ES_tradnl" w:eastAsia="es-MX"/>
        </w:rPr>
      </w:pPr>
      <w:r w:rsidRPr="001D1C28">
        <w:rPr>
          <w:rFonts w:ascii="Palatino Linotype" w:eastAsia="Calibri" w:hAnsi="Palatino Linotype" w:cs="Arial"/>
          <w:i/>
          <w:lang w:val="es-ES_tradnl" w:eastAsia="es-MX"/>
        </w:rPr>
        <w:t>[…]</w:t>
      </w:r>
    </w:p>
    <w:p w:rsidR="00293CC4" w:rsidRPr="001D1C28" w:rsidRDefault="00293CC4" w:rsidP="00754A00">
      <w:pPr>
        <w:ind w:left="851" w:right="851"/>
        <w:jc w:val="both"/>
        <w:rPr>
          <w:rFonts w:ascii="Palatino Linotype" w:eastAsia="Calibri" w:hAnsi="Palatino Linotype" w:cs="Arial"/>
          <w:i/>
          <w:lang w:val="es-ES_tradnl" w:eastAsia="es-MX"/>
        </w:rPr>
      </w:pPr>
      <w:r w:rsidRPr="001D1C28">
        <w:rPr>
          <w:rFonts w:ascii="Palatino Linotype" w:eastAsia="Calibri" w:hAnsi="Palatino Linotype" w:cs="Arial"/>
          <w:i/>
          <w:lang w:val="es-ES_tradnl" w:eastAsia="es-MX"/>
        </w:rPr>
        <w:t>Artículo 132. La clasificación de la información se llevará a cabo en el momento en que:</w:t>
      </w:r>
    </w:p>
    <w:p w:rsidR="00293CC4" w:rsidRPr="001D1C28" w:rsidRDefault="00293CC4" w:rsidP="00754A00">
      <w:pPr>
        <w:ind w:left="851" w:right="851"/>
        <w:jc w:val="both"/>
        <w:rPr>
          <w:rFonts w:ascii="Palatino Linotype" w:eastAsia="Calibri" w:hAnsi="Palatino Linotype" w:cs="Arial"/>
          <w:i/>
          <w:lang w:val="es-ES_tradnl" w:eastAsia="es-MX"/>
        </w:rPr>
      </w:pPr>
      <w:r w:rsidRPr="001D1C28">
        <w:rPr>
          <w:rFonts w:ascii="Palatino Linotype" w:eastAsia="Calibri" w:hAnsi="Palatino Linotype" w:cs="Arial"/>
          <w:i/>
          <w:lang w:val="es-ES_tradnl" w:eastAsia="es-MX"/>
        </w:rPr>
        <w:t>[…]</w:t>
      </w:r>
    </w:p>
    <w:p w:rsidR="00293CC4" w:rsidRPr="001D1C28" w:rsidRDefault="00293CC4" w:rsidP="00754A00">
      <w:pPr>
        <w:ind w:left="851" w:right="851"/>
        <w:jc w:val="both"/>
        <w:rPr>
          <w:rFonts w:ascii="Palatino Linotype" w:eastAsia="Calibri" w:hAnsi="Palatino Linotype" w:cs="Arial"/>
          <w:b/>
          <w:i/>
          <w:u w:val="single"/>
          <w:lang w:val="es-ES_tradnl" w:eastAsia="es-MX"/>
        </w:rPr>
      </w:pPr>
      <w:r w:rsidRPr="001D1C28">
        <w:rPr>
          <w:rFonts w:ascii="Palatino Linotype" w:eastAsia="Calibri" w:hAnsi="Palatino Linotype" w:cs="Arial"/>
          <w:b/>
          <w:i/>
          <w:u w:val="single"/>
          <w:lang w:val="es-ES_tradnl" w:eastAsia="es-MX"/>
        </w:rPr>
        <w:t>II. Se determine mediante resolución de autoridad competente; o</w:t>
      </w:r>
    </w:p>
    <w:p w:rsidR="00293CC4" w:rsidRPr="001D1C28" w:rsidRDefault="00293CC4" w:rsidP="00754A00">
      <w:pPr>
        <w:ind w:left="851" w:right="851"/>
        <w:jc w:val="both"/>
        <w:rPr>
          <w:rFonts w:ascii="Palatino Linotype" w:eastAsia="Calibri" w:hAnsi="Palatino Linotype" w:cs="Arial"/>
          <w:b/>
          <w:i/>
          <w:lang w:val="es-ES_tradnl" w:eastAsia="es-MX"/>
        </w:rPr>
      </w:pPr>
      <w:r w:rsidRPr="001D1C28">
        <w:rPr>
          <w:rFonts w:ascii="Palatino Linotype" w:eastAsia="Calibri" w:hAnsi="Palatino Linotype" w:cs="Arial"/>
          <w:b/>
          <w:i/>
          <w:lang w:val="es-ES_tradnl" w:eastAsia="es-MX"/>
        </w:rPr>
        <w:t>(…)</w:t>
      </w:r>
    </w:p>
    <w:p w:rsidR="00293CC4" w:rsidRPr="001D1C28" w:rsidRDefault="00293CC4" w:rsidP="00754A00">
      <w:pPr>
        <w:ind w:left="851" w:right="851"/>
        <w:jc w:val="both"/>
        <w:rPr>
          <w:rFonts w:ascii="Palatino Linotype" w:eastAsia="Calibri" w:hAnsi="Palatino Linotype" w:cs="Arial"/>
          <w:b/>
          <w:i/>
          <w:lang w:val="es-ES_tradnl" w:eastAsia="es-MX"/>
        </w:rPr>
      </w:pPr>
      <w:r w:rsidRPr="001D1C28">
        <w:rPr>
          <w:rFonts w:ascii="Palatino Linotype" w:eastAsia="Calibri" w:hAnsi="Palatino Linotype" w:cs="Arial"/>
          <w:i/>
          <w:lang w:val="es-ES_tradnl" w:eastAsia="es-MX"/>
        </w:rPr>
        <w:t>Artículo 137.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w:t>
      </w:r>
      <w:r w:rsidRPr="001D1C28">
        <w:rPr>
          <w:rFonts w:ascii="Palatino Linotype" w:eastAsia="Calibri" w:hAnsi="Palatino Linotype" w:cs="Arial"/>
          <w:b/>
          <w:i/>
          <w:lang w:val="es-ES_tradnl" w:eastAsia="es-MX"/>
        </w:rPr>
        <w:t xml:space="preserve"> </w:t>
      </w:r>
      <w:r w:rsidRPr="001D1C28">
        <w:rPr>
          <w:rFonts w:ascii="Palatino Linotype" w:eastAsia="Calibri" w:hAnsi="Palatino Linotype" w:cs="Arial"/>
          <w:b/>
          <w:i/>
          <w:u w:val="single"/>
          <w:lang w:val="es-ES_tradnl" w:eastAsia="es-MX"/>
        </w:rPr>
        <w:t xml:space="preserve">de manera genérica y fundando y motivando su clasificación.” </w:t>
      </w:r>
      <w:r w:rsidRPr="001D1C28">
        <w:rPr>
          <w:rFonts w:ascii="Palatino Linotype" w:eastAsia="Calibri" w:hAnsi="Palatino Linotype" w:cs="Arial"/>
          <w:b/>
          <w:i/>
          <w:lang w:val="es-ES_tradnl" w:eastAsia="es-MX"/>
        </w:rPr>
        <w:t>[Sic]</w:t>
      </w:r>
      <w:r w:rsidR="00754A00" w:rsidRPr="001D1C28">
        <w:rPr>
          <w:rFonts w:ascii="Palatino Linotype" w:eastAsia="Calibri" w:hAnsi="Palatino Linotype" w:cs="Arial"/>
          <w:b/>
          <w:i/>
          <w:lang w:val="es-ES_tradnl" w:eastAsia="es-MX"/>
        </w:rPr>
        <w:t xml:space="preserve"> </w:t>
      </w:r>
    </w:p>
    <w:p w:rsidR="00754A00" w:rsidRPr="001D1C28" w:rsidRDefault="00754A00" w:rsidP="00754A00">
      <w:pPr>
        <w:ind w:left="851" w:right="851"/>
        <w:jc w:val="both"/>
        <w:rPr>
          <w:rFonts w:ascii="Palatino Linotype" w:eastAsia="Calibri" w:hAnsi="Palatino Linotype" w:cs="Arial"/>
          <w:b/>
          <w:i/>
          <w:lang w:val="es-ES_tradnl" w:eastAsia="es-MX"/>
        </w:rPr>
      </w:pPr>
    </w:p>
    <w:p w:rsidR="00754A00" w:rsidRPr="001D1C28" w:rsidRDefault="00754A00" w:rsidP="00754A00">
      <w:pPr>
        <w:ind w:left="851" w:right="851"/>
        <w:jc w:val="both"/>
        <w:rPr>
          <w:rFonts w:ascii="Palatino Linotype" w:eastAsia="Calibri" w:hAnsi="Palatino Linotype" w:cs="Arial"/>
          <w:b/>
          <w:i/>
          <w:lang w:val="es-ES_tradnl" w:eastAsia="es-MX"/>
        </w:rPr>
      </w:pPr>
      <w:r w:rsidRPr="001D1C28">
        <w:rPr>
          <w:rFonts w:ascii="Palatino Linotype" w:eastAsia="Calibri" w:hAnsi="Palatino Linotype" w:cs="Arial"/>
          <w:b/>
          <w:i/>
          <w:lang w:val="es-ES_tradnl" w:eastAsia="es-MX"/>
        </w:rPr>
        <w:t xml:space="preserve">                                </w:t>
      </w:r>
    </w:p>
    <w:p w:rsidR="0088522B" w:rsidRPr="001D1C28" w:rsidRDefault="0088522B" w:rsidP="0088522B">
      <w:pPr>
        <w:spacing w:line="360" w:lineRule="auto"/>
        <w:jc w:val="both"/>
        <w:rPr>
          <w:rFonts w:ascii="Palatino Linotype" w:hAnsi="Palatino Linotype" w:cs="Arial"/>
        </w:rPr>
      </w:pPr>
      <w:r w:rsidRPr="001D1C28">
        <w:rPr>
          <w:rFonts w:ascii="Palatino Linotype" w:hAnsi="Palatino Linotype" w:cs="Arial"/>
        </w:rPr>
        <w:lastRenderedPageBreak/>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efectúen deberá estar justificado en la Ley, lo anterior, en términos de lo dispuesto por el artículo 22, con relación con el 38, de la Ley de Protección de Datos Personales en Posesión de Sujetos Obligados del Estado de México y Municipios, los cuales se transcriben para mayor referencia: </w:t>
      </w:r>
    </w:p>
    <w:p w:rsidR="0088522B" w:rsidRPr="001D1C28" w:rsidRDefault="0088522B" w:rsidP="0088522B">
      <w:pPr>
        <w:spacing w:line="360" w:lineRule="auto"/>
        <w:jc w:val="both"/>
        <w:rPr>
          <w:rFonts w:ascii="Palatino Linotype" w:hAnsi="Palatino Linotype" w:cs="Arial"/>
        </w:rPr>
      </w:pPr>
    </w:p>
    <w:p w:rsidR="0088522B" w:rsidRPr="001D1C28" w:rsidRDefault="0088522B" w:rsidP="0088522B">
      <w:pPr>
        <w:spacing w:line="276" w:lineRule="auto"/>
        <w:ind w:left="567" w:right="567"/>
        <w:jc w:val="both"/>
        <w:rPr>
          <w:rFonts w:ascii="Palatino Linotype" w:hAnsi="Palatino Linotype" w:cs="Arial"/>
          <w:i/>
        </w:rPr>
      </w:pPr>
      <w:r w:rsidRPr="001D1C28">
        <w:rPr>
          <w:rFonts w:ascii="Palatino Linotype" w:hAnsi="Palatino Linotype" w:cs="Arial"/>
          <w:i/>
        </w:rPr>
        <w:t>“</w:t>
      </w:r>
      <w:r w:rsidRPr="001D1C28">
        <w:rPr>
          <w:rFonts w:ascii="Palatino Linotype" w:hAnsi="Palatino Linotype" w:cs="Arial"/>
          <w:b/>
          <w:i/>
        </w:rPr>
        <w:t>Artículo 22.</w:t>
      </w:r>
      <w:r w:rsidRPr="001D1C28">
        <w:rPr>
          <w:rFonts w:ascii="Palatino Linotype" w:hAnsi="Palatino Linotype" w:cs="Arial"/>
          <w:i/>
        </w:rPr>
        <w:t xml:space="preserve"> Todo tratamiento de datos personales que efectúe el responsable deberá estar justificado por finalidades concretas, lícitas, explícitas y legítimas, relacionadas con las atribuciones que la normatividad aplicable les confiera.</w:t>
      </w:r>
    </w:p>
    <w:p w:rsidR="0088522B" w:rsidRPr="001D1C28" w:rsidRDefault="0088522B" w:rsidP="0088522B">
      <w:pPr>
        <w:spacing w:line="276" w:lineRule="auto"/>
        <w:ind w:left="567" w:right="567"/>
        <w:jc w:val="both"/>
        <w:rPr>
          <w:rFonts w:ascii="Palatino Linotype" w:hAnsi="Palatino Linotype" w:cs="Arial"/>
          <w:i/>
        </w:rPr>
      </w:pPr>
    </w:p>
    <w:p w:rsidR="0088522B" w:rsidRPr="001D1C28" w:rsidRDefault="0088522B" w:rsidP="0088522B">
      <w:pPr>
        <w:spacing w:line="276" w:lineRule="auto"/>
        <w:ind w:left="567" w:right="567"/>
        <w:jc w:val="both"/>
        <w:rPr>
          <w:rFonts w:ascii="Palatino Linotype" w:hAnsi="Palatino Linotype" w:cs="Arial"/>
          <w:i/>
        </w:rPr>
      </w:pPr>
      <w:r w:rsidRPr="001D1C28">
        <w:rPr>
          <w:rFonts w:ascii="Palatino Linotype" w:hAnsi="Palatino Linotype" w:cs="Arial"/>
          <w:i/>
        </w:rPr>
        <w:t>El responsable podrá tratar datos personales para finalidades distintas a aquéllas establecidas en el aviso de privacidad, en los casos siguientes:</w:t>
      </w:r>
    </w:p>
    <w:p w:rsidR="0088522B" w:rsidRPr="001D1C28" w:rsidRDefault="0088522B" w:rsidP="0088522B">
      <w:pPr>
        <w:spacing w:line="276" w:lineRule="auto"/>
        <w:ind w:left="567" w:right="567"/>
        <w:jc w:val="both"/>
        <w:rPr>
          <w:rFonts w:ascii="Palatino Linotype" w:hAnsi="Palatino Linotype" w:cs="Arial"/>
          <w:i/>
        </w:rPr>
      </w:pPr>
    </w:p>
    <w:p w:rsidR="0088522B" w:rsidRPr="001D1C28" w:rsidRDefault="0088522B" w:rsidP="0088522B">
      <w:pPr>
        <w:spacing w:line="276" w:lineRule="auto"/>
        <w:ind w:left="567" w:right="567"/>
        <w:jc w:val="both"/>
        <w:rPr>
          <w:rFonts w:ascii="Palatino Linotype" w:hAnsi="Palatino Linotype" w:cs="Arial"/>
          <w:i/>
        </w:rPr>
      </w:pPr>
      <w:r w:rsidRPr="001D1C28">
        <w:rPr>
          <w:rFonts w:ascii="Palatino Linotype" w:hAnsi="Palatino Linotype" w:cs="Arial"/>
          <w:i/>
        </w:rPr>
        <w:t>I. Cuente con atribuciones conferidas en ley y medie el consentimiento del titular.</w:t>
      </w:r>
    </w:p>
    <w:p w:rsidR="0088522B" w:rsidRPr="001D1C28" w:rsidRDefault="0088522B" w:rsidP="0088522B">
      <w:pPr>
        <w:spacing w:line="276" w:lineRule="auto"/>
        <w:ind w:left="567" w:right="567"/>
        <w:jc w:val="both"/>
        <w:rPr>
          <w:rFonts w:ascii="Palatino Linotype" w:hAnsi="Palatino Linotype" w:cs="Arial"/>
          <w:i/>
        </w:rPr>
      </w:pPr>
      <w:r w:rsidRPr="001D1C28">
        <w:rPr>
          <w:rFonts w:ascii="Palatino Linotype" w:hAnsi="Palatino Linotype" w:cs="Arial"/>
          <w:i/>
        </w:rPr>
        <w:t>II. Se trate de una persona reportada como desaparecida, en los términos previstos en la presente Ley y demás disposiciones legales aplicables...</w:t>
      </w:r>
    </w:p>
    <w:p w:rsidR="0088522B" w:rsidRPr="001D1C28" w:rsidRDefault="0088522B" w:rsidP="0088522B">
      <w:pPr>
        <w:spacing w:line="276" w:lineRule="auto"/>
        <w:ind w:left="567" w:right="567"/>
        <w:jc w:val="both"/>
        <w:rPr>
          <w:rFonts w:ascii="Palatino Linotype" w:hAnsi="Palatino Linotype" w:cs="Arial"/>
          <w:i/>
        </w:rPr>
      </w:pPr>
    </w:p>
    <w:p w:rsidR="0088522B" w:rsidRPr="001D1C28" w:rsidRDefault="0088522B" w:rsidP="0088522B">
      <w:pPr>
        <w:spacing w:line="276" w:lineRule="auto"/>
        <w:ind w:left="567" w:right="567"/>
        <w:jc w:val="both"/>
        <w:rPr>
          <w:rFonts w:ascii="Palatino Linotype" w:hAnsi="Palatino Linotype" w:cs="Arial"/>
          <w:i/>
        </w:rPr>
      </w:pPr>
      <w:r w:rsidRPr="001D1C28">
        <w:rPr>
          <w:rFonts w:ascii="Palatino Linotype" w:hAnsi="Palatino Linotype" w:cs="Arial"/>
          <w:b/>
          <w:i/>
        </w:rPr>
        <w:t>Artículo 38.</w:t>
      </w:r>
      <w:r w:rsidRPr="001D1C28">
        <w:rPr>
          <w:rFonts w:ascii="Palatino Linotype" w:hAnsi="Palatino Linotype" w:cs="Arial"/>
          <w:i/>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 </w:t>
      </w:r>
    </w:p>
    <w:p w:rsidR="0088522B" w:rsidRPr="001D1C28" w:rsidRDefault="0088522B" w:rsidP="0088522B">
      <w:pPr>
        <w:spacing w:line="360" w:lineRule="auto"/>
        <w:jc w:val="both"/>
        <w:rPr>
          <w:rFonts w:ascii="Palatino Linotype" w:hAnsi="Palatino Linotype" w:cs="Arial"/>
        </w:rPr>
      </w:pPr>
    </w:p>
    <w:p w:rsidR="0088522B" w:rsidRPr="001D1C28" w:rsidRDefault="0088522B" w:rsidP="0088522B">
      <w:pPr>
        <w:spacing w:line="360" w:lineRule="auto"/>
        <w:jc w:val="both"/>
        <w:rPr>
          <w:rFonts w:ascii="Palatino Linotype" w:hAnsi="Palatino Linotype" w:cs="Arial"/>
        </w:rPr>
      </w:pPr>
      <w:r w:rsidRPr="001D1C28">
        <w:rPr>
          <w:rFonts w:ascii="Palatino Linotype" w:hAnsi="Palatino Linotype" w:cs="Arial"/>
        </w:rPr>
        <w:lastRenderedPageBreak/>
        <w:t xml:space="preserve">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 toda vez que ésta tiene por objeto proteger datos personales, entendiéndose por tales, aquéllos que hacen identificable a una persona. </w:t>
      </w:r>
    </w:p>
    <w:p w:rsidR="0088522B" w:rsidRPr="001D1C28" w:rsidRDefault="0088522B" w:rsidP="0088522B">
      <w:pPr>
        <w:spacing w:line="360" w:lineRule="auto"/>
        <w:jc w:val="both"/>
        <w:rPr>
          <w:rFonts w:ascii="Palatino Linotype" w:hAnsi="Palatino Linotype" w:cs="Arial"/>
        </w:rPr>
      </w:pPr>
    </w:p>
    <w:p w:rsidR="0088522B" w:rsidRPr="001D1C28" w:rsidRDefault="0088522B" w:rsidP="0088522B">
      <w:pPr>
        <w:spacing w:line="360" w:lineRule="auto"/>
        <w:jc w:val="both"/>
        <w:rPr>
          <w:rFonts w:ascii="Palatino Linotype" w:hAnsi="Palatino Linotype" w:cs="Arial"/>
        </w:rPr>
      </w:pPr>
      <w:r w:rsidRPr="001D1C28">
        <w:rPr>
          <w:rFonts w:ascii="Palatino Linotype" w:hAnsi="Palatino Linotype" w:cs="Arial"/>
        </w:rPr>
        <w:t xml:space="preserve">En efecto, toda la información relativa a una persona física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el Sujeto Obligado, en ese contexto, todo dato personal susceptible de clasificación debe ser protegido. </w:t>
      </w:r>
    </w:p>
    <w:p w:rsidR="0088522B" w:rsidRPr="001D1C28" w:rsidRDefault="0088522B" w:rsidP="0088522B">
      <w:pPr>
        <w:spacing w:line="360" w:lineRule="auto"/>
        <w:jc w:val="both"/>
        <w:rPr>
          <w:rFonts w:ascii="Palatino Linotype" w:hAnsi="Palatino Linotype" w:cs="Arial"/>
        </w:rPr>
      </w:pPr>
    </w:p>
    <w:p w:rsidR="0088522B" w:rsidRPr="001D1C28" w:rsidRDefault="0088522B" w:rsidP="0088522B">
      <w:pPr>
        <w:spacing w:line="360" w:lineRule="auto"/>
        <w:jc w:val="both"/>
        <w:rPr>
          <w:rFonts w:ascii="Palatino Linotype" w:hAnsi="Palatino Linotype" w:cs="Arial"/>
        </w:rPr>
      </w:pPr>
      <w:r w:rsidRPr="001D1C28">
        <w:rPr>
          <w:rFonts w:ascii="Palatino Linotype" w:hAnsi="Palatino Linotype" w:cs="Arial"/>
        </w:rPr>
        <w:t xml:space="preserve">Asimismo, de la versión pública deberá dejarse a la vista del </w:t>
      </w:r>
      <w:r w:rsidRPr="001D1C28">
        <w:rPr>
          <w:rFonts w:ascii="Palatino Linotype" w:hAnsi="Palatino Linotype" w:cs="Arial"/>
          <w:b/>
        </w:rPr>
        <w:t>Recurrente</w:t>
      </w:r>
      <w:r w:rsidRPr="001D1C28">
        <w:rPr>
          <w:rFonts w:ascii="Palatino Linotype" w:hAnsi="Palatino Linotype" w:cs="Arial"/>
        </w:rPr>
        <w:t xml:space="preserve"> los siguientes elementos de información pública: monto total del sueldo neto y bruto, compensaciones, prestaciones, aguinaldos, bonos, pagos por concepto de gasolina, de servicio de telefonía celular, el </w:t>
      </w:r>
      <w:r w:rsidRPr="001D1C28">
        <w:rPr>
          <w:rFonts w:ascii="Palatino Linotype" w:hAnsi="Palatino Linotype" w:cs="Arial"/>
          <w:b/>
        </w:rPr>
        <w:t>nombre del servidor público</w:t>
      </w:r>
      <w:r w:rsidRPr="001D1C28">
        <w:rPr>
          <w:rFonts w:ascii="Palatino Linotype" w:hAnsi="Palatino Linotype" w:cs="Arial"/>
        </w:rPr>
        <w:t xml:space="preserve">, el cargo que desempeña, área de adscripción, número de empleado (sólo en caso de no arrojar datos personales) y el período de la nómina respectiva, básicamente.  </w:t>
      </w:r>
    </w:p>
    <w:p w:rsidR="0088522B" w:rsidRPr="001D1C28" w:rsidRDefault="0088522B" w:rsidP="0088522B">
      <w:pPr>
        <w:spacing w:line="360" w:lineRule="auto"/>
        <w:jc w:val="both"/>
        <w:rPr>
          <w:rFonts w:ascii="Palatino Linotype" w:hAnsi="Palatino Linotype" w:cs="Arial"/>
        </w:rPr>
      </w:pPr>
    </w:p>
    <w:p w:rsidR="0088522B" w:rsidRPr="001D1C28" w:rsidRDefault="0088522B" w:rsidP="0088522B">
      <w:pPr>
        <w:spacing w:line="360" w:lineRule="auto"/>
        <w:jc w:val="both"/>
        <w:rPr>
          <w:rFonts w:ascii="Palatino Linotype" w:hAnsi="Palatino Linotype" w:cs="Arial"/>
        </w:rPr>
      </w:pPr>
      <w:r w:rsidRPr="001D1C28">
        <w:rPr>
          <w:rFonts w:ascii="Palatino Linotype" w:hAnsi="Palatino Linotype" w:cs="Arial"/>
        </w:rPr>
        <w:t>Robustece lo anterior, el criterio sustentado por la Segunda Sala de la Suprema Corte de Justicia de la Nación, visible en la página 2518 del Tomo XXII, de la Novena Época del Semanario Judicial de la Federación y su Gaceta, Julio de 2008, de rubro y texto siguientes:</w:t>
      </w:r>
    </w:p>
    <w:p w:rsidR="0088522B" w:rsidRPr="001D1C28" w:rsidRDefault="0088522B" w:rsidP="0088522B">
      <w:pPr>
        <w:spacing w:line="360" w:lineRule="auto"/>
        <w:jc w:val="both"/>
        <w:rPr>
          <w:rFonts w:ascii="Palatino Linotype" w:hAnsi="Palatino Linotype" w:cs="Arial"/>
        </w:rPr>
      </w:pPr>
    </w:p>
    <w:p w:rsidR="0088522B" w:rsidRPr="001D1C28" w:rsidRDefault="0088522B" w:rsidP="0088522B">
      <w:pPr>
        <w:spacing w:line="360" w:lineRule="auto"/>
        <w:ind w:left="567" w:right="567"/>
        <w:jc w:val="both"/>
        <w:rPr>
          <w:rFonts w:ascii="Palatino Linotype" w:hAnsi="Palatino Linotype" w:cs="Arial"/>
          <w:i/>
        </w:rPr>
      </w:pPr>
      <w:r w:rsidRPr="001D1C28">
        <w:rPr>
          <w:rFonts w:ascii="Palatino Linotype" w:hAnsi="Palatino Linotype" w:cs="Arial"/>
          <w:i/>
        </w:rPr>
        <w:t>"</w:t>
      </w:r>
      <w:r w:rsidRPr="001D1C28">
        <w:rPr>
          <w:rFonts w:ascii="Palatino Linotype" w:hAnsi="Palatino Linotype" w:cs="Arial"/>
          <w:b/>
          <w:i/>
        </w:rPr>
        <w:t>TRANSPARENCIA Y ACCESO A LA INFORMACIÓN PÚBLICA GUBERNAMENTAL. LOS ARTÍCULOS 3o., FRACCIÓN II, Y 18, FRACCIÓN II, DE LA LEY FEDERAL RELATIVA, NO VIOLAN LA GARANTÍA DE IGUALDAD, AL TUTELAR EL DERECHO A LA PROTECCIÓN DE DATOS PERSONALES SÓLO DE LAS PERSONAS FÍSICAS.</w:t>
      </w:r>
      <w:r w:rsidRPr="001D1C28">
        <w:rPr>
          <w:rFonts w:ascii="Palatino Linotype" w:hAnsi="Palatino Linotype" w:cs="Arial"/>
          <w:i/>
        </w:rPr>
        <w:t xml:space="preserve"> Si se toma en cuenta que la garantía constitucional indicada no implica que todos los sujetos de la norma siempre se encuentren en condiciones de absoluta igualdad, sino que gocen de una igualdad jurídica traducida en la seguridad de no tener que soportar un perjuicio (o privarse de un beneficio) desigual e injustificado, se concluye que los artículos 3o., fracción II, y 18, fracción II, de la Ley Federal de Transparencia y Acceso a la Información Pública Gubernamental, al tutelar sólo el derecho a la protección de datos personales de las personas físicas y no de las morales, colectivas o jurídicas privadas, no violan la indicada garantía contenida en el artículo 1o. de la Constitución Política de los Estados Unidos Mexicanos, pues tal distinción se justifica porque el derecho a la protección de los datos personales se refiere únicamente a las personas físicas por estar encausado al respeto de un derecho personalísimo, como es el de la intimidad, del cual derivó aquél. Esto es, en el apuntado supuesto no se actualiza una igualdad jurídica entre las personas físicas y las morales porque ambas están en situaciones de derecho dispares, ya que la protección de datos personales, entre ellos el del patrimonio y su confidencialidad, es una derivación del derecho a la intimidad, del cual únicamente goza el individuo, entendido como la persona humana."</w:t>
      </w:r>
    </w:p>
    <w:p w:rsidR="0088522B" w:rsidRPr="001D1C28" w:rsidRDefault="0088522B" w:rsidP="0088522B">
      <w:pPr>
        <w:spacing w:line="360" w:lineRule="auto"/>
        <w:jc w:val="both"/>
        <w:rPr>
          <w:rFonts w:ascii="Palatino Linotype" w:hAnsi="Palatino Linotype" w:cs="Arial"/>
        </w:rPr>
      </w:pPr>
    </w:p>
    <w:p w:rsidR="0088522B" w:rsidRPr="001D1C28" w:rsidRDefault="0088522B" w:rsidP="0088522B">
      <w:pPr>
        <w:spacing w:line="360" w:lineRule="auto"/>
        <w:jc w:val="both"/>
        <w:rPr>
          <w:rFonts w:ascii="Palatino Linotype" w:hAnsi="Palatino Linotype" w:cs="Arial"/>
        </w:rPr>
      </w:pPr>
      <w:r w:rsidRPr="001D1C28">
        <w:rPr>
          <w:rFonts w:ascii="Palatino Linotype" w:hAnsi="Palatino Linotype" w:cs="Arial"/>
        </w:rPr>
        <w:lastRenderedPageBreak/>
        <w:t xml:space="preserve">Lo anterior es así, puesto que ha de destacarse que el artículo 91, de la Ley de la Materia, dispone que el acceso a la información pública será restringido excepcionalmente, cuando ésta sea clasificada como reservada o confidencial. </w:t>
      </w:r>
    </w:p>
    <w:p w:rsidR="0088522B" w:rsidRPr="001D1C28" w:rsidRDefault="0088522B" w:rsidP="0088522B">
      <w:pPr>
        <w:spacing w:line="360" w:lineRule="auto"/>
        <w:jc w:val="both"/>
        <w:rPr>
          <w:rFonts w:ascii="Palatino Linotype" w:hAnsi="Palatino Linotype" w:cs="Arial"/>
        </w:rPr>
      </w:pPr>
    </w:p>
    <w:p w:rsidR="0088522B" w:rsidRPr="001D1C28" w:rsidRDefault="0088522B" w:rsidP="0088522B">
      <w:pPr>
        <w:spacing w:line="360" w:lineRule="auto"/>
        <w:jc w:val="both"/>
        <w:rPr>
          <w:rFonts w:ascii="Palatino Linotype" w:hAnsi="Palatino Linotype" w:cs="Arial"/>
        </w:rPr>
      </w:pPr>
      <w:r w:rsidRPr="001D1C28">
        <w:rPr>
          <w:rFonts w:ascii="Palatino Linotype" w:hAnsi="Palatino Linotype" w:cs="Arial"/>
        </w:rPr>
        <w:t xml:space="preserve">Respecto de ello se destaca que a criterio de este Instituto la información relativa al nombre de </w:t>
      </w:r>
      <w:r w:rsidRPr="001D1C28">
        <w:rPr>
          <w:rFonts w:ascii="Palatino Linotype" w:hAnsi="Palatino Linotype" w:cs="Arial"/>
          <w:b/>
        </w:rPr>
        <w:t>los servidores públicos que ocupan un cargo en las dependencias de gobierno encargadas de la seguridad pública</w:t>
      </w:r>
      <w:r w:rsidRPr="001D1C28">
        <w:rPr>
          <w:rFonts w:ascii="Palatino Linotype" w:hAnsi="Palatino Linotype" w:cs="Arial"/>
        </w:rPr>
        <w:t xml:space="preserve">, debe ser objeto de un proceso de </w:t>
      </w:r>
      <w:r w:rsidRPr="001D1C28">
        <w:rPr>
          <w:rFonts w:ascii="Palatino Linotype" w:hAnsi="Palatino Linotype" w:cs="Arial"/>
          <w:b/>
        </w:rPr>
        <w:t>reserva de la información,</w:t>
      </w:r>
      <w:r w:rsidRPr="001D1C28">
        <w:rPr>
          <w:rFonts w:ascii="Palatino Linotype" w:hAnsi="Palatino Linotype" w:cs="Arial"/>
        </w:rPr>
        <w:t xml:space="preserve"> para no hacer identificable al titular de tal dato personal.</w:t>
      </w:r>
    </w:p>
    <w:p w:rsidR="0088522B" w:rsidRPr="001D1C28" w:rsidRDefault="0088522B" w:rsidP="0088522B">
      <w:pPr>
        <w:spacing w:line="360" w:lineRule="auto"/>
        <w:jc w:val="both"/>
        <w:rPr>
          <w:rFonts w:ascii="Palatino Linotype" w:hAnsi="Palatino Linotype" w:cs="Arial"/>
        </w:rPr>
      </w:pPr>
      <w:r w:rsidRPr="001D1C28">
        <w:rPr>
          <w:rFonts w:ascii="Palatino Linotype" w:hAnsi="Palatino Linotype" w:cs="Arial"/>
        </w:rPr>
        <w:t>Ello, conforme al propio concepto de versión pública contenido en el artículo 3, fracción XXIV, de la multicitada Ley se define como:</w:t>
      </w:r>
    </w:p>
    <w:p w:rsidR="0088522B" w:rsidRPr="001D1C28" w:rsidRDefault="0088522B" w:rsidP="0088522B">
      <w:pPr>
        <w:spacing w:line="360" w:lineRule="auto"/>
        <w:jc w:val="both"/>
        <w:rPr>
          <w:rFonts w:ascii="Palatino Linotype" w:hAnsi="Palatino Linotype" w:cs="Arial"/>
        </w:rPr>
      </w:pPr>
    </w:p>
    <w:p w:rsidR="0088522B" w:rsidRPr="001D1C28" w:rsidRDefault="0088522B" w:rsidP="0088522B">
      <w:pPr>
        <w:spacing w:line="360" w:lineRule="auto"/>
        <w:ind w:left="567" w:right="567"/>
        <w:jc w:val="both"/>
        <w:rPr>
          <w:rFonts w:ascii="Palatino Linotype" w:hAnsi="Palatino Linotype" w:cs="Arial"/>
          <w:i/>
        </w:rPr>
      </w:pPr>
      <w:r w:rsidRPr="001D1C28">
        <w:rPr>
          <w:rFonts w:ascii="Palatino Linotype" w:hAnsi="Palatino Linotype" w:cs="Arial"/>
          <w:i/>
        </w:rPr>
        <w:t>“</w:t>
      </w:r>
      <w:r w:rsidRPr="001D1C28">
        <w:rPr>
          <w:rFonts w:ascii="Palatino Linotype" w:hAnsi="Palatino Linotype" w:cs="Arial"/>
          <w:b/>
          <w:i/>
        </w:rPr>
        <w:t>XXIV</w:t>
      </w:r>
      <w:r w:rsidRPr="001D1C28">
        <w:rPr>
          <w:rFonts w:ascii="Palatino Linotype" w:hAnsi="Palatino Linotype" w:cs="Arial"/>
          <w:i/>
        </w:rPr>
        <w:t xml:space="preserve">. </w:t>
      </w:r>
      <w:r w:rsidRPr="001D1C28">
        <w:rPr>
          <w:rFonts w:ascii="Palatino Linotype" w:hAnsi="Palatino Linotype" w:cs="Arial"/>
          <w:b/>
          <w:i/>
        </w:rPr>
        <w:t>Información reservada:</w:t>
      </w:r>
      <w:r w:rsidRPr="001D1C28">
        <w:rPr>
          <w:rFonts w:ascii="Palatino Linotype" w:hAnsi="Palatino Linotype" w:cs="Arial"/>
          <w:i/>
        </w:rPr>
        <w:t xml:space="preserve"> La clasificada con este carácter de manera temporal por las disposiciones de esta Ley, cuya divulgación puede causar daño en términos de lo establecido por esta Ley;”</w:t>
      </w:r>
    </w:p>
    <w:p w:rsidR="0088522B" w:rsidRPr="001D1C28" w:rsidRDefault="0088522B" w:rsidP="0088522B">
      <w:pPr>
        <w:spacing w:line="360" w:lineRule="auto"/>
        <w:jc w:val="both"/>
        <w:rPr>
          <w:rFonts w:ascii="Palatino Linotype" w:hAnsi="Palatino Linotype" w:cs="Arial"/>
        </w:rPr>
      </w:pPr>
    </w:p>
    <w:p w:rsidR="0088522B" w:rsidRPr="001D1C28" w:rsidRDefault="0088522B" w:rsidP="0088522B">
      <w:pPr>
        <w:spacing w:line="360" w:lineRule="auto"/>
        <w:jc w:val="both"/>
        <w:rPr>
          <w:rFonts w:ascii="Palatino Linotype" w:hAnsi="Palatino Linotype" w:cs="Arial"/>
        </w:rPr>
      </w:pPr>
      <w:r w:rsidRPr="001D1C28">
        <w:rPr>
          <w:rFonts w:ascii="Palatino Linotype" w:hAnsi="Palatino Linotype" w:cs="Arial"/>
        </w:rPr>
        <w:t xml:space="preserve">No obstante que si bien, por regla general dentro de la nómina se consideran como datos personales no confidenciales, el nombre del servidor público, cargo y/o categoría, percepciones y las deducciones vinculadas con enteros en materia fiscal, ya sean tributarios o de seguridad social y cualquier otro concepto vinculado con la erogación de recursos públicos en concordancia con el artículo 23, segundo párrafo, de la Ley ya analizado, lo cierto es que, en lo que respecta a la </w:t>
      </w:r>
      <w:r w:rsidRPr="001D1C28">
        <w:rPr>
          <w:rFonts w:ascii="Palatino Linotype" w:hAnsi="Palatino Linotype" w:cs="Arial"/>
          <w:b/>
        </w:rPr>
        <w:t>nómina de elementos de seguridad pública, la elaboración de versiones públicas pudiera variar, eliminando información adicional, siempre y cuando se demuestre que pueda poner en riesgo la vida e integridad física con motivo de las funciones de servidores públicos</w:t>
      </w:r>
      <w:r w:rsidRPr="001D1C28">
        <w:rPr>
          <w:rFonts w:ascii="Palatino Linotype" w:hAnsi="Palatino Linotype" w:cs="Arial"/>
        </w:rPr>
        <w:t>.</w:t>
      </w:r>
    </w:p>
    <w:p w:rsidR="0088522B" w:rsidRPr="001D1C28" w:rsidRDefault="0088522B" w:rsidP="0088522B">
      <w:pPr>
        <w:spacing w:line="360" w:lineRule="auto"/>
        <w:jc w:val="both"/>
        <w:rPr>
          <w:rFonts w:ascii="Palatino Linotype" w:hAnsi="Palatino Linotype" w:cs="Arial"/>
        </w:rPr>
      </w:pPr>
    </w:p>
    <w:p w:rsidR="0088522B" w:rsidRPr="001D1C28" w:rsidRDefault="0088522B" w:rsidP="0088522B">
      <w:pPr>
        <w:spacing w:line="360" w:lineRule="auto"/>
        <w:jc w:val="both"/>
        <w:rPr>
          <w:rFonts w:ascii="Palatino Linotype" w:hAnsi="Palatino Linotype" w:cs="Arial"/>
        </w:rPr>
      </w:pPr>
      <w:r w:rsidRPr="001D1C28">
        <w:rPr>
          <w:rFonts w:ascii="Palatino Linotype" w:hAnsi="Palatino Linotype" w:cs="Arial"/>
        </w:rPr>
        <w:lastRenderedPageBreak/>
        <w:t xml:space="preserve">Esto es así, ya que el artículo 81, fracción III, de la Ley de Seguridad del Estado de México, establece lo siguiente: </w:t>
      </w:r>
    </w:p>
    <w:p w:rsidR="0088522B" w:rsidRPr="001D1C28" w:rsidRDefault="0088522B" w:rsidP="0088522B">
      <w:pPr>
        <w:spacing w:line="360" w:lineRule="auto"/>
        <w:jc w:val="both"/>
        <w:rPr>
          <w:rFonts w:ascii="Palatino Linotype" w:hAnsi="Palatino Linotype" w:cs="Arial"/>
        </w:rPr>
      </w:pPr>
    </w:p>
    <w:p w:rsidR="0088522B" w:rsidRPr="001D1C28" w:rsidRDefault="0088522B" w:rsidP="0088522B">
      <w:pPr>
        <w:spacing w:line="276" w:lineRule="auto"/>
        <w:ind w:left="567" w:right="567"/>
        <w:jc w:val="both"/>
        <w:rPr>
          <w:rFonts w:ascii="Palatino Linotype" w:hAnsi="Palatino Linotype" w:cs="Arial"/>
          <w:i/>
        </w:rPr>
      </w:pPr>
      <w:r w:rsidRPr="001D1C28">
        <w:rPr>
          <w:rFonts w:ascii="Palatino Linotype" w:hAnsi="Palatino Linotype" w:cs="Arial"/>
          <w:i/>
        </w:rPr>
        <w:t>“</w:t>
      </w:r>
      <w:r w:rsidRPr="001D1C28">
        <w:rPr>
          <w:rFonts w:ascii="Palatino Linotype" w:hAnsi="Palatino Linotype" w:cs="Arial"/>
          <w:b/>
          <w:i/>
        </w:rPr>
        <w:t>Artículo 81.-</w:t>
      </w:r>
      <w:r w:rsidRPr="001D1C28">
        <w:rPr>
          <w:rFonts w:ascii="Palatino Linotype" w:hAnsi="Palatino Linotype" w:cs="Arial"/>
          <w:i/>
        </w:rPr>
        <w:t xml:space="preserve"> </w:t>
      </w:r>
      <w:r w:rsidRPr="001D1C28">
        <w:rPr>
          <w:rFonts w:ascii="Palatino Linotype" w:hAnsi="Palatino Linotype" w:cs="Arial"/>
          <w:i/>
          <w:u w:val="single"/>
        </w:rPr>
        <w:t>Toda información para la seguridad pública</w:t>
      </w:r>
      <w:r w:rsidRPr="001D1C28">
        <w:rPr>
          <w:rFonts w:ascii="Palatino Linotype" w:hAnsi="Palatino Linotype" w:cs="Arial"/>
          <w:i/>
        </w:rPr>
        <w:t xml:space="preserve"> generada o en poder de Instituciones de Seguridad Pública o de cualquier instancia del Sistema Estatal </w:t>
      </w:r>
      <w:r w:rsidRPr="001D1C28">
        <w:rPr>
          <w:rFonts w:ascii="Palatino Linotype" w:hAnsi="Palatino Linotype" w:cs="Arial"/>
          <w:i/>
          <w:u w:val="single"/>
        </w:rPr>
        <w:t>debe</w:t>
      </w:r>
      <w:r w:rsidRPr="001D1C28">
        <w:rPr>
          <w:rFonts w:ascii="Palatino Linotype" w:hAnsi="Palatino Linotype" w:cs="Arial"/>
          <w:i/>
        </w:rPr>
        <w:t xml:space="preserve"> registrarse, </w:t>
      </w:r>
      <w:r w:rsidRPr="001D1C28">
        <w:rPr>
          <w:rFonts w:ascii="Palatino Linotype" w:hAnsi="Palatino Linotype" w:cs="Arial"/>
          <w:i/>
          <w:u w:val="single"/>
        </w:rPr>
        <w:t>clasificarse</w:t>
      </w:r>
      <w:r w:rsidRPr="001D1C28">
        <w:rPr>
          <w:rFonts w:ascii="Palatino Linotype" w:hAnsi="Palatino Linotype" w:cs="Arial"/>
          <w:i/>
        </w:rPr>
        <w:t xml:space="preserve"> y tratarse de conformidad con las disposiciones aplicables. No obstante lo anterior, esta información se considerará reservada en los casos siguientes:</w:t>
      </w:r>
    </w:p>
    <w:p w:rsidR="0088522B" w:rsidRPr="001D1C28" w:rsidRDefault="0088522B" w:rsidP="0088522B">
      <w:pPr>
        <w:spacing w:line="276" w:lineRule="auto"/>
        <w:ind w:left="567" w:right="567"/>
        <w:jc w:val="both"/>
        <w:rPr>
          <w:rFonts w:ascii="Palatino Linotype" w:hAnsi="Palatino Linotype" w:cs="Arial"/>
          <w:i/>
        </w:rPr>
      </w:pPr>
      <w:r w:rsidRPr="001D1C28">
        <w:rPr>
          <w:rFonts w:ascii="Palatino Linotype" w:hAnsi="Palatino Linotype" w:cs="Arial"/>
          <w:i/>
        </w:rPr>
        <w:t>(…)</w:t>
      </w:r>
    </w:p>
    <w:p w:rsidR="0088522B" w:rsidRPr="001D1C28" w:rsidRDefault="0088522B" w:rsidP="0088522B">
      <w:pPr>
        <w:spacing w:line="276" w:lineRule="auto"/>
        <w:ind w:left="567" w:right="567"/>
        <w:jc w:val="both"/>
        <w:rPr>
          <w:rFonts w:ascii="Palatino Linotype" w:hAnsi="Palatino Linotype" w:cs="Arial"/>
          <w:i/>
        </w:rPr>
      </w:pPr>
      <w:r w:rsidRPr="001D1C28">
        <w:rPr>
          <w:rFonts w:ascii="Palatino Linotype" w:hAnsi="Palatino Linotype" w:cs="Arial"/>
          <w:b/>
          <w:i/>
        </w:rPr>
        <w:t>III</w:t>
      </w:r>
      <w:r w:rsidRPr="001D1C28">
        <w:rPr>
          <w:rFonts w:ascii="Palatino Linotype" w:hAnsi="Palatino Linotype" w:cs="Arial"/>
          <w:i/>
        </w:rPr>
        <w:t xml:space="preserve">. </w:t>
      </w:r>
      <w:r w:rsidRPr="001D1C28">
        <w:rPr>
          <w:rFonts w:ascii="Palatino Linotype" w:hAnsi="Palatino Linotype" w:cs="Arial"/>
          <w:i/>
          <w:u w:val="single"/>
        </w:rPr>
        <w:t>La relativa a servidores públicos miembros de las instituciones de seguridad pública, cuya revelación pueda poner en riesgo su vida e integridad física con motivo de sus funciones;”</w:t>
      </w:r>
    </w:p>
    <w:p w:rsidR="0088522B" w:rsidRPr="001D1C28" w:rsidRDefault="0088522B" w:rsidP="0088522B">
      <w:pPr>
        <w:spacing w:line="360" w:lineRule="auto"/>
        <w:jc w:val="both"/>
        <w:rPr>
          <w:rFonts w:ascii="Palatino Linotype" w:hAnsi="Palatino Linotype" w:cs="Arial"/>
        </w:rPr>
      </w:pPr>
    </w:p>
    <w:p w:rsidR="0088522B" w:rsidRPr="001D1C28" w:rsidRDefault="0088522B" w:rsidP="0088522B">
      <w:pPr>
        <w:spacing w:line="360" w:lineRule="auto"/>
        <w:jc w:val="both"/>
        <w:rPr>
          <w:rFonts w:ascii="Palatino Linotype" w:hAnsi="Palatino Linotype" w:cs="Arial"/>
          <w:b/>
        </w:rPr>
      </w:pPr>
      <w:r w:rsidRPr="001D1C28">
        <w:rPr>
          <w:rFonts w:ascii="Palatino Linotype" w:hAnsi="Palatino Linotype" w:cs="Arial"/>
        </w:rPr>
        <w:t xml:space="preserve">Es decir, podrá eliminar cualquier información considerada no confidencial, de los elementos de seguridad pública, desde el nombre hasta las percepciones económicas, dependiendo de la información que se determine que genera el riesgo real e inminente, por constituir información reservada; sin embargo, dadas las características de la causal de reserva, </w:t>
      </w:r>
      <w:r w:rsidRPr="001D1C28">
        <w:rPr>
          <w:rFonts w:ascii="Palatino Linotype" w:hAnsi="Palatino Linotype" w:cs="Arial"/>
          <w:b/>
        </w:rPr>
        <w:t>bastaría con que fuera testado el nombre del servidor o servidores públicos, con el objeto de que no se haga identificable al titular, y por tanto, se evite poner en riesgo la vida e integridad física con motivo de sus funciones.</w:t>
      </w:r>
    </w:p>
    <w:p w:rsidR="0088522B" w:rsidRPr="001D1C28" w:rsidRDefault="0088522B" w:rsidP="0088522B">
      <w:pPr>
        <w:spacing w:line="360" w:lineRule="auto"/>
        <w:jc w:val="both"/>
        <w:rPr>
          <w:rFonts w:ascii="Palatino Linotype" w:hAnsi="Palatino Linotype" w:cs="Arial"/>
        </w:rPr>
      </w:pPr>
    </w:p>
    <w:p w:rsidR="0088522B" w:rsidRPr="001D1C28" w:rsidRDefault="0088522B" w:rsidP="0088522B">
      <w:pPr>
        <w:spacing w:line="360" w:lineRule="auto"/>
        <w:jc w:val="both"/>
        <w:rPr>
          <w:rFonts w:ascii="Palatino Linotype" w:hAnsi="Palatino Linotype" w:cs="Arial"/>
        </w:rPr>
      </w:pPr>
      <w:r w:rsidRPr="001D1C28">
        <w:rPr>
          <w:rFonts w:ascii="Palatino Linotype" w:hAnsi="Palatino Linotype" w:cs="Arial"/>
        </w:rPr>
        <w:t xml:space="preserve">Es importante mencionar que la causal de reserva antes señalada, puede ubicarse en los supuestos previstos por los artículos 140, fracción IV, de la Ley de Transparencia y  Acceso a la Información Pública del Estado de México y Municipios, que a su vez se vincula con la diversa del artículo 113, fracción V, de la Ley General de Transparencia y Acceso a la Información Pública, así como los requisitos previstos por los numerales </w:t>
      </w:r>
      <w:r w:rsidRPr="001D1C28">
        <w:rPr>
          <w:rFonts w:ascii="Palatino Linotype" w:hAnsi="Palatino Linotype" w:cs="Arial"/>
        </w:rPr>
        <w:lastRenderedPageBreak/>
        <w:t>Vigésimo Tercero y Trigésimo Tercero, de los Lineamientos generales en materia de clasificación y desclasificación de la información.</w:t>
      </w:r>
    </w:p>
    <w:p w:rsidR="0088522B" w:rsidRPr="001D1C28" w:rsidRDefault="0088522B" w:rsidP="0088522B">
      <w:pPr>
        <w:spacing w:line="360" w:lineRule="auto"/>
        <w:jc w:val="both"/>
        <w:rPr>
          <w:rFonts w:ascii="Palatino Linotype" w:hAnsi="Palatino Linotype" w:cs="Arial"/>
        </w:rPr>
      </w:pPr>
    </w:p>
    <w:p w:rsidR="0088522B" w:rsidRPr="001D1C28" w:rsidRDefault="0088522B" w:rsidP="0088522B">
      <w:pPr>
        <w:spacing w:line="360" w:lineRule="auto"/>
        <w:jc w:val="both"/>
        <w:rPr>
          <w:rFonts w:ascii="Palatino Linotype" w:hAnsi="Palatino Linotype" w:cs="Arial"/>
        </w:rPr>
      </w:pPr>
      <w:r w:rsidRPr="001D1C28">
        <w:rPr>
          <w:rFonts w:ascii="Palatino Linotype" w:hAnsi="Palatino Linotype" w:cs="Arial"/>
        </w:rPr>
        <w:t>Resulta alusivo por analogía el criterio 06-09 emitido por el entonces Instituto Federal de Acceso a la Información (IFAI), ahora Instituto Nacional de Transparencia, Acceso a la Información y Protección de Datos Personales (INAI) que a la letra dice:</w:t>
      </w:r>
    </w:p>
    <w:p w:rsidR="0088522B" w:rsidRPr="001D1C28" w:rsidRDefault="0088522B" w:rsidP="0088522B">
      <w:pPr>
        <w:spacing w:line="276" w:lineRule="auto"/>
        <w:jc w:val="both"/>
        <w:rPr>
          <w:rFonts w:ascii="Palatino Linotype" w:hAnsi="Palatino Linotype" w:cs="Arial"/>
        </w:rPr>
      </w:pPr>
    </w:p>
    <w:p w:rsidR="0088522B" w:rsidRPr="001D1C28" w:rsidRDefault="0088522B" w:rsidP="0088522B">
      <w:pPr>
        <w:spacing w:line="276" w:lineRule="auto"/>
        <w:ind w:left="567" w:right="567"/>
        <w:jc w:val="both"/>
        <w:rPr>
          <w:rFonts w:ascii="Palatino Linotype" w:hAnsi="Palatino Linotype" w:cs="Arial"/>
          <w:i/>
        </w:rPr>
      </w:pPr>
      <w:r w:rsidRPr="001D1C28">
        <w:rPr>
          <w:rFonts w:ascii="Palatino Linotype" w:hAnsi="Palatino Linotype" w:cs="Arial"/>
          <w:i/>
        </w:rPr>
        <w:t>“</w:t>
      </w:r>
      <w:r w:rsidRPr="001D1C28">
        <w:rPr>
          <w:rFonts w:ascii="Palatino Linotype" w:hAnsi="Palatino Linotype" w:cs="Arial"/>
          <w:b/>
          <w:i/>
        </w:rPr>
        <w:t>Nombres de servidores públicos dedicados a actividades en materia de seguridad, por excepción pueden considerarse información reservada.</w:t>
      </w:r>
      <w:r w:rsidRPr="001D1C28">
        <w:rPr>
          <w:rFonts w:ascii="Palatino Linotype" w:hAnsi="Palatino Linotype" w:cs="Arial"/>
          <w:i/>
        </w:rPr>
        <w:t xml:space="preserve"> De conformidad con el artículo 7, fracciones I y III de la Ley Federal de Transparencia y Acceso a la Información Pública Gubernamental el nombre de los servidores públicos es información de naturaleza pública. No obstante lo anterior, el mismo precepto establece la posibilidad de que existan excepciones a las obligaciones ahí establecidas cuando la información actualice algunos de los supuestos de reserva o confidencialidad previstos en los artículos 13, 14 y 18 de la citada ley. En este sentido, se debe señalar que existen funciones a cargo de servidores públicos, tendientes a garantizar de manera directa la seguridad nacional y pública, a través de acciones preventivas y correctivas encaminadas a combatir a la delincuencia en sus diferentes manifestaciones. Así, es pertinente señalar que en el artículo 13, fracción I de la ley de referencia se establece que podrá clasificarse aquella información cuya difusión pueda comprometer la seguridad nacional y pública. En este orden de ideas, una de las formas en que la delincuencia puede llegar a poner en riesgo la seguridad del país es precisamente anulando, impidiendo u obstaculizando la actuación de los servidores públicos que realizan funciones de carácter operativo, mediante el conocimiento de dicha situación, por lo que la reserva de la relación de los nombres y las funciones que desempeñan los servidores públicos que prestan sus servicios en áreas de seguridad nacional o pública, puede llegar a constituirse en un componente fundamental en el esfuerzo que realiza el Estado Mexicano para garantizar la seguridad del país en sus diferentes vertientes.”</w:t>
      </w:r>
    </w:p>
    <w:p w:rsidR="0088522B" w:rsidRPr="001D1C28" w:rsidRDefault="0088522B" w:rsidP="0088522B">
      <w:pPr>
        <w:spacing w:line="360" w:lineRule="auto"/>
        <w:jc w:val="both"/>
        <w:rPr>
          <w:rFonts w:ascii="Palatino Linotype" w:hAnsi="Palatino Linotype" w:cs="Arial"/>
        </w:rPr>
      </w:pPr>
    </w:p>
    <w:p w:rsidR="0088522B" w:rsidRPr="001D1C28" w:rsidRDefault="0088522B" w:rsidP="0088522B">
      <w:pPr>
        <w:spacing w:line="360" w:lineRule="auto"/>
        <w:jc w:val="both"/>
        <w:rPr>
          <w:rFonts w:ascii="Palatino Linotype" w:hAnsi="Palatino Linotype" w:cs="Arial"/>
        </w:rPr>
      </w:pPr>
      <w:r w:rsidRPr="001D1C28">
        <w:rPr>
          <w:rFonts w:ascii="Palatino Linotype" w:hAnsi="Palatino Linotype" w:cs="Arial"/>
        </w:rPr>
        <w:lastRenderedPageBreak/>
        <w:t xml:space="preserve">En caso específico, de los documentos solicitados obran datos que son considerados confidenciales, cuyo acceso debe ser restringido, los cuales deben testarse al momento de la elaboración de versiones públicas, como es el caso del </w:t>
      </w:r>
      <w:r w:rsidRPr="001D1C28">
        <w:rPr>
          <w:rFonts w:ascii="Palatino Linotype" w:hAnsi="Palatino Linotype" w:cs="Arial"/>
          <w:b/>
        </w:rPr>
        <w:t>Registro Federal de Contribuyentes (RFC)</w:t>
      </w:r>
      <w:r w:rsidRPr="001D1C28">
        <w:rPr>
          <w:rFonts w:ascii="Palatino Linotype" w:hAnsi="Palatino Linotype" w:cs="Arial"/>
        </w:rPr>
        <w:t xml:space="preserve">, la </w:t>
      </w:r>
      <w:r w:rsidRPr="001D1C28">
        <w:rPr>
          <w:rFonts w:ascii="Palatino Linotype" w:hAnsi="Palatino Linotype" w:cs="Arial"/>
          <w:b/>
        </w:rPr>
        <w:t>Clave Única de Registro de Población (CURP)</w:t>
      </w:r>
      <w:r w:rsidRPr="001D1C28">
        <w:rPr>
          <w:rFonts w:ascii="Palatino Linotype" w:hAnsi="Palatino Linotype" w:cs="Arial"/>
        </w:rPr>
        <w:t xml:space="preserve">, la </w:t>
      </w:r>
      <w:r w:rsidRPr="001D1C28">
        <w:rPr>
          <w:rFonts w:ascii="Palatino Linotype" w:hAnsi="Palatino Linotype" w:cs="Arial"/>
          <w:b/>
        </w:rPr>
        <w:t>Clave de cualquier tipo de seguridad social</w:t>
      </w:r>
      <w:r w:rsidRPr="001D1C28">
        <w:rPr>
          <w:rFonts w:ascii="Palatino Linotype" w:hAnsi="Palatino Linotype" w:cs="Arial"/>
        </w:rPr>
        <w:t xml:space="preserve"> (</w:t>
      </w:r>
      <w:r w:rsidRPr="001D1C28">
        <w:rPr>
          <w:rFonts w:ascii="Palatino Linotype" w:hAnsi="Palatino Linotype" w:cs="Arial"/>
          <w:b/>
        </w:rPr>
        <w:t>ISSEMYM</w:t>
      </w:r>
      <w:r w:rsidRPr="001D1C28">
        <w:rPr>
          <w:rFonts w:ascii="Palatino Linotype" w:hAnsi="Palatino Linotype" w:cs="Arial"/>
        </w:rPr>
        <w:t xml:space="preserve">, u otros), así como, los préstamos o descuentos que se le hagan al servidor público, que no se encuentren relacionados con los impuestos o la </w:t>
      </w:r>
      <w:r w:rsidRPr="001D1C28">
        <w:rPr>
          <w:rFonts w:ascii="Palatino Linotype" w:hAnsi="Palatino Linotype" w:cs="Arial"/>
          <w:b/>
        </w:rPr>
        <w:t>cuotas</w:t>
      </w:r>
      <w:r w:rsidRPr="001D1C28">
        <w:rPr>
          <w:rFonts w:ascii="Palatino Linotype" w:hAnsi="Palatino Linotype" w:cs="Arial"/>
        </w:rPr>
        <w:t xml:space="preserve"> por </w:t>
      </w:r>
      <w:r w:rsidRPr="001D1C28">
        <w:rPr>
          <w:rFonts w:ascii="Palatino Linotype" w:hAnsi="Palatino Linotype" w:cs="Arial"/>
          <w:b/>
        </w:rPr>
        <w:t>seguridad social.</w:t>
      </w:r>
    </w:p>
    <w:p w:rsidR="0088522B" w:rsidRPr="001D1C28" w:rsidRDefault="0088522B" w:rsidP="0088522B">
      <w:pPr>
        <w:spacing w:line="360" w:lineRule="auto"/>
        <w:jc w:val="both"/>
        <w:rPr>
          <w:rFonts w:ascii="Palatino Linotype" w:hAnsi="Palatino Linotype" w:cs="Arial"/>
        </w:rPr>
      </w:pPr>
    </w:p>
    <w:p w:rsidR="0088522B" w:rsidRPr="001D1C28" w:rsidRDefault="0088522B" w:rsidP="0088522B">
      <w:pPr>
        <w:spacing w:line="360" w:lineRule="auto"/>
        <w:jc w:val="both"/>
        <w:rPr>
          <w:rFonts w:ascii="Palatino Linotype" w:hAnsi="Palatino Linotype" w:cs="Arial"/>
        </w:rPr>
      </w:pPr>
      <w:r w:rsidRPr="001D1C28">
        <w:rPr>
          <w:rFonts w:ascii="Palatino Linotype" w:hAnsi="Palatino Linotype" w:cs="Arial"/>
        </w:rPr>
        <w:t xml:space="preserve">Por cuanto hace al </w:t>
      </w:r>
      <w:r w:rsidRPr="001D1C28">
        <w:rPr>
          <w:rFonts w:ascii="Palatino Linotype" w:hAnsi="Palatino Linotype" w:cs="Arial"/>
          <w:b/>
        </w:rPr>
        <w:t>Registro Federal de Contribuyentes de las personas físicas</w:t>
      </w:r>
      <w:r w:rsidRPr="001D1C28">
        <w:rPr>
          <w:rFonts w:ascii="Palatino Linotype" w:hAnsi="Palatino Linotype" w:cs="Arial"/>
        </w:rPr>
        <w:t xml:space="preserve"> constituye un dato personal, ya que se genera con caracteres alfanuméricos obtenidos a partir del nombre en mayúsculas sin acentos ni diéresis y la fecha de nacimiento de cada persona; es decir la primera letra del apellido paterno; seguida de la primera letra vocal del primer apellido; seguida de la primera letra del segundo apellido y por último la primera letra del nombre, posterior la fecha de nacimiento año/mes/día y finalmente la homoclave; la cual para su obtención es necesario acreditar personalidad, fecha de nacimiento entre otros con documentos oficiales.</w:t>
      </w:r>
    </w:p>
    <w:p w:rsidR="0088522B" w:rsidRPr="001D1C28" w:rsidRDefault="0088522B" w:rsidP="0088522B">
      <w:pPr>
        <w:spacing w:line="360" w:lineRule="auto"/>
        <w:jc w:val="both"/>
        <w:rPr>
          <w:rFonts w:ascii="Palatino Linotype" w:hAnsi="Palatino Linotype" w:cs="Arial"/>
        </w:rPr>
      </w:pPr>
    </w:p>
    <w:p w:rsidR="0088522B" w:rsidRPr="001D1C28" w:rsidRDefault="0088522B" w:rsidP="0088522B">
      <w:pPr>
        <w:spacing w:line="360" w:lineRule="auto"/>
        <w:jc w:val="both"/>
        <w:rPr>
          <w:rFonts w:ascii="Palatino Linotype" w:hAnsi="Palatino Linotype" w:cs="Arial"/>
        </w:rPr>
      </w:pPr>
      <w:r w:rsidRPr="001D1C28">
        <w:rPr>
          <w:rFonts w:ascii="Palatino Linotype" w:hAnsi="Palatino Linotype" w:cs="Arial"/>
        </w:rPr>
        <w:t>Al respecto, el Instituto Nacional Transparencia, Acceso a la Información y Protección de Datos Personales (INAI) a través del Criterio 19/17, señala literalmente lo siguiente:</w:t>
      </w:r>
    </w:p>
    <w:p w:rsidR="0088522B" w:rsidRPr="001D1C28" w:rsidRDefault="0088522B" w:rsidP="0088522B">
      <w:pPr>
        <w:spacing w:line="360" w:lineRule="auto"/>
        <w:jc w:val="both"/>
        <w:rPr>
          <w:rFonts w:ascii="Palatino Linotype" w:hAnsi="Palatino Linotype" w:cs="Arial"/>
        </w:rPr>
      </w:pPr>
    </w:p>
    <w:p w:rsidR="0088522B" w:rsidRPr="001D1C28" w:rsidRDefault="0088522B" w:rsidP="0088522B">
      <w:pPr>
        <w:spacing w:line="276" w:lineRule="auto"/>
        <w:ind w:left="567" w:right="567"/>
        <w:jc w:val="both"/>
        <w:rPr>
          <w:rFonts w:ascii="Palatino Linotype" w:hAnsi="Palatino Linotype" w:cs="Arial"/>
          <w:i/>
        </w:rPr>
      </w:pPr>
      <w:r w:rsidRPr="001D1C28">
        <w:rPr>
          <w:rFonts w:ascii="Palatino Linotype" w:hAnsi="Palatino Linotype" w:cs="Arial"/>
          <w:i/>
        </w:rPr>
        <w:t>“</w:t>
      </w:r>
      <w:r w:rsidRPr="001D1C28">
        <w:rPr>
          <w:rFonts w:ascii="Palatino Linotype" w:hAnsi="Palatino Linotype" w:cs="Arial"/>
          <w:b/>
          <w:i/>
        </w:rPr>
        <w:t>Registro Federal de Contribuyentes (RFC) de personas físicas</w:t>
      </w:r>
      <w:r w:rsidRPr="001D1C28">
        <w:rPr>
          <w:rFonts w:ascii="Palatino Linotype" w:hAnsi="Palatino Linotype" w:cs="Arial"/>
          <w:i/>
        </w:rPr>
        <w:t>. El RFC es una clave de carácter fiscal, única e irrepetible, que permite identificar al titular, su edad y fecha de nacimiento, por lo que es un dato personal de carácter confidencial.</w:t>
      </w:r>
    </w:p>
    <w:p w:rsidR="0088522B" w:rsidRPr="001D1C28" w:rsidRDefault="0088522B" w:rsidP="0088522B">
      <w:pPr>
        <w:spacing w:line="360" w:lineRule="auto"/>
        <w:jc w:val="both"/>
        <w:rPr>
          <w:rFonts w:ascii="Palatino Linotype" w:hAnsi="Palatino Linotype" w:cs="Arial"/>
        </w:rPr>
      </w:pPr>
    </w:p>
    <w:p w:rsidR="0088522B" w:rsidRPr="001D1C28" w:rsidRDefault="0088522B" w:rsidP="0088522B">
      <w:pPr>
        <w:spacing w:line="360" w:lineRule="auto"/>
        <w:jc w:val="both"/>
        <w:rPr>
          <w:rFonts w:ascii="Palatino Linotype" w:hAnsi="Palatino Linotype" w:cs="Arial"/>
        </w:rPr>
      </w:pPr>
      <w:r w:rsidRPr="001D1C28">
        <w:rPr>
          <w:rFonts w:ascii="Palatino Linotype" w:hAnsi="Palatino Linotype" w:cs="Arial"/>
        </w:rPr>
        <w:t xml:space="preserve">De lo anterior, se desprende que el Registro Federal de Contribuyentes se vincula al nombre de su titular, permitiendo identificar la edad de la persona, fecha de </w:t>
      </w:r>
      <w:r w:rsidRPr="001D1C28">
        <w:rPr>
          <w:rFonts w:ascii="Palatino Linotype" w:hAnsi="Palatino Linotype" w:cs="Arial"/>
        </w:rPr>
        <w:lastRenderedPageBreak/>
        <w:t>nacimiento, así como su homoclave, determinando la identificación de dicha persona para efectos fiscales, por lo que éste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los Sujetos Obligados del Estado de México y Municipios.</w:t>
      </w:r>
    </w:p>
    <w:p w:rsidR="0088522B" w:rsidRPr="001D1C28" w:rsidRDefault="0088522B" w:rsidP="0088522B">
      <w:pPr>
        <w:spacing w:line="360" w:lineRule="auto"/>
        <w:jc w:val="both"/>
        <w:rPr>
          <w:rFonts w:ascii="Palatino Linotype" w:hAnsi="Palatino Linotype" w:cs="Arial"/>
        </w:rPr>
      </w:pPr>
    </w:p>
    <w:p w:rsidR="0088522B" w:rsidRPr="001D1C28" w:rsidRDefault="0088522B" w:rsidP="0088522B">
      <w:pPr>
        <w:spacing w:line="360" w:lineRule="auto"/>
        <w:jc w:val="both"/>
        <w:rPr>
          <w:rFonts w:ascii="Palatino Linotype" w:hAnsi="Palatino Linotype" w:cs="Arial"/>
        </w:rPr>
      </w:pPr>
      <w:r w:rsidRPr="001D1C28">
        <w:rPr>
          <w:rFonts w:ascii="Palatino Linotype" w:hAnsi="Palatino Linotype" w:cs="Arial"/>
        </w:rPr>
        <w:t xml:space="preserve">Por cuanto hace a la </w:t>
      </w:r>
      <w:r w:rsidRPr="001D1C28">
        <w:rPr>
          <w:rFonts w:ascii="Palatino Linotype" w:hAnsi="Palatino Linotype" w:cs="Arial"/>
          <w:b/>
        </w:rPr>
        <w:t>Clave Única de Registro de Población</w:t>
      </w:r>
      <w:r w:rsidRPr="001D1C28">
        <w:rPr>
          <w:rFonts w:ascii="Palatino Linotype" w:hAnsi="Palatino Linotype" w:cs="Arial"/>
        </w:rPr>
        <w:t>, constituye un dato personal, ya que tiene como finalidad registrar a cada una de las personas que integran la población del país, con los datos que permitan certificar y acreditar fehacientemente su identidad, la cual servirá para identificarla de manera individual.</w:t>
      </w:r>
    </w:p>
    <w:p w:rsidR="0088522B" w:rsidRPr="001D1C28" w:rsidRDefault="0088522B" w:rsidP="0088522B">
      <w:pPr>
        <w:spacing w:line="360" w:lineRule="auto"/>
        <w:jc w:val="both"/>
        <w:rPr>
          <w:rFonts w:ascii="Palatino Linotype" w:hAnsi="Palatino Linotype" w:cs="Arial"/>
        </w:rPr>
      </w:pPr>
    </w:p>
    <w:p w:rsidR="0088522B" w:rsidRPr="001D1C28" w:rsidRDefault="0088522B" w:rsidP="0088522B">
      <w:pPr>
        <w:spacing w:line="360" w:lineRule="auto"/>
        <w:jc w:val="both"/>
        <w:rPr>
          <w:rFonts w:ascii="Palatino Linotype" w:hAnsi="Palatino Linotype" w:cs="Arial"/>
        </w:rPr>
      </w:pPr>
      <w:r w:rsidRPr="001D1C28">
        <w:rPr>
          <w:rFonts w:ascii="Palatino Linotype" w:hAnsi="Palatino Linotype" w:cs="Arial"/>
        </w:rPr>
        <w:t>Lo anterior, tiene sustento en los artículos 86 y 91, de la Ley General de Población, la cual señala lo siguiente:</w:t>
      </w:r>
    </w:p>
    <w:p w:rsidR="0088522B" w:rsidRPr="001D1C28" w:rsidRDefault="0088522B" w:rsidP="0088522B">
      <w:pPr>
        <w:spacing w:line="276" w:lineRule="auto"/>
        <w:jc w:val="both"/>
        <w:rPr>
          <w:rFonts w:ascii="Palatino Linotype" w:hAnsi="Palatino Linotype" w:cs="Arial"/>
        </w:rPr>
      </w:pPr>
    </w:p>
    <w:p w:rsidR="0088522B" w:rsidRPr="001D1C28" w:rsidRDefault="0088522B" w:rsidP="0088522B">
      <w:pPr>
        <w:spacing w:line="276" w:lineRule="auto"/>
        <w:ind w:left="567" w:right="567"/>
        <w:jc w:val="both"/>
        <w:rPr>
          <w:rFonts w:ascii="Palatino Linotype" w:hAnsi="Palatino Linotype" w:cs="Arial"/>
          <w:i/>
        </w:rPr>
      </w:pPr>
      <w:r w:rsidRPr="001D1C28">
        <w:rPr>
          <w:rFonts w:ascii="Palatino Linotype" w:hAnsi="Palatino Linotype" w:cs="Arial"/>
          <w:i/>
        </w:rPr>
        <w:t>“</w:t>
      </w:r>
      <w:r w:rsidRPr="001D1C28">
        <w:rPr>
          <w:rFonts w:ascii="Palatino Linotype" w:hAnsi="Palatino Linotype" w:cs="Arial"/>
          <w:b/>
          <w:i/>
        </w:rPr>
        <w:t>Artículo 86.</w:t>
      </w:r>
      <w:r w:rsidRPr="001D1C28">
        <w:rPr>
          <w:rFonts w:ascii="Palatino Linotype" w:hAnsi="Palatino Linotype" w:cs="Arial"/>
          <w:i/>
        </w:rPr>
        <w:t xml:space="preserve"> El Registro Nacional de Población tiene como finalidad registrar a cada una de las personas que integran la población del país, con los datos que permitan certificar y acreditar fehacientemente su identidad.</w:t>
      </w:r>
    </w:p>
    <w:p w:rsidR="0088522B" w:rsidRPr="001D1C28" w:rsidRDefault="0088522B" w:rsidP="0088522B">
      <w:pPr>
        <w:spacing w:line="276" w:lineRule="auto"/>
        <w:ind w:left="567" w:right="567"/>
        <w:jc w:val="both"/>
        <w:rPr>
          <w:rFonts w:ascii="Palatino Linotype" w:hAnsi="Palatino Linotype" w:cs="Arial"/>
          <w:i/>
        </w:rPr>
      </w:pPr>
    </w:p>
    <w:p w:rsidR="0088522B" w:rsidRPr="001D1C28" w:rsidRDefault="0088522B" w:rsidP="0088522B">
      <w:pPr>
        <w:spacing w:line="276" w:lineRule="auto"/>
        <w:ind w:left="567" w:right="567"/>
        <w:jc w:val="both"/>
        <w:rPr>
          <w:rFonts w:ascii="Palatino Linotype" w:hAnsi="Palatino Linotype" w:cs="Arial"/>
          <w:i/>
        </w:rPr>
      </w:pPr>
      <w:r w:rsidRPr="001D1C28">
        <w:rPr>
          <w:rFonts w:ascii="Palatino Linotype" w:hAnsi="Palatino Linotype" w:cs="Arial"/>
          <w:b/>
          <w:i/>
        </w:rPr>
        <w:t>Artículo 91.</w:t>
      </w:r>
      <w:r w:rsidRPr="001D1C28">
        <w:rPr>
          <w:rFonts w:ascii="Palatino Linotype" w:hAnsi="Palatino Linotype" w:cs="Arial"/>
          <w:i/>
        </w:rPr>
        <w:t xml:space="preserve"> Al incorporar a una persona en el Registro Nacional de Población, se le asignará una clave que se denominará Clave Única de Registro de Población. Esta servirá para registrarla e identificarla en forma individual.”</w:t>
      </w:r>
    </w:p>
    <w:p w:rsidR="0088522B" w:rsidRPr="001D1C28" w:rsidRDefault="0088522B" w:rsidP="0088522B">
      <w:pPr>
        <w:spacing w:line="360" w:lineRule="auto"/>
        <w:jc w:val="both"/>
        <w:rPr>
          <w:rFonts w:ascii="Palatino Linotype" w:hAnsi="Palatino Linotype" w:cs="Arial"/>
        </w:rPr>
      </w:pPr>
    </w:p>
    <w:p w:rsidR="0088522B" w:rsidRPr="001D1C28" w:rsidRDefault="0088522B" w:rsidP="0088522B">
      <w:pPr>
        <w:spacing w:line="360" w:lineRule="auto"/>
        <w:jc w:val="both"/>
        <w:rPr>
          <w:rFonts w:ascii="Palatino Linotype" w:hAnsi="Palatino Linotype" w:cs="Arial"/>
        </w:rPr>
      </w:pPr>
      <w:r w:rsidRPr="001D1C28">
        <w:rPr>
          <w:rFonts w:ascii="Palatino Linotype" w:hAnsi="Palatino Linotype" w:cs="Arial"/>
        </w:rPr>
        <w:t xml:space="preserve">Ahora bien, la Clave Única de Registro de Población, está integrada de 18 elementos representados por letras y números, que se generan a partir de los datos contenidos en un documento probatorio de identidad (acta de nacimiento, carta de naturalización o documento migratorio), la cual se integra de la primera letra del apellido paterno; </w:t>
      </w:r>
      <w:r w:rsidRPr="001D1C28">
        <w:rPr>
          <w:rFonts w:ascii="Palatino Linotype" w:hAnsi="Palatino Linotype" w:cs="Arial"/>
        </w:rPr>
        <w:lastRenderedPageBreak/>
        <w:t xml:space="preserve">seguida de la primera letra vocal del primer apellido; seguida de la primera letra del segundo apellido y por último la primera letra del nombre; fecha de nacimiento año/mes/día; sexo; Entidad Federativa o lugar de nacimiento; finalmente un digito verificador, compuesto de dos elementos, con el que se evitan duplicaciones en la Clave, identifican el cambio de siglo y garantizan la correcta integración. </w:t>
      </w:r>
    </w:p>
    <w:p w:rsidR="0088522B" w:rsidRPr="001D1C28" w:rsidRDefault="0088522B" w:rsidP="0088522B">
      <w:pPr>
        <w:spacing w:line="360" w:lineRule="auto"/>
        <w:jc w:val="both"/>
        <w:rPr>
          <w:rFonts w:ascii="Palatino Linotype" w:hAnsi="Palatino Linotype" w:cs="Arial"/>
        </w:rPr>
      </w:pPr>
    </w:p>
    <w:p w:rsidR="0088522B" w:rsidRPr="001D1C28" w:rsidRDefault="0088522B" w:rsidP="0088522B">
      <w:pPr>
        <w:spacing w:line="360" w:lineRule="auto"/>
        <w:jc w:val="both"/>
        <w:rPr>
          <w:rFonts w:ascii="Palatino Linotype" w:hAnsi="Palatino Linotype" w:cs="Arial"/>
        </w:rPr>
      </w:pPr>
      <w:r w:rsidRPr="001D1C28">
        <w:rPr>
          <w:rFonts w:ascii="Palatino Linotype" w:hAnsi="Palatino Linotype" w:cs="Arial"/>
        </w:rPr>
        <w:t>Al respecto, el Instituto Nacional de Transparencia, Acceso a la Información y Protección de Datos Personales (INAI) a través del Criterio 18/17, señala literalmente lo siguiente:</w:t>
      </w:r>
    </w:p>
    <w:p w:rsidR="0088522B" w:rsidRPr="001D1C28" w:rsidRDefault="0088522B" w:rsidP="0088522B">
      <w:pPr>
        <w:spacing w:line="360" w:lineRule="auto"/>
        <w:jc w:val="both"/>
        <w:rPr>
          <w:rFonts w:ascii="Palatino Linotype" w:hAnsi="Palatino Linotype" w:cs="Arial"/>
        </w:rPr>
      </w:pPr>
    </w:p>
    <w:p w:rsidR="0088522B" w:rsidRPr="001D1C28" w:rsidRDefault="0088522B" w:rsidP="0088522B">
      <w:pPr>
        <w:spacing w:line="276" w:lineRule="auto"/>
        <w:ind w:left="567" w:right="567"/>
        <w:jc w:val="both"/>
        <w:rPr>
          <w:rFonts w:ascii="Palatino Linotype" w:hAnsi="Palatino Linotype" w:cs="Arial"/>
          <w:i/>
        </w:rPr>
      </w:pPr>
      <w:r w:rsidRPr="001D1C28">
        <w:rPr>
          <w:rFonts w:ascii="Palatino Linotype" w:hAnsi="Palatino Linotype" w:cs="Arial"/>
          <w:b/>
          <w:i/>
        </w:rPr>
        <w:t>Clave Única de Registro de Población (CURP).</w:t>
      </w:r>
      <w:r w:rsidRPr="001D1C28">
        <w:rPr>
          <w:rFonts w:ascii="Palatino Linotype" w:hAnsi="Palatino Linotype" w:cs="Arial"/>
          <w:i/>
        </w:rPr>
        <w:t xml:space="preserve"> 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rsidR="0088522B" w:rsidRPr="001D1C28" w:rsidRDefault="0088522B" w:rsidP="0088522B">
      <w:pPr>
        <w:spacing w:line="276" w:lineRule="auto"/>
        <w:jc w:val="both"/>
        <w:rPr>
          <w:rFonts w:ascii="Palatino Linotype" w:hAnsi="Palatino Linotype" w:cs="Arial"/>
        </w:rPr>
      </w:pPr>
    </w:p>
    <w:p w:rsidR="0088522B" w:rsidRPr="001D1C28" w:rsidRDefault="0088522B" w:rsidP="0088522B">
      <w:pPr>
        <w:spacing w:line="360" w:lineRule="auto"/>
        <w:jc w:val="both"/>
        <w:rPr>
          <w:rFonts w:ascii="Palatino Linotype" w:hAnsi="Palatino Linotype" w:cs="Arial"/>
        </w:rPr>
      </w:pPr>
      <w:r w:rsidRPr="001D1C28">
        <w:rPr>
          <w:rFonts w:ascii="Palatino Linotype" w:hAnsi="Palatino Linotype" w:cs="Arial"/>
        </w:rPr>
        <w:t>De lo anterior, se desprende que la Clave Única de Registro de Población, se encuentra vinculada al nombre de la persona, permitiendo identificar la edad, fecha de nacimiento, sexo, lugar de nacimiento, así como el código identificador; datos que únicamente le atañen a un particular, por lo que ésta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rsidR="0088522B" w:rsidRPr="001D1C28" w:rsidRDefault="0088522B" w:rsidP="0088522B">
      <w:pPr>
        <w:spacing w:line="360" w:lineRule="auto"/>
        <w:jc w:val="both"/>
        <w:rPr>
          <w:rFonts w:ascii="Palatino Linotype" w:hAnsi="Palatino Linotype" w:cs="Arial"/>
        </w:rPr>
      </w:pPr>
    </w:p>
    <w:p w:rsidR="0088522B" w:rsidRPr="001D1C28" w:rsidRDefault="0088522B" w:rsidP="0088522B">
      <w:pPr>
        <w:spacing w:line="360" w:lineRule="auto"/>
        <w:jc w:val="both"/>
        <w:rPr>
          <w:rFonts w:ascii="Palatino Linotype" w:hAnsi="Palatino Linotype" w:cs="Arial"/>
        </w:rPr>
      </w:pPr>
      <w:r w:rsidRPr="001D1C28">
        <w:rPr>
          <w:rFonts w:ascii="Palatino Linotype" w:hAnsi="Palatino Linotype" w:cs="Arial"/>
        </w:rPr>
        <w:lastRenderedPageBreak/>
        <w:t xml:space="preserve">Por cuanto hace a la </w:t>
      </w:r>
      <w:r w:rsidRPr="001D1C28">
        <w:rPr>
          <w:rFonts w:ascii="Palatino Linotype" w:hAnsi="Palatino Linotype" w:cs="Arial"/>
          <w:b/>
        </w:rPr>
        <w:t>Clave de cualquier tipo de seguridad social</w:t>
      </w:r>
      <w:r w:rsidRPr="001D1C28">
        <w:rPr>
          <w:rFonts w:ascii="Palatino Linotype" w:hAnsi="Palatino Linotype" w:cs="Arial"/>
        </w:rPr>
        <w:t xml:space="preserve"> (ISSEMYM, u otros), está integrado por una secuencia de números con los que se identifica a los trabajadores que cubren las cuotas respectivas, asimismo, lo identifica con la fuente de trabajo; por lo que al ser una clave de identificación de los trabajadores, constituye información confidencial, dato que únicamente le atañe al servidor público, por lo que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rsidR="0088522B" w:rsidRPr="001D1C28" w:rsidRDefault="0088522B" w:rsidP="0088522B">
      <w:pPr>
        <w:spacing w:line="360" w:lineRule="auto"/>
        <w:jc w:val="both"/>
        <w:rPr>
          <w:rFonts w:ascii="Palatino Linotype" w:hAnsi="Palatino Linotype" w:cs="Arial"/>
        </w:rPr>
      </w:pPr>
    </w:p>
    <w:p w:rsidR="0088522B" w:rsidRPr="001D1C28" w:rsidRDefault="0088522B" w:rsidP="0088522B">
      <w:pPr>
        <w:spacing w:line="360" w:lineRule="auto"/>
        <w:jc w:val="both"/>
        <w:rPr>
          <w:rFonts w:ascii="Palatino Linotype" w:hAnsi="Palatino Linotype" w:cs="Arial"/>
        </w:rPr>
      </w:pPr>
      <w:r w:rsidRPr="001D1C28">
        <w:rPr>
          <w:rFonts w:ascii="Palatino Linotype" w:hAnsi="Palatino Linotype" w:cs="Arial"/>
        </w:rPr>
        <w:t xml:space="preserve">Respecto de los </w:t>
      </w:r>
      <w:r w:rsidRPr="001D1C28">
        <w:rPr>
          <w:rFonts w:ascii="Palatino Linotype" w:hAnsi="Palatino Linotype" w:cs="Arial"/>
          <w:b/>
        </w:rPr>
        <w:t>préstamos o descuentos de carácter personal</w:t>
      </w:r>
      <w:r w:rsidRPr="001D1C28">
        <w:rPr>
          <w:rFonts w:ascii="Palatino Linotype" w:hAnsi="Palatino Linotype" w:cs="Arial"/>
        </w:rPr>
        <w:t>, éstos no deben tener relación con la prestación del servicio; es decir, son confidenciales los préstamos o descuentos que se le hagan a la persona en los que no se involucren instituciones públicas, en virtud de no favorecer en la transparencia y rendición de cuentas, sino, por el contrario con ello se violentaría la protección de información confidencial, porque incide en la intimidad de un individuo identificado.</w:t>
      </w:r>
    </w:p>
    <w:p w:rsidR="0088522B" w:rsidRPr="001D1C28" w:rsidRDefault="0088522B" w:rsidP="0088522B">
      <w:pPr>
        <w:spacing w:line="360" w:lineRule="auto"/>
        <w:jc w:val="both"/>
        <w:rPr>
          <w:rFonts w:ascii="Palatino Linotype" w:hAnsi="Palatino Linotype" w:cs="Arial"/>
        </w:rPr>
      </w:pPr>
    </w:p>
    <w:p w:rsidR="0088522B" w:rsidRPr="001D1C28" w:rsidRDefault="0088522B" w:rsidP="0088522B">
      <w:pPr>
        <w:spacing w:line="360" w:lineRule="auto"/>
        <w:jc w:val="both"/>
        <w:rPr>
          <w:rFonts w:ascii="Palatino Linotype" w:hAnsi="Palatino Linotype" w:cs="Arial"/>
        </w:rPr>
      </w:pPr>
      <w:r w:rsidRPr="001D1C28">
        <w:rPr>
          <w:rFonts w:ascii="Palatino Linotype" w:hAnsi="Palatino Linotype" w:cs="Arial"/>
        </w:rPr>
        <w:t>Por su parte, el artículo 84 de la Ley del Trabajo de los Servidores Públicos del Estado y Municipios, señala:</w:t>
      </w:r>
    </w:p>
    <w:p w:rsidR="0088522B" w:rsidRPr="001D1C28" w:rsidRDefault="0088522B" w:rsidP="0088522B">
      <w:pPr>
        <w:spacing w:line="276" w:lineRule="auto"/>
        <w:ind w:left="567" w:right="567"/>
        <w:jc w:val="both"/>
        <w:rPr>
          <w:rFonts w:ascii="Palatino Linotype" w:hAnsi="Palatino Linotype" w:cs="Arial"/>
          <w:i/>
        </w:rPr>
      </w:pPr>
      <w:r w:rsidRPr="001D1C28">
        <w:rPr>
          <w:rFonts w:ascii="Palatino Linotype" w:hAnsi="Palatino Linotype" w:cs="Arial"/>
          <w:b/>
          <w:i/>
        </w:rPr>
        <w:t>ARTICULO 84.</w:t>
      </w:r>
      <w:r w:rsidRPr="001D1C28">
        <w:rPr>
          <w:rFonts w:ascii="Palatino Linotype" w:hAnsi="Palatino Linotype" w:cs="Arial"/>
          <w:i/>
        </w:rPr>
        <w:t xml:space="preserve"> Sólo podrán hacerse retenciones, descuentos o deducciones al sueldo de los servidores públicos por concepto de:</w:t>
      </w:r>
    </w:p>
    <w:p w:rsidR="0088522B" w:rsidRPr="001D1C28" w:rsidRDefault="0088522B" w:rsidP="0088522B">
      <w:pPr>
        <w:spacing w:line="276" w:lineRule="auto"/>
        <w:ind w:left="567" w:right="567"/>
        <w:jc w:val="both"/>
        <w:rPr>
          <w:rFonts w:ascii="Palatino Linotype" w:hAnsi="Palatino Linotype" w:cs="Arial"/>
          <w:i/>
        </w:rPr>
      </w:pPr>
      <w:r w:rsidRPr="001D1C28">
        <w:rPr>
          <w:rFonts w:ascii="Palatino Linotype" w:hAnsi="Palatino Linotype" w:cs="Arial"/>
          <w:b/>
          <w:i/>
        </w:rPr>
        <w:t>I.</w:t>
      </w:r>
      <w:r w:rsidRPr="001D1C28">
        <w:rPr>
          <w:rFonts w:ascii="Palatino Linotype" w:hAnsi="Palatino Linotype" w:cs="Arial"/>
          <w:i/>
        </w:rPr>
        <w:t xml:space="preserve"> Gravámenes fiscales relacionados con el sueldo;</w:t>
      </w:r>
    </w:p>
    <w:p w:rsidR="0088522B" w:rsidRPr="001D1C28" w:rsidRDefault="0088522B" w:rsidP="0088522B">
      <w:pPr>
        <w:spacing w:line="276" w:lineRule="auto"/>
        <w:ind w:left="567" w:right="567"/>
        <w:jc w:val="both"/>
        <w:rPr>
          <w:rFonts w:ascii="Palatino Linotype" w:hAnsi="Palatino Linotype" w:cs="Arial"/>
          <w:i/>
        </w:rPr>
      </w:pPr>
      <w:r w:rsidRPr="001D1C28">
        <w:rPr>
          <w:rFonts w:ascii="Palatino Linotype" w:hAnsi="Palatino Linotype" w:cs="Arial"/>
          <w:b/>
          <w:i/>
        </w:rPr>
        <w:t>II.</w:t>
      </w:r>
      <w:r w:rsidRPr="001D1C28">
        <w:rPr>
          <w:rFonts w:ascii="Palatino Linotype" w:hAnsi="Palatino Linotype" w:cs="Arial"/>
          <w:i/>
        </w:rPr>
        <w:t xml:space="preserve"> Deudas contraídas con las instituciones públicas o dependencias por concepto de anticipos de sueldo, pagos hechos con exceso, errores o pérdidas debidamente comprobados;</w:t>
      </w:r>
    </w:p>
    <w:p w:rsidR="0088522B" w:rsidRPr="001D1C28" w:rsidRDefault="0088522B" w:rsidP="0088522B">
      <w:pPr>
        <w:spacing w:line="276" w:lineRule="auto"/>
        <w:ind w:left="567" w:right="567"/>
        <w:jc w:val="both"/>
        <w:rPr>
          <w:rFonts w:ascii="Palatino Linotype" w:hAnsi="Palatino Linotype" w:cs="Arial"/>
          <w:i/>
        </w:rPr>
      </w:pPr>
      <w:r w:rsidRPr="001D1C28">
        <w:rPr>
          <w:rFonts w:ascii="Palatino Linotype" w:hAnsi="Palatino Linotype" w:cs="Arial"/>
          <w:b/>
          <w:i/>
        </w:rPr>
        <w:lastRenderedPageBreak/>
        <w:t>III.</w:t>
      </w:r>
      <w:r w:rsidRPr="001D1C28">
        <w:rPr>
          <w:rFonts w:ascii="Palatino Linotype" w:hAnsi="Palatino Linotype" w:cs="Arial"/>
          <w:i/>
        </w:rPr>
        <w:t xml:space="preserve"> Cuotas sindicales;</w:t>
      </w:r>
    </w:p>
    <w:p w:rsidR="0088522B" w:rsidRPr="001D1C28" w:rsidRDefault="0088522B" w:rsidP="0088522B">
      <w:pPr>
        <w:spacing w:line="276" w:lineRule="auto"/>
        <w:ind w:left="567" w:right="567"/>
        <w:jc w:val="both"/>
        <w:rPr>
          <w:rFonts w:ascii="Palatino Linotype" w:hAnsi="Palatino Linotype" w:cs="Arial"/>
          <w:i/>
        </w:rPr>
      </w:pPr>
      <w:r w:rsidRPr="001D1C28">
        <w:rPr>
          <w:rFonts w:ascii="Palatino Linotype" w:hAnsi="Palatino Linotype" w:cs="Arial"/>
          <w:b/>
          <w:i/>
        </w:rPr>
        <w:t>IV.</w:t>
      </w:r>
      <w:r w:rsidRPr="001D1C28">
        <w:rPr>
          <w:rFonts w:ascii="Palatino Linotype" w:hAnsi="Palatino Linotype" w:cs="Arial"/>
          <w:i/>
        </w:rPr>
        <w:t xml:space="preserve"> Cuotas de aportación a fondos para la constitución de cooperativas y de cajas de ahorro, siempre que el servidor público hubiese manifestado previamente, de manera expresa, su conformidad;</w:t>
      </w:r>
    </w:p>
    <w:p w:rsidR="0088522B" w:rsidRPr="001D1C28" w:rsidRDefault="0088522B" w:rsidP="0088522B">
      <w:pPr>
        <w:spacing w:line="276" w:lineRule="auto"/>
        <w:ind w:left="567" w:right="567"/>
        <w:jc w:val="both"/>
        <w:rPr>
          <w:rFonts w:ascii="Palatino Linotype" w:hAnsi="Palatino Linotype" w:cs="Arial"/>
          <w:i/>
        </w:rPr>
      </w:pPr>
      <w:r w:rsidRPr="001D1C28">
        <w:rPr>
          <w:rFonts w:ascii="Palatino Linotype" w:hAnsi="Palatino Linotype" w:cs="Arial"/>
          <w:b/>
          <w:i/>
        </w:rPr>
        <w:t>V.</w:t>
      </w:r>
      <w:r w:rsidRPr="001D1C28">
        <w:rPr>
          <w:rFonts w:ascii="Palatino Linotype" w:hAnsi="Palatino Linotype" w:cs="Arial"/>
          <w:i/>
        </w:rPr>
        <w:t xml:space="preserve"> Descuentos ordenados por el Instituto de Seguridad Social del Estado de México y Municipios, con motivo de cuotas y obligaciones contraídas con éste por los servidores públicos;</w:t>
      </w:r>
    </w:p>
    <w:p w:rsidR="0088522B" w:rsidRPr="001D1C28" w:rsidRDefault="0088522B" w:rsidP="0088522B">
      <w:pPr>
        <w:spacing w:line="276" w:lineRule="auto"/>
        <w:ind w:left="567" w:right="567"/>
        <w:jc w:val="both"/>
        <w:rPr>
          <w:rFonts w:ascii="Palatino Linotype" w:hAnsi="Palatino Linotype" w:cs="Arial"/>
          <w:i/>
        </w:rPr>
      </w:pPr>
      <w:r w:rsidRPr="001D1C28">
        <w:rPr>
          <w:rFonts w:ascii="Palatino Linotype" w:hAnsi="Palatino Linotype" w:cs="Arial"/>
          <w:b/>
          <w:i/>
        </w:rPr>
        <w:t>VI.</w:t>
      </w:r>
      <w:r w:rsidRPr="001D1C28">
        <w:rPr>
          <w:rFonts w:ascii="Palatino Linotype" w:hAnsi="Palatino Linotype" w:cs="Arial"/>
          <w:i/>
        </w:rPr>
        <w:t xml:space="preserve"> Obligaciones a cargo del servidor público con las que haya consentido, derivadas de la adquisición o del uso de habitaciones consideradas como de interés social;</w:t>
      </w:r>
    </w:p>
    <w:p w:rsidR="0088522B" w:rsidRPr="001D1C28" w:rsidRDefault="0088522B" w:rsidP="0088522B">
      <w:pPr>
        <w:spacing w:line="276" w:lineRule="auto"/>
        <w:ind w:left="567" w:right="567"/>
        <w:jc w:val="both"/>
        <w:rPr>
          <w:rFonts w:ascii="Palatino Linotype" w:hAnsi="Palatino Linotype" w:cs="Arial"/>
          <w:i/>
        </w:rPr>
      </w:pPr>
      <w:r w:rsidRPr="001D1C28">
        <w:rPr>
          <w:rFonts w:ascii="Palatino Linotype" w:hAnsi="Palatino Linotype" w:cs="Arial"/>
          <w:b/>
          <w:i/>
        </w:rPr>
        <w:t>VII.</w:t>
      </w:r>
      <w:r w:rsidRPr="001D1C28">
        <w:rPr>
          <w:rFonts w:ascii="Palatino Linotype" w:hAnsi="Palatino Linotype" w:cs="Arial"/>
          <w:i/>
        </w:rPr>
        <w:t xml:space="preserve"> Faltas de puntualidad o de asistencia injustificadas;</w:t>
      </w:r>
    </w:p>
    <w:p w:rsidR="0088522B" w:rsidRPr="001D1C28" w:rsidRDefault="0088522B" w:rsidP="0088522B">
      <w:pPr>
        <w:spacing w:line="276" w:lineRule="auto"/>
        <w:ind w:left="567" w:right="567"/>
        <w:jc w:val="both"/>
        <w:rPr>
          <w:rFonts w:ascii="Palatino Linotype" w:hAnsi="Palatino Linotype" w:cs="Arial"/>
          <w:i/>
        </w:rPr>
      </w:pPr>
      <w:r w:rsidRPr="001D1C28">
        <w:rPr>
          <w:rFonts w:ascii="Palatino Linotype" w:hAnsi="Palatino Linotype" w:cs="Arial"/>
          <w:b/>
          <w:i/>
        </w:rPr>
        <w:t>VIII.</w:t>
      </w:r>
      <w:r w:rsidRPr="001D1C28">
        <w:rPr>
          <w:rFonts w:ascii="Palatino Linotype" w:hAnsi="Palatino Linotype" w:cs="Arial"/>
          <w:i/>
        </w:rPr>
        <w:t xml:space="preserve"> Pensiones alimenticias ordenadas por la autoridad judicial; o</w:t>
      </w:r>
    </w:p>
    <w:p w:rsidR="0088522B" w:rsidRPr="001D1C28" w:rsidRDefault="0088522B" w:rsidP="0088522B">
      <w:pPr>
        <w:spacing w:line="276" w:lineRule="auto"/>
        <w:ind w:left="567" w:right="567"/>
        <w:jc w:val="both"/>
        <w:rPr>
          <w:rFonts w:ascii="Palatino Linotype" w:hAnsi="Palatino Linotype" w:cs="Arial"/>
          <w:i/>
        </w:rPr>
      </w:pPr>
      <w:r w:rsidRPr="001D1C28">
        <w:rPr>
          <w:rFonts w:ascii="Palatino Linotype" w:hAnsi="Palatino Linotype" w:cs="Arial"/>
          <w:b/>
          <w:i/>
        </w:rPr>
        <w:t>IX.</w:t>
      </w:r>
      <w:r w:rsidRPr="001D1C28">
        <w:rPr>
          <w:rFonts w:ascii="Palatino Linotype" w:hAnsi="Palatino Linotype" w:cs="Arial"/>
          <w:i/>
        </w:rPr>
        <w:t xml:space="preserve"> Cualquier otro convenido con instituciones de servicios y aceptado por el servidor público.</w:t>
      </w:r>
    </w:p>
    <w:p w:rsidR="0088522B" w:rsidRPr="001D1C28" w:rsidRDefault="0088522B" w:rsidP="0088522B">
      <w:pPr>
        <w:spacing w:line="276" w:lineRule="auto"/>
        <w:ind w:left="567" w:right="567"/>
        <w:jc w:val="both"/>
        <w:rPr>
          <w:rFonts w:ascii="Palatino Linotype" w:hAnsi="Palatino Linotype" w:cs="Arial"/>
          <w:i/>
        </w:rPr>
      </w:pPr>
    </w:p>
    <w:p w:rsidR="0088522B" w:rsidRPr="001D1C28" w:rsidRDefault="0088522B" w:rsidP="0088522B">
      <w:pPr>
        <w:spacing w:line="276" w:lineRule="auto"/>
        <w:ind w:left="567" w:right="567"/>
        <w:jc w:val="both"/>
        <w:rPr>
          <w:rFonts w:ascii="Palatino Linotype" w:hAnsi="Palatino Linotype" w:cs="Arial"/>
          <w:i/>
        </w:rPr>
      </w:pPr>
      <w:r w:rsidRPr="001D1C28">
        <w:rPr>
          <w:rFonts w:ascii="Palatino Linotype" w:hAnsi="Palatino Linotype" w:cs="Arial"/>
          <w:i/>
        </w:rPr>
        <w:t>El monto total de las retenciones, descuentos o deducciones no podrá exceder del 30% de la remuneración total, excepto en los casos a que se refieren las fracciones IV, V y VI de este artículo, en que podrán ser de hasta el 50%, salvo en los casos en que se demuestre que el crédito se concedió con base en los ingresos familiares para hacer posible el derecho constitucional a una vivienda digna, o se refieran a lo establecido en la fracción VIII de este artículo, en que se ajustará a lo determinado por la autoridad judicial.</w:t>
      </w:r>
    </w:p>
    <w:p w:rsidR="0088522B" w:rsidRPr="001D1C28" w:rsidRDefault="0088522B" w:rsidP="0088522B">
      <w:pPr>
        <w:spacing w:line="360" w:lineRule="auto"/>
        <w:jc w:val="both"/>
        <w:rPr>
          <w:rFonts w:ascii="Palatino Linotype" w:hAnsi="Palatino Linotype" w:cs="Arial"/>
        </w:rPr>
      </w:pPr>
    </w:p>
    <w:p w:rsidR="0088522B" w:rsidRPr="001D1C28" w:rsidRDefault="0088522B" w:rsidP="0088522B">
      <w:pPr>
        <w:spacing w:line="360" w:lineRule="auto"/>
        <w:jc w:val="both"/>
        <w:rPr>
          <w:rFonts w:ascii="Palatino Linotype" w:hAnsi="Palatino Linotype" w:cs="Arial"/>
        </w:rPr>
      </w:pPr>
      <w:r w:rsidRPr="001D1C28">
        <w:rPr>
          <w:rFonts w:ascii="Palatino Linotype" w:hAnsi="Palatino Linotype" w:cs="Arial"/>
        </w:rPr>
        <w:t>Derivado de lo anterior, la Ley establece claramente cuáles son esos descuentos o gravámenes que directamente se relacionan con las obligaciones adquiridas como servidores públicos y aquéllos que únicamente inciden en su vida privada. De este modo, descuentos por pensiones alimenticias o créditos adquiridos con instituciones privadas o públicas pero que fueron contraídas en forma individual, son información que debe clasificarse como confidencial.</w:t>
      </w:r>
    </w:p>
    <w:p w:rsidR="0088522B" w:rsidRPr="001D1C28" w:rsidRDefault="0088522B" w:rsidP="0088522B">
      <w:pPr>
        <w:spacing w:line="360" w:lineRule="auto"/>
        <w:jc w:val="both"/>
        <w:rPr>
          <w:rFonts w:ascii="Palatino Linotype" w:hAnsi="Palatino Linotype" w:cs="Arial"/>
        </w:rPr>
      </w:pPr>
    </w:p>
    <w:p w:rsidR="0088522B" w:rsidRPr="001D1C28" w:rsidRDefault="0088522B" w:rsidP="0088522B">
      <w:pPr>
        <w:spacing w:line="360" w:lineRule="auto"/>
        <w:ind w:right="51"/>
        <w:jc w:val="both"/>
        <w:rPr>
          <w:rFonts w:ascii="Palatino Linotype" w:hAnsi="Palatino Linotype"/>
          <w:szCs w:val="14"/>
        </w:rPr>
      </w:pPr>
      <w:r w:rsidRPr="001D1C28">
        <w:rPr>
          <w:rFonts w:ascii="Palatino Linotype" w:eastAsia="Palatino Linotype" w:hAnsi="Palatino Linotype" w:cs="Palatino Linotype"/>
        </w:rPr>
        <w:lastRenderedPageBreak/>
        <w:t xml:space="preserve">Igualmente, resulta importante destacar que el </w:t>
      </w:r>
      <w:r w:rsidRPr="001D1C28">
        <w:rPr>
          <w:rFonts w:ascii="Palatino Linotype" w:eastAsia="Palatino Linotype" w:hAnsi="Palatino Linotype" w:cs="Palatino Linotype"/>
          <w:b/>
          <w:i/>
        </w:rPr>
        <w:t>número de cuenta bancaria</w:t>
      </w:r>
      <w:r w:rsidRPr="001D1C28">
        <w:rPr>
          <w:rFonts w:ascii="Palatino Linotype" w:eastAsia="Palatino Linotype" w:hAnsi="Palatino Linotype" w:cs="Palatino Linotype"/>
          <w:b/>
        </w:rPr>
        <w:t xml:space="preserve"> de las personas físicas </w:t>
      </w:r>
      <w:r w:rsidRPr="001D1C28">
        <w:rPr>
          <w:rFonts w:ascii="Palatino Linotype" w:eastAsia="Palatino Linotype" w:hAnsi="Palatino Linotype" w:cs="Palatino Linotype"/>
        </w:rPr>
        <w:t>es información que sólo su titular o personas autorizadas poseen para el acceso o consulta de información patrimonial, o para la realización de operaciones bancarias de diversa naturaleza, por lo que la difusión pública del mismo facilitaría la afectación al patrimonio del titular de la cuenta.</w:t>
      </w:r>
    </w:p>
    <w:p w:rsidR="0088522B" w:rsidRPr="001D1C28" w:rsidRDefault="0088522B" w:rsidP="0088522B">
      <w:pPr>
        <w:spacing w:line="360" w:lineRule="auto"/>
        <w:ind w:right="50"/>
        <w:jc w:val="both"/>
        <w:rPr>
          <w:rFonts w:ascii="Palatino Linotype" w:eastAsia="Palatino Linotype" w:hAnsi="Palatino Linotype" w:cs="Palatino Linotype"/>
        </w:rPr>
      </w:pPr>
    </w:p>
    <w:p w:rsidR="0088522B" w:rsidRPr="001D1C28" w:rsidRDefault="0088522B" w:rsidP="0088522B">
      <w:pPr>
        <w:spacing w:line="360" w:lineRule="auto"/>
        <w:ind w:right="50"/>
        <w:jc w:val="both"/>
        <w:rPr>
          <w:rFonts w:ascii="Palatino Linotype" w:eastAsia="Palatino Linotype" w:hAnsi="Palatino Linotype" w:cs="Palatino Linotype"/>
        </w:rPr>
      </w:pPr>
      <w:r w:rsidRPr="001D1C28">
        <w:rPr>
          <w:rFonts w:ascii="Palatino Linotype" w:eastAsia="Palatino Linotype" w:hAnsi="Palatino Linotype" w:cs="Palatino Linotype"/>
        </w:rPr>
        <w:t>Por lo anterior, el número de cuenta bancaria debe ser clasificado como confidencial con fundamento en las fracciones I y II del artículo 143 de la Ley de la Materia de la Entidad; en razón de que, con su difusión se estaría poniendo en riesgo la seguridad de su titular.</w:t>
      </w:r>
    </w:p>
    <w:p w:rsidR="0088522B" w:rsidRPr="001D1C28" w:rsidRDefault="0088522B" w:rsidP="0088522B">
      <w:pPr>
        <w:spacing w:line="360" w:lineRule="auto"/>
        <w:ind w:right="50"/>
        <w:jc w:val="both"/>
        <w:rPr>
          <w:rFonts w:ascii="Palatino Linotype" w:eastAsia="Palatino Linotype" w:hAnsi="Palatino Linotype" w:cs="Palatino Linotype"/>
        </w:rPr>
      </w:pPr>
    </w:p>
    <w:p w:rsidR="0088522B" w:rsidRPr="001D1C28" w:rsidRDefault="0088522B" w:rsidP="0088522B">
      <w:pPr>
        <w:spacing w:line="360" w:lineRule="auto"/>
        <w:ind w:right="50"/>
        <w:jc w:val="both"/>
        <w:rPr>
          <w:rFonts w:ascii="Palatino Linotype" w:eastAsia="Palatino Linotype" w:hAnsi="Palatino Linotype" w:cs="Palatino Linotype"/>
        </w:rPr>
      </w:pPr>
      <w:r w:rsidRPr="001D1C28">
        <w:rPr>
          <w:rFonts w:ascii="Palatino Linotype" w:eastAsia="Palatino Linotype" w:hAnsi="Palatino Linotype" w:cs="Palatino Linotype"/>
        </w:rPr>
        <w:t xml:space="preserve">Además de que, la publicidad de los números de cuenta bancaria de los particulares en nada contribuye a la rendición de cuentas, sino por el contrario, dar a conocer los números de las cuentas bancarias hace vulnerable a las personas físicas, al abrir la posibilidad de que terceros que cuenten con las posibilidades tecnológicas y/o económicas puedan realizar actos ilícitos mediante operaciones cibernéticas; en esa virtud, este Instituto determina que dicha información no puede ser del dominio público, toda vez que se podría dar un uso inadecuado a la misma o cometer algún ilícito o fraude en contra del patrimonio de los particulares. </w:t>
      </w:r>
    </w:p>
    <w:p w:rsidR="0088522B" w:rsidRPr="001D1C28" w:rsidRDefault="0088522B" w:rsidP="0088522B">
      <w:pPr>
        <w:spacing w:line="360" w:lineRule="auto"/>
        <w:ind w:right="50"/>
        <w:jc w:val="both"/>
        <w:rPr>
          <w:rFonts w:ascii="Palatino Linotype" w:eastAsia="Palatino Linotype" w:hAnsi="Palatino Linotype" w:cs="Palatino Linotype"/>
        </w:rPr>
      </w:pPr>
    </w:p>
    <w:p w:rsidR="0088522B" w:rsidRPr="001D1C28" w:rsidRDefault="0088522B" w:rsidP="0088522B">
      <w:pPr>
        <w:spacing w:line="360" w:lineRule="auto"/>
        <w:ind w:right="50"/>
        <w:jc w:val="both"/>
        <w:rPr>
          <w:rFonts w:ascii="Palatino Linotype" w:eastAsia="Palatino Linotype" w:hAnsi="Palatino Linotype" w:cs="Palatino Linotype"/>
        </w:rPr>
      </w:pPr>
      <w:r w:rsidRPr="001D1C28">
        <w:rPr>
          <w:rFonts w:ascii="Palatino Linotype" w:eastAsia="Palatino Linotype" w:hAnsi="Palatino Linotype" w:cs="Palatino Linotype"/>
        </w:rPr>
        <w:t xml:space="preserve">En esa virtud, este Pleno determina que dicha información no puede ser del dominio público, toda vez que se podría dar un uso inadecuado a la misma o cometer algún ilícito o fraude como ya ha sido expuesto. </w:t>
      </w:r>
    </w:p>
    <w:p w:rsidR="0088522B" w:rsidRPr="001D1C28" w:rsidRDefault="0088522B" w:rsidP="0088522B">
      <w:pPr>
        <w:spacing w:line="360" w:lineRule="auto"/>
        <w:ind w:right="50"/>
        <w:jc w:val="both"/>
        <w:rPr>
          <w:rFonts w:ascii="Palatino Linotype" w:eastAsia="Palatino Linotype" w:hAnsi="Palatino Linotype" w:cs="Palatino Linotype"/>
        </w:rPr>
      </w:pPr>
    </w:p>
    <w:p w:rsidR="0088522B" w:rsidRPr="001D1C28" w:rsidRDefault="0088522B" w:rsidP="0088522B">
      <w:pPr>
        <w:spacing w:line="360" w:lineRule="auto"/>
        <w:ind w:right="50"/>
        <w:jc w:val="both"/>
        <w:rPr>
          <w:rFonts w:ascii="Palatino Linotype" w:eastAsia="Palatino Linotype" w:hAnsi="Palatino Linotype" w:cs="Palatino Linotype"/>
        </w:rPr>
      </w:pPr>
      <w:r w:rsidRPr="001D1C28">
        <w:rPr>
          <w:rFonts w:ascii="Palatino Linotype" w:eastAsia="Palatino Linotype" w:hAnsi="Palatino Linotype" w:cs="Palatino Linotype"/>
        </w:rPr>
        <w:lastRenderedPageBreak/>
        <w:t>Es por esta razón que se debe omitir el o los números de cuentas bancarias de particulares en las versiones públicas, para ser entregadas.</w:t>
      </w:r>
    </w:p>
    <w:p w:rsidR="0088522B" w:rsidRPr="001D1C28" w:rsidRDefault="0088522B" w:rsidP="0088522B">
      <w:pPr>
        <w:spacing w:line="360" w:lineRule="auto"/>
        <w:ind w:right="50"/>
        <w:jc w:val="both"/>
        <w:rPr>
          <w:rFonts w:ascii="Palatino Linotype" w:eastAsia="Palatino Linotype" w:hAnsi="Palatino Linotype" w:cs="Palatino Linotype"/>
        </w:rPr>
      </w:pPr>
    </w:p>
    <w:p w:rsidR="0088522B" w:rsidRPr="001D1C28" w:rsidRDefault="0088522B" w:rsidP="0088522B">
      <w:pPr>
        <w:spacing w:line="360" w:lineRule="auto"/>
        <w:ind w:right="50"/>
        <w:jc w:val="both"/>
        <w:rPr>
          <w:rFonts w:ascii="Palatino Linotype" w:eastAsia="Palatino Linotype" w:hAnsi="Palatino Linotype" w:cs="Palatino Linotype"/>
        </w:rPr>
      </w:pPr>
      <w:r w:rsidRPr="001D1C28">
        <w:rPr>
          <w:rFonts w:ascii="Palatino Linotype" w:eastAsia="Palatino Linotype" w:hAnsi="Palatino Linotype" w:cs="Palatino Linotype"/>
        </w:rPr>
        <w:t>Lo anterior, no es así tratándose de las cuentas bancarias o claves interbancarias de los Sujetos Obligados ya que su publicidad cede a la rendición de cuentas al transparentar la forma en que son administrados los recursos públicos.</w:t>
      </w:r>
    </w:p>
    <w:p w:rsidR="0088522B" w:rsidRPr="001D1C28" w:rsidRDefault="0088522B" w:rsidP="0088522B">
      <w:pPr>
        <w:spacing w:line="360" w:lineRule="auto"/>
        <w:ind w:right="50"/>
        <w:jc w:val="both"/>
        <w:rPr>
          <w:rFonts w:ascii="Palatino Linotype" w:eastAsia="Palatino Linotype" w:hAnsi="Palatino Linotype" w:cs="Palatino Linotype"/>
        </w:rPr>
      </w:pPr>
    </w:p>
    <w:p w:rsidR="0088522B" w:rsidRPr="001D1C28" w:rsidRDefault="0088522B" w:rsidP="0088522B">
      <w:pPr>
        <w:spacing w:line="360" w:lineRule="auto"/>
        <w:ind w:right="50"/>
        <w:jc w:val="both"/>
        <w:rPr>
          <w:rFonts w:ascii="Palatino Linotype" w:eastAsia="Palatino Linotype" w:hAnsi="Palatino Linotype" w:cs="Palatino Linotype"/>
        </w:rPr>
      </w:pPr>
      <w:r w:rsidRPr="001D1C28">
        <w:rPr>
          <w:rFonts w:ascii="Palatino Linotype" w:eastAsia="Palatino Linotype" w:hAnsi="Palatino Linotype" w:cs="Palatino Linotype"/>
        </w:rPr>
        <w:t>Lo argumentado encuentra sustento en los criterios 10/17 y 11/17 emitidos por el Instituto Nacional de Transparencia, Acceso a la Información y Protección de Datos Personales, INAI, que llevan por rubro y texto los siguientes:</w:t>
      </w:r>
    </w:p>
    <w:p w:rsidR="0088522B" w:rsidRPr="001D1C28" w:rsidRDefault="0088522B" w:rsidP="0088522B">
      <w:pPr>
        <w:spacing w:line="360" w:lineRule="auto"/>
        <w:ind w:right="50"/>
        <w:jc w:val="both"/>
        <w:rPr>
          <w:rFonts w:ascii="Palatino Linotype" w:eastAsia="Palatino Linotype" w:hAnsi="Palatino Linotype" w:cs="Palatino Linotype"/>
        </w:rPr>
      </w:pPr>
    </w:p>
    <w:p w:rsidR="0088522B" w:rsidRPr="001D1C28" w:rsidRDefault="0088522B" w:rsidP="0088522B">
      <w:pPr>
        <w:spacing w:after="240" w:line="276" w:lineRule="auto"/>
        <w:ind w:left="851" w:right="900"/>
        <w:jc w:val="both"/>
        <w:rPr>
          <w:rFonts w:ascii="Palatino Linotype" w:eastAsia="Palatino Linotype" w:hAnsi="Palatino Linotype" w:cs="Palatino Linotype"/>
          <w:i/>
        </w:rPr>
      </w:pPr>
      <w:r w:rsidRPr="001D1C28">
        <w:rPr>
          <w:rFonts w:ascii="Palatino Linotype" w:eastAsia="Palatino Linotype" w:hAnsi="Palatino Linotype" w:cs="Palatino Linotype"/>
          <w:b/>
          <w:i/>
        </w:rPr>
        <w:t>“Cuentas bancarias y/o CLABE interbancaria de personas físicas y morales privadas.</w:t>
      </w:r>
      <w:r w:rsidRPr="001D1C28">
        <w:rPr>
          <w:rFonts w:ascii="Palatino Linotype" w:eastAsia="Palatino Linotype" w:hAnsi="Palatino Linotype" w:cs="Palatino Linotype"/>
          <w:i/>
        </w:rPr>
        <w:t>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rsidR="0088522B" w:rsidRPr="001D1C28" w:rsidRDefault="0088522B" w:rsidP="0088522B">
      <w:pPr>
        <w:spacing w:before="240" w:line="276" w:lineRule="auto"/>
        <w:ind w:left="851" w:right="900"/>
        <w:jc w:val="both"/>
        <w:rPr>
          <w:rFonts w:ascii="Palatino Linotype" w:eastAsia="Palatino Linotype" w:hAnsi="Palatino Linotype" w:cs="Palatino Linotype"/>
          <w:i/>
        </w:rPr>
      </w:pPr>
      <w:r w:rsidRPr="001D1C28">
        <w:rPr>
          <w:rFonts w:ascii="Palatino Linotype" w:eastAsia="Palatino Linotype" w:hAnsi="Palatino Linotype" w:cs="Palatino Linotype"/>
          <w:b/>
          <w:i/>
        </w:rPr>
        <w:t>Cuentas bancarias y/o CLABE interbancaria de sujetos obligados que reciben y/o transfieren recursos públicos, son información pública</w:t>
      </w:r>
      <w:r w:rsidRPr="001D1C28">
        <w:rPr>
          <w:rFonts w:ascii="Palatino Linotype" w:eastAsia="Palatino Linotype" w:hAnsi="Palatino Linotype" w:cs="Palatino Linotype"/>
          <w:i/>
        </w:rPr>
        <w:t>. La difusión de las cuentas bancarias y claves interbancarias pertenecientes a un sujeto obligado favorece la rendición de cuentas al transparentar la forma en que se administran los recursos públicos, razón por la cual no pueden considerarse como información clasificada.”</w:t>
      </w:r>
    </w:p>
    <w:p w:rsidR="0088522B" w:rsidRPr="001D1C28" w:rsidRDefault="0088522B" w:rsidP="0088522B">
      <w:pPr>
        <w:spacing w:line="360" w:lineRule="auto"/>
        <w:ind w:left="851" w:right="900"/>
        <w:jc w:val="both"/>
        <w:rPr>
          <w:rFonts w:ascii="Palatino Linotype" w:eastAsia="Palatino Linotype" w:hAnsi="Palatino Linotype" w:cs="Palatino Linotype"/>
          <w:i/>
        </w:rPr>
      </w:pPr>
    </w:p>
    <w:p w:rsidR="0088522B" w:rsidRPr="001D1C28" w:rsidRDefault="0088522B" w:rsidP="0088522B">
      <w:pPr>
        <w:autoSpaceDE w:val="0"/>
        <w:autoSpaceDN w:val="0"/>
        <w:adjustRightInd w:val="0"/>
        <w:spacing w:line="360" w:lineRule="auto"/>
        <w:ind w:right="49"/>
        <w:contextualSpacing/>
        <w:jc w:val="both"/>
        <w:rPr>
          <w:rFonts w:ascii="Palatino Linotype" w:eastAsia="Calibri" w:hAnsi="Palatino Linotype" w:cs="Arial"/>
          <w:lang w:eastAsia="en-US"/>
        </w:rPr>
      </w:pPr>
      <w:r w:rsidRPr="001D1C28">
        <w:rPr>
          <w:rFonts w:ascii="Palatino Linotype" w:eastAsia="Calibri" w:hAnsi="Palatino Linotype" w:cs="Arial"/>
          <w:lang w:eastAsia="en-US"/>
        </w:rPr>
        <w:lastRenderedPageBreak/>
        <w:t xml:space="preserve">El número de empleado de servidores públicos o su equivalente, con independencia del nombre que reciba, constituye un instrumento de control interno que permite a las dependencias y entidades identificar a sus trabajadores y a estos les facilita la realización de gestiones en su carácter de empleado. </w:t>
      </w:r>
    </w:p>
    <w:p w:rsidR="0088522B" w:rsidRPr="001D1C28" w:rsidRDefault="0088522B" w:rsidP="0088522B">
      <w:pPr>
        <w:autoSpaceDE w:val="0"/>
        <w:autoSpaceDN w:val="0"/>
        <w:adjustRightInd w:val="0"/>
        <w:spacing w:line="360" w:lineRule="auto"/>
        <w:ind w:right="49"/>
        <w:contextualSpacing/>
        <w:jc w:val="both"/>
        <w:rPr>
          <w:rFonts w:ascii="Palatino Linotype" w:eastAsia="Calibri" w:hAnsi="Palatino Linotype" w:cs="Arial"/>
          <w:lang w:eastAsia="en-US"/>
        </w:rPr>
      </w:pPr>
    </w:p>
    <w:p w:rsidR="0088522B" w:rsidRPr="001D1C28" w:rsidRDefault="0088522B" w:rsidP="0088522B">
      <w:pPr>
        <w:autoSpaceDE w:val="0"/>
        <w:autoSpaceDN w:val="0"/>
        <w:adjustRightInd w:val="0"/>
        <w:spacing w:line="360" w:lineRule="auto"/>
        <w:ind w:right="49"/>
        <w:contextualSpacing/>
        <w:jc w:val="both"/>
        <w:rPr>
          <w:rFonts w:ascii="Palatino Linotype" w:eastAsia="Calibri" w:hAnsi="Palatino Linotype" w:cs="Arial"/>
          <w:lang w:eastAsia="en-US"/>
        </w:rPr>
      </w:pPr>
      <w:r w:rsidRPr="001D1C28">
        <w:rPr>
          <w:rFonts w:ascii="Palatino Linotype" w:eastAsia="Calibri" w:hAnsi="Palatino Linotype" w:cs="Arial"/>
          <w:lang w:eastAsia="en-US"/>
        </w:rPr>
        <w:t xml:space="preserve">En ese sentido, cuando el número de empleado se integre de datos personales de los trabajadores, procede su clasificación en términos de lo previsto en el artículo 143, fracción I de la Ley de Transparencia y Acceso a la Información Pública del Estado de México y Municipios; sin embargo, cuando dicho dato se conforma de dígitos, letras o símbolos que no revelan datos personales, no reviste el carácter de confidencial, al no dar por sí solo acceso a datos personales. </w:t>
      </w:r>
    </w:p>
    <w:p w:rsidR="0088522B" w:rsidRPr="001D1C28" w:rsidRDefault="0088522B" w:rsidP="0088522B">
      <w:pPr>
        <w:autoSpaceDE w:val="0"/>
        <w:autoSpaceDN w:val="0"/>
        <w:adjustRightInd w:val="0"/>
        <w:spacing w:line="360" w:lineRule="auto"/>
        <w:ind w:right="49"/>
        <w:contextualSpacing/>
        <w:jc w:val="both"/>
        <w:rPr>
          <w:rFonts w:ascii="Palatino Linotype" w:eastAsia="Calibri" w:hAnsi="Palatino Linotype" w:cs="Arial"/>
          <w:lang w:eastAsia="en-US"/>
        </w:rPr>
      </w:pPr>
    </w:p>
    <w:p w:rsidR="0088522B" w:rsidRPr="001D1C28" w:rsidRDefault="0088522B" w:rsidP="0088522B">
      <w:pPr>
        <w:autoSpaceDE w:val="0"/>
        <w:autoSpaceDN w:val="0"/>
        <w:adjustRightInd w:val="0"/>
        <w:spacing w:line="360" w:lineRule="auto"/>
        <w:ind w:right="49"/>
        <w:contextualSpacing/>
        <w:jc w:val="both"/>
        <w:rPr>
          <w:rFonts w:ascii="Palatino Linotype" w:eastAsia="Calibri" w:hAnsi="Palatino Linotype" w:cs="Arial"/>
          <w:lang w:eastAsia="en-US"/>
        </w:rPr>
      </w:pPr>
      <w:r w:rsidRPr="001D1C28">
        <w:rPr>
          <w:rFonts w:ascii="Palatino Linotype" w:eastAsia="Calibri" w:hAnsi="Palatino Linotype" w:cs="Arial"/>
          <w:lang w:eastAsia="en-US"/>
        </w:rPr>
        <w:t xml:space="preserve">Lo anterior, toma sustento en el Criterio 06/19, emitido por el Instituto Nacional de Transparencia, Acceso a la Información y Protección de Datos Personales, que establece lo siguiente: </w:t>
      </w:r>
    </w:p>
    <w:p w:rsidR="0088522B" w:rsidRPr="001D1C28" w:rsidRDefault="0088522B" w:rsidP="0088522B">
      <w:pPr>
        <w:spacing w:before="240" w:after="160" w:line="360" w:lineRule="auto"/>
        <w:ind w:left="851" w:right="851"/>
        <w:jc w:val="both"/>
        <w:rPr>
          <w:rFonts w:ascii="Palatino Linotype" w:eastAsia="Calibri" w:hAnsi="Palatino Linotype" w:cs="Arial"/>
          <w:i/>
          <w:sz w:val="22"/>
          <w:szCs w:val="22"/>
          <w:lang w:val="es-MX" w:eastAsia="en-US"/>
        </w:rPr>
      </w:pPr>
      <w:r w:rsidRPr="001D1C28">
        <w:rPr>
          <w:rFonts w:ascii="Palatino Linotype" w:eastAsia="Calibri" w:hAnsi="Palatino Linotype" w:cs="Arial"/>
          <w:i/>
          <w:sz w:val="22"/>
          <w:szCs w:val="22"/>
          <w:lang w:val="es-MX" w:eastAsia="en-US"/>
        </w:rPr>
        <w:t>“</w:t>
      </w:r>
      <w:r w:rsidRPr="001D1C28">
        <w:rPr>
          <w:rFonts w:ascii="Palatino Linotype" w:eastAsia="Calibri" w:hAnsi="Palatino Linotype" w:cs="Arial"/>
          <w:b/>
          <w:i/>
          <w:sz w:val="22"/>
          <w:szCs w:val="22"/>
          <w:lang w:val="es-MX" w:eastAsia="en-US"/>
        </w:rPr>
        <w:t>Número de empleado.</w:t>
      </w:r>
      <w:r w:rsidRPr="001D1C28">
        <w:rPr>
          <w:rFonts w:ascii="Palatino Linotype" w:eastAsia="Calibri" w:hAnsi="Palatino Linotype" w:cs="Arial"/>
          <w:i/>
          <w:sz w:val="22"/>
          <w:szCs w:val="22"/>
          <w:lang w:val="es-MX" w:eastAsia="en-US"/>
        </w:rPr>
        <w:t xml:space="preserve"> Cuando el número de empleado o su equivalente, se integra con datos personales de los trabajadores o funciona como una clave de acceso que no requiere adicionalmente de una contraseña para ingresar a sistemas o bases de datos personales, procede su clasificación como información confidencial.” </w:t>
      </w:r>
    </w:p>
    <w:p w:rsidR="0088522B" w:rsidRPr="001D1C28" w:rsidRDefault="0088522B" w:rsidP="0088522B">
      <w:pPr>
        <w:autoSpaceDE w:val="0"/>
        <w:autoSpaceDN w:val="0"/>
        <w:adjustRightInd w:val="0"/>
        <w:spacing w:line="360" w:lineRule="auto"/>
        <w:ind w:right="49"/>
        <w:contextualSpacing/>
        <w:jc w:val="both"/>
        <w:rPr>
          <w:rFonts w:ascii="Palatino Linotype" w:eastAsia="Calibri" w:hAnsi="Palatino Linotype" w:cs="Arial"/>
          <w:lang w:eastAsia="en-US"/>
        </w:rPr>
      </w:pPr>
    </w:p>
    <w:p w:rsidR="0088522B" w:rsidRPr="001D1C28" w:rsidRDefault="0088522B" w:rsidP="0088522B">
      <w:pPr>
        <w:autoSpaceDE w:val="0"/>
        <w:autoSpaceDN w:val="0"/>
        <w:adjustRightInd w:val="0"/>
        <w:spacing w:line="360" w:lineRule="auto"/>
        <w:ind w:right="49"/>
        <w:contextualSpacing/>
        <w:jc w:val="both"/>
        <w:rPr>
          <w:rFonts w:ascii="Palatino Linotype" w:eastAsia="Calibri" w:hAnsi="Palatino Linotype" w:cs="Arial"/>
          <w:lang w:val="es-MX" w:eastAsia="en-US"/>
        </w:rPr>
      </w:pPr>
      <w:r w:rsidRPr="001D1C28">
        <w:rPr>
          <w:rFonts w:ascii="Palatino Linotype" w:eastAsia="Calibri" w:hAnsi="Palatino Linotype" w:cs="Arial"/>
          <w:lang w:eastAsia="en-US"/>
        </w:rPr>
        <w:t>Así, se colige que solamente procederá la clasificación del número de empleado, cuando se integre con datos personales de los servidores públicos o funcione como clave de acceso que no requiera una contraseña para ingresar a sistemas o bases de datos.</w:t>
      </w:r>
    </w:p>
    <w:p w:rsidR="0088522B" w:rsidRPr="001D1C28" w:rsidRDefault="0088522B" w:rsidP="0088522B">
      <w:pPr>
        <w:autoSpaceDE w:val="0"/>
        <w:autoSpaceDN w:val="0"/>
        <w:adjustRightInd w:val="0"/>
        <w:spacing w:line="360" w:lineRule="auto"/>
        <w:ind w:right="49"/>
        <w:contextualSpacing/>
        <w:jc w:val="both"/>
        <w:rPr>
          <w:rFonts w:ascii="Palatino Linotype" w:eastAsia="Calibri" w:hAnsi="Palatino Linotype" w:cs="Arial"/>
          <w:lang w:val="es-MX" w:eastAsia="en-US"/>
        </w:rPr>
      </w:pPr>
    </w:p>
    <w:p w:rsidR="0088522B" w:rsidRPr="001D1C28" w:rsidRDefault="0088522B" w:rsidP="0088522B">
      <w:pPr>
        <w:autoSpaceDE w:val="0"/>
        <w:autoSpaceDN w:val="0"/>
        <w:adjustRightInd w:val="0"/>
        <w:spacing w:line="360" w:lineRule="auto"/>
        <w:ind w:right="49"/>
        <w:contextualSpacing/>
        <w:jc w:val="both"/>
        <w:rPr>
          <w:rFonts w:ascii="Palatino Linotype" w:eastAsia="Calibri" w:hAnsi="Palatino Linotype" w:cs="Arial"/>
          <w:lang w:val="es-MX" w:eastAsia="en-US"/>
        </w:rPr>
      </w:pPr>
      <w:r w:rsidRPr="001D1C28">
        <w:rPr>
          <w:rFonts w:ascii="Palatino Linotype" w:eastAsia="Calibri" w:hAnsi="Palatino Linotype" w:cs="Arial"/>
          <w:lang w:eastAsia="en-US"/>
        </w:rPr>
        <w:t>En ese contexto, se logra vislumbrar que el número de empleado únicamente se conforma por dígitos numéricos, por lo que, no da acceso a datos personales, ni refleja estos, lo cual da como resultado que no resulte procedente su clasificación, en términos del artículo 143, fracción I, de la Ley de Transparencia y Acceso a la Información Pública del Estado de México y Municipios.</w:t>
      </w:r>
    </w:p>
    <w:p w:rsidR="0088522B" w:rsidRPr="001D1C28" w:rsidRDefault="0088522B" w:rsidP="0088522B">
      <w:pPr>
        <w:spacing w:line="360" w:lineRule="auto"/>
        <w:jc w:val="both"/>
        <w:rPr>
          <w:rFonts w:ascii="Palatino Linotype" w:hAnsi="Palatino Linotype" w:cs="Arial"/>
        </w:rPr>
      </w:pPr>
    </w:p>
    <w:p w:rsidR="0088522B" w:rsidRPr="001D1C28" w:rsidRDefault="0088522B" w:rsidP="0088522B">
      <w:pPr>
        <w:spacing w:line="360" w:lineRule="auto"/>
        <w:jc w:val="both"/>
        <w:rPr>
          <w:rFonts w:ascii="Palatino Linotype" w:hAnsi="Palatino Linotype" w:cs="Arial"/>
        </w:rPr>
      </w:pPr>
      <w:r w:rsidRPr="001D1C28">
        <w:rPr>
          <w:rFonts w:ascii="Palatino Linotype" w:hAnsi="Palatino Linotype" w:cs="Arial"/>
        </w:rPr>
        <w:t>Por ende, en el presente caso el Sujeto Obligado debe atender las disposiciones en materia de protección de datos, a fin de salvaguardar los datos de particulares testando estos y emitir el debido Acuerdo que sustente la versión pública que se genere, ya que la clasificación de la información no se da por el simple mandato de la Ley, sino que es necesario que el Sujeto Obligado cuando clasifique un documento, ya sea en todo o en parte, debe atender lo dispuesto por la Ley de la materia, siendo que dicha clasificación es un trabajo en conjunto tanto de los Servidores Públicos Habilitados, de las Unidades de Transparencia y del Comité de Transparencia del Sujeto Obligado, teniendo el deber los primeros, de presentar ante la Unidad de Transparencia la propuesta de clasificación de la información, para que luego ésta se presente ante el Comité de Transparencia de así resultar procedente el proyecto de clasificación de la información y finalmente sea éste último quien apruebe, modifique o revoque la clasificación de la información solicitada.</w:t>
      </w:r>
    </w:p>
    <w:p w:rsidR="0088522B" w:rsidRPr="001D1C28" w:rsidRDefault="0088522B" w:rsidP="0088522B">
      <w:pPr>
        <w:spacing w:line="360" w:lineRule="auto"/>
        <w:jc w:val="both"/>
        <w:rPr>
          <w:rFonts w:ascii="Palatino Linotype" w:hAnsi="Palatino Linotype" w:cs="Arial"/>
        </w:rPr>
      </w:pPr>
    </w:p>
    <w:p w:rsidR="0088522B" w:rsidRPr="001D1C28" w:rsidRDefault="0088522B" w:rsidP="0088522B">
      <w:pPr>
        <w:spacing w:line="360" w:lineRule="auto"/>
        <w:jc w:val="both"/>
        <w:rPr>
          <w:rFonts w:ascii="Palatino Linotype" w:hAnsi="Palatino Linotype" w:cs="Arial"/>
        </w:rPr>
      </w:pPr>
      <w:r w:rsidRPr="001D1C28">
        <w:rPr>
          <w:rFonts w:ascii="Palatino Linotype" w:hAnsi="Palatino Linotype" w:cs="Arial"/>
        </w:rPr>
        <w:t xml:space="preserve">Así, es que el Sujeto Obligado deberá cumplir con todos y cada uno de los requisitos señalados en la Ley de Protección de Datos Personales en Posesión de Sujetos Obligados del Estado de México y Municipios, en la Ley de Transparencia y Acceso a la Información Pública del Estado de México y Municipios, y con los Lineamientos </w:t>
      </w:r>
      <w:r w:rsidRPr="001D1C28">
        <w:rPr>
          <w:rFonts w:ascii="Palatino Linotype" w:hAnsi="Palatino Linotype" w:cs="Arial"/>
        </w:rPr>
        <w:lastRenderedPageBreak/>
        <w:t>Generales en Materia de Clasificación y Desclasificación de la información, así como para la elaboración de Versiones Públicas; máxime que de conformidad con lo establecido en las Leyes y Lineamientos citados, para fundar la clasificación de la información se debe señalar el artículo, fracción, inciso, párrafo o numeral de la Ley que expresamente le otorga el carácter de confidencial.</w:t>
      </w:r>
    </w:p>
    <w:p w:rsidR="0088522B" w:rsidRPr="001D1C28" w:rsidRDefault="0088522B" w:rsidP="0088522B">
      <w:pPr>
        <w:spacing w:line="360" w:lineRule="auto"/>
        <w:jc w:val="both"/>
        <w:rPr>
          <w:rFonts w:ascii="Palatino Linotype" w:hAnsi="Palatino Linotype" w:cs="Arial"/>
        </w:rPr>
      </w:pPr>
    </w:p>
    <w:p w:rsidR="0088522B" w:rsidRPr="001D1C28" w:rsidRDefault="0088522B" w:rsidP="0088522B">
      <w:pPr>
        <w:spacing w:line="360" w:lineRule="auto"/>
        <w:jc w:val="both"/>
        <w:rPr>
          <w:rFonts w:ascii="Palatino Linotype" w:hAnsi="Palatino Linotype" w:cs="Arial"/>
        </w:rPr>
      </w:pPr>
      <w:r w:rsidRPr="001D1C28">
        <w:rPr>
          <w:rFonts w:ascii="Palatino Linotype" w:hAnsi="Palatino Linotype" w:cs="Arial"/>
        </w:rPr>
        <w:t>Ello, sin pasar por alto que la clasificación respectiva tiene que cumplirse mediante las formalidades impuestas por la ley; es decir, mediante Acuerdo debidamente fundado y motivado, en términos de los numerales 49, fracción VIII, y 132, fracciones I, II y III, de la Ley de Transparencia y Acceso a la Información Pública del Estado de México y Municipios en vigor, así como los numerales Segundo, fracción XVIII, y del Cuarto al Décimo Primero de los Lineamientos Generales en materia de Clasificación y Desclasificación de la Información, así como para la elaboración de Versiones Públicas, que literalmente expresan:</w:t>
      </w:r>
    </w:p>
    <w:p w:rsidR="0088522B" w:rsidRPr="001D1C28" w:rsidRDefault="0088522B" w:rsidP="0088522B">
      <w:pPr>
        <w:spacing w:line="360" w:lineRule="auto"/>
        <w:jc w:val="both"/>
        <w:rPr>
          <w:rFonts w:ascii="Palatino Linotype" w:hAnsi="Palatino Linotype" w:cs="Arial"/>
        </w:rPr>
      </w:pPr>
    </w:p>
    <w:p w:rsidR="0088522B" w:rsidRPr="001D1C28" w:rsidRDefault="0088522B" w:rsidP="0088522B">
      <w:pPr>
        <w:spacing w:line="276" w:lineRule="auto"/>
        <w:ind w:left="567" w:right="567"/>
        <w:jc w:val="both"/>
        <w:rPr>
          <w:rFonts w:ascii="Palatino Linotype" w:hAnsi="Palatino Linotype" w:cs="Arial"/>
          <w:i/>
        </w:rPr>
      </w:pPr>
      <w:r w:rsidRPr="001D1C28">
        <w:rPr>
          <w:rFonts w:ascii="Palatino Linotype" w:hAnsi="Palatino Linotype" w:cs="Arial"/>
          <w:i/>
        </w:rPr>
        <w:t>“</w:t>
      </w:r>
      <w:r w:rsidRPr="001D1C28">
        <w:rPr>
          <w:rFonts w:ascii="Palatino Linotype" w:hAnsi="Palatino Linotype" w:cs="Arial"/>
          <w:b/>
          <w:i/>
        </w:rPr>
        <w:t>Artículo 49.</w:t>
      </w:r>
      <w:r w:rsidRPr="001D1C28">
        <w:rPr>
          <w:rFonts w:ascii="Palatino Linotype" w:hAnsi="Palatino Linotype" w:cs="Arial"/>
          <w:i/>
        </w:rPr>
        <w:t xml:space="preserve"> Los Comités de Transparencia tendrán las siguientes atribuciones:</w:t>
      </w:r>
    </w:p>
    <w:p w:rsidR="0088522B" w:rsidRPr="001D1C28" w:rsidRDefault="0088522B" w:rsidP="0088522B">
      <w:pPr>
        <w:spacing w:line="276" w:lineRule="auto"/>
        <w:ind w:left="567" w:right="567"/>
        <w:jc w:val="both"/>
        <w:rPr>
          <w:rFonts w:ascii="Palatino Linotype" w:hAnsi="Palatino Linotype" w:cs="Arial"/>
          <w:i/>
        </w:rPr>
      </w:pPr>
      <w:r w:rsidRPr="001D1C28">
        <w:rPr>
          <w:rFonts w:ascii="Palatino Linotype" w:hAnsi="Palatino Linotype" w:cs="Arial"/>
          <w:i/>
        </w:rPr>
        <w:t>…</w:t>
      </w:r>
    </w:p>
    <w:p w:rsidR="0088522B" w:rsidRPr="001D1C28" w:rsidRDefault="0088522B" w:rsidP="0088522B">
      <w:pPr>
        <w:spacing w:line="276" w:lineRule="auto"/>
        <w:ind w:left="567" w:right="567"/>
        <w:jc w:val="both"/>
        <w:rPr>
          <w:rFonts w:ascii="Palatino Linotype" w:hAnsi="Palatino Linotype" w:cs="Arial"/>
          <w:i/>
        </w:rPr>
      </w:pPr>
      <w:r w:rsidRPr="001D1C28">
        <w:rPr>
          <w:rFonts w:ascii="Palatino Linotype" w:hAnsi="Palatino Linotype" w:cs="Arial"/>
          <w:b/>
          <w:i/>
        </w:rPr>
        <w:t>VIII</w:t>
      </w:r>
      <w:r w:rsidRPr="001D1C28">
        <w:rPr>
          <w:rFonts w:ascii="Palatino Linotype" w:hAnsi="Palatino Linotype" w:cs="Arial"/>
          <w:i/>
        </w:rPr>
        <w:t>. Aprobar, modificar o revocar la clasificación de la información;</w:t>
      </w:r>
    </w:p>
    <w:p w:rsidR="0088522B" w:rsidRPr="001D1C28" w:rsidRDefault="0088522B" w:rsidP="0088522B">
      <w:pPr>
        <w:spacing w:line="276" w:lineRule="auto"/>
        <w:ind w:left="567" w:right="567"/>
        <w:jc w:val="both"/>
        <w:rPr>
          <w:rFonts w:ascii="Palatino Linotype" w:hAnsi="Palatino Linotype" w:cs="Arial"/>
          <w:i/>
        </w:rPr>
      </w:pPr>
      <w:r w:rsidRPr="001D1C28">
        <w:rPr>
          <w:rFonts w:ascii="Palatino Linotype" w:hAnsi="Palatino Linotype" w:cs="Arial"/>
          <w:b/>
          <w:i/>
        </w:rPr>
        <w:t>Artículo 132.</w:t>
      </w:r>
      <w:r w:rsidRPr="001D1C28">
        <w:rPr>
          <w:rFonts w:ascii="Palatino Linotype" w:hAnsi="Palatino Linotype" w:cs="Arial"/>
          <w:i/>
        </w:rPr>
        <w:t xml:space="preserve"> La clasificación de la información se llevará a cabo en el momento en que:</w:t>
      </w:r>
    </w:p>
    <w:p w:rsidR="0088522B" w:rsidRPr="001D1C28" w:rsidRDefault="0088522B" w:rsidP="0088522B">
      <w:pPr>
        <w:spacing w:line="276" w:lineRule="auto"/>
        <w:ind w:left="567" w:right="567"/>
        <w:jc w:val="both"/>
        <w:rPr>
          <w:rFonts w:ascii="Palatino Linotype" w:hAnsi="Palatino Linotype" w:cs="Arial"/>
          <w:i/>
        </w:rPr>
      </w:pPr>
      <w:r w:rsidRPr="001D1C28">
        <w:rPr>
          <w:rFonts w:ascii="Palatino Linotype" w:hAnsi="Palatino Linotype" w:cs="Arial"/>
          <w:i/>
        </w:rPr>
        <w:t>I. Se reciba una solicitud de acceso a la información;</w:t>
      </w:r>
    </w:p>
    <w:p w:rsidR="0088522B" w:rsidRPr="001D1C28" w:rsidRDefault="0088522B" w:rsidP="0088522B">
      <w:pPr>
        <w:spacing w:line="276" w:lineRule="auto"/>
        <w:ind w:left="567" w:right="567"/>
        <w:jc w:val="both"/>
        <w:rPr>
          <w:rFonts w:ascii="Palatino Linotype" w:hAnsi="Palatino Linotype" w:cs="Arial"/>
          <w:i/>
        </w:rPr>
      </w:pPr>
      <w:r w:rsidRPr="001D1C28">
        <w:rPr>
          <w:rFonts w:ascii="Palatino Linotype" w:hAnsi="Palatino Linotype" w:cs="Arial"/>
          <w:i/>
        </w:rPr>
        <w:t>II. Se determine mediante resolución de autoridad competente; o</w:t>
      </w:r>
    </w:p>
    <w:p w:rsidR="0088522B" w:rsidRPr="001D1C28" w:rsidRDefault="0088522B" w:rsidP="0088522B">
      <w:pPr>
        <w:spacing w:line="276" w:lineRule="auto"/>
        <w:ind w:left="567" w:right="567"/>
        <w:jc w:val="both"/>
        <w:rPr>
          <w:rFonts w:ascii="Palatino Linotype" w:hAnsi="Palatino Linotype" w:cs="Arial"/>
          <w:i/>
        </w:rPr>
      </w:pPr>
      <w:r w:rsidRPr="001D1C28">
        <w:rPr>
          <w:rFonts w:ascii="Palatino Linotype" w:hAnsi="Palatino Linotype" w:cs="Arial"/>
          <w:i/>
        </w:rPr>
        <w:t>III. Se generen versiones públicas para dar cumplimiento a las obligaciones de transparencia previstas en esta Ley.”</w:t>
      </w:r>
    </w:p>
    <w:p w:rsidR="0088522B" w:rsidRPr="001D1C28" w:rsidRDefault="0088522B" w:rsidP="0088522B">
      <w:pPr>
        <w:spacing w:line="276" w:lineRule="auto"/>
        <w:ind w:left="567" w:right="567"/>
        <w:jc w:val="both"/>
        <w:rPr>
          <w:rFonts w:ascii="Palatino Linotype" w:hAnsi="Palatino Linotype" w:cs="Arial"/>
          <w:i/>
        </w:rPr>
      </w:pPr>
      <w:r w:rsidRPr="001D1C28">
        <w:rPr>
          <w:rFonts w:ascii="Palatino Linotype" w:hAnsi="Palatino Linotype" w:cs="Arial"/>
          <w:i/>
        </w:rPr>
        <w:t>“</w:t>
      </w:r>
      <w:r w:rsidRPr="001D1C28">
        <w:rPr>
          <w:rFonts w:ascii="Palatino Linotype" w:hAnsi="Palatino Linotype" w:cs="Arial"/>
          <w:b/>
          <w:i/>
        </w:rPr>
        <w:t>Segundo</w:t>
      </w:r>
      <w:r w:rsidRPr="001D1C28">
        <w:rPr>
          <w:rFonts w:ascii="Palatino Linotype" w:hAnsi="Palatino Linotype" w:cs="Arial"/>
          <w:i/>
        </w:rPr>
        <w:t>.- Para efectos de los presentes Lineamientos Generales, se entenderá por:</w:t>
      </w:r>
    </w:p>
    <w:p w:rsidR="0088522B" w:rsidRPr="001D1C28" w:rsidRDefault="0088522B" w:rsidP="0088522B">
      <w:pPr>
        <w:spacing w:line="276" w:lineRule="auto"/>
        <w:ind w:left="567" w:right="567"/>
        <w:jc w:val="both"/>
        <w:rPr>
          <w:rFonts w:ascii="Palatino Linotype" w:hAnsi="Palatino Linotype" w:cs="Arial"/>
          <w:i/>
        </w:rPr>
      </w:pPr>
      <w:r w:rsidRPr="001D1C28">
        <w:rPr>
          <w:rFonts w:ascii="Palatino Linotype" w:hAnsi="Palatino Linotype" w:cs="Arial"/>
          <w:i/>
        </w:rPr>
        <w:t>…</w:t>
      </w:r>
    </w:p>
    <w:p w:rsidR="0088522B" w:rsidRPr="001D1C28" w:rsidRDefault="0088522B" w:rsidP="0088522B">
      <w:pPr>
        <w:spacing w:line="276" w:lineRule="auto"/>
        <w:ind w:left="567" w:right="567"/>
        <w:jc w:val="both"/>
        <w:rPr>
          <w:rFonts w:ascii="Palatino Linotype" w:hAnsi="Palatino Linotype" w:cs="Arial"/>
          <w:i/>
        </w:rPr>
      </w:pPr>
      <w:r w:rsidRPr="001D1C28">
        <w:rPr>
          <w:rFonts w:ascii="Palatino Linotype" w:hAnsi="Palatino Linotype" w:cs="Arial"/>
          <w:b/>
          <w:i/>
        </w:rPr>
        <w:t>XVIII</w:t>
      </w:r>
      <w:r w:rsidRPr="001D1C28">
        <w:rPr>
          <w:rFonts w:ascii="Palatino Linotype" w:hAnsi="Palatino Linotype" w:cs="Arial"/>
          <w:i/>
        </w:rPr>
        <w:t xml:space="preserve">. Versión pública: El documento a partir del que se otorga acceso a la información, en el que se testan partes o secciones clasificadas, indicando el </w:t>
      </w:r>
      <w:r w:rsidRPr="001D1C28">
        <w:rPr>
          <w:rFonts w:ascii="Palatino Linotype" w:hAnsi="Palatino Linotype" w:cs="Arial"/>
          <w:i/>
        </w:rPr>
        <w:lastRenderedPageBreak/>
        <w:t>contenido de éstas de manera genérica, fundando y motivando la reserva o confidencialidad, a través de la resolución que para tal efecto emita el Comité de Transparencia.</w:t>
      </w:r>
    </w:p>
    <w:p w:rsidR="0088522B" w:rsidRPr="001D1C28" w:rsidRDefault="0088522B" w:rsidP="0088522B">
      <w:pPr>
        <w:spacing w:line="276" w:lineRule="auto"/>
        <w:ind w:left="567" w:right="567"/>
        <w:jc w:val="both"/>
        <w:rPr>
          <w:rFonts w:ascii="Palatino Linotype" w:hAnsi="Palatino Linotype" w:cs="Arial"/>
          <w:i/>
        </w:rPr>
      </w:pPr>
      <w:r w:rsidRPr="001D1C28">
        <w:rPr>
          <w:rFonts w:ascii="Palatino Linotype" w:hAnsi="Palatino Linotype" w:cs="Arial"/>
          <w:b/>
          <w:i/>
        </w:rPr>
        <w:t>Cuarto</w:t>
      </w:r>
      <w:r w:rsidRPr="001D1C28">
        <w:rPr>
          <w:rFonts w:ascii="Palatino Linotype" w:hAnsi="Palatino Linotype" w:cs="Arial"/>
          <w:i/>
        </w:rPr>
        <w:t>.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rsidR="0088522B" w:rsidRPr="001D1C28" w:rsidRDefault="0088522B" w:rsidP="0088522B">
      <w:pPr>
        <w:spacing w:line="276" w:lineRule="auto"/>
        <w:ind w:left="567" w:right="567"/>
        <w:jc w:val="both"/>
        <w:rPr>
          <w:rFonts w:ascii="Palatino Linotype" w:hAnsi="Palatino Linotype" w:cs="Arial"/>
          <w:i/>
        </w:rPr>
      </w:pPr>
      <w:r w:rsidRPr="001D1C28">
        <w:rPr>
          <w:rFonts w:ascii="Palatino Linotype" w:hAnsi="Palatino Linotype" w:cs="Arial"/>
          <w:i/>
        </w:rPr>
        <w:t>Los Sujetos Obligados deberán aplicar, de manera estricta, las excepciones al derecho de acceso a la información y sólo podrán invocarlas cuando acrediten su procedencia.</w:t>
      </w:r>
    </w:p>
    <w:p w:rsidR="0088522B" w:rsidRPr="001D1C28" w:rsidRDefault="0088522B" w:rsidP="0088522B">
      <w:pPr>
        <w:spacing w:line="276" w:lineRule="auto"/>
        <w:ind w:left="567" w:right="567"/>
        <w:jc w:val="both"/>
        <w:rPr>
          <w:rFonts w:ascii="Palatino Linotype" w:hAnsi="Palatino Linotype" w:cs="Arial"/>
          <w:i/>
        </w:rPr>
      </w:pPr>
    </w:p>
    <w:p w:rsidR="0088522B" w:rsidRPr="001D1C28" w:rsidRDefault="0088522B" w:rsidP="0088522B">
      <w:pPr>
        <w:spacing w:line="276" w:lineRule="auto"/>
        <w:ind w:left="567" w:right="567"/>
        <w:jc w:val="both"/>
        <w:rPr>
          <w:rFonts w:ascii="Palatino Linotype" w:hAnsi="Palatino Linotype" w:cs="Arial"/>
          <w:i/>
        </w:rPr>
      </w:pPr>
      <w:r w:rsidRPr="001D1C28">
        <w:rPr>
          <w:rFonts w:ascii="Palatino Linotype" w:hAnsi="Palatino Linotype" w:cs="Arial"/>
          <w:b/>
          <w:i/>
        </w:rPr>
        <w:t>Quinto</w:t>
      </w:r>
      <w:r w:rsidRPr="001D1C28">
        <w:rPr>
          <w:rFonts w:ascii="Palatino Linotype" w:hAnsi="Palatino Linotype" w:cs="Arial"/>
          <w:i/>
        </w:rPr>
        <w:t>.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rsidR="0088522B" w:rsidRPr="001D1C28" w:rsidRDefault="0088522B" w:rsidP="0088522B">
      <w:pPr>
        <w:spacing w:line="276" w:lineRule="auto"/>
        <w:ind w:left="567" w:right="567"/>
        <w:jc w:val="both"/>
        <w:rPr>
          <w:rFonts w:ascii="Palatino Linotype" w:hAnsi="Palatino Linotype" w:cs="Arial"/>
          <w:i/>
        </w:rPr>
      </w:pPr>
    </w:p>
    <w:p w:rsidR="0088522B" w:rsidRPr="001D1C28" w:rsidRDefault="0088522B" w:rsidP="0088522B">
      <w:pPr>
        <w:spacing w:line="276" w:lineRule="auto"/>
        <w:ind w:left="567" w:right="567"/>
        <w:jc w:val="both"/>
        <w:rPr>
          <w:rFonts w:ascii="Palatino Linotype" w:hAnsi="Palatino Linotype" w:cs="Arial"/>
          <w:i/>
        </w:rPr>
      </w:pPr>
      <w:r w:rsidRPr="001D1C28">
        <w:rPr>
          <w:rFonts w:ascii="Palatino Linotype" w:hAnsi="Palatino Linotype" w:cs="Arial"/>
          <w:b/>
          <w:i/>
        </w:rPr>
        <w:t>Sexto</w:t>
      </w:r>
      <w:r w:rsidRPr="001D1C28">
        <w:rPr>
          <w:rFonts w:ascii="Palatino Linotype" w:hAnsi="Palatino Linotype" w:cs="Arial"/>
          <w:i/>
        </w:rPr>
        <w:t>. Los Sujetos Obligados no podrán emitir acuerdos de carácter general ni particular que clasifiquen documentos o expedientes como reservados, ni clasificar documentos antes de que se genere la información o cuando éstos no obren en sus archivos.</w:t>
      </w:r>
    </w:p>
    <w:p w:rsidR="0088522B" w:rsidRPr="001D1C28" w:rsidRDefault="0088522B" w:rsidP="0088522B">
      <w:pPr>
        <w:spacing w:line="276" w:lineRule="auto"/>
        <w:ind w:left="567" w:right="567"/>
        <w:jc w:val="both"/>
        <w:rPr>
          <w:rFonts w:ascii="Palatino Linotype" w:hAnsi="Palatino Linotype" w:cs="Arial"/>
          <w:i/>
        </w:rPr>
      </w:pPr>
      <w:r w:rsidRPr="001D1C28">
        <w:rPr>
          <w:rFonts w:ascii="Palatino Linotype" w:hAnsi="Palatino Linotype" w:cs="Arial"/>
          <w:i/>
        </w:rPr>
        <w:t>La clasificación de información se realizará conforme a un análisis caso por caso, mediante la aplicación de la prueba de daño y de interés público.</w:t>
      </w:r>
    </w:p>
    <w:p w:rsidR="0088522B" w:rsidRPr="001D1C28" w:rsidRDefault="0088522B" w:rsidP="0088522B">
      <w:pPr>
        <w:spacing w:line="276" w:lineRule="auto"/>
        <w:ind w:left="567" w:right="567"/>
        <w:jc w:val="both"/>
        <w:rPr>
          <w:rFonts w:ascii="Palatino Linotype" w:hAnsi="Palatino Linotype" w:cs="Arial"/>
          <w:i/>
        </w:rPr>
      </w:pPr>
    </w:p>
    <w:p w:rsidR="0088522B" w:rsidRPr="001D1C28" w:rsidRDefault="0088522B" w:rsidP="0088522B">
      <w:pPr>
        <w:spacing w:line="276" w:lineRule="auto"/>
        <w:ind w:left="567" w:right="567"/>
        <w:jc w:val="both"/>
        <w:rPr>
          <w:rFonts w:ascii="Palatino Linotype" w:hAnsi="Palatino Linotype" w:cs="Arial"/>
          <w:i/>
        </w:rPr>
      </w:pPr>
      <w:r w:rsidRPr="001D1C28">
        <w:rPr>
          <w:rFonts w:ascii="Palatino Linotype" w:hAnsi="Palatino Linotype" w:cs="Arial"/>
          <w:b/>
          <w:i/>
        </w:rPr>
        <w:t>Séptimo</w:t>
      </w:r>
      <w:r w:rsidRPr="001D1C28">
        <w:rPr>
          <w:rFonts w:ascii="Palatino Linotype" w:hAnsi="Palatino Linotype" w:cs="Arial"/>
          <w:i/>
        </w:rPr>
        <w:t>. La clasificación de la información se llevará a cabo en el momento en que:</w:t>
      </w:r>
    </w:p>
    <w:p w:rsidR="0088522B" w:rsidRPr="001D1C28" w:rsidRDefault="0088522B" w:rsidP="0088522B">
      <w:pPr>
        <w:spacing w:line="276" w:lineRule="auto"/>
        <w:ind w:left="567" w:right="567"/>
        <w:jc w:val="both"/>
        <w:rPr>
          <w:rFonts w:ascii="Palatino Linotype" w:hAnsi="Palatino Linotype" w:cs="Arial"/>
          <w:i/>
        </w:rPr>
      </w:pPr>
      <w:r w:rsidRPr="001D1C28">
        <w:rPr>
          <w:rFonts w:ascii="Palatino Linotype" w:hAnsi="Palatino Linotype" w:cs="Arial"/>
          <w:b/>
          <w:i/>
        </w:rPr>
        <w:t>I.</w:t>
      </w:r>
      <w:r w:rsidRPr="001D1C28">
        <w:rPr>
          <w:rFonts w:ascii="Palatino Linotype" w:hAnsi="Palatino Linotype" w:cs="Arial"/>
          <w:i/>
        </w:rPr>
        <w:t xml:space="preserve"> Se reciba una solicitud de acceso a la información;</w:t>
      </w:r>
    </w:p>
    <w:p w:rsidR="0088522B" w:rsidRPr="001D1C28" w:rsidRDefault="0088522B" w:rsidP="0088522B">
      <w:pPr>
        <w:spacing w:line="276" w:lineRule="auto"/>
        <w:ind w:left="567" w:right="567"/>
        <w:jc w:val="both"/>
        <w:rPr>
          <w:rFonts w:ascii="Palatino Linotype" w:hAnsi="Palatino Linotype" w:cs="Arial"/>
          <w:i/>
        </w:rPr>
      </w:pPr>
      <w:r w:rsidRPr="001D1C28">
        <w:rPr>
          <w:rFonts w:ascii="Palatino Linotype" w:hAnsi="Palatino Linotype" w:cs="Arial"/>
          <w:b/>
          <w:i/>
        </w:rPr>
        <w:t>II</w:t>
      </w:r>
      <w:r w:rsidRPr="001D1C28">
        <w:rPr>
          <w:rFonts w:ascii="Palatino Linotype" w:hAnsi="Palatino Linotype" w:cs="Arial"/>
          <w:i/>
        </w:rPr>
        <w:t>. Se determine mediante resolución de autoridad competente, o</w:t>
      </w:r>
    </w:p>
    <w:p w:rsidR="0088522B" w:rsidRPr="001D1C28" w:rsidRDefault="0088522B" w:rsidP="0088522B">
      <w:pPr>
        <w:spacing w:line="276" w:lineRule="auto"/>
        <w:ind w:left="567" w:right="567"/>
        <w:jc w:val="both"/>
        <w:rPr>
          <w:rFonts w:ascii="Palatino Linotype" w:hAnsi="Palatino Linotype" w:cs="Arial"/>
          <w:i/>
        </w:rPr>
      </w:pPr>
      <w:r w:rsidRPr="001D1C28">
        <w:rPr>
          <w:rFonts w:ascii="Palatino Linotype" w:hAnsi="Palatino Linotype" w:cs="Arial"/>
          <w:b/>
          <w:i/>
        </w:rPr>
        <w:lastRenderedPageBreak/>
        <w:t>III</w:t>
      </w:r>
      <w:r w:rsidRPr="001D1C28">
        <w:rPr>
          <w:rFonts w:ascii="Palatino Linotype" w:hAnsi="Palatino Linotype" w:cs="Arial"/>
          <w:i/>
        </w:rPr>
        <w:t>. Se generen versiones públicas para dar cumplimiento a las obligaciones de transparencia previstas en la Ley General, la Ley Federal y las correspondientes de las entidades federativas.</w:t>
      </w:r>
    </w:p>
    <w:p w:rsidR="0088522B" w:rsidRPr="001D1C28" w:rsidRDefault="0088522B" w:rsidP="0088522B">
      <w:pPr>
        <w:spacing w:line="276" w:lineRule="auto"/>
        <w:ind w:left="567" w:right="567"/>
        <w:jc w:val="both"/>
        <w:rPr>
          <w:rFonts w:ascii="Palatino Linotype" w:hAnsi="Palatino Linotype" w:cs="Arial"/>
          <w:i/>
        </w:rPr>
      </w:pPr>
      <w:r w:rsidRPr="001D1C28">
        <w:rPr>
          <w:rFonts w:ascii="Palatino Linotype" w:hAnsi="Palatino Linotype" w:cs="Arial"/>
          <w:i/>
        </w:rPr>
        <w:t>Los titulares de las áreas deberán revisar la clasificación al momento de la recepción de una solicitud de acceso a la información, para verificar si encuadra en una causal de reserva o de confidencialidad.</w:t>
      </w:r>
    </w:p>
    <w:p w:rsidR="0088522B" w:rsidRPr="001D1C28" w:rsidRDefault="0088522B" w:rsidP="0088522B">
      <w:pPr>
        <w:spacing w:line="276" w:lineRule="auto"/>
        <w:ind w:left="567" w:right="567"/>
        <w:jc w:val="both"/>
        <w:rPr>
          <w:rFonts w:ascii="Palatino Linotype" w:hAnsi="Palatino Linotype" w:cs="Arial"/>
          <w:i/>
        </w:rPr>
      </w:pPr>
      <w:r w:rsidRPr="001D1C28">
        <w:rPr>
          <w:rFonts w:ascii="Palatino Linotype" w:hAnsi="Palatino Linotype" w:cs="Arial"/>
          <w:b/>
          <w:i/>
        </w:rPr>
        <w:t>Octavo</w:t>
      </w:r>
      <w:r w:rsidRPr="001D1C28">
        <w:rPr>
          <w:rFonts w:ascii="Palatino Linotype" w:hAnsi="Palatino Linotype" w:cs="Arial"/>
          <w:i/>
        </w:rPr>
        <w:t>. Para fundar la clasificación de la información se debe señalar el artículo, fracción, inciso, párrafo o numeral de la ley o tratado internacional suscrito por el Estado mexicano que expresamente le otorga el carácter de reservada o confidencial.</w:t>
      </w:r>
    </w:p>
    <w:p w:rsidR="0088522B" w:rsidRPr="001D1C28" w:rsidRDefault="0088522B" w:rsidP="0088522B">
      <w:pPr>
        <w:spacing w:line="276" w:lineRule="auto"/>
        <w:ind w:left="567" w:right="567"/>
        <w:jc w:val="both"/>
        <w:rPr>
          <w:rFonts w:ascii="Palatino Linotype" w:hAnsi="Palatino Linotype" w:cs="Arial"/>
          <w:i/>
        </w:rPr>
      </w:pPr>
      <w:r w:rsidRPr="001D1C28">
        <w:rPr>
          <w:rFonts w:ascii="Palatino Linotype" w:hAnsi="Palatino Linotype" w:cs="Arial"/>
          <w:i/>
        </w:rPr>
        <w:t>Para motivar la clasificación se deberán señalar las razones o circunstancias especiales que lo llevaron a concluir que el caso particular se ajusta al supuesto previsto por la norma legal invocada como fundamento.</w:t>
      </w:r>
    </w:p>
    <w:p w:rsidR="0088522B" w:rsidRPr="001D1C28" w:rsidRDefault="0088522B" w:rsidP="0088522B">
      <w:pPr>
        <w:spacing w:line="276" w:lineRule="auto"/>
        <w:ind w:left="567" w:right="567"/>
        <w:jc w:val="both"/>
        <w:rPr>
          <w:rFonts w:ascii="Palatino Linotype" w:hAnsi="Palatino Linotype" w:cs="Arial"/>
          <w:i/>
        </w:rPr>
      </w:pPr>
      <w:r w:rsidRPr="001D1C28">
        <w:rPr>
          <w:rFonts w:ascii="Palatino Linotype" w:hAnsi="Palatino Linotype" w:cs="Arial"/>
          <w:i/>
        </w:rPr>
        <w:t>En caso de referirse a información reservada, la motivación de la clasificación también deberá comprender las circunstancias que justifican el establecimiento de determinado plazo de reserva.</w:t>
      </w:r>
    </w:p>
    <w:p w:rsidR="0088522B" w:rsidRPr="001D1C28" w:rsidRDefault="0088522B" w:rsidP="0088522B">
      <w:pPr>
        <w:spacing w:line="276" w:lineRule="auto"/>
        <w:ind w:left="567" w:right="567"/>
        <w:jc w:val="both"/>
        <w:rPr>
          <w:rFonts w:ascii="Palatino Linotype" w:hAnsi="Palatino Linotype" w:cs="Arial"/>
          <w:i/>
        </w:rPr>
      </w:pPr>
      <w:r w:rsidRPr="001D1C28">
        <w:rPr>
          <w:rFonts w:ascii="Palatino Linotype" w:hAnsi="Palatino Linotype" w:cs="Arial"/>
          <w:i/>
        </w:rPr>
        <w:t>Tratándose de información clasificada como confidencial respecto de la cual se haya determinado su conservación permanente por tener valor histórico, ésta conservará tal carácter de conformidad con la normativa aplicable en materia de archivos.</w:t>
      </w:r>
    </w:p>
    <w:p w:rsidR="0088522B" w:rsidRPr="001D1C28" w:rsidRDefault="0088522B" w:rsidP="0088522B">
      <w:pPr>
        <w:spacing w:line="276" w:lineRule="auto"/>
        <w:ind w:left="567" w:right="567"/>
        <w:jc w:val="both"/>
        <w:rPr>
          <w:rFonts w:ascii="Palatino Linotype" w:hAnsi="Palatino Linotype" w:cs="Arial"/>
          <w:i/>
        </w:rPr>
      </w:pPr>
      <w:r w:rsidRPr="001D1C28">
        <w:rPr>
          <w:rFonts w:ascii="Palatino Linotype" w:hAnsi="Palatino Linotype" w:cs="Arial"/>
          <w:i/>
        </w:rPr>
        <w:t>Los documentos contenidos en los archivos históricos y los identificados como históricos confidenciales no serán susceptibles de clasificación como reservados.</w:t>
      </w:r>
    </w:p>
    <w:p w:rsidR="0088522B" w:rsidRPr="001D1C28" w:rsidRDefault="0088522B" w:rsidP="0088522B">
      <w:pPr>
        <w:spacing w:line="276" w:lineRule="auto"/>
        <w:ind w:left="567" w:right="567"/>
        <w:jc w:val="both"/>
        <w:rPr>
          <w:rFonts w:ascii="Palatino Linotype" w:hAnsi="Palatino Linotype" w:cs="Arial"/>
          <w:i/>
        </w:rPr>
      </w:pPr>
    </w:p>
    <w:p w:rsidR="0088522B" w:rsidRPr="001D1C28" w:rsidRDefault="0088522B" w:rsidP="0088522B">
      <w:pPr>
        <w:spacing w:line="276" w:lineRule="auto"/>
        <w:ind w:left="567" w:right="567"/>
        <w:jc w:val="both"/>
        <w:rPr>
          <w:rFonts w:ascii="Palatino Linotype" w:hAnsi="Palatino Linotype" w:cs="Arial"/>
          <w:i/>
        </w:rPr>
      </w:pPr>
      <w:r w:rsidRPr="001D1C28">
        <w:rPr>
          <w:rFonts w:ascii="Palatino Linotype" w:hAnsi="Palatino Linotype" w:cs="Arial"/>
          <w:b/>
          <w:i/>
        </w:rPr>
        <w:t>Noveno</w:t>
      </w:r>
      <w:r w:rsidRPr="001D1C28">
        <w:rPr>
          <w:rFonts w:ascii="Palatino Linotype" w:hAnsi="Palatino Linotype" w:cs="Arial"/>
          <w:i/>
        </w:rPr>
        <w:t>.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rsidR="0088522B" w:rsidRPr="001D1C28" w:rsidRDefault="0088522B" w:rsidP="0088522B">
      <w:pPr>
        <w:spacing w:line="276" w:lineRule="auto"/>
        <w:ind w:left="567" w:right="567"/>
        <w:jc w:val="both"/>
        <w:rPr>
          <w:rFonts w:ascii="Palatino Linotype" w:hAnsi="Palatino Linotype" w:cs="Arial"/>
          <w:i/>
        </w:rPr>
      </w:pPr>
    </w:p>
    <w:p w:rsidR="0088522B" w:rsidRPr="001D1C28" w:rsidRDefault="0088522B" w:rsidP="0088522B">
      <w:pPr>
        <w:spacing w:line="276" w:lineRule="auto"/>
        <w:ind w:left="567" w:right="567"/>
        <w:jc w:val="both"/>
        <w:rPr>
          <w:rFonts w:ascii="Palatino Linotype" w:hAnsi="Palatino Linotype" w:cs="Arial"/>
          <w:i/>
        </w:rPr>
      </w:pPr>
      <w:r w:rsidRPr="001D1C28">
        <w:rPr>
          <w:rFonts w:ascii="Palatino Linotype" w:hAnsi="Palatino Linotype" w:cs="Arial"/>
          <w:b/>
          <w:i/>
        </w:rPr>
        <w:t>Décimo</w:t>
      </w:r>
      <w:r w:rsidRPr="001D1C28">
        <w:rPr>
          <w:rFonts w:ascii="Palatino Linotype" w:hAnsi="Palatino Linotype" w:cs="Arial"/>
          <w:i/>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w:t>
      </w:r>
      <w:r w:rsidRPr="001D1C28">
        <w:rPr>
          <w:rFonts w:ascii="Palatino Linotype" w:hAnsi="Palatino Linotype" w:cs="Arial"/>
          <w:i/>
        </w:rPr>
        <w:lastRenderedPageBreak/>
        <w:t>adecuadamente la información clasificada, en los términos de los Lineamientos para la Organización y Conservación de Archivos.</w:t>
      </w:r>
    </w:p>
    <w:p w:rsidR="0088522B" w:rsidRPr="001D1C28" w:rsidRDefault="0088522B" w:rsidP="0088522B">
      <w:pPr>
        <w:spacing w:line="276" w:lineRule="auto"/>
        <w:ind w:left="567" w:right="567"/>
        <w:jc w:val="both"/>
        <w:rPr>
          <w:rFonts w:ascii="Palatino Linotype" w:hAnsi="Palatino Linotype" w:cs="Arial"/>
          <w:i/>
        </w:rPr>
      </w:pPr>
    </w:p>
    <w:p w:rsidR="0088522B" w:rsidRPr="001D1C28" w:rsidRDefault="0088522B" w:rsidP="0088522B">
      <w:pPr>
        <w:spacing w:line="276" w:lineRule="auto"/>
        <w:ind w:left="567" w:right="567"/>
        <w:jc w:val="both"/>
        <w:rPr>
          <w:rFonts w:ascii="Palatino Linotype" w:hAnsi="Palatino Linotype" w:cs="Arial"/>
          <w:i/>
        </w:rPr>
      </w:pPr>
      <w:r w:rsidRPr="001D1C28">
        <w:rPr>
          <w:rFonts w:ascii="Palatino Linotype" w:hAnsi="Palatino Linotype" w:cs="Arial"/>
          <w:i/>
        </w:rPr>
        <w:t>En ausencia de los titulares de las áreas, la información será clasificada o desclasificada por la persona que lo supla, en términos de la normativa que rija la actuación del sujeto obligado.</w:t>
      </w:r>
    </w:p>
    <w:p w:rsidR="0088522B" w:rsidRPr="001D1C28" w:rsidRDefault="0088522B" w:rsidP="0088522B">
      <w:pPr>
        <w:spacing w:line="276" w:lineRule="auto"/>
        <w:ind w:left="567" w:right="567"/>
        <w:jc w:val="both"/>
        <w:rPr>
          <w:rFonts w:ascii="Palatino Linotype" w:hAnsi="Palatino Linotype" w:cs="Arial"/>
          <w:i/>
        </w:rPr>
      </w:pPr>
    </w:p>
    <w:p w:rsidR="0088522B" w:rsidRPr="001D1C28" w:rsidRDefault="0088522B" w:rsidP="0088522B">
      <w:pPr>
        <w:spacing w:line="276" w:lineRule="auto"/>
        <w:ind w:left="567" w:right="567"/>
        <w:jc w:val="both"/>
        <w:rPr>
          <w:rFonts w:ascii="Palatino Linotype" w:hAnsi="Palatino Linotype" w:cs="Arial"/>
          <w:i/>
        </w:rPr>
      </w:pPr>
      <w:r w:rsidRPr="001D1C28">
        <w:rPr>
          <w:rFonts w:ascii="Palatino Linotype" w:hAnsi="Palatino Linotype" w:cs="Arial"/>
          <w:b/>
          <w:i/>
        </w:rPr>
        <w:t>Décimo primero.</w:t>
      </w:r>
      <w:r w:rsidRPr="001D1C28">
        <w:rPr>
          <w:rFonts w:ascii="Palatino Linotype" w:hAnsi="Palatino Linotype" w:cs="Arial"/>
          <w:i/>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p>
    <w:p w:rsidR="0088522B" w:rsidRPr="001D1C28" w:rsidRDefault="0088522B" w:rsidP="0088522B">
      <w:pPr>
        <w:spacing w:line="360" w:lineRule="auto"/>
        <w:jc w:val="both"/>
        <w:rPr>
          <w:rFonts w:ascii="Palatino Linotype" w:hAnsi="Palatino Linotype" w:cs="Arial"/>
        </w:rPr>
      </w:pPr>
    </w:p>
    <w:p w:rsidR="0088522B" w:rsidRPr="001D1C28" w:rsidRDefault="0088522B" w:rsidP="0088522B">
      <w:pPr>
        <w:spacing w:line="360" w:lineRule="auto"/>
        <w:jc w:val="both"/>
        <w:rPr>
          <w:rFonts w:ascii="Palatino Linotype" w:hAnsi="Palatino Linotype" w:cs="Arial"/>
        </w:rPr>
      </w:pPr>
      <w:r w:rsidRPr="001D1C28">
        <w:rPr>
          <w:rFonts w:ascii="Palatino Linotype" w:hAnsi="Palatino Linotype" w:cs="Arial"/>
        </w:rPr>
        <w:t>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que el mismo debe aplicar de manera restrictiva y limitada las hipótesis de clasificación y no hacerlas valer de manera general. Es importante señalar que, para acreditar dichos supuestos jurídicos se debe fundar y motivar correctamente la categorización de la información.</w:t>
      </w:r>
    </w:p>
    <w:p w:rsidR="0088522B" w:rsidRPr="001D1C28" w:rsidRDefault="0088522B" w:rsidP="0088522B">
      <w:pPr>
        <w:spacing w:line="360" w:lineRule="auto"/>
        <w:jc w:val="both"/>
        <w:rPr>
          <w:rFonts w:ascii="Palatino Linotype" w:hAnsi="Palatino Linotype" w:cs="Arial"/>
        </w:rPr>
      </w:pPr>
    </w:p>
    <w:p w:rsidR="0088522B" w:rsidRPr="001D1C28" w:rsidRDefault="0088522B" w:rsidP="0088522B">
      <w:pPr>
        <w:spacing w:line="360" w:lineRule="auto"/>
        <w:jc w:val="both"/>
        <w:rPr>
          <w:rFonts w:ascii="Palatino Linotype" w:hAnsi="Palatino Linotype" w:cs="Arial"/>
        </w:rPr>
      </w:pPr>
      <w:r w:rsidRPr="001D1C28">
        <w:rPr>
          <w:rFonts w:ascii="Palatino Linotype" w:hAnsi="Palatino Linotype" w:cs="Arial"/>
        </w:rPr>
        <w:t>Por tanto, la fundamentación y motivación consiste en la obligación que tiene todo ente público de expresar los preceptos jurídicos aplicables al asunto motivo del acto y las razones o argumentos de su actuar.</w:t>
      </w:r>
    </w:p>
    <w:p w:rsidR="0088522B" w:rsidRPr="001D1C28" w:rsidRDefault="0088522B" w:rsidP="0088522B">
      <w:pPr>
        <w:spacing w:line="360" w:lineRule="auto"/>
        <w:jc w:val="both"/>
        <w:rPr>
          <w:rFonts w:ascii="Palatino Linotype" w:hAnsi="Palatino Linotype" w:cs="Arial"/>
        </w:rPr>
      </w:pPr>
    </w:p>
    <w:p w:rsidR="0088522B" w:rsidRPr="001D1C28" w:rsidRDefault="0088522B" w:rsidP="0088522B">
      <w:pPr>
        <w:spacing w:line="360" w:lineRule="auto"/>
        <w:jc w:val="both"/>
        <w:rPr>
          <w:rFonts w:ascii="Palatino Linotype" w:hAnsi="Palatino Linotype" w:cs="Arial"/>
        </w:rPr>
      </w:pPr>
      <w:r w:rsidRPr="001D1C28">
        <w:rPr>
          <w:rFonts w:ascii="Palatino Linotype" w:hAnsi="Palatino Linotype" w:cs="Arial"/>
        </w:rPr>
        <w:t>Al respecto, el máximo tribunal del país ha establecido jurisprudencia respecto a qué debe entenderse por fundamentación y motivación, en los siguientes términos:</w:t>
      </w:r>
    </w:p>
    <w:p w:rsidR="0088522B" w:rsidRPr="001D1C28" w:rsidRDefault="0088522B" w:rsidP="0088522B">
      <w:pPr>
        <w:spacing w:line="360" w:lineRule="auto"/>
        <w:jc w:val="both"/>
        <w:rPr>
          <w:rFonts w:ascii="Palatino Linotype" w:hAnsi="Palatino Linotype" w:cs="Arial"/>
        </w:rPr>
      </w:pPr>
    </w:p>
    <w:p w:rsidR="0088522B" w:rsidRPr="001D1C28" w:rsidRDefault="0088522B" w:rsidP="0088522B">
      <w:pPr>
        <w:spacing w:line="276" w:lineRule="auto"/>
        <w:ind w:left="567" w:right="567"/>
        <w:jc w:val="both"/>
        <w:rPr>
          <w:rFonts w:ascii="Palatino Linotype" w:hAnsi="Palatino Linotype" w:cs="Arial"/>
          <w:i/>
        </w:rPr>
      </w:pPr>
      <w:r w:rsidRPr="001D1C28">
        <w:rPr>
          <w:rFonts w:ascii="Palatino Linotype" w:hAnsi="Palatino Linotype" w:cs="Arial"/>
          <w:b/>
          <w:i/>
        </w:rPr>
        <w:t>FUNDAMENTACIÓN Y MOTIVACIÓN</w:t>
      </w:r>
      <w:r w:rsidRPr="001D1C28">
        <w:rPr>
          <w:rFonts w:ascii="Palatino Linotype" w:hAnsi="Palatino Linotype" w:cs="Arial"/>
          <w:i/>
        </w:rPr>
        <w:t>. 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rsidR="0088522B" w:rsidRPr="001D1C28" w:rsidRDefault="0088522B" w:rsidP="0088522B">
      <w:pPr>
        <w:spacing w:line="360" w:lineRule="auto"/>
        <w:jc w:val="both"/>
        <w:rPr>
          <w:rFonts w:ascii="Palatino Linotype" w:hAnsi="Palatino Linotype" w:cs="Arial"/>
        </w:rPr>
      </w:pPr>
    </w:p>
    <w:p w:rsidR="0088522B" w:rsidRPr="001D1C28" w:rsidRDefault="0088522B" w:rsidP="0088522B">
      <w:pPr>
        <w:spacing w:line="360" w:lineRule="auto"/>
        <w:jc w:val="both"/>
        <w:rPr>
          <w:rFonts w:ascii="Palatino Linotype" w:hAnsi="Palatino Linotype" w:cs="Arial"/>
        </w:rPr>
      </w:pPr>
      <w:r w:rsidRPr="001D1C28">
        <w:rPr>
          <w:rFonts w:ascii="Palatino Linotype" w:hAnsi="Palatino Linotype" w:cs="Arial"/>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w:t>
      </w:r>
    </w:p>
    <w:p w:rsidR="0088522B" w:rsidRPr="001D1C28" w:rsidRDefault="0088522B" w:rsidP="0088522B">
      <w:pPr>
        <w:spacing w:line="360" w:lineRule="auto"/>
        <w:jc w:val="both"/>
        <w:rPr>
          <w:rFonts w:ascii="Palatino Linotype" w:hAnsi="Palatino Linotype" w:cs="Arial"/>
        </w:rPr>
      </w:pPr>
    </w:p>
    <w:p w:rsidR="0088522B" w:rsidRPr="001D1C28" w:rsidRDefault="0088522B" w:rsidP="0088522B">
      <w:pPr>
        <w:spacing w:line="360" w:lineRule="auto"/>
        <w:jc w:val="both"/>
        <w:rPr>
          <w:rFonts w:ascii="Palatino Linotype" w:hAnsi="Palatino Linotype" w:cs="Arial"/>
        </w:rPr>
      </w:pPr>
      <w:r w:rsidRPr="001D1C28">
        <w:rPr>
          <w:rFonts w:ascii="Palatino Linotype" w:hAnsi="Palatino Linotype" w:cs="Arial"/>
        </w:rPr>
        <w:t>Más aún, a través de diversa jurisprudencia dictada por el Poder Judicial de la Federación se sostiene que la finalidad de la fundamentación o motivación es la de explicar, justificar, posibilitar la defensa y comunicar la decisión de la autoridad:</w:t>
      </w:r>
    </w:p>
    <w:p w:rsidR="0088522B" w:rsidRPr="001D1C28" w:rsidRDefault="0088522B" w:rsidP="0088522B">
      <w:pPr>
        <w:spacing w:line="276" w:lineRule="auto"/>
        <w:jc w:val="both"/>
        <w:rPr>
          <w:rFonts w:ascii="Palatino Linotype" w:hAnsi="Palatino Linotype" w:cs="Arial"/>
        </w:rPr>
      </w:pPr>
    </w:p>
    <w:p w:rsidR="0088522B" w:rsidRPr="001D1C28" w:rsidRDefault="0088522B" w:rsidP="0088522B">
      <w:pPr>
        <w:spacing w:line="276" w:lineRule="auto"/>
        <w:ind w:left="567" w:right="567"/>
        <w:jc w:val="both"/>
        <w:rPr>
          <w:rFonts w:ascii="Palatino Linotype" w:hAnsi="Palatino Linotype" w:cs="Arial"/>
          <w:i/>
        </w:rPr>
      </w:pPr>
      <w:r w:rsidRPr="001D1C28">
        <w:rPr>
          <w:rFonts w:ascii="Palatino Linotype" w:hAnsi="Palatino Linotype" w:cs="Arial"/>
          <w:b/>
          <w:i/>
        </w:rPr>
        <w:t>FUNDAMENTACIÓN Y MOTIVACIÓN. EL ASPECTO FORMAL DE LA GARANTÍA Y SU FINALIDAD SE TRADUCEN EN EXPLICAR, JUSTIFICAR, POSIBILITAR LA DEFENSA Y COMUNICAR LA DECISIÓN.</w:t>
      </w:r>
      <w:r w:rsidRPr="001D1C28">
        <w:rPr>
          <w:rFonts w:ascii="Palatino Linotype" w:hAnsi="Palatino Linotype" w:cs="Arial"/>
          <w:i/>
        </w:rPr>
        <w:t xml:space="preserve">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w:t>
      </w:r>
      <w:r w:rsidRPr="001D1C28">
        <w:rPr>
          <w:rFonts w:ascii="Palatino Linotype" w:hAnsi="Palatino Linotype" w:cs="Arial"/>
          <w:i/>
        </w:rPr>
        <w:lastRenderedPageBreak/>
        <w:t>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rsidR="0088522B" w:rsidRPr="001D1C28" w:rsidRDefault="0088522B" w:rsidP="0088522B">
      <w:pPr>
        <w:spacing w:line="276" w:lineRule="auto"/>
        <w:jc w:val="both"/>
        <w:rPr>
          <w:rFonts w:ascii="Palatino Linotype" w:hAnsi="Palatino Linotype" w:cs="Arial"/>
        </w:rPr>
      </w:pPr>
    </w:p>
    <w:p w:rsidR="0088522B" w:rsidRPr="001D1C28" w:rsidRDefault="0088522B" w:rsidP="0088522B">
      <w:pPr>
        <w:spacing w:line="360" w:lineRule="auto"/>
        <w:jc w:val="both"/>
        <w:rPr>
          <w:rFonts w:ascii="Palatino Linotype" w:hAnsi="Palatino Linotype" w:cs="Arial"/>
        </w:rPr>
      </w:pPr>
      <w:r w:rsidRPr="001D1C28">
        <w:rPr>
          <w:rFonts w:ascii="Palatino Linotype" w:hAnsi="Palatino Linotype" w:cs="Arial"/>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rsidR="0088522B" w:rsidRPr="001D1C28" w:rsidRDefault="0088522B" w:rsidP="0088522B">
      <w:pPr>
        <w:spacing w:line="360" w:lineRule="auto"/>
        <w:jc w:val="both"/>
        <w:rPr>
          <w:rFonts w:ascii="Palatino Linotype" w:hAnsi="Palatino Linotype" w:cs="Arial"/>
        </w:rPr>
      </w:pPr>
    </w:p>
    <w:p w:rsidR="0088522B" w:rsidRPr="001D1C28" w:rsidRDefault="0088522B" w:rsidP="0088522B">
      <w:pPr>
        <w:spacing w:line="360" w:lineRule="auto"/>
        <w:jc w:val="both"/>
        <w:rPr>
          <w:rFonts w:ascii="Palatino Linotype" w:hAnsi="Palatino Linotype" w:cs="Arial"/>
        </w:rPr>
      </w:pPr>
      <w:r w:rsidRPr="001D1C28">
        <w:rPr>
          <w:rFonts w:ascii="Palatino Linotype" w:hAnsi="Palatino Linotype" w:cs="Arial"/>
        </w:rPr>
        <w:t xml:space="preserve">Por lo tanto, la entrega de documentos en su versión pública debe acompañarse necesariamente del Acuerdo del Comité de Transparencia del Sujeto Obligado 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w:t>
      </w:r>
      <w:r w:rsidRPr="001D1C28">
        <w:rPr>
          <w:rFonts w:ascii="Palatino Linotype" w:hAnsi="Palatino Linotype" w:cs="Arial"/>
        </w:rPr>
        <w:lastRenderedPageBreak/>
        <w:t>razones de ello se estaría violentando desde un inicio el derecho de acceso a la información del solicitante.</w:t>
      </w:r>
    </w:p>
    <w:p w:rsidR="00293CC4" w:rsidRPr="001D1C28" w:rsidRDefault="00293CC4" w:rsidP="00293CC4">
      <w:pPr>
        <w:spacing w:line="360" w:lineRule="auto"/>
        <w:ind w:right="51"/>
        <w:jc w:val="both"/>
        <w:rPr>
          <w:rFonts w:ascii="Palatino Linotype" w:eastAsia="Arial Unicode MS" w:hAnsi="Palatino Linotype" w:cs="Arial"/>
          <w:lang w:val="es-ES_tradnl" w:eastAsia="es-MX"/>
        </w:rPr>
      </w:pPr>
    </w:p>
    <w:p w:rsidR="00293CC4" w:rsidRPr="001D1C28" w:rsidRDefault="00293CC4" w:rsidP="00293CC4">
      <w:pPr>
        <w:spacing w:line="360" w:lineRule="auto"/>
        <w:ind w:right="51"/>
        <w:jc w:val="both"/>
        <w:rPr>
          <w:rFonts w:ascii="Palatino Linotype" w:eastAsia="Arial Unicode MS" w:hAnsi="Palatino Linotype" w:cs="Arial"/>
          <w:lang w:val="es-ES_tradnl" w:eastAsia="es-MX"/>
        </w:rPr>
      </w:pPr>
      <w:r w:rsidRPr="001D1C28">
        <w:rPr>
          <w:rFonts w:ascii="Palatino Linotype" w:eastAsia="Calibri" w:hAnsi="Palatino Linotype" w:cs="Arial"/>
          <w:lang w:val="es-ES_tradnl" w:eastAsia="es-MX"/>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1D1C28">
        <w:rPr>
          <w:rFonts w:ascii="Palatino Linotype" w:eastAsia="Calibri" w:hAnsi="Palatino Linotype" w:cs="Arial"/>
          <w:b/>
          <w:lang w:val="es-ES_tradnl" w:eastAsia="es-MX"/>
        </w:rPr>
        <w:t>LINEAMIENTOS GENERALES EN MATERIA DE CLASIFICACIÓN Y DESCLASIFICACIÓN DE LA INFORMACIÓN, ASÍ COMO PARA LA ELABORACIÓN DE VERSIONES PÚBLICAS,</w:t>
      </w:r>
      <w:r w:rsidRPr="001D1C28">
        <w:rPr>
          <w:rFonts w:ascii="Palatino Linotype" w:eastAsia="Calibri" w:hAnsi="Palatino Linotype" w:cs="Arial"/>
          <w:lang w:val="es-ES_tradnl" w:eastAsia="es-MX"/>
        </w:rPr>
        <w:t xml:space="preserve"> publicados en el Diario Oficial de la Federación en fecha quince de abril de dos mil dieciséis, mediante Acuerdo del Consejo Nacional del Sistema Nacional de Transparencia, Acceso a la Información Pública y Protección de Datos Personales</w:t>
      </w:r>
    </w:p>
    <w:p w:rsidR="00293CC4" w:rsidRPr="001D1C28" w:rsidRDefault="00293CC4" w:rsidP="00293CC4">
      <w:pPr>
        <w:spacing w:line="360" w:lineRule="auto"/>
        <w:jc w:val="both"/>
        <w:rPr>
          <w:rFonts w:ascii="Palatino Linotype" w:hAnsi="Palatino Linotype" w:cs="Arial"/>
        </w:rPr>
      </w:pPr>
    </w:p>
    <w:p w:rsidR="00293CC4" w:rsidRPr="001D1C28" w:rsidRDefault="007C562D" w:rsidP="00293CC4">
      <w:pPr>
        <w:spacing w:line="360" w:lineRule="auto"/>
        <w:ind w:right="51"/>
        <w:jc w:val="both"/>
        <w:rPr>
          <w:rFonts w:ascii="Palatino Linotype" w:eastAsiaTheme="minorHAnsi" w:hAnsi="Palatino Linotype" w:cstheme="minorBidi"/>
          <w:lang w:val="es-MX" w:eastAsia="en-US"/>
        </w:rPr>
      </w:pPr>
      <w:r w:rsidRPr="001D1C28">
        <w:rPr>
          <w:rFonts w:ascii="Palatino Linotype" w:eastAsiaTheme="minorHAnsi" w:hAnsi="Palatino Linotype" w:cstheme="minorBidi"/>
          <w:lang w:val="es-MX" w:eastAsia="en-US"/>
        </w:rPr>
        <w:t xml:space="preserve">En mérito de lo expuesto en líneas anteriores, al resultar fundados los motivos de inconformidad vertidos por </w:t>
      </w:r>
      <w:r w:rsidRPr="001D1C28">
        <w:rPr>
          <w:rFonts w:ascii="Palatino Linotype" w:eastAsiaTheme="minorHAnsi" w:hAnsi="Palatino Linotype" w:cstheme="minorBidi"/>
          <w:b/>
          <w:lang w:val="es-MX" w:eastAsia="en-US"/>
        </w:rPr>
        <w:t>la parte Recurrente</w:t>
      </w:r>
      <w:r w:rsidRPr="001D1C28">
        <w:rPr>
          <w:rFonts w:ascii="Palatino Linotype" w:eastAsiaTheme="minorHAnsi" w:hAnsi="Palatino Linotype" w:cstheme="minorBidi"/>
          <w:lang w:val="es-MX" w:eastAsia="en-US"/>
        </w:rPr>
        <w:t xml:space="preserve">, con fundamento en la primera hipótesis del artículo 186 fracción III de la Ley de Transparencia y Acceso a la Información Pública del Estado de México y Municipios, se </w:t>
      </w:r>
      <w:r w:rsidRPr="001D1C28">
        <w:rPr>
          <w:rFonts w:ascii="Palatino Linotype" w:eastAsiaTheme="minorHAnsi" w:hAnsi="Palatino Linotype" w:cstheme="minorBidi"/>
          <w:b/>
          <w:lang w:val="es-MX" w:eastAsia="en-US"/>
        </w:rPr>
        <w:t xml:space="preserve">REVOCA </w:t>
      </w:r>
      <w:r w:rsidRPr="001D1C28">
        <w:rPr>
          <w:rFonts w:ascii="Palatino Linotype" w:eastAsiaTheme="minorHAnsi" w:hAnsi="Palatino Linotype" w:cstheme="minorBidi"/>
          <w:lang w:val="es-MX" w:eastAsia="en-US"/>
        </w:rPr>
        <w:t>la respuesta emitida a la solicitud de información</w:t>
      </w:r>
      <w:r w:rsidR="00293CC4" w:rsidRPr="001D1C28">
        <w:rPr>
          <w:rFonts w:ascii="Palatino Linotype" w:eastAsiaTheme="minorHAnsi" w:hAnsi="Palatino Linotype" w:cstheme="minorBidi"/>
          <w:lang w:val="es-MX" w:eastAsia="en-US"/>
        </w:rPr>
        <w:t xml:space="preserve"> </w:t>
      </w:r>
      <w:r w:rsidR="00293CC4" w:rsidRPr="001D1C28">
        <w:rPr>
          <w:rFonts w:ascii="Palatino Linotype" w:hAnsi="Palatino Linotype"/>
          <w:b/>
          <w:bCs/>
        </w:rPr>
        <w:t>00445/ATIZARA/IP/2025</w:t>
      </w:r>
      <w:r w:rsidR="00293CC4" w:rsidRPr="001D1C28">
        <w:rPr>
          <w:rFonts w:ascii="Palatino Linotype" w:eastAsiaTheme="minorHAnsi" w:hAnsi="Palatino Linotype"/>
          <w:b/>
          <w:bCs/>
        </w:rPr>
        <w:t>,</w:t>
      </w:r>
      <w:r w:rsidR="00293CC4" w:rsidRPr="001D1C28">
        <w:rPr>
          <w:rFonts w:ascii="Palatino Linotype" w:eastAsiaTheme="minorHAnsi" w:hAnsi="Palatino Linotype" w:cs="Arial"/>
          <w:lang w:val="es-MX" w:eastAsia="en-US"/>
        </w:rPr>
        <w:t xml:space="preserve"> </w:t>
      </w:r>
      <w:r w:rsidR="00293CC4" w:rsidRPr="001D1C28">
        <w:rPr>
          <w:rFonts w:ascii="Palatino Linotype" w:eastAsiaTheme="minorHAnsi" w:hAnsi="Palatino Linotype" w:cstheme="minorBidi"/>
          <w:lang w:val="es-MX" w:eastAsia="en-US"/>
        </w:rPr>
        <w:t>que ha sido materia del presente fallo.</w:t>
      </w:r>
    </w:p>
    <w:p w:rsidR="00293CC4" w:rsidRPr="001D1C28" w:rsidRDefault="00293CC4" w:rsidP="00293CC4">
      <w:pPr>
        <w:spacing w:line="360" w:lineRule="auto"/>
        <w:jc w:val="both"/>
        <w:rPr>
          <w:rFonts w:ascii="Palatino Linotype" w:eastAsiaTheme="minorHAnsi" w:hAnsi="Palatino Linotype" w:cstheme="minorBidi"/>
          <w:lang w:val="es-MX" w:eastAsia="en-US"/>
        </w:rPr>
      </w:pPr>
    </w:p>
    <w:p w:rsidR="00293CC4" w:rsidRPr="001D1C28" w:rsidRDefault="00293CC4" w:rsidP="00293CC4">
      <w:pPr>
        <w:spacing w:line="360" w:lineRule="auto"/>
        <w:jc w:val="both"/>
        <w:rPr>
          <w:rFonts w:ascii="Palatino Linotype" w:hAnsi="Palatino Linotype"/>
          <w:lang w:val="es-MX"/>
        </w:rPr>
      </w:pPr>
      <w:r w:rsidRPr="001D1C28">
        <w:rPr>
          <w:rFonts w:ascii="Palatino Linotype" w:hAnsi="Palatino Linotype"/>
          <w:lang w:val="es-MX"/>
        </w:rPr>
        <w:t>Por lo antes expuesto y fundado es de resolverse y,</w:t>
      </w:r>
    </w:p>
    <w:p w:rsidR="00293CC4" w:rsidRPr="001D1C28" w:rsidRDefault="00293CC4" w:rsidP="00293CC4">
      <w:pPr>
        <w:spacing w:line="360" w:lineRule="auto"/>
        <w:jc w:val="both"/>
        <w:rPr>
          <w:rFonts w:ascii="Palatino Linotype" w:hAnsi="Palatino Linotype"/>
          <w:lang w:val="es-MX"/>
        </w:rPr>
      </w:pPr>
    </w:p>
    <w:p w:rsidR="00293CC4" w:rsidRPr="001D1C28" w:rsidRDefault="00293CC4" w:rsidP="00293CC4">
      <w:pPr>
        <w:spacing w:line="360" w:lineRule="auto"/>
        <w:jc w:val="center"/>
        <w:rPr>
          <w:rFonts w:ascii="Palatino Linotype" w:hAnsi="Palatino Linotype"/>
          <w:bCs/>
          <w:spacing w:val="60"/>
          <w:lang w:val="es-ES_tradnl"/>
        </w:rPr>
      </w:pPr>
      <w:r w:rsidRPr="001D1C28">
        <w:rPr>
          <w:rFonts w:ascii="Palatino Linotype" w:hAnsi="Palatino Linotype"/>
          <w:b/>
          <w:bCs/>
          <w:spacing w:val="60"/>
          <w:sz w:val="28"/>
          <w:lang w:val="es-ES_tradnl"/>
        </w:rPr>
        <w:t>SE    RESUELVE</w:t>
      </w:r>
    </w:p>
    <w:p w:rsidR="00293CC4" w:rsidRPr="001D1C28" w:rsidRDefault="00293CC4" w:rsidP="00293CC4">
      <w:pPr>
        <w:spacing w:line="360" w:lineRule="auto"/>
        <w:jc w:val="both"/>
        <w:rPr>
          <w:rFonts w:ascii="Palatino Linotype" w:hAnsi="Palatino Linotype" w:cs="Arial"/>
        </w:rPr>
      </w:pPr>
      <w:r w:rsidRPr="001D1C28">
        <w:rPr>
          <w:rFonts w:ascii="Palatino Linotype" w:hAnsi="Palatino Linotype" w:cs="Arial"/>
          <w:b/>
          <w:sz w:val="28"/>
          <w:szCs w:val="28"/>
        </w:rPr>
        <w:lastRenderedPageBreak/>
        <w:t>PRIMERO</w:t>
      </w:r>
      <w:r w:rsidRPr="001D1C28">
        <w:rPr>
          <w:rFonts w:ascii="Palatino Linotype" w:hAnsi="Palatino Linotype" w:cs="Arial"/>
          <w:sz w:val="32"/>
          <w:szCs w:val="28"/>
        </w:rPr>
        <w:t>.</w:t>
      </w:r>
      <w:r w:rsidRPr="001D1C28">
        <w:rPr>
          <w:rFonts w:ascii="Palatino Linotype" w:hAnsi="Palatino Linotype" w:cs="Arial"/>
        </w:rPr>
        <w:t xml:space="preserve"> </w:t>
      </w:r>
      <w:r w:rsidR="007C562D" w:rsidRPr="001D1C28">
        <w:rPr>
          <w:rFonts w:ascii="Palatino Linotype" w:hAnsi="Palatino Linotype" w:cs="Arial"/>
        </w:rPr>
        <w:t>Se</w:t>
      </w:r>
      <w:r w:rsidR="007C562D" w:rsidRPr="001D1C28">
        <w:rPr>
          <w:rFonts w:ascii="Palatino Linotype" w:hAnsi="Palatino Linotype" w:cs="Arial"/>
          <w:b/>
        </w:rPr>
        <w:t xml:space="preserve"> REVOCA </w:t>
      </w:r>
      <w:r w:rsidR="007C562D" w:rsidRPr="001D1C28">
        <w:rPr>
          <w:rFonts w:ascii="Palatino Linotype" w:hAnsi="Palatino Linotype" w:cs="Arial"/>
        </w:rPr>
        <w:t xml:space="preserve">la respuesta del </w:t>
      </w:r>
      <w:r w:rsidR="007C562D" w:rsidRPr="001D1C28">
        <w:rPr>
          <w:rFonts w:ascii="Palatino Linotype" w:hAnsi="Palatino Linotype" w:cs="Arial"/>
          <w:b/>
        </w:rPr>
        <w:t>Sujeto Obligado</w:t>
      </w:r>
      <w:r w:rsidR="007C562D" w:rsidRPr="001D1C28">
        <w:rPr>
          <w:rFonts w:ascii="Palatino Linotype" w:hAnsi="Palatino Linotype" w:cs="Arial"/>
        </w:rPr>
        <w:t xml:space="preserve"> a la solicitud de acceso a la información pública</w:t>
      </w:r>
      <w:r w:rsidRPr="001D1C28">
        <w:rPr>
          <w:rFonts w:ascii="Palatino Linotype" w:hAnsi="Palatino Linotype" w:cs="Arial"/>
          <w:b/>
        </w:rPr>
        <w:t xml:space="preserve"> </w:t>
      </w:r>
      <w:r w:rsidRPr="001D1C28">
        <w:rPr>
          <w:rFonts w:ascii="Palatino Linotype" w:hAnsi="Palatino Linotype"/>
          <w:b/>
          <w:bCs/>
        </w:rPr>
        <w:t>00445/ATIZARA/IP/2025</w:t>
      </w:r>
      <w:r w:rsidRPr="001D1C28">
        <w:rPr>
          <w:rFonts w:ascii="Palatino Linotype" w:hAnsi="Palatino Linotype" w:cs="Arial"/>
        </w:rPr>
        <w:t>,</w:t>
      </w:r>
      <w:r w:rsidRPr="001D1C28">
        <w:rPr>
          <w:rFonts w:ascii="Palatino Linotype" w:hAnsi="Palatino Linotype" w:cs="Tahoma"/>
          <w:b/>
        </w:rPr>
        <w:t xml:space="preserve"> </w:t>
      </w:r>
      <w:r w:rsidRPr="001D1C28">
        <w:rPr>
          <w:rFonts w:ascii="Palatino Linotype" w:hAnsi="Palatino Linotype" w:cs="Arial"/>
        </w:rPr>
        <w:t>por resultar fundados</w:t>
      </w:r>
      <w:r w:rsidRPr="001D1C28">
        <w:rPr>
          <w:rFonts w:ascii="Palatino Linotype" w:hAnsi="Palatino Linotype" w:cs="Arial"/>
          <w:b/>
        </w:rPr>
        <w:t xml:space="preserve"> </w:t>
      </w:r>
      <w:r w:rsidRPr="001D1C28">
        <w:rPr>
          <w:rFonts w:ascii="Palatino Linotype" w:hAnsi="Palatino Linotype" w:cs="Arial"/>
        </w:rPr>
        <w:t xml:space="preserve">los motivos de inconformidad vertidos por la parte </w:t>
      </w:r>
      <w:r w:rsidRPr="001D1C28">
        <w:rPr>
          <w:rFonts w:ascii="Palatino Linotype" w:hAnsi="Palatino Linotype" w:cs="Arial"/>
          <w:b/>
        </w:rPr>
        <w:t>Recurrente</w:t>
      </w:r>
      <w:r w:rsidRPr="001D1C28">
        <w:rPr>
          <w:rFonts w:ascii="Palatino Linotype" w:hAnsi="Palatino Linotype" w:cs="Arial"/>
        </w:rPr>
        <w:t>, en términos del considerando</w:t>
      </w:r>
      <w:r w:rsidRPr="001D1C28">
        <w:rPr>
          <w:rFonts w:ascii="Palatino Linotype" w:hAnsi="Palatino Linotype" w:cs="Arial"/>
          <w:b/>
        </w:rPr>
        <w:t xml:space="preserve"> CUARTO </w:t>
      </w:r>
      <w:r w:rsidRPr="001D1C28">
        <w:rPr>
          <w:rFonts w:ascii="Palatino Linotype" w:hAnsi="Palatino Linotype" w:cs="Arial"/>
        </w:rPr>
        <w:t>de la presente Resolución.</w:t>
      </w:r>
    </w:p>
    <w:p w:rsidR="00293CC4" w:rsidRPr="001D1C28" w:rsidRDefault="00293CC4" w:rsidP="00293CC4">
      <w:pPr>
        <w:spacing w:line="360" w:lineRule="auto"/>
        <w:jc w:val="both"/>
        <w:rPr>
          <w:rFonts w:ascii="Palatino Linotype" w:hAnsi="Palatino Linotype" w:cs="Arial"/>
        </w:rPr>
      </w:pPr>
    </w:p>
    <w:p w:rsidR="00293CC4" w:rsidRPr="001D1C28" w:rsidRDefault="00293CC4" w:rsidP="00293CC4">
      <w:pPr>
        <w:spacing w:line="360" w:lineRule="auto"/>
        <w:jc w:val="both"/>
        <w:rPr>
          <w:rFonts w:ascii="Palatino Linotype" w:hAnsi="Palatino Linotype" w:cs="Tahoma"/>
        </w:rPr>
      </w:pPr>
      <w:r w:rsidRPr="001D1C28">
        <w:rPr>
          <w:rFonts w:ascii="Palatino Linotype" w:hAnsi="Palatino Linotype" w:cs="Arial"/>
          <w:b/>
          <w:sz w:val="28"/>
        </w:rPr>
        <w:t>SEGUNDO</w:t>
      </w:r>
      <w:r w:rsidRPr="001D1C28">
        <w:rPr>
          <w:rFonts w:ascii="Palatino Linotype" w:hAnsi="Palatino Linotype" w:cs="Arial"/>
          <w:b/>
        </w:rPr>
        <w:t>.</w:t>
      </w:r>
      <w:r w:rsidRPr="001D1C28">
        <w:rPr>
          <w:rFonts w:ascii="Palatino Linotype" w:hAnsi="Palatino Linotype" w:cs="Tahoma"/>
        </w:rPr>
        <w:t xml:space="preserve"> Se </w:t>
      </w:r>
      <w:r w:rsidRPr="001D1C28">
        <w:rPr>
          <w:rFonts w:ascii="Palatino Linotype" w:hAnsi="Palatino Linotype" w:cs="Tahoma"/>
          <w:b/>
        </w:rPr>
        <w:t>ORDENA</w:t>
      </w:r>
      <w:r w:rsidRPr="001D1C28">
        <w:rPr>
          <w:rFonts w:ascii="Palatino Linotype" w:hAnsi="Palatino Linotype" w:cs="Tahoma"/>
        </w:rPr>
        <w:t xml:space="preserve"> al </w:t>
      </w:r>
      <w:r w:rsidRPr="001D1C28">
        <w:rPr>
          <w:rFonts w:ascii="Palatino Linotype" w:hAnsi="Palatino Linotype" w:cs="Tahoma"/>
          <w:b/>
        </w:rPr>
        <w:t>Sujeto Obligado,</w:t>
      </w:r>
      <w:r w:rsidRPr="001D1C28">
        <w:rPr>
          <w:rFonts w:ascii="Palatino Linotype" w:hAnsi="Palatino Linotype" w:cs="Tahoma"/>
        </w:rPr>
        <w:t xml:space="preserve"> haga entrega a la parte </w:t>
      </w:r>
      <w:r w:rsidRPr="001D1C28">
        <w:rPr>
          <w:rFonts w:ascii="Palatino Linotype" w:hAnsi="Palatino Linotype" w:cs="Tahoma"/>
          <w:b/>
        </w:rPr>
        <w:t>Recurrente</w:t>
      </w:r>
      <w:r w:rsidRPr="001D1C28">
        <w:rPr>
          <w:rFonts w:ascii="Palatino Linotype" w:hAnsi="Palatino Linotype" w:cs="Tahoma"/>
        </w:rPr>
        <w:t>, a través del Sistema de Acceso a la Información Mexiquense (</w:t>
      </w:r>
      <w:r w:rsidRPr="001D1C28">
        <w:rPr>
          <w:rFonts w:ascii="Palatino Linotype" w:hAnsi="Palatino Linotype" w:cs="Tahoma"/>
          <w:b/>
        </w:rPr>
        <w:t>SAIMEX</w:t>
      </w:r>
      <w:r w:rsidRPr="001D1C28">
        <w:rPr>
          <w:rFonts w:ascii="Palatino Linotype" w:hAnsi="Palatino Linotype" w:cs="Tahoma"/>
        </w:rPr>
        <w:t>),  en versión pública, de lo siguiente:</w:t>
      </w:r>
    </w:p>
    <w:p w:rsidR="00293CC4" w:rsidRPr="001D1C28" w:rsidRDefault="00293CC4" w:rsidP="00293CC4">
      <w:pPr>
        <w:spacing w:line="360" w:lineRule="auto"/>
        <w:jc w:val="both"/>
        <w:rPr>
          <w:rFonts w:ascii="Palatino Linotype" w:hAnsi="Palatino Linotype" w:cs="Tahoma"/>
        </w:rPr>
      </w:pPr>
    </w:p>
    <w:p w:rsidR="00E869B3" w:rsidRPr="001D1C28" w:rsidRDefault="00E869B3" w:rsidP="00E869B3">
      <w:pPr>
        <w:pStyle w:val="Prrafodelista"/>
        <w:numPr>
          <w:ilvl w:val="0"/>
          <w:numId w:val="6"/>
        </w:numPr>
        <w:spacing w:line="360" w:lineRule="auto"/>
        <w:contextualSpacing/>
        <w:jc w:val="both"/>
        <w:rPr>
          <w:rFonts w:ascii="Palatino Linotype" w:eastAsia="Palatino Linotype" w:hAnsi="Palatino Linotype" w:cs="Palatino Linotype"/>
        </w:rPr>
      </w:pPr>
      <w:r w:rsidRPr="001D1C28">
        <w:rPr>
          <w:rFonts w:ascii="Palatino Linotype" w:eastAsia="Palatino Linotype" w:hAnsi="Palatino Linotype" w:cs="Palatino Linotype"/>
        </w:rPr>
        <w:t xml:space="preserve">Conciliación de nómina de la primera quincena de </w:t>
      </w:r>
      <w:r w:rsidR="00993B13" w:rsidRPr="001D1C28">
        <w:rPr>
          <w:rFonts w:ascii="Palatino Linotype" w:eastAsia="Palatino Linotype" w:hAnsi="Palatino Linotype" w:cs="Palatino Linotype"/>
        </w:rPr>
        <w:t>enero a la segunda quincena de julio</w:t>
      </w:r>
      <w:r w:rsidRPr="001D1C28">
        <w:rPr>
          <w:rFonts w:ascii="Palatino Linotype" w:eastAsia="Palatino Linotype" w:hAnsi="Palatino Linotype" w:cs="Palatino Linotype"/>
        </w:rPr>
        <w:t xml:space="preserve"> de </w:t>
      </w:r>
      <w:r w:rsidR="00C863F6" w:rsidRPr="001D1C28">
        <w:rPr>
          <w:rFonts w:ascii="Palatino Linotype" w:hAnsi="Palatino Linotype" w:cs="Arial"/>
        </w:rPr>
        <w:t>dos mil veinticinco</w:t>
      </w:r>
      <w:r w:rsidRPr="001D1C28">
        <w:rPr>
          <w:rFonts w:ascii="Palatino Linotype" w:eastAsia="Palatino Linotype" w:hAnsi="Palatino Linotype" w:cs="Palatino Linotype"/>
        </w:rPr>
        <w:t>.</w:t>
      </w:r>
    </w:p>
    <w:p w:rsidR="00293CC4" w:rsidRPr="001D1C28" w:rsidRDefault="00E869B3" w:rsidP="00E869B3">
      <w:pPr>
        <w:pStyle w:val="Prrafodelista"/>
        <w:numPr>
          <w:ilvl w:val="0"/>
          <w:numId w:val="6"/>
        </w:numPr>
        <w:spacing w:line="360" w:lineRule="auto"/>
        <w:jc w:val="both"/>
        <w:rPr>
          <w:rFonts w:ascii="Palatino Linotype" w:hAnsi="Palatino Linotype" w:cs="Tahoma"/>
        </w:rPr>
      </w:pPr>
      <w:r w:rsidRPr="001D1C28">
        <w:rPr>
          <w:rFonts w:ascii="Palatino Linotype" w:eastAsia="Palatino Linotype" w:hAnsi="Palatino Linotype" w:cs="Palatino Linotype"/>
        </w:rPr>
        <w:t xml:space="preserve">Dispersión de nómina de la </w:t>
      </w:r>
      <w:r w:rsidR="00993B13" w:rsidRPr="001D1C28">
        <w:rPr>
          <w:rFonts w:ascii="Palatino Linotype" w:eastAsia="Palatino Linotype" w:hAnsi="Palatino Linotype" w:cs="Palatino Linotype"/>
        </w:rPr>
        <w:t xml:space="preserve">primera quincena de enero a la segunda quincena de julio de </w:t>
      </w:r>
      <w:r w:rsidR="00993B13" w:rsidRPr="001D1C28">
        <w:rPr>
          <w:rFonts w:ascii="Palatino Linotype" w:hAnsi="Palatino Linotype" w:cs="Arial"/>
        </w:rPr>
        <w:t>dos mil veinticinco</w:t>
      </w:r>
      <w:r w:rsidR="00293CC4" w:rsidRPr="001D1C28">
        <w:rPr>
          <w:rFonts w:ascii="Palatino Linotype" w:hAnsi="Palatino Linotype" w:cs="Arial"/>
        </w:rPr>
        <w:t>.</w:t>
      </w:r>
    </w:p>
    <w:p w:rsidR="00293CC4" w:rsidRPr="001D1C28" w:rsidRDefault="00293CC4" w:rsidP="00293CC4">
      <w:pPr>
        <w:pStyle w:val="INFOEM"/>
        <w:spacing w:before="0" w:after="0"/>
        <w:ind w:left="720" w:right="567"/>
      </w:pPr>
    </w:p>
    <w:p w:rsidR="00293CC4" w:rsidRPr="001D1C28" w:rsidRDefault="00293CC4" w:rsidP="00293CC4">
      <w:pPr>
        <w:spacing w:line="360" w:lineRule="auto"/>
        <w:ind w:left="720" w:right="567"/>
        <w:jc w:val="both"/>
        <w:rPr>
          <w:rFonts w:ascii="Palatino Linotype" w:eastAsiaTheme="minorHAnsi" w:hAnsi="Palatino Linotype" w:cstheme="minorBidi"/>
          <w:i/>
          <w:szCs w:val="14"/>
          <w:lang w:eastAsia="en-US"/>
        </w:rPr>
      </w:pPr>
      <w:r w:rsidRPr="001D1C28">
        <w:rPr>
          <w:rFonts w:ascii="Palatino Linotype" w:eastAsiaTheme="minorHAnsi" w:hAnsi="Palatino Linotype" w:cstheme="minorBidi"/>
          <w:i/>
          <w:szCs w:val="14"/>
          <w:lang w:eastAsia="en-US"/>
        </w:rPr>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p>
    <w:p w:rsidR="00293CC4" w:rsidRPr="001D1C28" w:rsidRDefault="00293CC4" w:rsidP="00293CC4">
      <w:pPr>
        <w:spacing w:line="360" w:lineRule="auto"/>
        <w:jc w:val="both"/>
        <w:rPr>
          <w:rFonts w:ascii="Palatino Linotype" w:hAnsi="Palatino Linotype" w:cs="Arial"/>
        </w:rPr>
      </w:pPr>
    </w:p>
    <w:p w:rsidR="00293CC4" w:rsidRPr="001D1C28" w:rsidRDefault="00293CC4" w:rsidP="00293CC4">
      <w:pPr>
        <w:spacing w:line="360" w:lineRule="auto"/>
        <w:jc w:val="both"/>
        <w:rPr>
          <w:rFonts w:ascii="Palatino Linotype" w:hAnsi="Palatino Linotype" w:cs="Tahoma"/>
          <w:bCs/>
        </w:rPr>
      </w:pPr>
      <w:r w:rsidRPr="001D1C28">
        <w:rPr>
          <w:rFonts w:ascii="Palatino Linotype" w:hAnsi="Palatino Linotype" w:cs="Arial"/>
          <w:b/>
          <w:sz w:val="28"/>
        </w:rPr>
        <w:t>TERCERO</w:t>
      </w:r>
      <w:r w:rsidRPr="001D1C28">
        <w:rPr>
          <w:rFonts w:ascii="Palatino Linotype" w:hAnsi="Palatino Linotype" w:cs="Arial"/>
          <w:b/>
        </w:rPr>
        <w:t>.</w:t>
      </w:r>
      <w:r w:rsidRPr="001D1C28">
        <w:rPr>
          <w:rFonts w:ascii="Palatino Linotype" w:hAnsi="Palatino Linotype" w:cs="Arial"/>
        </w:rPr>
        <w:t xml:space="preserve"> </w:t>
      </w:r>
      <w:r w:rsidRPr="001D1C28">
        <w:rPr>
          <w:rFonts w:ascii="Palatino Linotype" w:hAnsi="Palatino Linotype" w:cs="Tahoma"/>
          <w:b/>
        </w:rPr>
        <w:t xml:space="preserve">NOTIFÍQUESE </w:t>
      </w:r>
      <w:r w:rsidRPr="001D1C28">
        <w:rPr>
          <w:rFonts w:ascii="Palatino Linotype" w:hAnsi="Palatino Linotype" w:cs="Arial"/>
        </w:rPr>
        <w:t xml:space="preserve">a través del Sistema de Acceso a la Información Mexiquense </w:t>
      </w:r>
      <w:r w:rsidRPr="001D1C28">
        <w:rPr>
          <w:rFonts w:ascii="Palatino Linotype" w:hAnsi="Palatino Linotype" w:cs="Arial"/>
          <w:b/>
        </w:rPr>
        <w:t>(SAIMEX)</w:t>
      </w:r>
      <w:r w:rsidRPr="001D1C28">
        <w:rPr>
          <w:rFonts w:ascii="Palatino Linotype" w:hAnsi="Palatino Linotype" w:cs="Arial"/>
        </w:rPr>
        <w:t xml:space="preserve">, </w:t>
      </w:r>
      <w:r w:rsidRPr="001D1C28">
        <w:rPr>
          <w:rFonts w:ascii="Palatino Linotype" w:hAnsi="Palatino Linotype" w:cs="Tahoma"/>
        </w:rPr>
        <w:t xml:space="preserve">la presente Resolución al Titular de la Unidad de Transparencia del </w:t>
      </w:r>
      <w:r w:rsidRPr="001D1C28">
        <w:rPr>
          <w:rFonts w:ascii="Palatino Linotype" w:hAnsi="Palatino Linotype" w:cs="Tahoma"/>
          <w:b/>
        </w:rPr>
        <w:t>Sujeto Obligado</w:t>
      </w:r>
      <w:r w:rsidRPr="001D1C28">
        <w:rPr>
          <w:rFonts w:ascii="Palatino Linotype" w:hAnsi="Palatino Linotype" w:cs="Tahoma"/>
        </w:rPr>
        <w:t xml:space="preserve">, para que conforme al artículo 186 último párrafo, 189 segundo párrafo y 194 de la Ley de Transparencia y Acceso a la Información </w:t>
      </w:r>
      <w:r w:rsidRPr="001D1C28">
        <w:rPr>
          <w:rFonts w:ascii="Palatino Linotype" w:hAnsi="Palatino Linotype" w:cs="Tahoma"/>
        </w:rPr>
        <w:lastRenderedPageBreak/>
        <w:t xml:space="preserve">Pública del Estado de México y Municipios; dé cumplimiento a lo ordenado dentro del plazo de diez días hábiles, e informe a este Instituto en un plazo de tres días hábiles siguientes sobre el cumplimiento dado a la presente y, </w:t>
      </w:r>
      <w:r w:rsidRPr="001D1C28">
        <w:rPr>
          <w:rFonts w:ascii="Palatino Linotype" w:eastAsia="Palatino Linotype" w:hAnsi="Palatino Linotype" w:cs="Palatino Linotype"/>
          <w:b/>
          <w:color w:val="000000"/>
          <w:lang w:val="es-ES_tradnl" w:eastAsia="es-MX"/>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293CC4" w:rsidRPr="001D1C28" w:rsidRDefault="00293CC4" w:rsidP="00293CC4">
      <w:pPr>
        <w:spacing w:line="360" w:lineRule="auto"/>
        <w:ind w:right="-595"/>
        <w:jc w:val="both"/>
        <w:rPr>
          <w:rFonts w:ascii="Palatino Linotype" w:hAnsi="Palatino Linotype" w:cs="Tahoma"/>
          <w:bCs/>
        </w:rPr>
      </w:pPr>
    </w:p>
    <w:p w:rsidR="00293CC4" w:rsidRPr="001D1C28" w:rsidRDefault="00293CC4" w:rsidP="00293CC4">
      <w:pPr>
        <w:autoSpaceDE w:val="0"/>
        <w:autoSpaceDN w:val="0"/>
        <w:adjustRightInd w:val="0"/>
        <w:spacing w:line="360" w:lineRule="auto"/>
        <w:jc w:val="both"/>
        <w:rPr>
          <w:rFonts w:ascii="Palatino Linotype" w:hAnsi="Palatino Linotype" w:cs="Arial"/>
        </w:rPr>
      </w:pPr>
      <w:r w:rsidRPr="001D1C28">
        <w:rPr>
          <w:rFonts w:ascii="Palatino Linotype" w:hAnsi="Palatino Linotype" w:cs="Arial"/>
          <w:b/>
          <w:sz w:val="28"/>
          <w:szCs w:val="28"/>
        </w:rPr>
        <w:t>CUARTO.</w:t>
      </w:r>
      <w:r w:rsidRPr="001D1C28">
        <w:rPr>
          <w:rFonts w:ascii="Palatino Linotype" w:hAnsi="Palatino Linotype" w:cs="Arial"/>
          <w:b/>
        </w:rPr>
        <w:t xml:space="preserve"> </w:t>
      </w:r>
      <w:r w:rsidRPr="001D1C28">
        <w:rPr>
          <w:rFonts w:ascii="Palatino Linotype" w:hAnsi="Palatino Linotype" w:cs="Arial"/>
        </w:rPr>
        <w:t xml:space="preserve">De conformidad con el artículo 198 de la Ley de Transparencia y Acceso a la Información Pública del Estado de México y Municipios, de considerarlo procedente, el </w:t>
      </w:r>
      <w:r w:rsidRPr="001D1C28">
        <w:rPr>
          <w:rFonts w:ascii="Palatino Linotype" w:hAnsi="Palatino Linotype" w:cs="Arial"/>
          <w:b/>
        </w:rPr>
        <w:t>Sujeto Obligado</w:t>
      </w:r>
      <w:r w:rsidRPr="001D1C28">
        <w:rPr>
          <w:rFonts w:ascii="Palatino Linotype" w:hAnsi="Palatino Linotype" w:cs="Arial"/>
        </w:rPr>
        <w:t xml:space="preserve"> de manera fundada y motivada, podrá solicitar una ampliación de plazo para el cumplimiento de la presente resolución.</w:t>
      </w:r>
    </w:p>
    <w:p w:rsidR="00293CC4" w:rsidRPr="001D1C28" w:rsidRDefault="00293CC4" w:rsidP="00293CC4">
      <w:pPr>
        <w:autoSpaceDE w:val="0"/>
        <w:autoSpaceDN w:val="0"/>
        <w:adjustRightInd w:val="0"/>
        <w:spacing w:line="360" w:lineRule="auto"/>
        <w:jc w:val="both"/>
        <w:rPr>
          <w:rFonts w:ascii="Palatino Linotype" w:hAnsi="Palatino Linotype" w:cs="Arial"/>
        </w:rPr>
      </w:pPr>
    </w:p>
    <w:p w:rsidR="00293CC4" w:rsidRPr="001D1C28" w:rsidRDefault="00293CC4" w:rsidP="00293CC4">
      <w:pPr>
        <w:autoSpaceDE w:val="0"/>
        <w:autoSpaceDN w:val="0"/>
        <w:adjustRightInd w:val="0"/>
        <w:spacing w:line="360" w:lineRule="auto"/>
        <w:jc w:val="both"/>
        <w:rPr>
          <w:rFonts w:ascii="Palatino Linotype" w:hAnsi="Palatino Linotype" w:cs="Arial"/>
        </w:rPr>
      </w:pPr>
      <w:r w:rsidRPr="001D1C28">
        <w:rPr>
          <w:rFonts w:ascii="Palatino Linotype" w:hAnsi="Palatino Linotype"/>
          <w:b/>
          <w:sz w:val="28"/>
          <w:szCs w:val="28"/>
        </w:rPr>
        <w:t>QUINTO</w:t>
      </w:r>
      <w:r w:rsidRPr="001D1C28">
        <w:rPr>
          <w:rFonts w:ascii="Palatino Linotype" w:hAnsi="Palatino Linotype"/>
          <w:b/>
        </w:rPr>
        <w:t xml:space="preserve">. </w:t>
      </w:r>
      <w:r w:rsidRPr="001D1C28">
        <w:rPr>
          <w:rFonts w:ascii="Palatino Linotype" w:hAnsi="Palatino Linotype" w:cs="Arial"/>
          <w:b/>
        </w:rPr>
        <w:t>NOTIFÍQUESE</w:t>
      </w:r>
      <w:r w:rsidRPr="001D1C28">
        <w:rPr>
          <w:rFonts w:ascii="Palatino Linotype" w:hAnsi="Palatino Linotype" w:cs="Arial"/>
        </w:rPr>
        <w:t xml:space="preserve"> a través del Sistema de Acceso a la Información Mexiquense </w:t>
      </w:r>
      <w:r w:rsidRPr="001D1C28">
        <w:rPr>
          <w:rFonts w:ascii="Palatino Linotype" w:hAnsi="Palatino Linotype" w:cs="Arial"/>
          <w:b/>
        </w:rPr>
        <w:t>(SAIMEX)</w:t>
      </w:r>
      <w:r w:rsidRPr="001D1C28">
        <w:rPr>
          <w:rFonts w:ascii="Palatino Linotype" w:hAnsi="Palatino Linotype" w:cs="Arial"/>
        </w:rPr>
        <w:t xml:space="preserve">, al </w:t>
      </w:r>
      <w:r w:rsidRPr="001D1C28">
        <w:rPr>
          <w:rFonts w:ascii="Palatino Linotype" w:hAnsi="Palatino Linotype" w:cs="Arial"/>
          <w:b/>
        </w:rPr>
        <w:t>Recurrente</w:t>
      </w:r>
      <w:r w:rsidRPr="001D1C28">
        <w:rPr>
          <w:rFonts w:ascii="Palatino Linotype" w:hAnsi="Palatino Linotype" w:cs="Arial"/>
        </w:rPr>
        <w:t xml:space="preserve"> y hágasele del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rsidR="00293CC4" w:rsidRPr="001D1C28" w:rsidRDefault="00293CC4" w:rsidP="00293CC4">
      <w:pPr>
        <w:spacing w:line="360" w:lineRule="auto"/>
        <w:jc w:val="both"/>
        <w:rPr>
          <w:rFonts w:ascii="Palatino Linotype" w:hAnsi="Palatino Linotype" w:cs="Arial"/>
        </w:rPr>
      </w:pPr>
    </w:p>
    <w:p w:rsidR="00754A00" w:rsidRPr="001D1C28" w:rsidRDefault="00754A00" w:rsidP="00293CC4">
      <w:pPr>
        <w:spacing w:line="360" w:lineRule="auto"/>
        <w:jc w:val="both"/>
        <w:rPr>
          <w:rFonts w:ascii="Palatino Linotype" w:hAnsi="Palatino Linotype" w:cs="Arial"/>
        </w:rPr>
      </w:pPr>
    </w:p>
    <w:p w:rsidR="00754A00" w:rsidRPr="001D1C28" w:rsidRDefault="00754A00" w:rsidP="00293CC4">
      <w:pPr>
        <w:spacing w:line="360" w:lineRule="auto"/>
        <w:jc w:val="both"/>
        <w:rPr>
          <w:rFonts w:ascii="Palatino Linotype" w:hAnsi="Palatino Linotype" w:cs="Arial"/>
        </w:rPr>
      </w:pPr>
    </w:p>
    <w:p w:rsidR="00754A00" w:rsidRPr="001D1C28" w:rsidRDefault="00754A00" w:rsidP="00293CC4">
      <w:pPr>
        <w:spacing w:line="360" w:lineRule="auto"/>
        <w:jc w:val="both"/>
        <w:rPr>
          <w:rFonts w:ascii="Palatino Linotype" w:hAnsi="Palatino Linotype" w:cs="Arial"/>
        </w:rPr>
      </w:pPr>
    </w:p>
    <w:p w:rsidR="00754A00" w:rsidRPr="001D1C28" w:rsidRDefault="00754A00" w:rsidP="00293CC4">
      <w:pPr>
        <w:spacing w:line="360" w:lineRule="auto"/>
        <w:jc w:val="both"/>
        <w:rPr>
          <w:rFonts w:ascii="Palatino Linotype" w:hAnsi="Palatino Linotype" w:cs="Arial"/>
        </w:rPr>
      </w:pPr>
    </w:p>
    <w:p w:rsidR="00754A00" w:rsidRPr="001D1C28" w:rsidRDefault="00754A00" w:rsidP="00293CC4">
      <w:pPr>
        <w:spacing w:line="360" w:lineRule="auto"/>
        <w:jc w:val="both"/>
        <w:rPr>
          <w:rFonts w:ascii="Palatino Linotype" w:hAnsi="Palatino Linotype" w:cs="Arial"/>
        </w:rPr>
      </w:pPr>
    </w:p>
    <w:p w:rsidR="00754A00" w:rsidRPr="001D1C28" w:rsidRDefault="001D1C28" w:rsidP="00293CC4">
      <w:pPr>
        <w:spacing w:line="360" w:lineRule="auto"/>
        <w:jc w:val="both"/>
        <w:rPr>
          <w:rFonts w:ascii="Palatino Linotype" w:hAnsi="Palatino Linotype" w:cs="Arial"/>
        </w:rPr>
      </w:pPr>
      <w:r w:rsidRPr="001D1C28">
        <w:rPr>
          <w:rFonts w:ascii="Palatino Linotype" w:eastAsiaTheme="minorHAnsi" w:hAnsi="Palatino Linotype" w:cs="Arial"/>
          <w:lang w:val="es-MX" w:eastAsia="en-US"/>
        </w:rPr>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(AUSENCIA JUSTIFICADA) Y GUADALUPE RAMÍREZ PEÑA (AUSENCIA JUSTIFICADA); EN LA DÉCIMA SÉPTIMA SESIÓN ORDINARIA CELEBRADA EL TRECE DE MAYO DE DOS MIL VEINTISÉIS, ANTE EL SECRETARIO TÉCNICO DEL PLENO, ALEXIS TAPIA RAMÍREZ</w:t>
      </w:r>
      <w:r w:rsidR="00293CC4" w:rsidRPr="001D1C28">
        <w:rPr>
          <w:rFonts w:ascii="Palatino Linotype" w:hAnsi="Palatino Linotype" w:cs="Arial"/>
        </w:rPr>
        <w:t>. --------------------------------------------------------------------------------------------------</w:t>
      </w:r>
      <w:r w:rsidR="00754A00" w:rsidRPr="001D1C28">
        <w:rPr>
          <w:rFonts w:ascii="Palatino Linotype" w:hAnsi="Palatino Linotype" w:cs="Arial"/>
        </w:rPr>
        <w:t>------------------------------------------------------------------------------------------------------------------------------------------------------------------------------------------------------------------------------------------------------------------------------------------------------------------------------------------------------------------------------------------------------------------------------------------------------------------------------------------------------------------------------------------------------------------------------------------------------------------------------------------------------------------------------------------------------------------------------------------------------------------------------------------------------------------------------------------------------------------------------------------------------------------------------------------------------------------------------------------------------------------------------------------------------------------------------------------------------------------------------------------------------------------------------------------------------------------------</w:t>
      </w:r>
    </w:p>
    <w:p w:rsidR="00293CC4" w:rsidRDefault="00293CC4" w:rsidP="00293CC4">
      <w:pPr>
        <w:spacing w:line="360" w:lineRule="auto"/>
        <w:jc w:val="both"/>
        <w:rPr>
          <w:rFonts w:ascii="Palatino Linotype" w:hAnsi="Palatino Linotype" w:cs="Arial"/>
          <w:sz w:val="16"/>
        </w:rPr>
      </w:pPr>
      <w:r w:rsidRPr="001D1C28">
        <w:rPr>
          <w:rFonts w:ascii="Palatino Linotype" w:hAnsi="Palatino Linotype" w:cs="Arial"/>
          <w:sz w:val="16"/>
        </w:rPr>
        <w:t>JMV/CCR/LMST</w:t>
      </w:r>
    </w:p>
    <w:p w:rsidR="00293CC4" w:rsidRDefault="00293CC4" w:rsidP="00293CC4"/>
    <w:p w:rsidR="00293CC4" w:rsidRDefault="00293CC4" w:rsidP="00293CC4"/>
    <w:p w:rsidR="00293CC4" w:rsidRDefault="00293CC4" w:rsidP="00293CC4"/>
    <w:p w:rsidR="00293CC4" w:rsidRDefault="00293CC4" w:rsidP="00293CC4"/>
    <w:p w:rsidR="00293CC4" w:rsidRDefault="00293CC4" w:rsidP="00293CC4"/>
    <w:p w:rsidR="00293CC4" w:rsidRDefault="00293CC4" w:rsidP="00293CC4"/>
    <w:p w:rsidR="00293CC4" w:rsidRDefault="00293CC4" w:rsidP="00293CC4"/>
    <w:p w:rsidR="00293CC4" w:rsidRDefault="00293CC4" w:rsidP="00293CC4"/>
    <w:p w:rsidR="00293CC4" w:rsidRDefault="00293CC4" w:rsidP="00293CC4"/>
    <w:p w:rsidR="00293CC4" w:rsidRDefault="00293CC4" w:rsidP="00293CC4"/>
    <w:p w:rsidR="00293CC4" w:rsidRDefault="00293CC4" w:rsidP="00293CC4"/>
    <w:p w:rsidR="00293CC4" w:rsidRDefault="00293CC4" w:rsidP="00293CC4"/>
    <w:p w:rsidR="00293CC4" w:rsidRDefault="00293CC4" w:rsidP="00293CC4"/>
    <w:p w:rsidR="00293CC4" w:rsidRDefault="00293CC4" w:rsidP="00293CC4"/>
    <w:p w:rsidR="00293CC4" w:rsidRDefault="00293CC4" w:rsidP="00293CC4"/>
    <w:p w:rsidR="00293CC4" w:rsidRDefault="00293CC4" w:rsidP="00293CC4"/>
    <w:p w:rsidR="00293CC4" w:rsidRDefault="00293CC4" w:rsidP="00293CC4"/>
    <w:p w:rsidR="00293CC4" w:rsidRDefault="00293CC4" w:rsidP="00293CC4"/>
    <w:p w:rsidR="00293CC4" w:rsidRDefault="00293CC4" w:rsidP="00293CC4"/>
    <w:p w:rsidR="00293CC4" w:rsidRDefault="00293CC4" w:rsidP="00293CC4"/>
    <w:p w:rsidR="00293CC4" w:rsidRDefault="00293CC4" w:rsidP="00293CC4"/>
    <w:p w:rsidR="00293CC4" w:rsidRDefault="00293CC4" w:rsidP="00293CC4"/>
    <w:p w:rsidR="00293CC4" w:rsidRDefault="00293CC4" w:rsidP="00293CC4"/>
    <w:p w:rsidR="00293CC4" w:rsidRDefault="00293CC4" w:rsidP="00293CC4"/>
    <w:p w:rsidR="00293CC4" w:rsidRDefault="00293CC4" w:rsidP="00293CC4"/>
    <w:p w:rsidR="00293CC4" w:rsidRDefault="00293CC4" w:rsidP="00293CC4"/>
    <w:p w:rsidR="00293CC4" w:rsidRDefault="00293CC4" w:rsidP="00293CC4"/>
    <w:p w:rsidR="00293CC4" w:rsidRDefault="00293CC4" w:rsidP="00293CC4"/>
    <w:p w:rsidR="00293CC4" w:rsidRDefault="00293CC4" w:rsidP="00293CC4"/>
    <w:p w:rsidR="00293CC4" w:rsidRDefault="00293CC4" w:rsidP="00293CC4"/>
    <w:p w:rsidR="00293CC4" w:rsidRDefault="00293CC4" w:rsidP="00293CC4"/>
    <w:p w:rsidR="00293CC4" w:rsidRDefault="00293CC4" w:rsidP="00293CC4"/>
    <w:p w:rsidR="00293CC4" w:rsidRDefault="00293CC4" w:rsidP="00293CC4"/>
    <w:p w:rsidR="00293CC4" w:rsidRDefault="00293CC4" w:rsidP="00293CC4"/>
    <w:p w:rsidR="00293CC4" w:rsidRDefault="00293CC4" w:rsidP="00293CC4"/>
    <w:p w:rsidR="00293CC4" w:rsidRDefault="00293CC4" w:rsidP="00293CC4"/>
    <w:p w:rsidR="00293CC4" w:rsidRDefault="00293CC4" w:rsidP="00293CC4"/>
    <w:p w:rsidR="00293CC4" w:rsidRDefault="00293CC4" w:rsidP="00293CC4"/>
    <w:p w:rsidR="00293CC4" w:rsidRDefault="00293CC4" w:rsidP="00293CC4"/>
    <w:p w:rsidR="00293CC4" w:rsidRDefault="00293CC4" w:rsidP="00293CC4"/>
    <w:p w:rsidR="00293CC4" w:rsidRDefault="00293CC4" w:rsidP="00293CC4"/>
    <w:p w:rsidR="00293CC4" w:rsidRDefault="00293CC4" w:rsidP="00293CC4"/>
    <w:p w:rsidR="00293CC4" w:rsidRDefault="00293CC4" w:rsidP="00293CC4"/>
    <w:p w:rsidR="00053676" w:rsidRDefault="00053676"/>
    <w:sectPr w:rsidR="00053676" w:rsidSect="00785A65">
      <w:headerReference w:type="default" r:id="rId16"/>
      <w:footerReference w:type="default" r:id="rId17"/>
      <w:headerReference w:type="first" r:id="rId18"/>
      <w:footerReference w:type="first" r:id="rId19"/>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2213" w:rsidRDefault="00D42213" w:rsidP="00293CC4">
      <w:r>
        <w:separator/>
      </w:r>
    </w:p>
  </w:endnote>
  <w:endnote w:type="continuationSeparator" w:id="0">
    <w:p w:rsidR="00D42213" w:rsidRDefault="00D42213" w:rsidP="00293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3AC1" w:rsidRPr="00A2780F" w:rsidRDefault="00E03AC1" w:rsidP="00785A65">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7F24FA">
      <w:rPr>
        <w:rFonts w:ascii="Arial" w:hAnsi="Arial" w:cs="Arial"/>
        <w:b/>
        <w:bCs/>
        <w:noProof/>
        <w:sz w:val="20"/>
        <w:szCs w:val="20"/>
      </w:rPr>
      <w:t>20</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7F24FA">
      <w:rPr>
        <w:rFonts w:ascii="Arial" w:hAnsi="Arial" w:cs="Arial"/>
        <w:b/>
        <w:bCs/>
        <w:noProof/>
        <w:sz w:val="20"/>
        <w:szCs w:val="20"/>
      </w:rPr>
      <w:t>60</w:t>
    </w:r>
    <w:r w:rsidRPr="00986599">
      <w:rPr>
        <w:rFonts w:ascii="Arial" w:hAnsi="Arial" w:cs="Arial"/>
        <w:b/>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3AC1" w:rsidRPr="00070856" w:rsidRDefault="00E03AC1" w:rsidP="00785A65">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7F24FA">
      <w:rPr>
        <w:rFonts w:ascii="Arial" w:hAnsi="Arial" w:cs="Arial"/>
        <w:b/>
        <w:bCs/>
        <w:noProof/>
        <w:sz w:val="20"/>
        <w:szCs w:val="20"/>
      </w:rPr>
      <w:t>1</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7F24FA">
      <w:rPr>
        <w:rFonts w:ascii="Arial" w:hAnsi="Arial" w:cs="Arial"/>
        <w:b/>
        <w:bCs/>
        <w:noProof/>
        <w:sz w:val="20"/>
        <w:szCs w:val="20"/>
      </w:rPr>
      <w:t>60</w:t>
    </w:r>
    <w:r w:rsidRPr="00986599">
      <w:rPr>
        <w:rFonts w:ascii="Arial" w:hAnsi="Arial" w:cs="Arial"/>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2213" w:rsidRDefault="00D42213" w:rsidP="00293CC4">
      <w:r>
        <w:separator/>
      </w:r>
    </w:p>
  </w:footnote>
  <w:footnote w:type="continuationSeparator" w:id="0">
    <w:p w:rsidR="00D42213" w:rsidRDefault="00D42213" w:rsidP="00293CC4">
      <w:r>
        <w:continuationSeparator/>
      </w:r>
    </w:p>
  </w:footnote>
  <w:footnote w:id="1">
    <w:p w:rsidR="00E03AC1" w:rsidRPr="005552A8" w:rsidRDefault="00E03AC1" w:rsidP="00293CC4">
      <w:pPr>
        <w:jc w:val="both"/>
        <w:rPr>
          <w:rFonts w:ascii="Palatino Linotype" w:hAnsi="Palatino Linotype"/>
          <w:b/>
          <w:bCs/>
          <w:i/>
          <w:sz w:val="16"/>
          <w:szCs w:val="16"/>
          <w:lang w:eastAsia="es-MX"/>
        </w:rPr>
      </w:pPr>
      <w:r>
        <w:rPr>
          <w:rStyle w:val="Refdenotaalpie"/>
        </w:rPr>
        <w:footnoteRef/>
      </w:r>
      <w:r>
        <w:t xml:space="preserve"> </w:t>
      </w:r>
      <w:r w:rsidRPr="005552A8">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rsidR="00E03AC1" w:rsidRPr="005552A8" w:rsidRDefault="00E03AC1" w:rsidP="00293CC4">
      <w:pPr>
        <w:jc w:val="both"/>
        <w:rPr>
          <w:rFonts w:ascii="Palatino Linotype" w:hAnsi="Palatino Linotype"/>
          <w:i/>
          <w:sz w:val="16"/>
          <w:szCs w:val="16"/>
        </w:rPr>
      </w:pPr>
      <w:r w:rsidRPr="005552A8">
        <w:rPr>
          <w:rFonts w:ascii="Palatino Linotype" w:hAnsi="Palatino Linotype"/>
          <w:i/>
          <w:sz w:val="16"/>
          <w:szCs w:val="16"/>
        </w:rPr>
        <w:t>Del examen de compatibilidad de los artículos</w:t>
      </w:r>
      <w:r w:rsidRPr="005552A8">
        <w:rPr>
          <w:rStyle w:val="apple-converted-space"/>
          <w:rFonts w:ascii="Palatino Linotype" w:hAnsi="Palatino Linotype"/>
          <w:i/>
          <w:sz w:val="16"/>
          <w:szCs w:val="16"/>
        </w:rPr>
        <w:t> </w:t>
      </w:r>
      <w:hyperlink r:id="rId1" w:history="1">
        <w:r w:rsidRPr="005552A8">
          <w:rPr>
            <w:rStyle w:val="Hipervnculo"/>
            <w:rFonts w:ascii="Palatino Linotype" w:hAnsi="Palatino Linotype"/>
            <w:i/>
            <w:sz w:val="16"/>
            <w:szCs w:val="16"/>
          </w:rPr>
          <w:t>73 y 74 de la Ley de Amparo</w:t>
        </w:r>
      </w:hyperlink>
      <w:r w:rsidRPr="005552A8">
        <w:rPr>
          <w:rStyle w:val="apple-converted-space"/>
          <w:rFonts w:ascii="Palatino Linotype" w:hAnsi="Palatino Linotype"/>
          <w:i/>
          <w:sz w:val="16"/>
          <w:szCs w:val="16"/>
        </w:rPr>
        <w:t> </w:t>
      </w:r>
      <w:r w:rsidRPr="005552A8">
        <w:rPr>
          <w:rFonts w:ascii="Palatino Linotype" w:hAnsi="Palatino Linotype"/>
          <w:i/>
          <w:sz w:val="16"/>
          <w:szCs w:val="16"/>
        </w:rPr>
        <w:t>con el artículo</w:t>
      </w:r>
      <w:r w:rsidRPr="005552A8">
        <w:rPr>
          <w:rStyle w:val="apple-converted-space"/>
          <w:rFonts w:ascii="Palatino Linotype" w:hAnsi="Palatino Linotype"/>
          <w:i/>
          <w:sz w:val="16"/>
          <w:szCs w:val="16"/>
        </w:rPr>
        <w:t> </w:t>
      </w:r>
      <w:hyperlink r:id="rId2" w:history="1">
        <w:r w:rsidRPr="005552A8">
          <w:rPr>
            <w:rStyle w:val="Hipervnculo"/>
            <w:rFonts w:ascii="Palatino Linotype" w:hAnsi="Palatino Linotype"/>
            <w:i/>
            <w:sz w:val="16"/>
            <w:szCs w:val="16"/>
          </w:rPr>
          <w:t>25.1 de la Convención Americana sobre Derechos Humanos</w:t>
        </w:r>
      </w:hyperlink>
      <w:r w:rsidRPr="005552A8">
        <w:rPr>
          <w:rStyle w:val="apple-converted-space"/>
          <w:rFonts w:ascii="Palatino Linotype" w:hAnsi="Palatino Linotype"/>
          <w:i/>
          <w:sz w:val="16"/>
          <w:szCs w:val="16"/>
        </w:rPr>
        <w:t> </w:t>
      </w:r>
      <w:r w:rsidRPr="005552A8">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5552A8">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872" w:type="dxa"/>
      <w:tblInd w:w="1200" w:type="dxa"/>
      <w:tblLayout w:type="fixed"/>
      <w:tblLook w:val="04A0" w:firstRow="1" w:lastRow="0" w:firstColumn="1" w:lastColumn="0" w:noHBand="0" w:noVBand="1"/>
    </w:tblPr>
    <w:tblGrid>
      <w:gridCol w:w="3620"/>
      <w:gridCol w:w="4252"/>
    </w:tblGrid>
    <w:tr w:rsidR="00E03AC1" w:rsidRPr="008F2CCC" w:rsidTr="00785A65">
      <w:tc>
        <w:tcPr>
          <w:tcW w:w="3620" w:type="dxa"/>
          <w:shd w:val="clear" w:color="auto" w:fill="auto"/>
        </w:tcPr>
        <w:p w:rsidR="00E03AC1" w:rsidRPr="007E5FC4" w:rsidRDefault="00E03AC1" w:rsidP="00785A65">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252" w:type="dxa"/>
          <w:shd w:val="clear" w:color="auto" w:fill="auto"/>
          <w:vAlign w:val="center"/>
        </w:tcPr>
        <w:p w:rsidR="00E03AC1" w:rsidRPr="00664658" w:rsidRDefault="00E03AC1" w:rsidP="00293CC4">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010835/INFOEM/IP/RR/2025</w:t>
          </w:r>
        </w:p>
      </w:tc>
    </w:tr>
    <w:tr w:rsidR="00E03AC1" w:rsidRPr="008F2CCC" w:rsidTr="00785A65">
      <w:tc>
        <w:tcPr>
          <w:tcW w:w="3620" w:type="dxa"/>
          <w:shd w:val="clear" w:color="auto" w:fill="auto"/>
        </w:tcPr>
        <w:p w:rsidR="00E03AC1" w:rsidRPr="007E5FC4" w:rsidRDefault="00E03AC1" w:rsidP="00785A65">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252" w:type="dxa"/>
          <w:shd w:val="clear" w:color="auto" w:fill="auto"/>
          <w:vAlign w:val="center"/>
        </w:tcPr>
        <w:p w:rsidR="00E03AC1" w:rsidRPr="00664658" w:rsidRDefault="00E03AC1" w:rsidP="00785A65">
          <w:pPr>
            <w:spacing w:line="276" w:lineRule="auto"/>
            <w:jc w:val="right"/>
            <w:rPr>
              <w:rFonts w:ascii="Palatino Linotype" w:hAnsi="Palatino Linotype"/>
              <w:b/>
              <w:sz w:val="22"/>
              <w:szCs w:val="22"/>
              <w:lang w:val="es-ES_tradnl"/>
            </w:rPr>
          </w:pPr>
          <w:r w:rsidRPr="00293CC4">
            <w:rPr>
              <w:rFonts w:ascii="Palatino Linotype" w:hAnsi="Palatino Linotype"/>
              <w:b/>
              <w:sz w:val="22"/>
              <w:szCs w:val="22"/>
            </w:rPr>
            <w:t>Ayuntamiento de Atizapán de Zaragoza</w:t>
          </w:r>
        </w:p>
      </w:tc>
    </w:tr>
    <w:tr w:rsidR="00E03AC1" w:rsidRPr="008F2CCC" w:rsidTr="00785A65">
      <w:trPr>
        <w:trHeight w:val="228"/>
      </w:trPr>
      <w:tc>
        <w:tcPr>
          <w:tcW w:w="3620" w:type="dxa"/>
          <w:shd w:val="clear" w:color="auto" w:fill="auto"/>
        </w:tcPr>
        <w:p w:rsidR="00E03AC1" w:rsidRPr="007E5FC4" w:rsidRDefault="00E03AC1" w:rsidP="00785A65">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252" w:type="dxa"/>
          <w:shd w:val="clear" w:color="auto" w:fill="auto"/>
        </w:tcPr>
        <w:p w:rsidR="00E03AC1" w:rsidRPr="00664658" w:rsidRDefault="00E03AC1" w:rsidP="00785A65">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E03AC1" w:rsidRDefault="00E03AC1" w:rsidP="00785A65">
    <w:pPr>
      <w:pStyle w:val="Encabezado"/>
      <w:tabs>
        <w:tab w:val="clear" w:pos="4252"/>
        <w:tab w:val="clear" w:pos="8504"/>
        <w:tab w:val="left" w:pos="2326"/>
      </w:tabs>
      <w:rPr>
        <w:rFonts w:ascii="Palatino Linotype" w:hAnsi="Palatino Linotype"/>
        <w:sz w:val="20"/>
      </w:rPr>
    </w:pPr>
  </w:p>
  <w:p w:rsidR="00E03AC1" w:rsidRPr="001779E0" w:rsidRDefault="00E03AC1" w:rsidP="00785A65">
    <w:pPr>
      <w:pStyle w:val="Encabezado"/>
      <w:tabs>
        <w:tab w:val="clear" w:pos="4252"/>
        <w:tab w:val="clear" w:pos="8504"/>
        <w:tab w:val="left" w:pos="2326"/>
      </w:tabs>
      <w:rPr>
        <w:rFonts w:ascii="Palatino Linotype" w:hAnsi="Palatino Linotype"/>
        <w:sz w:val="20"/>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6EB15C82" wp14:editId="2536E0B0">
          <wp:simplePos x="0" y="0"/>
          <wp:positionH relativeFrom="page">
            <wp:align>left</wp:align>
          </wp:positionH>
          <wp:positionV relativeFrom="page">
            <wp:posOffset>35560</wp:posOffset>
          </wp:positionV>
          <wp:extent cx="7705725" cy="10048875"/>
          <wp:effectExtent l="0" t="0" r="9525" b="9525"/>
          <wp:wrapNone/>
          <wp:docPr id="7" name="Imagen 7"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513" w:type="dxa"/>
      <w:tblInd w:w="1635" w:type="dxa"/>
      <w:tblLayout w:type="fixed"/>
      <w:tblLook w:val="04A0" w:firstRow="1" w:lastRow="0" w:firstColumn="1" w:lastColumn="0" w:noHBand="0" w:noVBand="1"/>
    </w:tblPr>
    <w:tblGrid>
      <w:gridCol w:w="2977"/>
      <w:gridCol w:w="4536"/>
    </w:tblGrid>
    <w:tr w:rsidR="00E03AC1" w:rsidRPr="008F2CCC" w:rsidTr="00785A65">
      <w:tc>
        <w:tcPr>
          <w:tcW w:w="2977" w:type="dxa"/>
          <w:shd w:val="clear" w:color="auto" w:fill="auto"/>
        </w:tcPr>
        <w:p w:rsidR="00E03AC1" w:rsidRPr="007E5FC4" w:rsidRDefault="00E03AC1" w:rsidP="00785A65">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536" w:type="dxa"/>
          <w:shd w:val="clear" w:color="auto" w:fill="auto"/>
          <w:vAlign w:val="center"/>
        </w:tcPr>
        <w:p w:rsidR="00E03AC1" w:rsidRPr="008F2CCC" w:rsidRDefault="00E03AC1" w:rsidP="00293CC4">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010835/INFOEM/IP/RR/2025</w:t>
          </w:r>
        </w:p>
      </w:tc>
    </w:tr>
    <w:tr w:rsidR="00E03AC1" w:rsidRPr="008F2CCC" w:rsidTr="00785A65">
      <w:tc>
        <w:tcPr>
          <w:tcW w:w="2977" w:type="dxa"/>
          <w:shd w:val="clear" w:color="auto" w:fill="auto"/>
          <w:vAlign w:val="center"/>
        </w:tcPr>
        <w:p w:rsidR="00E03AC1" w:rsidRPr="007E5FC4" w:rsidRDefault="00E03AC1" w:rsidP="00785A65">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Recurrente:</w:t>
          </w:r>
        </w:p>
      </w:tc>
      <w:tc>
        <w:tcPr>
          <w:tcW w:w="4536" w:type="dxa"/>
          <w:shd w:val="clear" w:color="auto" w:fill="auto"/>
          <w:vAlign w:val="center"/>
        </w:tcPr>
        <w:p w:rsidR="00E03AC1" w:rsidRPr="008F2CCC" w:rsidRDefault="007F24FA" w:rsidP="00785A65">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XXXX</w:t>
          </w:r>
        </w:p>
      </w:tc>
    </w:tr>
    <w:tr w:rsidR="00E03AC1" w:rsidRPr="008F2CCC" w:rsidTr="00785A65">
      <w:trPr>
        <w:trHeight w:val="228"/>
      </w:trPr>
      <w:tc>
        <w:tcPr>
          <w:tcW w:w="2977" w:type="dxa"/>
          <w:shd w:val="clear" w:color="auto" w:fill="auto"/>
        </w:tcPr>
        <w:p w:rsidR="00E03AC1" w:rsidRPr="007E5FC4" w:rsidRDefault="00E03AC1" w:rsidP="00785A65">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536" w:type="dxa"/>
          <w:shd w:val="clear" w:color="auto" w:fill="auto"/>
          <w:vAlign w:val="center"/>
        </w:tcPr>
        <w:p w:rsidR="00E03AC1" w:rsidRPr="00DC41C8" w:rsidRDefault="00E03AC1" w:rsidP="00785A65">
          <w:pPr>
            <w:spacing w:line="360" w:lineRule="auto"/>
            <w:jc w:val="right"/>
            <w:rPr>
              <w:rFonts w:ascii="Palatino Linotype" w:hAnsi="Palatino Linotype"/>
              <w:b/>
              <w:sz w:val="22"/>
              <w:szCs w:val="22"/>
            </w:rPr>
          </w:pPr>
          <w:r w:rsidRPr="00293CC4">
            <w:rPr>
              <w:rFonts w:ascii="Palatino Linotype" w:hAnsi="Palatino Linotype"/>
              <w:b/>
              <w:sz w:val="22"/>
              <w:szCs w:val="22"/>
            </w:rPr>
            <w:t>Ayuntamiento de Atizapán de Zaragoza</w:t>
          </w:r>
        </w:p>
      </w:tc>
    </w:tr>
    <w:tr w:rsidR="00E03AC1" w:rsidRPr="008F2CCC" w:rsidTr="00785A65">
      <w:tc>
        <w:tcPr>
          <w:tcW w:w="2977" w:type="dxa"/>
          <w:shd w:val="clear" w:color="auto" w:fill="auto"/>
        </w:tcPr>
        <w:p w:rsidR="00E03AC1" w:rsidRPr="007E5FC4" w:rsidRDefault="00E03AC1" w:rsidP="00785A65">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536" w:type="dxa"/>
          <w:shd w:val="clear" w:color="auto" w:fill="auto"/>
        </w:tcPr>
        <w:p w:rsidR="00E03AC1" w:rsidRPr="008F2CCC" w:rsidRDefault="00E03AC1" w:rsidP="00785A65">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E03AC1" w:rsidRPr="009F1AB6" w:rsidRDefault="00E03AC1">
    <w:pPr>
      <w:pStyle w:val="Encabezado"/>
      <w:rPr>
        <w:sz w:val="10"/>
      </w:rPr>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45568459" wp14:editId="23201DF4">
          <wp:simplePos x="0" y="0"/>
          <wp:positionH relativeFrom="page">
            <wp:align>left</wp:align>
          </wp:positionH>
          <wp:positionV relativeFrom="page">
            <wp:align>top</wp:align>
          </wp:positionV>
          <wp:extent cx="7705725" cy="10048875"/>
          <wp:effectExtent l="0" t="0" r="9525" b="9525"/>
          <wp:wrapNone/>
          <wp:docPr id="4" name="Imagen 4"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962C62"/>
    <w:multiLevelType w:val="hybridMultilevel"/>
    <w:tmpl w:val="8E12CAEA"/>
    <w:lvl w:ilvl="0" w:tplc="23C6EB04">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 w15:restartNumberingAfterBreak="0">
    <w:nsid w:val="0C4A1608"/>
    <w:multiLevelType w:val="hybridMultilevel"/>
    <w:tmpl w:val="2962F40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1B1660F"/>
    <w:multiLevelType w:val="hybridMultilevel"/>
    <w:tmpl w:val="5F26B76E"/>
    <w:lvl w:ilvl="0" w:tplc="BCE426F2">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3" w15:restartNumberingAfterBreak="0">
    <w:nsid w:val="17EE4876"/>
    <w:multiLevelType w:val="hybridMultilevel"/>
    <w:tmpl w:val="B7000F1C"/>
    <w:lvl w:ilvl="0" w:tplc="DB98E182">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4" w15:restartNumberingAfterBreak="0">
    <w:nsid w:val="1B763CCF"/>
    <w:multiLevelType w:val="hybridMultilevel"/>
    <w:tmpl w:val="D584B0C0"/>
    <w:lvl w:ilvl="0" w:tplc="7DBAA7A4">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5" w15:restartNumberingAfterBreak="0">
    <w:nsid w:val="1CC20037"/>
    <w:multiLevelType w:val="hybridMultilevel"/>
    <w:tmpl w:val="445E615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4091E63"/>
    <w:multiLevelType w:val="hybridMultilevel"/>
    <w:tmpl w:val="E820D280"/>
    <w:lvl w:ilvl="0" w:tplc="A15A7D14">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7" w15:restartNumberingAfterBreak="0">
    <w:nsid w:val="299D16A8"/>
    <w:multiLevelType w:val="hybridMultilevel"/>
    <w:tmpl w:val="406005E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9AA0EA7"/>
    <w:multiLevelType w:val="hybridMultilevel"/>
    <w:tmpl w:val="0304EA46"/>
    <w:lvl w:ilvl="0" w:tplc="FBE642C6">
      <w:start w:val="1"/>
      <w:numFmt w:val="lowerLetter"/>
      <w:lvlText w:val="%1)"/>
      <w:lvlJc w:val="left"/>
      <w:pPr>
        <w:ind w:left="709" w:hanging="425"/>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C2F523E"/>
    <w:multiLevelType w:val="hybridMultilevel"/>
    <w:tmpl w:val="2EDC11E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0CF2C4D"/>
    <w:multiLevelType w:val="hybridMultilevel"/>
    <w:tmpl w:val="8834BD4E"/>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0">
    <w:nsid w:val="37DB1117"/>
    <w:multiLevelType w:val="hybridMultilevel"/>
    <w:tmpl w:val="B2E820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4B73D4F"/>
    <w:multiLevelType w:val="hybridMultilevel"/>
    <w:tmpl w:val="4D4AA1E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3" w15:restartNumberingAfterBreak="0">
    <w:nsid w:val="648465CA"/>
    <w:multiLevelType w:val="hybridMultilevel"/>
    <w:tmpl w:val="C62AD3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1"/>
  </w:num>
  <w:num w:numId="3">
    <w:abstractNumId w:val="4"/>
  </w:num>
  <w:num w:numId="4">
    <w:abstractNumId w:val="5"/>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2"/>
  </w:num>
  <w:num w:numId="8">
    <w:abstractNumId w:val="6"/>
  </w:num>
  <w:num w:numId="9">
    <w:abstractNumId w:val="3"/>
  </w:num>
  <w:num w:numId="10">
    <w:abstractNumId w:val="0"/>
  </w:num>
  <w:num w:numId="11">
    <w:abstractNumId w:val="2"/>
  </w:num>
  <w:num w:numId="12">
    <w:abstractNumId w:val="11"/>
  </w:num>
  <w:num w:numId="13">
    <w:abstractNumId w:val="8"/>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CC4"/>
    <w:rsid w:val="00053676"/>
    <w:rsid w:val="001B0ECA"/>
    <w:rsid w:val="001D1C28"/>
    <w:rsid w:val="00277968"/>
    <w:rsid w:val="00293CC4"/>
    <w:rsid w:val="004A3335"/>
    <w:rsid w:val="005C3F4E"/>
    <w:rsid w:val="005E63A9"/>
    <w:rsid w:val="00670D95"/>
    <w:rsid w:val="007279B5"/>
    <w:rsid w:val="00747638"/>
    <w:rsid w:val="0075429A"/>
    <w:rsid w:val="00754A00"/>
    <w:rsid w:val="00757A78"/>
    <w:rsid w:val="00785A65"/>
    <w:rsid w:val="007C562D"/>
    <w:rsid w:val="007F24FA"/>
    <w:rsid w:val="00853AC2"/>
    <w:rsid w:val="0088522B"/>
    <w:rsid w:val="00993B13"/>
    <w:rsid w:val="009E1E95"/>
    <w:rsid w:val="00A32B98"/>
    <w:rsid w:val="00B20036"/>
    <w:rsid w:val="00C045FD"/>
    <w:rsid w:val="00C863F6"/>
    <w:rsid w:val="00D42213"/>
    <w:rsid w:val="00DD34A7"/>
    <w:rsid w:val="00E03AC1"/>
    <w:rsid w:val="00E150D1"/>
    <w:rsid w:val="00E869B3"/>
    <w:rsid w:val="00F64C0E"/>
    <w:rsid w:val="00F833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BE374E-E4DF-47F0-9545-20390F65C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3CC4"/>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93CC4"/>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293CC4"/>
    <w:rPr>
      <w:rFonts w:eastAsiaTheme="minorEastAsia"/>
      <w:sz w:val="24"/>
      <w:szCs w:val="24"/>
      <w:lang w:val="es-ES_tradnl" w:eastAsia="es-ES"/>
    </w:rPr>
  </w:style>
  <w:style w:type="paragraph" w:styleId="Piedepgina">
    <w:name w:val="footer"/>
    <w:basedOn w:val="Normal"/>
    <w:link w:val="PiedepginaCar"/>
    <w:uiPriority w:val="99"/>
    <w:unhideWhenUsed/>
    <w:rsid w:val="00293CC4"/>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293CC4"/>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293CC4"/>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293CC4"/>
    <w:rPr>
      <w:rFonts w:ascii="Times New Roman" w:eastAsia="Times New Roman" w:hAnsi="Times New Roman" w:cs="Times New Roman"/>
      <w:sz w:val="24"/>
      <w:szCs w:val="24"/>
      <w:lang w:val="es-ES" w:eastAsia="es-ES"/>
    </w:rPr>
  </w:style>
  <w:style w:type="paragraph" w:styleId="Sinespaciado">
    <w:name w:val="No Spacing"/>
    <w:aliases w:val="Francesa,INAI"/>
    <w:link w:val="SinespaciadoCar"/>
    <w:uiPriority w:val="1"/>
    <w:qFormat/>
    <w:rsid w:val="00293CC4"/>
    <w:pPr>
      <w:spacing w:after="0" w:line="240" w:lineRule="auto"/>
    </w:pPr>
  </w:style>
  <w:style w:type="character" w:customStyle="1" w:styleId="SinespaciadoCar">
    <w:name w:val="Sin espaciado Car"/>
    <w:aliases w:val="Francesa Car,INAI Car"/>
    <w:link w:val="Sinespaciado"/>
    <w:uiPriority w:val="1"/>
    <w:locked/>
    <w:rsid w:val="00293CC4"/>
  </w:style>
  <w:style w:type="character" w:styleId="Hipervnculo">
    <w:name w:val="Hyperlink"/>
    <w:aliases w:val="Hipervínculo1,Hipervínculo11,Hipervínculo12,Hipervínculo13,Hipervínculo14,Hipervínculo15"/>
    <w:basedOn w:val="Fuentedeprrafopredeter"/>
    <w:uiPriority w:val="99"/>
    <w:unhideWhenUsed/>
    <w:rsid w:val="00293CC4"/>
    <w:rPr>
      <w:color w:val="0563C1" w:themeColor="hyperlink"/>
      <w:u w:val="single"/>
    </w:rPr>
  </w:style>
  <w:style w:type="paragraph" w:customStyle="1" w:styleId="INFOEM">
    <w:name w:val="INFOEM"/>
    <w:basedOn w:val="Normal"/>
    <w:qFormat/>
    <w:rsid w:val="00293CC4"/>
    <w:pPr>
      <w:spacing w:before="240" w:after="160" w:line="360" w:lineRule="auto"/>
      <w:ind w:left="851" w:right="851"/>
      <w:jc w:val="both"/>
    </w:pPr>
    <w:rPr>
      <w:rFonts w:ascii="Palatino Linotype" w:eastAsiaTheme="minorHAnsi" w:hAnsi="Palatino Linotype" w:cstheme="minorBidi"/>
      <w:i/>
      <w:sz w:val="22"/>
      <w:szCs w:val="14"/>
      <w:lang w:val="es-MX" w:eastAsia="en-US"/>
    </w:rPr>
  </w:style>
  <w:style w:type="character" w:customStyle="1" w:styleId="apple-converted-space">
    <w:name w:val="apple-converted-space"/>
    <w:basedOn w:val="Fuentedeprrafopredeter"/>
    <w:rsid w:val="00293CC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293CC4"/>
    <w:rPr>
      <w:vertAlign w:val="superscript"/>
    </w:rPr>
  </w:style>
  <w:style w:type="paragraph" w:customStyle="1" w:styleId="infoemcitas">
    <w:name w:val="infoem citas"/>
    <w:basedOn w:val="Normal"/>
    <w:qFormat/>
    <w:rsid w:val="00293CC4"/>
    <w:pPr>
      <w:spacing w:before="240" w:after="160" w:line="360" w:lineRule="auto"/>
      <w:ind w:left="851" w:right="851"/>
      <w:jc w:val="both"/>
    </w:pPr>
    <w:rPr>
      <w:rFonts w:ascii="Palatino Linotype" w:eastAsiaTheme="minorHAnsi" w:hAnsi="Palatino Linotype" w:cstheme="minorBidi"/>
      <w:i/>
      <w:sz w:val="22"/>
      <w:szCs w:val="22"/>
      <w:lang w:val="es-MX" w:eastAsia="en-US"/>
    </w:rPr>
  </w:style>
  <w:style w:type="table" w:styleId="Tablaconcuadrcula">
    <w:name w:val="Table Grid"/>
    <w:basedOn w:val="Tablanormal"/>
    <w:uiPriority w:val="39"/>
    <w:rsid w:val="00293C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s">
    <w:name w:val="Citas"/>
    <w:basedOn w:val="Normal"/>
    <w:qFormat/>
    <w:rsid w:val="00293CC4"/>
    <w:pPr>
      <w:spacing w:before="240" w:after="160" w:line="360" w:lineRule="auto"/>
      <w:ind w:left="851" w:right="851"/>
      <w:jc w:val="both"/>
    </w:pPr>
    <w:rPr>
      <w:rFonts w:ascii="Palatino Linotype" w:eastAsiaTheme="minorHAnsi" w:hAnsi="Palatino Linotype" w:cs="Arial"/>
      <w:i/>
      <w:sz w:val="22"/>
      <w:szCs w:val="22"/>
      <w:lang w:val="es-MX" w:eastAsia="en-US"/>
    </w:rPr>
  </w:style>
  <w:style w:type="table" w:customStyle="1" w:styleId="Tablaconcuadrcula1">
    <w:name w:val="Tabla con cuadrícula1"/>
    <w:basedOn w:val="Tablanormal"/>
    <w:next w:val="Tablaconcuadrcula"/>
    <w:uiPriority w:val="39"/>
    <w:rsid w:val="00293C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mp"/><Relationship Id="rId13" Type="http://schemas.openxmlformats.org/officeDocument/2006/relationships/image" Target="media/image7.tmp"/><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tmp"/><Relationship Id="rId12" Type="http://schemas.openxmlformats.org/officeDocument/2006/relationships/image" Target="media/image6.tmp"/><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mp"/><Relationship Id="rId5" Type="http://schemas.openxmlformats.org/officeDocument/2006/relationships/footnotes" Target="footnotes.xml"/><Relationship Id="rId15" Type="http://schemas.openxmlformats.org/officeDocument/2006/relationships/image" Target="media/image9.tmp"/><Relationship Id="rId10" Type="http://schemas.openxmlformats.org/officeDocument/2006/relationships/image" Target="media/image4.tmp"/><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tmp"/><Relationship Id="rId14" Type="http://schemas.openxmlformats.org/officeDocument/2006/relationships/image" Target="media/image8.tmp"/></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_rels/header2.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204</TotalTime>
  <Pages>60</Pages>
  <Words>13520</Words>
  <Characters>74364</Characters>
  <Application>Microsoft Office Word</Application>
  <DocSecurity>0</DocSecurity>
  <Lines>619</Lines>
  <Paragraphs>175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87709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INFOEM474</dc:creator>
  <cp:keywords/>
  <dc:description/>
  <cp:lastModifiedBy>INFOEM557</cp:lastModifiedBy>
  <cp:revision>16</cp:revision>
  <cp:lastPrinted>2026-05-14T18:20:00Z</cp:lastPrinted>
  <dcterms:created xsi:type="dcterms:W3CDTF">2026-04-23T16:58:00Z</dcterms:created>
  <dcterms:modified xsi:type="dcterms:W3CDTF">2026-05-19T16:57:00Z</dcterms:modified>
</cp:coreProperties>
</file>