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562F4"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Start w:id="1" w:name="_GoBack"/>
      <w:bookmarkEnd w:id="0"/>
      <w:bookmarkEnd w:id="1"/>
      <w:r w:rsidRPr="00373C2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dieciocho de febrero de dos mil veintiséis. </w:t>
      </w:r>
    </w:p>
    <w:p w14:paraId="51E1E5C2" w14:textId="77777777" w:rsidR="00162637" w:rsidRPr="00373C23" w:rsidRDefault="002A2F53">
      <w:pPr>
        <w:tabs>
          <w:tab w:val="left" w:pos="5812"/>
        </w:tabs>
        <w:spacing w:before="240" w:after="240" w:line="360" w:lineRule="auto"/>
        <w:jc w:val="both"/>
        <w:rPr>
          <w:rFonts w:ascii="Palatino Linotype" w:eastAsia="Palatino Linotype" w:hAnsi="Palatino Linotype" w:cs="Palatino Linotype"/>
          <w:sz w:val="22"/>
          <w:szCs w:val="22"/>
        </w:rPr>
      </w:pPr>
      <w:bookmarkStart w:id="2" w:name="_heading=h.daj3j2xo6q66" w:colFirst="0" w:colLast="0"/>
      <w:bookmarkEnd w:id="2"/>
      <w:r w:rsidRPr="00373C23">
        <w:rPr>
          <w:rFonts w:ascii="Palatino Linotype" w:eastAsia="Palatino Linotype" w:hAnsi="Palatino Linotype" w:cs="Palatino Linotype"/>
          <w:b/>
          <w:bCs/>
          <w:sz w:val="22"/>
          <w:szCs w:val="22"/>
        </w:rPr>
        <w:t>VISTO</w:t>
      </w:r>
      <w:r w:rsidRPr="00373C23">
        <w:rPr>
          <w:rFonts w:ascii="Palatino Linotype" w:eastAsia="Palatino Linotype" w:hAnsi="Palatino Linotype" w:cs="Palatino Linotype"/>
          <w:sz w:val="22"/>
          <w:szCs w:val="22"/>
        </w:rPr>
        <w:t xml:space="preserve"> el expediente formado con motivo del recurso de revisión </w:t>
      </w:r>
      <w:r w:rsidRPr="00373C23">
        <w:rPr>
          <w:rFonts w:ascii="Palatino Linotype" w:eastAsia="Palatino Linotype" w:hAnsi="Palatino Linotype" w:cs="Palatino Linotype"/>
          <w:b/>
          <w:bCs/>
          <w:sz w:val="22"/>
          <w:szCs w:val="22"/>
        </w:rPr>
        <w:t>07119/INFOEM/IP/RR/2025</w:t>
      </w:r>
      <w:r w:rsidRPr="00373C23">
        <w:rPr>
          <w:rFonts w:ascii="Palatino Linotype" w:eastAsia="Palatino Linotype" w:hAnsi="Palatino Linotype" w:cs="Palatino Linotype"/>
          <w:sz w:val="22"/>
          <w:szCs w:val="22"/>
        </w:rPr>
        <w:t xml:space="preserve">, interpuesto </w:t>
      </w:r>
      <w:r w:rsidRPr="00373C23">
        <w:rPr>
          <w:rFonts w:ascii="Palatino Linotype" w:eastAsia="Palatino Linotype" w:hAnsi="Palatino Linotype" w:cs="Palatino Linotype"/>
          <w:b/>
          <w:bCs/>
          <w:sz w:val="22"/>
          <w:szCs w:val="22"/>
        </w:rPr>
        <w:t>una persona usuaria del Sistema de Acceso a la Información Mexiquense que no proporcionó nombre,</w:t>
      </w:r>
      <w:r w:rsidRPr="00373C23">
        <w:rPr>
          <w:rFonts w:ascii="Palatino Linotype" w:eastAsia="Palatino Linotype" w:hAnsi="Palatino Linotype" w:cs="Palatino Linotype"/>
          <w:sz w:val="22"/>
          <w:szCs w:val="22"/>
        </w:rPr>
        <w:t xml:space="preserve"> en lo sucesivo</w:t>
      </w:r>
      <w:r w:rsidRPr="00373C23">
        <w:rPr>
          <w:rFonts w:ascii="Palatino Linotype" w:eastAsia="Palatino Linotype" w:hAnsi="Palatino Linotype" w:cs="Palatino Linotype"/>
          <w:b/>
          <w:bCs/>
          <w:sz w:val="22"/>
          <w:szCs w:val="22"/>
        </w:rPr>
        <w:t xml:space="preserve"> </w:t>
      </w:r>
      <w:r w:rsidRPr="00373C23">
        <w:rPr>
          <w:rFonts w:ascii="Palatino Linotype" w:eastAsia="Palatino Linotype" w:hAnsi="Palatino Linotype" w:cs="Palatino Linotype"/>
          <w:sz w:val="22"/>
          <w:szCs w:val="22"/>
        </w:rPr>
        <w:t xml:space="preserve">la parte </w:t>
      </w:r>
      <w:r w:rsidRPr="00373C23">
        <w:rPr>
          <w:rFonts w:ascii="Palatino Linotype" w:eastAsia="Palatino Linotype" w:hAnsi="Palatino Linotype" w:cs="Palatino Linotype"/>
          <w:b/>
          <w:bCs/>
          <w:sz w:val="22"/>
          <w:szCs w:val="22"/>
        </w:rPr>
        <w:t>Recurrente,</w:t>
      </w:r>
      <w:r w:rsidRPr="00373C23">
        <w:rPr>
          <w:rFonts w:ascii="Palatino Linotype" w:eastAsia="Palatino Linotype" w:hAnsi="Palatino Linotype" w:cs="Palatino Linotype"/>
          <w:sz w:val="22"/>
          <w:szCs w:val="22"/>
        </w:rPr>
        <w:t xml:space="preserve"> en contra de la respuesta a la solicitud de información con número de folio</w:t>
      </w:r>
      <w:r w:rsidRPr="00373C23">
        <w:t xml:space="preserve"> </w:t>
      </w:r>
      <w:r w:rsidRPr="00373C23">
        <w:rPr>
          <w:rFonts w:ascii="Palatino Linotype" w:eastAsia="Palatino Linotype" w:hAnsi="Palatino Linotype" w:cs="Palatino Linotype"/>
          <w:b/>
          <w:bCs/>
          <w:sz w:val="22"/>
          <w:szCs w:val="22"/>
        </w:rPr>
        <w:t xml:space="preserve">03024/TOLUCA/IP/2025, </w:t>
      </w:r>
      <w:r w:rsidRPr="00373C23">
        <w:rPr>
          <w:rFonts w:ascii="Palatino Linotype" w:eastAsia="Palatino Linotype" w:hAnsi="Palatino Linotype" w:cs="Palatino Linotype"/>
          <w:sz w:val="22"/>
          <w:szCs w:val="22"/>
        </w:rPr>
        <w:t xml:space="preserve">por parte del </w:t>
      </w:r>
      <w:r w:rsidRPr="00373C23">
        <w:rPr>
          <w:rFonts w:ascii="Palatino Linotype" w:eastAsia="Palatino Linotype" w:hAnsi="Palatino Linotype" w:cs="Palatino Linotype"/>
          <w:b/>
          <w:bCs/>
          <w:sz w:val="22"/>
          <w:szCs w:val="22"/>
        </w:rPr>
        <w:t xml:space="preserve">Ayuntamiento de Toluca, </w:t>
      </w:r>
      <w:r w:rsidRPr="00373C23">
        <w:rPr>
          <w:rFonts w:ascii="Palatino Linotype" w:eastAsia="Palatino Linotype" w:hAnsi="Palatino Linotype" w:cs="Palatino Linotype"/>
          <w:sz w:val="22"/>
          <w:szCs w:val="22"/>
        </w:rPr>
        <w:t xml:space="preserve">en lo sucesivo el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 xml:space="preserve">se procede a dictar la presente resolución con base en los siguientes: </w:t>
      </w:r>
    </w:p>
    <w:p w14:paraId="62382961" w14:textId="77777777" w:rsidR="00162637" w:rsidRPr="00373C23" w:rsidRDefault="002A2F53">
      <w:pPr>
        <w:spacing w:before="240" w:after="240" w:line="360" w:lineRule="auto"/>
        <w:jc w:val="center"/>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I. A N T E C E D E N T E S</w:t>
      </w:r>
    </w:p>
    <w:p w14:paraId="1F984947"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373C23">
        <w:rPr>
          <w:rFonts w:ascii="Palatino Linotype" w:eastAsia="Palatino Linotype" w:hAnsi="Palatino Linotype" w:cs="Palatino Linotype"/>
          <w:b/>
          <w:bCs/>
          <w:sz w:val="22"/>
          <w:szCs w:val="22"/>
        </w:rPr>
        <w:t>1. Solicitud de acceso a la información.</w:t>
      </w:r>
      <w:r w:rsidRPr="00373C23">
        <w:rPr>
          <w:rFonts w:ascii="Palatino Linotype" w:eastAsia="Palatino Linotype" w:hAnsi="Palatino Linotype" w:cs="Palatino Linotype"/>
          <w:sz w:val="22"/>
          <w:szCs w:val="22"/>
        </w:rPr>
        <w:t xml:space="preserve"> El </w:t>
      </w:r>
      <w:r w:rsidRPr="00373C23">
        <w:rPr>
          <w:rFonts w:ascii="Palatino Linotype" w:eastAsia="Palatino Linotype" w:hAnsi="Palatino Linotype" w:cs="Palatino Linotype"/>
          <w:b/>
          <w:bCs/>
          <w:sz w:val="22"/>
          <w:szCs w:val="22"/>
        </w:rPr>
        <w:t>veintitrés de mayo de dos mil veinticinco,</w:t>
      </w:r>
      <w:r w:rsidRPr="00373C23">
        <w:rPr>
          <w:rFonts w:ascii="Palatino Linotype" w:eastAsia="Palatino Linotype" w:hAnsi="Palatino Linotype" w:cs="Palatino Linotype"/>
          <w:sz w:val="22"/>
          <w:szCs w:val="22"/>
        </w:rPr>
        <w:t xml:space="preserve"> la parte </w:t>
      </w:r>
      <w:r w:rsidRPr="00373C23">
        <w:rPr>
          <w:rFonts w:ascii="Palatino Linotype" w:eastAsia="Palatino Linotype" w:hAnsi="Palatino Linotype" w:cs="Palatino Linotype"/>
          <w:b/>
          <w:bCs/>
          <w:sz w:val="22"/>
          <w:szCs w:val="22"/>
        </w:rPr>
        <w:t xml:space="preserve">Recurrente </w:t>
      </w:r>
      <w:r w:rsidRPr="00373C23">
        <w:rPr>
          <w:rFonts w:ascii="Palatino Linotype" w:eastAsia="Palatino Linotype" w:hAnsi="Palatino Linotype" w:cs="Palatino Linotype"/>
          <w:sz w:val="22"/>
          <w:szCs w:val="22"/>
        </w:rPr>
        <w:t xml:space="preserve">presentó la solicitud de acceso a la información pública ante 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xml:space="preserve">, a través del Sistema de Acceso a la Información Mexiquense, en lo subsecuente el </w:t>
      </w:r>
      <w:r w:rsidRPr="00373C23">
        <w:rPr>
          <w:rFonts w:ascii="Palatino Linotype" w:eastAsia="Palatino Linotype" w:hAnsi="Palatino Linotype" w:cs="Palatino Linotype"/>
          <w:b/>
          <w:bCs/>
          <w:sz w:val="22"/>
          <w:szCs w:val="22"/>
        </w:rPr>
        <w:t xml:space="preserve">SAIMEX; </w:t>
      </w:r>
      <w:r w:rsidRPr="00373C23">
        <w:rPr>
          <w:rFonts w:ascii="Palatino Linotype" w:eastAsia="Palatino Linotype" w:hAnsi="Palatino Linotype" w:cs="Palatino Linotype"/>
          <w:sz w:val="22"/>
          <w:szCs w:val="22"/>
        </w:rPr>
        <w:t>mediante la cual requirió lo siguiente:</w:t>
      </w:r>
    </w:p>
    <w:p w14:paraId="303FF6DF" w14:textId="77777777" w:rsidR="00162637" w:rsidRPr="00373C23" w:rsidRDefault="002A2F53">
      <w:pPr>
        <w:tabs>
          <w:tab w:val="left" w:pos="4678"/>
        </w:tabs>
        <w:spacing w:before="120" w:after="120"/>
        <w:ind w:left="851" w:right="902"/>
        <w:jc w:val="both"/>
        <w:rPr>
          <w:rFonts w:ascii="Palatino Linotype" w:eastAsia="Palatino Linotype" w:hAnsi="Palatino Linotype" w:cs="Palatino Linotype"/>
          <w:b/>
          <w:bCs/>
          <w:i/>
          <w:iCs/>
          <w:sz w:val="22"/>
          <w:szCs w:val="22"/>
        </w:rPr>
      </w:pPr>
      <w:r w:rsidRPr="00373C23">
        <w:rPr>
          <w:rFonts w:ascii="Palatino Linotype" w:eastAsia="Palatino Linotype" w:hAnsi="Palatino Linotype" w:cs="Palatino Linotype"/>
          <w:i/>
          <w:iCs/>
          <w:sz w:val="22"/>
          <w:szCs w:val="22"/>
        </w:rPr>
        <w:t xml:space="preserve"> “De acuerdo con el artículo 8 constitucional </w:t>
      </w:r>
      <w:proofErr w:type="gramStart"/>
      <w:r w:rsidRPr="00373C23">
        <w:rPr>
          <w:rFonts w:ascii="Palatino Linotype" w:eastAsia="Palatino Linotype" w:hAnsi="Palatino Linotype" w:cs="Palatino Linotype"/>
          <w:i/>
          <w:iCs/>
          <w:sz w:val="22"/>
          <w:szCs w:val="22"/>
        </w:rPr>
        <w:t>¿Cuantas querellas ha presentado el municipio por reparación de daños al erario público, el número querella y el nombre del responsable en los últimos 4 años y 2025.</w:t>
      </w:r>
      <w:proofErr w:type="gramEnd"/>
      <w:r w:rsidRPr="00373C23">
        <w:rPr>
          <w:rFonts w:ascii="Palatino Linotype" w:eastAsia="Palatino Linotype" w:hAnsi="Palatino Linotype" w:cs="Palatino Linotype"/>
          <w:b/>
          <w:bCs/>
          <w:i/>
          <w:iCs/>
          <w:sz w:val="22"/>
          <w:szCs w:val="22"/>
        </w:rPr>
        <w:t>”</w:t>
      </w:r>
      <w:r w:rsidRPr="00373C23">
        <w:rPr>
          <w:rFonts w:ascii="Palatino Linotype" w:eastAsia="Palatino Linotype" w:hAnsi="Palatino Linotype" w:cs="Palatino Linotype"/>
          <w:i/>
          <w:iCs/>
          <w:sz w:val="22"/>
          <w:szCs w:val="22"/>
        </w:rPr>
        <w:t xml:space="preserve"> (sic) </w:t>
      </w:r>
    </w:p>
    <w:p w14:paraId="20EE86D4"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373C23">
        <w:rPr>
          <w:rFonts w:ascii="Palatino Linotype" w:eastAsia="Palatino Linotype" w:hAnsi="Palatino Linotype" w:cs="Palatino Linotype"/>
          <w:b/>
          <w:bCs/>
          <w:sz w:val="22"/>
          <w:szCs w:val="22"/>
        </w:rPr>
        <w:t>Modalidad de Entrega:</w:t>
      </w:r>
      <w:r w:rsidRPr="00373C23">
        <w:rPr>
          <w:rFonts w:ascii="Palatino Linotype" w:eastAsia="Palatino Linotype" w:hAnsi="Palatino Linotype" w:cs="Palatino Linotype"/>
          <w:sz w:val="22"/>
          <w:szCs w:val="22"/>
        </w:rPr>
        <w:t xml:space="preserve"> a través del</w:t>
      </w:r>
      <w:r w:rsidRPr="00373C23">
        <w:rPr>
          <w:rFonts w:ascii="Palatino Linotype" w:eastAsia="Palatino Linotype" w:hAnsi="Palatino Linotype" w:cs="Palatino Linotype"/>
          <w:b/>
          <w:bCs/>
          <w:sz w:val="22"/>
          <w:szCs w:val="22"/>
        </w:rPr>
        <w:t xml:space="preserve"> SAIMEX.</w:t>
      </w:r>
    </w:p>
    <w:p w14:paraId="79B7473B"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2.</w:t>
      </w:r>
      <w:r w:rsidRPr="00373C23">
        <w:t xml:space="preserve"> </w:t>
      </w:r>
      <w:hyperlink r:id="rId8">
        <w:r w:rsidRPr="00373C23">
          <w:rPr>
            <w:rFonts w:ascii="Palatino Linotype" w:eastAsia="Palatino Linotype" w:hAnsi="Palatino Linotype" w:cs="Palatino Linotype"/>
            <w:b/>
            <w:bCs/>
            <w:sz w:val="22"/>
            <w:szCs w:val="22"/>
          </w:rPr>
          <w:t>Respuesta</w:t>
        </w:r>
      </w:hyperlink>
      <w:r w:rsidRPr="00373C23">
        <w:rPr>
          <w:rFonts w:ascii="Palatino Linotype" w:eastAsia="Palatino Linotype" w:hAnsi="Palatino Linotype" w:cs="Palatino Linotype"/>
          <w:b/>
          <w:bCs/>
          <w:sz w:val="22"/>
          <w:szCs w:val="22"/>
        </w:rPr>
        <w:t xml:space="preserve">. </w:t>
      </w:r>
      <w:r w:rsidRPr="00373C23">
        <w:rPr>
          <w:rFonts w:ascii="Palatino Linotype" w:eastAsia="Palatino Linotype" w:hAnsi="Palatino Linotype" w:cs="Palatino Linotype"/>
          <w:sz w:val="22"/>
          <w:szCs w:val="22"/>
        </w:rPr>
        <w:t xml:space="preserve">El </w:t>
      </w:r>
      <w:r w:rsidRPr="00373C23">
        <w:rPr>
          <w:rFonts w:ascii="Palatino Linotype" w:eastAsia="Palatino Linotype" w:hAnsi="Palatino Linotype" w:cs="Palatino Linotype"/>
          <w:b/>
          <w:bCs/>
          <w:sz w:val="22"/>
          <w:szCs w:val="22"/>
        </w:rPr>
        <w:t>doce de junio de dos mil veinticinco,</w:t>
      </w:r>
      <w:r w:rsidRPr="00373C23">
        <w:rPr>
          <w:rFonts w:ascii="Palatino Linotype" w:eastAsia="Palatino Linotype" w:hAnsi="Palatino Linotype" w:cs="Palatino Linotype"/>
          <w:sz w:val="22"/>
          <w:szCs w:val="22"/>
        </w:rPr>
        <w:t xml:space="preserve"> el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0734A8EF" w14:textId="77777777" w:rsidR="00162637" w:rsidRPr="00373C23" w:rsidRDefault="002A2F53">
      <w:pPr>
        <w:spacing w:before="240" w:after="24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A418E1A" w14:textId="77777777" w:rsidR="00162637" w:rsidRPr="00373C23" w:rsidRDefault="002A2F53">
      <w:pPr>
        <w:spacing w:before="240" w:after="24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En atención a la solicitud con folio 03024/TOLUCA/IP/2025, me permito adjuntar al presente la respuesta correspondiente de la Consejería Jurídica, Sin más por el momento, reciba un </w:t>
      </w:r>
      <w:proofErr w:type="gramStart"/>
      <w:r w:rsidRPr="00373C23">
        <w:rPr>
          <w:rFonts w:ascii="Palatino Linotype" w:eastAsia="Palatino Linotype" w:hAnsi="Palatino Linotype" w:cs="Palatino Linotype"/>
          <w:i/>
          <w:iCs/>
          <w:sz w:val="22"/>
          <w:szCs w:val="22"/>
        </w:rPr>
        <w:t>saludo....</w:t>
      </w:r>
      <w:proofErr w:type="gramEnd"/>
      <w:r w:rsidRPr="00373C23">
        <w:rPr>
          <w:rFonts w:ascii="Palatino Linotype" w:eastAsia="Palatino Linotype" w:hAnsi="Palatino Linotype" w:cs="Palatino Linotype"/>
          <w:i/>
          <w:iCs/>
          <w:sz w:val="22"/>
          <w:szCs w:val="22"/>
        </w:rPr>
        <w:t>.” (sic)</w:t>
      </w:r>
    </w:p>
    <w:p w14:paraId="0FF5348B" w14:textId="77777777" w:rsidR="00162637" w:rsidRPr="00373C23" w:rsidRDefault="002A2F53">
      <w:pPr>
        <w:spacing w:before="240" w:after="240"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adjuntó los siguientes documentos:</w:t>
      </w:r>
    </w:p>
    <w:p w14:paraId="4CED7BB5" w14:textId="77777777" w:rsidR="00162637" w:rsidRPr="00373C23" w:rsidRDefault="002A2F53">
      <w:pPr>
        <w:numPr>
          <w:ilvl w:val="0"/>
          <w:numId w:val="1"/>
        </w:numPr>
        <w:pBdr>
          <w:top w:val="nil"/>
          <w:left w:val="nil"/>
          <w:bottom w:val="nil"/>
          <w:right w:val="nil"/>
          <w:between w:val="nil"/>
        </w:pBdr>
        <w:spacing w:before="240" w:line="360" w:lineRule="auto"/>
        <w:ind w:right="49"/>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sz w:val="22"/>
          <w:szCs w:val="22"/>
        </w:rPr>
        <w:t>Oficio del 28 de mayo de 2025, a través del cual la Coordinadora Jurídica informó que durante los ejercicios 2020, 2021, 2022, 2023, 2024 y del 01 de enero al 28 de mayo de 2025 (fecha de la respuesta), se han presentado 205 carpetas de investigación por daño en los bienes.</w:t>
      </w:r>
    </w:p>
    <w:p w14:paraId="4DAFA5F8" w14:textId="77777777" w:rsidR="00162637" w:rsidRPr="00373C23" w:rsidRDefault="00162637">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667F056A" w14:textId="77777777" w:rsidR="00162637" w:rsidRPr="00373C23" w:rsidRDefault="002A2F53">
      <w:pPr>
        <w:pBdr>
          <w:top w:val="nil"/>
          <w:left w:val="nil"/>
          <w:bottom w:val="nil"/>
          <w:right w:val="nil"/>
          <w:between w:val="nil"/>
        </w:pBdr>
        <w:spacing w:after="240" w:line="360" w:lineRule="auto"/>
        <w:ind w:left="360" w:right="49"/>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sz w:val="22"/>
          <w:szCs w:val="22"/>
        </w:rPr>
        <w:t xml:space="preserve">Asimismo, </w:t>
      </w:r>
      <w:proofErr w:type="gramStart"/>
      <w:r w:rsidRPr="00373C23">
        <w:rPr>
          <w:rFonts w:ascii="Palatino Linotype" w:eastAsia="Palatino Linotype" w:hAnsi="Palatino Linotype" w:cs="Palatino Linotype"/>
          <w:sz w:val="22"/>
          <w:szCs w:val="22"/>
        </w:rPr>
        <w:t>que</w:t>
      </w:r>
      <w:proofErr w:type="gramEnd"/>
      <w:r w:rsidRPr="00373C23">
        <w:rPr>
          <w:rFonts w:ascii="Palatino Linotype" w:eastAsia="Palatino Linotype" w:hAnsi="Palatino Linotype" w:cs="Palatino Linotype"/>
          <w:sz w:val="22"/>
          <w:szCs w:val="22"/>
        </w:rPr>
        <w:t xml:space="preserve"> sobre la petición relativa al nombre del responsable, no se puede proporcionar la información en razón de que el Ayuntamiento de Toluca y sus dependencias está obligado a proteger los datos personales que obran en su poder y/o se encuentren almacenados en su base de datos.</w:t>
      </w:r>
    </w:p>
    <w:p w14:paraId="31FFAA0C" w14:textId="77777777" w:rsidR="00162637" w:rsidRPr="00373C23" w:rsidRDefault="002A2F53">
      <w:pPr>
        <w:spacing w:before="240" w:after="240"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 xml:space="preserve">3. Interposición del recurso de revisión. </w:t>
      </w:r>
      <w:r w:rsidRPr="00373C23">
        <w:rPr>
          <w:rFonts w:ascii="Palatino Linotype" w:eastAsia="Palatino Linotype" w:hAnsi="Palatino Linotype" w:cs="Palatino Linotype"/>
          <w:sz w:val="22"/>
          <w:szCs w:val="22"/>
        </w:rPr>
        <w:t xml:space="preserve">Inconforme con los términos de la respuesta emitida por parte del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xml:space="preserve">, el </w:t>
      </w:r>
      <w:r w:rsidRPr="00373C23">
        <w:rPr>
          <w:rFonts w:ascii="Palatino Linotype" w:eastAsia="Palatino Linotype" w:hAnsi="Palatino Linotype" w:cs="Palatino Linotype"/>
          <w:b/>
          <w:bCs/>
          <w:sz w:val="22"/>
          <w:szCs w:val="22"/>
        </w:rPr>
        <w:t>trece de junio de dos mil veinticinco,</w:t>
      </w:r>
      <w:r w:rsidRPr="00373C23">
        <w:rPr>
          <w:rFonts w:ascii="Palatino Linotype" w:eastAsia="Palatino Linotype" w:hAnsi="Palatino Linotype" w:cs="Palatino Linotype"/>
          <w:sz w:val="22"/>
          <w:szCs w:val="22"/>
        </w:rPr>
        <w:t xml:space="preserve"> la parte </w:t>
      </w:r>
      <w:r w:rsidRPr="00373C23">
        <w:rPr>
          <w:rFonts w:ascii="Palatino Linotype" w:eastAsia="Palatino Linotype" w:hAnsi="Palatino Linotype" w:cs="Palatino Linotype"/>
          <w:b/>
          <w:bCs/>
          <w:sz w:val="22"/>
          <w:szCs w:val="22"/>
        </w:rPr>
        <w:t>Recurrente</w:t>
      </w:r>
      <w:r w:rsidRPr="00373C23">
        <w:rPr>
          <w:rFonts w:ascii="Palatino Linotype" w:eastAsia="Palatino Linotype" w:hAnsi="Palatino Linotype" w:cs="Palatino Linotype"/>
          <w:sz w:val="22"/>
          <w:szCs w:val="22"/>
        </w:rPr>
        <w:t xml:space="preserve"> interpuso el recurso de revisión a través de </w:t>
      </w:r>
      <w:r w:rsidRPr="00373C23">
        <w:rPr>
          <w:rFonts w:ascii="Palatino Linotype" w:eastAsia="Palatino Linotype" w:hAnsi="Palatino Linotype" w:cs="Palatino Linotype"/>
          <w:b/>
          <w:bCs/>
          <w:sz w:val="22"/>
          <w:szCs w:val="22"/>
        </w:rPr>
        <w:t xml:space="preserve">SAIMEX, </w:t>
      </w:r>
      <w:r w:rsidRPr="00373C23">
        <w:rPr>
          <w:rFonts w:ascii="Palatino Linotype" w:eastAsia="Palatino Linotype" w:hAnsi="Palatino Linotype" w:cs="Palatino Linotype"/>
          <w:sz w:val="22"/>
          <w:szCs w:val="22"/>
        </w:rPr>
        <w:t>en donde se manifestó de la siguiente manera:</w:t>
      </w:r>
    </w:p>
    <w:p w14:paraId="382B4F79" w14:textId="77777777" w:rsidR="00162637" w:rsidRPr="00373C23" w:rsidRDefault="002A2F53">
      <w:pPr>
        <w:spacing w:before="240" w:after="240" w:line="360" w:lineRule="auto"/>
        <w:ind w:right="49"/>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 xml:space="preserve">Acto impugnado: </w:t>
      </w:r>
    </w:p>
    <w:p w14:paraId="7094A8E0" w14:textId="77777777" w:rsidR="00162637" w:rsidRPr="00373C23" w:rsidRDefault="002A2F53">
      <w:pPr>
        <w:tabs>
          <w:tab w:val="left" w:pos="2745"/>
        </w:tabs>
        <w:spacing w:before="240" w:after="240"/>
        <w:ind w:left="851"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r w:rsidRPr="00373C23">
        <w:t xml:space="preserve"> </w:t>
      </w:r>
      <w:r w:rsidRPr="00373C23">
        <w:rPr>
          <w:rFonts w:ascii="Palatino Linotype" w:eastAsia="Palatino Linotype" w:hAnsi="Palatino Linotype" w:cs="Palatino Linotype"/>
          <w:i/>
          <w:iCs/>
          <w:sz w:val="22"/>
          <w:szCs w:val="22"/>
        </w:rPr>
        <w:t xml:space="preserve">No se atiende el </w:t>
      </w:r>
      <w:proofErr w:type="spellStart"/>
      <w:r w:rsidRPr="00373C23">
        <w:rPr>
          <w:rFonts w:ascii="Palatino Linotype" w:eastAsia="Palatino Linotype" w:hAnsi="Palatino Linotype" w:cs="Palatino Linotype"/>
          <w:i/>
          <w:iCs/>
          <w:sz w:val="22"/>
          <w:szCs w:val="22"/>
        </w:rPr>
        <w:t>saimex</w:t>
      </w:r>
      <w:proofErr w:type="spellEnd"/>
      <w:r w:rsidRPr="00373C23">
        <w:rPr>
          <w:rFonts w:ascii="Palatino Linotype" w:eastAsia="Palatino Linotype" w:hAnsi="Palatino Linotype" w:cs="Palatino Linotype"/>
          <w:i/>
          <w:iCs/>
          <w:sz w:val="22"/>
          <w:szCs w:val="22"/>
        </w:rPr>
        <w:t xml:space="preserve"> " (sic)</w:t>
      </w:r>
    </w:p>
    <w:p w14:paraId="121F8400" w14:textId="77777777" w:rsidR="00162637" w:rsidRPr="00373C23" w:rsidRDefault="002A2F53">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373C23">
        <w:rPr>
          <w:rFonts w:ascii="Palatino Linotype" w:eastAsia="Palatino Linotype" w:hAnsi="Palatino Linotype" w:cs="Palatino Linotype"/>
          <w:b/>
          <w:bCs/>
          <w:sz w:val="22"/>
          <w:szCs w:val="22"/>
        </w:rPr>
        <w:lastRenderedPageBreak/>
        <w:t>Y, Razones o motivos de inconformidad</w:t>
      </w:r>
      <w:r w:rsidRPr="00373C23">
        <w:rPr>
          <w:rFonts w:ascii="Palatino Linotype" w:eastAsia="Palatino Linotype" w:hAnsi="Palatino Linotype" w:cs="Palatino Linotype"/>
          <w:sz w:val="22"/>
          <w:szCs w:val="22"/>
        </w:rPr>
        <w:t>:</w:t>
      </w:r>
    </w:p>
    <w:p w14:paraId="5E17B9C2" w14:textId="77777777" w:rsidR="00162637" w:rsidRPr="00373C23" w:rsidRDefault="002A2F53">
      <w:pPr>
        <w:tabs>
          <w:tab w:val="left" w:pos="2745"/>
        </w:tabs>
        <w:spacing w:before="240" w:after="240"/>
        <w:ind w:left="851"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“No entrega la información solicitada” (sic)</w:t>
      </w:r>
    </w:p>
    <w:p w14:paraId="4F3E2570"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 xml:space="preserve">4. Turno. </w:t>
      </w:r>
      <w:r w:rsidRPr="00373C2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73C23">
        <w:rPr>
          <w:rFonts w:ascii="Palatino Linotype" w:eastAsia="Palatino Linotype" w:hAnsi="Palatino Linotype" w:cs="Palatino Linotype"/>
          <w:b/>
          <w:bCs/>
          <w:sz w:val="22"/>
          <w:szCs w:val="22"/>
        </w:rPr>
        <w:t xml:space="preserve">Guadalupe Ramírez Peña, </w:t>
      </w:r>
      <w:r w:rsidRPr="00373C23">
        <w:rPr>
          <w:rFonts w:ascii="Palatino Linotype" w:eastAsia="Palatino Linotype" w:hAnsi="Palatino Linotype" w:cs="Palatino Linotype"/>
          <w:sz w:val="22"/>
          <w:szCs w:val="22"/>
        </w:rPr>
        <w:t xml:space="preserve">a efecto de que analizara sobre su admisión o su </w:t>
      </w:r>
      <w:proofErr w:type="spellStart"/>
      <w:r w:rsidRPr="00373C23">
        <w:rPr>
          <w:rFonts w:ascii="Palatino Linotype" w:eastAsia="Palatino Linotype" w:hAnsi="Palatino Linotype" w:cs="Palatino Linotype"/>
          <w:sz w:val="22"/>
          <w:szCs w:val="22"/>
        </w:rPr>
        <w:t>desechamiento</w:t>
      </w:r>
      <w:proofErr w:type="spellEnd"/>
      <w:r w:rsidRPr="00373C23">
        <w:rPr>
          <w:rFonts w:ascii="Palatino Linotype" w:eastAsia="Palatino Linotype" w:hAnsi="Palatino Linotype" w:cs="Palatino Linotype"/>
          <w:sz w:val="22"/>
          <w:szCs w:val="22"/>
        </w:rPr>
        <w:t>.</w:t>
      </w:r>
    </w:p>
    <w:p w14:paraId="1E2F0AFD" w14:textId="77777777" w:rsidR="00162637" w:rsidRPr="00373C23" w:rsidRDefault="002A2F53">
      <w:pPr>
        <w:spacing w:before="240" w:after="240"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5. Admisión del Recurso de revisión.</w:t>
      </w:r>
      <w:r w:rsidRPr="00373C23">
        <w:rPr>
          <w:rFonts w:ascii="Palatino Linotype" w:eastAsia="Palatino Linotype" w:hAnsi="Palatino Linotype" w:cs="Palatino Linotype"/>
          <w:sz w:val="22"/>
          <w:szCs w:val="22"/>
        </w:rPr>
        <w:t xml:space="preserve"> El</w:t>
      </w:r>
      <w:r w:rsidRPr="00373C23">
        <w:rPr>
          <w:rFonts w:ascii="Palatino Linotype" w:eastAsia="Palatino Linotype" w:hAnsi="Palatino Linotype" w:cs="Palatino Linotype"/>
          <w:b/>
          <w:bCs/>
          <w:sz w:val="22"/>
          <w:szCs w:val="22"/>
        </w:rPr>
        <w:t xml:space="preserve"> dieciocho de junio de dos mil veinticinco, </w:t>
      </w:r>
      <w:r w:rsidRPr="00373C2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presentara su informe justificado.</w:t>
      </w:r>
    </w:p>
    <w:p w14:paraId="0DC54276" w14:textId="77777777" w:rsidR="00162637" w:rsidRPr="00373C23" w:rsidRDefault="002A2F5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373C23">
        <w:rPr>
          <w:rFonts w:ascii="Palatino Linotype" w:eastAsia="Palatino Linotype" w:hAnsi="Palatino Linotype" w:cs="Palatino Linotype"/>
          <w:b/>
          <w:bCs/>
          <w:sz w:val="22"/>
          <w:szCs w:val="22"/>
        </w:rPr>
        <w:t>6. Manifestaciones</w:t>
      </w:r>
      <w:r w:rsidRPr="00373C23">
        <w:rPr>
          <w:rFonts w:ascii="Palatino Linotype" w:eastAsia="Palatino Linotype" w:hAnsi="Palatino Linotype" w:cs="Palatino Linotype"/>
          <w:sz w:val="22"/>
          <w:szCs w:val="22"/>
        </w:rPr>
        <w:t xml:space="preserve">. De las constancias que integran el expediente en que se actúa se advierte que el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 xml:space="preserve">rindió su informe justificado el </w:t>
      </w:r>
      <w:r w:rsidRPr="00373C23">
        <w:rPr>
          <w:rFonts w:ascii="Palatino Linotype" w:eastAsia="Palatino Linotype" w:hAnsi="Palatino Linotype" w:cs="Palatino Linotype"/>
          <w:b/>
          <w:bCs/>
          <w:sz w:val="22"/>
          <w:szCs w:val="22"/>
        </w:rPr>
        <w:t xml:space="preserve">veintisiete de junio de dos mil veinticinco, </w:t>
      </w:r>
      <w:r w:rsidRPr="00373C23">
        <w:rPr>
          <w:rFonts w:ascii="Palatino Linotype" w:eastAsia="Palatino Linotype" w:hAnsi="Palatino Linotype" w:cs="Palatino Linotype"/>
          <w:sz w:val="22"/>
          <w:szCs w:val="22"/>
        </w:rPr>
        <w:t>a través de los archivos electrónicos denominados “</w:t>
      </w:r>
      <w:r w:rsidRPr="00373C23">
        <w:rPr>
          <w:rFonts w:ascii="Palatino Linotype" w:eastAsia="Palatino Linotype" w:hAnsi="Palatino Linotype" w:cs="Palatino Linotype"/>
          <w:b/>
          <w:bCs/>
          <w:i/>
          <w:iCs/>
          <w:sz w:val="22"/>
          <w:szCs w:val="22"/>
        </w:rPr>
        <w:t>Ratificación 7119.pdf</w:t>
      </w:r>
      <w:r w:rsidRPr="00373C23">
        <w:rPr>
          <w:rFonts w:ascii="Palatino Linotype" w:eastAsia="Palatino Linotype" w:hAnsi="Palatino Linotype" w:cs="Palatino Linotype"/>
          <w:sz w:val="22"/>
          <w:szCs w:val="22"/>
        </w:rPr>
        <w:t>” y “</w:t>
      </w:r>
      <w:r w:rsidRPr="00373C23">
        <w:rPr>
          <w:rFonts w:ascii="Palatino Linotype" w:eastAsia="Palatino Linotype" w:hAnsi="Palatino Linotype" w:cs="Palatino Linotype"/>
          <w:b/>
          <w:bCs/>
          <w:i/>
          <w:iCs/>
          <w:sz w:val="22"/>
          <w:szCs w:val="22"/>
        </w:rPr>
        <w:t>RR 7119.pdf</w:t>
      </w:r>
      <w:r w:rsidRPr="00373C23">
        <w:rPr>
          <w:rFonts w:ascii="Palatino Linotype" w:eastAsia="Palatino Linotype" w:hAnsi="Palatino Linotype" w:cs="Palatino Linotype"/>
          <w:sz w:val="22"/>
          <w:szCs w:val="22"/>
        </w:rPr>
        <w:t>” mediante los cuales se ratificó la respuesta inicial.</w:t>
      </w:r>
    </w:p>
    <w:p w14:paraId="63936555" w14:textId="77777777" w:rsidR="00162637" w:rsidRPr="00373C23" w:rsidRDefault="0016263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8A35E20" w14:textId="77777777" w:rsidR="00162637" w:rsidRPr="00373C23" w:rsidRDefault="002A2F5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Documentos los anteriores, que fueron puestos a la vista de la </w:t>
      </w:r>
      <w:r w:rsidRPr="00373C23">
        <w:rPr>
          <w:rFonts w:ascii="Palatino Linotype" w:eastAsia="Palatino Linotype" w:hAnsi="Palatino Linotype" w:cs="Palatino Linotype"/>
          <w:b/>
          <w:bCs/>
          <w:sz w:val="22"/>
          <w:szCs w:val="22"/>
        </w:rPr>
        <w:t>parte Recurrente</w:t>
      </w:r>
      <w:r w:rsidRPr="00373C23">
        <w:rPr>
          <w:rFonts w:ascii="Palatino Linotype" w:eastAsia="Palatino Linotype" w:hAnsi="Palatino Linotype" w:cs="Palatino Linotype"/>
          <w:sz w:val="22"/>
          <w:szCs w:val="22"/>
        </w:rPr>
        <w:t>, a fin de que hiciera valer sus manifestaciones o rindiera alegatos que conforme a derecho resultaran procedentes; no obstante, fue omisa en ejercer dicha prerrogativa.</w:t>
      </w:r>
    </w:p>
    <w:p w14:paraId="308061A7" w14:textId="77777777" w:rsidR="00162637" w:rsidRPr="00373C23" w:rsidRDefault="002A2F5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 xml:space="preserve">7. Ampliación del término para resolver. </w:t>
      </w:r>
      <w:r w:rsidRPr="00373C23">
        <w:rPr>
          <w:rFonts w:ascii="Palatino Linotype" w:eastAsia="Palatino Linotype" w:hAnsi="Palatino Linotype" w:cs="Palatino Linotype"/>
          <w:sz w:val="22"/>
          <w:szCs w:val="22"/>
        </w:rPr>
        <w:t xml:space="preserve">Mediante acuerdo del </w:t>
      </w:r>
      <w:r w:rsidRPr="00373C23">
        <w:rPr>
          <w:rFonts w:ascii="Palatino Linotype" w:eastAsia="Palatino Linotype" w:hAnsi="Palatino Linotype" w:cs="Palatino Linotype"/>
          <w:b/>
          <w:bCs/>
          <w:sz w:val="22"/>
          <w:szCs w:val="22"/>
        </w:rPr>
        <w:t>cinco de febrero de dos mil veintiséis</w:t>
      </w:r>
      <w:r w:rsidRPr="00373C23">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82F0ED2" w14:textId="77777777" w:rsidR="00162637" w:rsidRPr="00373C23" w:rsidRDefault="001626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50586F3F"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BB09F5F"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71DEF765"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Por ello, es menester precisar </w:t>
      </w:r>
      <w:proofErr w:type="gramStart"/>
      <w:r w:rsidRPr="00373C23">
        <w:rPr>
          <w:rFonts w:ascii="Palatino Linotype" w:eastAsia="Palatino Linotype" w:hAnsi="Palatino Linotype" w:cs="Palatino Linotype"/>
          <w:sz w:val="22"/>
          <w:szCs w:val="22"/>
        </w:rPr>
        <w:t>que</w:t>
      </w:r>
      <w:proofErr w:type="gramEnd"/>
      <w:r w:rsidRPr="00373C23">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11C5CF83"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6CB684C4"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104B8A"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92EBC2E"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F622C0"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DA00B20"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FD78956" w14:textId="77777777" w:rsidR="00162637" w:rsidRPr="00373C23" w:rsidRDefault="00162637">
      <w:pPr>
        <w:spacing w:line="360" w:lineRule="auto"/>
        <w:jc w:val="both"/>
        <w:rPr>
          <w:rFonts w:ascii="Palatino Linotype" w:eastAsia="Palatino Linotype" w:hAnsi="Palatino Linotype" w:cs="Palatino Linotype"/>
          <w:strike/>
          <w:sz w:val="22"/>
          <w:szCs w:val="22"/>
        </w:rPr>
      </w:pPr>
    </w:p>
    <w:p w14:paraId="3ABCA9B8" w14:textId="77777777" w:rsidR="00162637" w:rsidRPr="00373C23" w:rsidRDefault="002A2F53">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Complejidad del Asunto:</w:t>
      </w:r>
      <w:r w:rsidRPr="00373C23">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2C7CCE2" w14:textId="77777777" w:rsidR="00162637" w:rsidRPr="00373C23" w:rsidRDefault="002A2F53">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Actividad Procesal del interesado</w:t>
      </w:r>
      <w:r w:rsidRPr="00373C23">
        <w:rPr>
          <w:rFonts w:ascii="Palatino Linotype" w:eastAsia="Palatino Linotype" w:hAnsi="Palatino Linotype" w:cs="Palatino Linotype"/>
          <w:sz w:val="22"/>
          <w:szCs w:val="22"/>
        </w:rPr>
        <w:t>. Acciones u omisiones del interesado.</w:t>
      </w:r>
    </w:p>
    <w:p w14:paraId="760C0085" w14:textId="77777777" w:rsidR="00162637" w:rsidRPr="00373C23" w:rsidRDefault="002A2F53">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Conducta de la Autoridad:</w:t>
      </w:r>
      <w:r w:rsidRPr="00373C23">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57CE96C" w14:textId="77777777" w:rsidR="00162637" w:rsidRPr="00373C23" w:rsidRDefault="002A2F53">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La afectación generada en la situación jurídica de la persona involucrada en el proceso:</w:t>
      </w:r>
      <w:r w:rsidRPr="00373C23">
        <w:rPr>
          <w:rFonts w:ascii="Palatino Linotype" w:eastAsia="Palatino Linotype" w:hAnsi="Palatino Linotype" w:cs="Palatino Linotype"/>
          <w:sz w:val="22"/>
          <w:szCs w:val="22"/>
        </w:rPr>
        <w:t xml:space="preserve"> Violación a sus derechos humanos.</w:t>
      </w:r>
    </w:p>
    <w:p w14:paraId="6413BEDB" w14:textId="77777777" w:rsidR="00162637" w:rsidRPr="00373C23" w:rsidRDefault="00162637">
      <w:pPr>
        <w:tabs>
          <w:tab w:val="left" w:pos="993"/>
        </w:tabs>
        <w:spacing w:line="360" w:lineRule="auto"/>
        <w:ind w:left="567" w:right="900"/>
        <w:jc w:val="both"/>
        <w:rPr>
          <w:rFonts w:ascii="Palatino Linotype" w:eastAsia="Palatino Linotype" w:hAnsi="Palatino Linotype" w:cs="Palatino Linotype"/>
          <w:sz w:val="22"/>
          <w:szCs w:val="22"/>
        </w:rPr>
      </w:pPr>
    </w:p>
    <w:p w14:paraId="648DC39A"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95E84D"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6AFDA763"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73C23">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373C23">
        <w:rPr>
          <w:rFonts w:ascii="Palatino Linotype" w:eastAsia="Palatino Linotype" w:hAnsi="Palatino Linotype" w:cs="Palatino Linotype"/>
          <w:sz w:val="22"/>
          <w:szCs w:val="22"/>
        </w:rPr>
        <w:t>, visible en la Gaceta del Seminario Judicial de la Federación con el registro digital 205635.</w:t>
      </w:r>
    </w:p>
    <w:p w14:paraId="200B83DE" w14:textId="77777777" w:rsidR="00162637" w:rsidRPr="00373C23" w:rsidRDefault="00162637">
      <w:pPr>
        <w:spacing w:line="360" w:lineRule="auto"/>
        <w:jc w:val="both"/>
        <w:rPr>
          <w:rFonts w:ascii="Palatino Linotype" w:eastAsia="Palatino Linotype" w:hAnsi="Palatino Linotype" w:cs="Palatino Linotype"/>
          <w:b/>
          <w:bCs/>
          <w:sz w:val="22"/>
          <w:szCs w:val="22"/>
        </w:rPr>
      </w:pPr>
    </w:p>
    <w:p w14:paraId="74CE9BB6"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387A92"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2C30AC7"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F81690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2A73198" w14:textId="77777777" w:rsidR="00162637" w:rsidRPr="00373C23" w:rsidRDefault="002A2F53">
      <w:pPr>
        <w:spacing w:line="360" w:lineRule="auto"/>
        <w:ind w:left="851" w:right="900"/>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 </w:t>
      </w:r>
      <w:r w:rsidRPr="00373C23">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sz w:val="22"/>
          <w:szCs w:val="22"/>
        </w:rPr>
        <w:t xml:space="preserve"> consultable en el Seminario Judicial de la Federación y su gaceta, con el registro digital 2002351.</w:t>
      </w:r>
    </w:p>
    <w:p w14:paraId="23267E52" w14:textId="77777777" w:rsidR="00162637" w:rsidRPr="00373C23" w:rsidRDefault="002A2F53">
      <w:pPr>
        <w:spacing w:line="360" w:lineRule="auto"/>
        <w:ind w:left="851" w:right="900"/>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373C23">
        <w:rPr>
          <w:rFonts w:ascii="Palatino Linotype" w:eastAsia="Palatino Linotype" w:hAnsi="Palatino Linotype" w:cs="Palatino Linotype"/>
          <w:sz w:val="22"/>
          <w:szCs w:val="22"/>
        </w:rPr>
        <w:t>, visible en el Seminario Judicial de la Federación y su gaceta, con el registro digital 2002350.</w:t>
      </w:r>
    </w:p>
    <w:p w14:paraId="16C8CB0F" w14:textId="77777777" w:rsidR="00162637" w:rsidRPr="00373C23" w:rsidRDefault="00162637">
      <w:pPr>
        <w:spacing w:line="360" w:lineRule="auto"/>
        <w:ind w:left="851" w:right="900"/>
        <w:jc w:val="both"/>
        <w:rPr>
          <w:rFonts w:ascii="Palatino Linotype" w:eastAsia="Palatino Linotype" w:hAnsi="Palatino Linotype" w:cs="Palatino Linotype"/>
          <w:sz w:val="22"/>
          <w:szCs w:val="22"/>
        </w:rPr>
      </w:pPr>
    </w:p>
    <w:p w14:paraId="3022CBED" w14:textId="77777777" w:rsidR="00162637" w:rsidRPr="00373C23" w:rsidRDefault="002A2F5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w:t>
      </w:r>
      <w:proofErr w:type="gramStart"/>
      <w:r w:rsidRPr="00373C23">
        <w:rPr>
          <w:rFonts w:ascii="Palatino Linotype" w:eastAsia="Palatino Linotype" w:hAnsi="Palatino Linotype" w:cs="Palatino Linotype"/>
          <w:sz w:val="22"/>
          <w:szCs w:val="22"/>
        </w:rPr>
        <w:t>de  carácter</w:t>
      </w:r>
      <w:proofErr w:type="gramEnd"/>
      <w:r w:rsidRPr="00373C23">
        <w:rPr>
          <w:rFonts w:ascii="Palatino Linotype" w:eastAsia="Palatino Linotype" w:hAnsi="Palatino Linotype" w:cs="Palatino Linotype"/>
          <w:sz w:val="22"/>
          <w:szCs w:val="22"/>
        </w:rPr>
        <w:t xml:space="preserve"> excepcional.</w:t>
      </w:r>
    </w:p>
    <w:p w14:paraId="41F615E5"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 xml:space="preserve">8. Cierre de instrucción. </w:t>
      </w:r>
      <w:r w:rsidRPr="00373C2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373C23">
        <w:rPr>
          <w:rFonts w:ascii="Palatino Linotype" w:eastAsia="Palatino Linotype" w:hAnsi="Palatino Linotype" w:cs="Palatino Linotype"/>
          <w:b/>
          <w:bCs/>
          <w:sz w:val="22"/>
          <w:szCs w:val="22"/>
        </w:rPr>
        <w:t>once de febrero de dos mil veintiséis</w:t>
      </w:r>
      <w:r w:rsidRPr="00373C2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8B2C105"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CA39397" w14:textId="77777777" w:rsidR="00162637" w:rsidRPr="00373C23" w:rsidRDefault="002A2F53">
      <w:pPr>
        <w:widowControl w:val="0"/>
        <w:spacing w:before="240" w:after="240" w:line="360" w:lineRule="auto"/>
        <w:jc w:val="center"/>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II. C O N S I D E R A N D O S</w:t>
      </w:r>
    </w:p>
    <w:p w14:paraId="4A61D93A"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Primero. Competencia.</w:t>
      </w:r>
      <w:r w:rsidRPr="00373C2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D769F4"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373C23">
        <w:rPr>
          <w:rFonts w:ascii="Palatino Linotype" w:eastAsia="Palatino Linotype" w:hAnsi="Palatino Linotype" w:cs="Palatino Linotype"/>
          <w:b/>
          <w:bCs/>
          <w:sz w:val="22"/>
          <w:szCs w:val="22"/>
        </w:rPr>
        <w:t xml:space="preserve">Segundo. Oportunidad y </w:t>
      </w:r>
      <w:proofErr w:type="spellStart"/>
      <w:r w:rsidRPr="00373C23">
        <w:rPr>
          <w:rFonts w:ascii="Palatino Linotype" w:eastAsia="Palatino Linotype" w:hAnsi="Palatino Linotype" w:cs="Palatino Linotype"/>
          <w:b/>
          <w:bCs/>
          <w:sz w:val="22"/>
          <w:szCs w:val="22"/>
        </w:rPr>
        <w:t>Procedibilidad</w:t>
      </w:r>
      <w:proofErr w:type="spellEnd"/>
      <w:r w:rsidRPr="00373C23">
        <w:rPr>
          <w:rFonts w:ascii="Palatino Linotype" w:eastAsia="Palatino Linotype" w:hAnsi="Palatino Linotype" w:cs="Palatino Linotype"/>
          <w:b/>
          <w:bCs/>
          <w:sz w:val="22"/>
          <w:szCs w:val="22"/>
        </w:rPr>
        <w:t xml:space="preserve"> del Recurso de Revisión</w:t>
      </w:r>
      <w:r w:rsidRPr="00373C23">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373C23">
        <w:rPr>
          <w:rFonts w:ascii="Palatino Linotype" w:eastAsia="Palatino Linotype" w:hAnsi="Palatino Linotype" w:cs="Palatino Linotype"/>
          <w:sz w:val="22"/>
          <w:szCs w:val="22"/>
        </w:rPr>
        <w:t>procedibilidad</w:t>
      </w:r>
      <w:proofErr w:type="spellEnd"/>
      <w:r w:rsidRPr="00373C23">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31086DFD"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 xml:space="preserve">remitió la respuesta a la solicitud de información el día </w:t>
      </w:r>
      <w:r w:rsidRPr="00373C23">
        <w:rPr>
          <w:rFonts w:ascii="Palatino Linotype" w:eastAsia="Palatino Linotype" w:hAnsi="Palatino Linotype" w:cs="Palatino Linotype"/>
          <w:b/>
          <w:bCs/>
          <w:sz w:val="22"/>
          <w:szCs w:val="22"/>
        </w:rPr>
        <w:t xml:space="preserve">doce de junio de dos mil veinticinco, </w:t>
      </w:r>
      <w:r w:rsidRPr="00373C23">
        <w:rPr>
          <w:rFonts w:ascii="Palatino Linotype" w:eastAsia="Palatino Linotype" w:hAnsi="Palatino Linotype" w:cs="Palatino Linotype"/>
          <w:sz w:val="22"/>
          <w:szCs w:val="22"/>
        </w:rPr>
        <w:t xml:space="preserve">mientras que el recurso de revisión interpuesto por la parte </w:t>
      </w:r>
      <w:r w:rsidRPr="00373C23">
        <w:rPr>
          <w:rFonts w:ascii="Palatino Linotype" w:eastAsia="Palatino Linotype" w:hAnsi="Palatino Linotype" w:cs="Palatino Linotype"/>
          <w:b/>
          <w:bCs/>
          <w:sz w:val="22"/>
          <w:szCs w:val="22"/>
        </w:rPr>
        <w:t xml:space="preserve">Recurrente, </w:t>
      </w:r>
      <w:r w:rsidRPr="00373C23">
        <w:rPr>
          <w:rFonts w:ascii="Palatino Linotype" w:eastAsia="Palatino Linotype" w:hAnsi="Palatino Linotype" w:cs="Palatino Linotype"/>
          <w:sz w:val="22"/>
          <w:szCs w:val="22"/>
        </w:rPr>
        <w:t>se tuvo por presentado el día</w:t>
      </w:r>
      <w:r w:rsidRPr="00373C23">
        <w:rPr>
          <w:rFonts w:ascii="Palatino Linotype" w:eastAsia="Palatino Linotype" w:hAnsi="Palatino Linotype" w:cs="Palatino Linotype"/>
          <w:b/>
          <w:bCs/>
          <w:sz w:val="22"/>
          <w:szCs w:val="22"/>
        </w:rPr>
        <w:t xml:space="preserve"> trece de junio de dos mil veinticinco, </w:t>
      </w:r>
      <w:r w:rsidRPr="00373C23">
        <w:rPr>
          <w:rFonts w:ascii="Palatino Linotype" w:eastAsia="Palatino Linotype" w:hAnsi="Palatino Linotype" w:cs="Palatino Linotype"/>
          <w:sz w:val="22"/>
          <w:szCs w:val="22"/>
        </w:rPr>
        <w:t xml:space="preserve">esto es, al </w:t>
      </w:r>
      <w:r w:rsidRPr="00373C23">
        <w:rPr>
          <w:rFonts w:ascii="Palatino Linotype" w:eastAsia="Palatino Linotype" w:hAnsi="Palatino Linotype" w:cs="Palatino Linotype"/>
          <w:b/>
          <w:bCs/>
          <w:sz w:val="22"/>
          <w:szCs w:val="22"/>
          <w:u w:val="single"/>
        </w:rPr>
        <w:t>primer</w:t>
      </w:r>
      <w:r w:rsidRPr="00373C23">
        <w:rPr>
          <w:rFonts w:ascii="Palatino Linotype" w:eastAsia="Palatino Linotype" w:hAnsi="Palatino Linotype" w:cs="Palatino Linotype"/>
          <w:sz w:val="22"/>
          <w:szCs w:val="22"/>
        </w:rPr>
        <w:t xml:space="preserve"> día hábil posterior a aquel en el que tuvo conocimiento de la respuesta impugnada. En este sentido, se concluye que el presente recurso de revisión se encuentra dentro de los márgenes temporales previstos en las disposiciones legales referidas.</w:t>
      </w:r>
    </w:p>
    <w:p w14:paraId="2B704D2A" w14:textId="77777777" w:rsidR="00162637" w:rsidRPr="00373C23" w:rsidRDefault="002A2F53">
      <w:pPr>
        <w:spacing w:before="240" w:after="240"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373C23">
        <w:rPr>
          <w:rFonts w:ascii="Palatino Linotype" w:eastAsia="Palatino Linotype" w:hAnsi="Palatino Linotype" w:cs="Palatino Linotype"/>
          <w:b/>
          <w:bCs/>
          <w:sz w:val="22"/>
          <w:szCs w:val="22"/>
        </w:rPr>
        <w:t xml:space="preserve"> SAIMEX.</w:t>
      </w:r>
    </w:p>
    <w:p w14:paraId="0E4D1E53"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Por otro lado, es de suma importancia mencionar que, si bien la parte</w:t>
      </w:r>
      <w:r w:rsidRPr="00373C23">
        <w:rPr>
          <w:rFonts w:ascii="Palatino Linotype" w:eastAsia="Palatino Linotype" w:hAnsi="Palatino Linotype" w:cs="Palatino Linotype"/>
          <w:b/>
          <w:bCs/>
          <w:sz w:val="22"/>
          <w:szCs w:val="22"/>
        </w:rPr>
        <w:t xml:space="preserve"> Recurrente</w:t>
      </w:r>
      <w:r w:rsidRPr="00373C23">
        <w:rPr>
          <w:rFonts w:ascii="Palatino Linotype" w:eastAsia="Palatino Linotype" w:hAnsi="Palatino Linotype" w:cs="Palatino Linotype"/>
          <w:sz w:val="22"/>
          <w:szCs w:val="22"/>
        </w:rPr>
        <w:t xml:space="preserve"> </w:t>
      </w:r>
      <w:r w:rsidRPr="00373C23">
        <w:rPr>
          <w:rFonts w:ascii="Palatino Linotype" w:eastAsia="Palatino Linotype" w:hAnsi="Palatino Linotype" w:cs="Palatino Linotype"/>
          <w:b/>
          <w:bCs/>
          <w:sz w:val="22"/>
          <w:szCs w:val="22"/>
        </w:rPr>
        <w:t>no proporcionó un nombre,</w:t>
      </w:r>
      <w:r w:rsidRPr="00373C23">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F91165E"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C13E12D" w14:textId="77777777" w:rsidR="00162637" w:rsidRPr="00373C23" w:rsidRDefault="002A2F53">
      <w:pPr>
        <w:spacing w:line="276" w:lineRule="auto"/>
        <w:ind w:left="851" w:right="902"/>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Las solicitudes anónimas</w:t>
      </w:r>
      <w:r w:rsidRPr="00373C23">
        <w:rPr>
          <w:rFonts w:ascii="Palatino Linotype" w:eastAsia="Palatino Linotype" w:hAnsi="Palatino Linotype" w:cs="Palatino Linotype"/>
          <w:i/>
          <w:iCs/>
          <w:sz w:val="22"/>
          <w:szCs w:val="22"/>
        </w:rPr>
        <w:t>, con nombre incompleto o seudónimo </w:t>
      </w:r>
      <w:r w:rsidRPr="00373C23">
        <w:rPr>
          <w:rFonts w:ascii="Palatino Linotype" w:eastAsia="Palatino Linotype" w:hAnsi="Palatino Linotype" w:cs="Palatino Linotype"/>
          <w:b/>
          <w:bCs/>
          <w:i/>
          <w:iCs/>
          <w:sz w:val="22"/>
          <w:szCs w:val="22"/>
        </w:rPr>
        <w:t>serán procedentes para su trámite por parte del sujeto obligado ante quien se presente</w:t>
      </w:r>
      <w:r w:rsidRPr="00373C23">
        <w:rPr>
          <w:rFonts w:ascii="Palatino Linotype" w:eastAsia="Palatino Linotype" w:hAnsi="Palatino Linotype" w:cs="Palatino Linotype"/>
          <w:i/>
          <w:iCs/>
          <w:sz w:val="22"/>
          <w:szCs w:val="22"/>
        </w:rPr>
        <w:t>. No podrá requerirse información adicional con motivo del nombre proporcionado por el solicitante."</w:t>
      </w:r>
    </w:p>
    <w:p w14:paraId="61B24AB2"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373C23">
        <w:rPr>
          <w:rFonts w:ascii="Palatino Linotype" w:eastAsia="Palatino Linotype" w:hAnsi="Palatino Linotype" w:cs="Palatino Linotype"/>
          <w:b/>
          <w:bCs/>
          <w:sz w:val="22"/>
          <w:szCs w:val="22"/>
        </w:rPr>
        <w:t>Recurrente</w:t>
      </w:r>
      <w:r w:rsidRPr="00373C23">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0FE87638" w14:textId="77777777" w:rsidR="00162637" w:rsidRPr="00373C23" w:rsidRDefault="002A2F53">
      <w:pPr>
        <w:tabs>
          <w:tab w:val="left" w:pos="7655"/>
        </w:tabs>
        <w:spacing w:before="120" w:after="120"/>
        <w:ind w:left="709" w:right="47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Artículo 179.</w:t>
      </w:r>
      <w:r w:rsidRPr="00373C23">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640BF6DE" w14:textId="77777777" w:rsidR="00162637" w:rsidRPr="00373C23" w:rsidRDefault="002A2F53">
      <w:pPr>
        <w:tabs>
          <w:tab w:val="left" w:pos="7655"/>
        </w:tabs>
        <w:spacing w:before="120" w:after="120"/>
        <w:ind w:left="709" w:right="474"/>
        <w:rPr>
          <w:rFonts w:ascii="Palatino Linotype" w:eastAsia="Palatino Linotype" w:hAnsi="Palatino Linotype" w:cs="Palatino Linotype"/>
          <w:b/>
          <w:bCs/>
          <w:i/>
          <w:iCs/>
          <w:sz w:val="22"/>
          <w:szCs w:val="22"/>
          <w:u w:val="single"/>
        </w:rPr>
      </w:pPr>
      <w:r w:rsidRPr="00373C23">
        <w:rPr>
          <w:rFonts w:ascii="Palatino Linotype" w:eastAsia="Palatino Linotype" w:hAnsi="Palatino Linotype" w:cs="Palatino Linotype"/>
          <w:b/>
          <w:bCs/>
          <w:i/>
          <w:iCs/>
          <w:sz w:val="22"/>
          <w:szCs w:val="22"/>
          <w:u w:val="single"/>
        </w:rPr>
        <w:t xml:space="preserve">I. La negativa a la información solicitada; </w:t>
      </w:r>
    </w:p>
    <w:p w14:paraId="3A0A8927" w14:textId="77777777" w:rsidR="00162637" w:rsidRPr="00373C23" w:rsidRDefault="002A2F53">
      <w:pPr>
        <w:tabs>
          <w:tab w:val="left" w:pos="7655"/>
        </w:tabs>
        <w:spacing w:before="120" w:after="120"/>
        <w:ind w:left="709" w:right="474"/>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413C633A" w14:textId="77777777" w:rsidR="00162637" w:rsidRPr="00373C23" w:rsidRDefault="00162637">
      <w:pPr>
        <w:tabs>
          <w:tab w:val="left" w:pos="7655"/>
        </w:tabs>
        <w:spacing w:before="120" w:after="120"/>
        <w:ind w:left="709" w:right="474"/>
        <w:rPr>
          <w:rFonts w:ascii="Palatino Linotype" w:eastAsia="Palatino Linotype" w:hAnsi="Palatino Linotype" w:cs="Palatino Linotype"/>
          <w:i/>
          <w:iCs/>
          <w:sz w:val="22"/>
          <w:szCs w:val="22"/>
        </w:rPr>
      </w:pPr>
    </w:p>
    <w:p w14:paraId="44B77B8A" w14:textId="77777777" w:rsidR="00162637" w:rsidRPr="00373C23" w:rsidRDefault="002A2F53">
      <w:pPr>
        <w:spacing w:before="240" w:after="240"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 xml:space="preserve">Tercero. Materia de la revisión. </w:t>
      </w:r>
      <w:r w:rsidRPr="00373C2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73C23">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373C23">
        <w:rPr>
          <w:rFonts w:ascii="Palatino Linotype" w:eastAsia="Palatino Linotype" w:hAnsi="Palatino Linotype" w:cs="Palatino Linotype"/>
          <w:sz w:val="22"/>
          <w:szCs w:val="22"/>
        </w:rPr>
        <w:t xml:space="preserve">de la parte </w:t>
      </w:r>
      <w:r w:rsidRPr="00373C23">
        <w:rPr>
          <w:rFonts w:ascii="Palatino Linotype" w:eastAsia="Palatino Linotype" w:hAnsi="Palatino Linotype" w:cs="Palatino Linotype"/>
          <w:b/>
          <w:bCs/>
          <w:sz w:val="22"/>
          <w:szCs w:val="22"/>
        </w:rPr>
        <w:t>Recurrente</w:t>
      </w:r>
      <w:r w:rsidRPr="00373C23">
        <w:rPr>
          <w:rFonts w:ascii="Palatino Linotype" w:eastAsia="Palatino Linotype" w:hAnsi="Palatino Linotype" w:cs="Palatino Linotype"/>
          <w:sz w:val="22"/>
          <w:szCs w:val="22"/>
        </w:rPr>
        <w:t>, o en su defecto, en caso de ser procedente, ordenar la entrega de información.</w:t>
      </w:r>
    </w:p>
    <w:p w14:paraId="4E0B444F"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373C23">
        <w:rPr>
          <w:rFonts w:ascii="Palatino Linotype" w:eastAsia="Palatino Linotype" w:hAnsi="Palatino Linotype" w:cs="Palatino Linotype"/>
          <w:b/>
          <w:bCs/>
          <w:sz w:val="22"/>
          <w:szCs w:val="22"/>
        </w:rPr>
        <w:t xml:space="preserve">Cuarto. Estudio del asunto. </w:t>
      </w:r>
      <w:r w:rsidRPr="00373C23">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148691C"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Artículo 4</w:t>
      </w:r>
      <w:r w:rsidRPr="00373C23">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1F52BEA"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373C23">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5A29A8E"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373C23">
        <w:rPr>
          <w:rFonts w:ascii="Palatino Linotype" w:eastAsia="Palatino Linotype" w:hAnsi="Palatino Linotype" w:cs="Palatino Linotype"/>
          <w:i/>
          <w:iCs/>
          <w:sz w:val="22"/>
          <w:szCs w:val="22"/>
        </w:rPr>
        <w:t>.”</w:t>
      </w:r>
    </w:p>
    <w:p w14:paraId="2A101ED1"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77AFA9D"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“Artículo 12.-</w:t>
      </w:r>
      <w:r w:rsidRPr="00373C23">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53ED25D6"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BD1638D" w14:textId="77777777" w:rsidR="00162637" w:rsidRPr="00373C23" w:rsidRDefault="002A2F53">
      <w:pPr>
        <w:spacing w:before="240" w:after="240" w:line="360" w:lineRule="auto"/>
        <w:ind w:right="-93"/>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AE4E5C6" w14:textId="77777777" w:rsidR="00162637" w:rsidRPr="00373C23" w:rsidRDefault="002A2F53">
      <w:pPr>
        <w:spacing w:before="240" w:after="240"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sz w:val="22"/>
          <w:szCs w:val="22"/>
        </w:rPr>
        <w:t xml:space="preserve">Sirve de apoyo a lo anterior, el criterio orientador con clave de control SO/003/2017, emitido por el entonces Instituto Nacional de Transparencia, Acceso a la Información y Protección de Datos Personales, </w:t>
      </w:r>
      <w:proofErr w:type="gramStart"/>
      <w:r w:rsidRPr="00373C23">
        <w:rPr>
          <w:rFonts w:ascii="Palatino Linotype" w:eastAsia="Palatino Linotype" w:hAnsi="Palatino Linotype" w:cs="Palatino Linotype"/>
          <w:sz w:val="22"/>
          <w:szCs w:val="22"/>
        </w:rPr>
        <w:t>que</w:t>
      </w:r>
      <w:proofErr w:type="gramEnd"/>
      <w:r w:rsidRPr="00373C23">
        <w:rPr>
          <w:rFonts w:ascii="Palatino Linotype" w:eastAsia="Palatino Linotype" w:hAnsi="Palatino Linotype" w:cs="Palatino Linotype"/>
          <w:sz w:val="22"/>
          <w:szCs w:val="22"/>
        </w:rPr>
        <w:t xml:space="preserve"> por rubro y texto, dispone lo siguiente:</w:t>
      </w:r>
      <w:r w:rsidRPr="00373C23">
        <w:rPr>
          <w:rFonts w:ascii="Palatino Linotype" w:eastAsia="Palatino Linotype" w:hAnsi="Palatino Linotype" w:cs="Palatino Linotype"/>
          <w:b/>
          <w:bCs/>
          <w:sz w:val="22"/>
          <w:szCs w:val="22"/>
        </w:rPr>
        <w:t xml:space="preserve"> </w:t>
      </w:r>
    </w:p>
    <w:p w14:paraId="7A4FB6B1"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373C23">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F20955E" w14:textId="77777777" w:rsidR="00162637" w:rsidRPr="00373C23" w:rsidRDefault="002A2F53">
      <w:pPr>
        <w:spacing w:before="120" w:after="12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0F14BD" w14:textId="77777777" w:rsidR="00162637" w:rsidRPr="00373C23" w:rsidRDefault="002A2F53">
      <w:pPr>
        <w:spacing w:before="120" w:after="12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9B451D"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 xml:space="preserve">Artículo 3. </w:t>
      </w:r>
      <w:r w:rsidRPr="00373C23">
        <w:rPr>
          <w:rFonts w:ascii="Palatino Linotype" w:eastAsia="Palatino Linotype" w:hAnsi="Palatino Linotype" w:cs="Palatino Linotype"/>
          <w:i/>
          <w:iCs/>
          <w:sz w:val="22"/>
          <w:szCs w:val="22"/>
        </w:rPr>
        <w:t>Para los efectos de la presente Ley se entenderá por:</w:t>
      </w:r>
    </w:p>
    <w:p w14:paraId="28B75B0E"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1D2CF052"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XI. Documento:</w:t>
      </w:r>
      <w:r w:rsidRPr="00373C23">
        <w:rPr>
          <w:rFonts w:ascii="Palatino Linotype" w:eastAsia="Palatino Linotype" w:hAnsi="Palatino Linotype" w:cs="Palatino Linotype"/>
          <w:i/>
          <w:iCs/>
          <w:sz w:val="22"/>
          <w:szCs w:val="22"/>
        </w:rPr>
        <w:t xml:space="preserve"> Los expedientes, reportes, estudios, actas</w:t>
      </w:r>
      <w:r w:rsidRPr="00373C23">
        <w:rPr>
          <w:rFonts w:ascii="Palatino Linotype" w:eastAsia="Palatino Linotype" w:hAnsi="Palatino Linotype" w:cs="Palatino Linotype"/>
          <w:b/>
          <w:bCs/>
          <w:i/>
          <w:iCs/>
          <w:sz w:val="22"/>
          <w:szCs w:val="22"/>
        </w:rPr>
        <w:t>,</w:t>
      </w:r>
      <w:r w:rsidRPr="00373C23">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00C3129"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EC6D4A6"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sz w:val="22"/>
          <w:szCs w:val="22"/>
        </w:rPr>
        <w:t>“</w:t>
      </w:r>
      <w:r w:rsidRPr="00373C23">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373C23">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D8CD94"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En </w:t>
      </w:r>
      <w:proofErr w:type="gramStart"/>
      <w:r w:rsidRPr="00373C23">
        <w:rPr>
          <w:rFonts w:ascii="Palatino Linotype" w:eastAsia="Palatino Linotype" w:hAnsi="Palatino Linotype" w:cs="Palatino Linotype"/>
          <w:i/>
          <w:iCs/>
          <w:sz w:val="22"/>
          <w:szCs w:val="22"/>
        </w:rPr>
        <w:t>consecuencia</w:t>
      </w:r>
      <w:proofErr w:type="gramEnd"/>
      <w:r w:rsidRPr="00373C23">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64538878"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373C23">
        <w:rPr>
          <w:rFonts w:ascii="Palatino Linotype" w:eastAsia="Palatino Linotype" w:hAnsi="Palatino Linotype" w:cs="Palatino Linotype"/>
          <w:i/>
          <w:iCs/>
          <w:sz w:val="22"/>
          <w:szCs w:val="22"/>
        </w:rPr>
        <w:t>que</w:t>
      </w:r>
      <w:proofErr w:type="gramEnd"/>
      <w:r w:rsidRPr="00373C23">
        <w:rPr>
          <w:rFonts w:ascii="Palatino Linotype" w:eastAsia="Palatino Linotype" w:hAnsi="Palatino Linotype" w:cs="Palatino Linotype"/>
          <w:i/>
          <w:iCs/>
          <w:sz w:val="22"/>
          <w:szCs w:val="22"/>
        </w:rPr>
        <w:t xml:space="preserve"> en ejercicio de las atribuciones conferidas, sea generada por los Sujetos Obligados;</w:t>
      </w:r>
    </w:p>
    <w:p w14:paraId="73A75E66"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2) Que se trate de información registrada en cualquier soporte documental, </w:t>
      </w:r>
      <w:proofErr w:type="gramStart"/>
      <w:r w:rsidRPr="00373C23">
        <w:rPr>
          <w:rFonts w:ascii="Palatino Linotype" w:eastAsia="Palatino Linotype" w:hAnsi="Palatino Linotype" w:cs="Palatino Linotype"/>
          <w:i/>
          <w:iCs/>
          <w:sz w:val="22"/>
          <w:szCs w:val="22"/>
        </w:rPr>
        <w:t>que</w:t>
      </w:r>
      <w:proofErr w:type="gramEnd"/>
      <w:r w:rsidRPr="00373C23">
        <w:rPr>
          <w:rFonts w:ascii="Palatino Linotype" w:eastAsia="Palatino Linotype" w:hAnsi="Palatino Linotype" w:cs="Palatino Linotype"/>
          <w:i/>
          <w:iCs/>
          <w:sz w:val="22"/>
          <w:szCs w:val="22"/>
        </w:rPr>
        <w:t xml:space="preserve"> en ejercicio de las atribuciones conferidas, sea administrada por los Sujetos Obligados, y</w:t>
      </w:r>
    </w:p>
    <w:p w14:paraId="76DD6417"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3) Que se trate de información registrada en cualquier soporte documental, </w:t>
      </w:r>
      <w:proofErr w:type="gramStart"/>
      <w:r w:rsidRPr="00373C23">
        <w:rPr>
          <w:rFonts w:ascii="Palatino Linotype" w:eastAsia="Palatino Linotype" w:hAnsi="Palatino Linotype" w:cs="Palatino Linotype"/>
          <w:i/>
          <w:iCs/>
          <w:sz w:val="22"/>
          <w:szCs w:val="22"/>
        </w:rPr>
        <w:t>que</w:t>
      </w:r>
      <w:proofErr w:type="gramEnd"/>
      <w:r w:rsidRPr="00373C23">
        <w:rPr>
          <w:rFonts w:ascii="Palatino Linotype" w:eastAsia="Palatino Linotype" w:hAnsi="Palatino Linotype" w:cs="Palatino Linotype"/>
          <w:i/>
          <w:iCs/>
          <w:sz w:val="22"/>
          <w:szCs w:val="22"/>
        </w:rPr>
        <w:t xml:space="preserve"> en ejercicio de las atribuciones conferidas, se encuentre en posesión de los Sujetos Obligados.”</w:t>
      </w:r>
    </w:p>
    <w:p w14:paraId="2655BC12" w14:textId="77777777" w:rsidR="00162637" w:rsidRPr="00373C23" w:rsidRDefault="002A2F53">
      <w:pPr>
        <w:spacing w:before="240" w:after="240" w:line="360" w:lineRule="auto"/>
        <w:ind w:right="51"/>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21CBFCD"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3F6FD54" w14:textId="77777777" w:rsidR="00162637" w:rsidRPr="00373C23" w:rsidRDefault="002A2F53">
      <w:pPr>
        <w:spacing w:before="240" w:after="240" w:line="360" w:lineRule="auto"/>
        <w:ind w:right="51"/>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Ahora bien, del análisis de la solicitud de información, se advierte que la parte </w:t>
      </w:r>
      <w:r w:rsidRPr="00373C23">
        <w:rPr>
          <w:rFonts w:ascii="Palatino Linotype" w:eastAsia="Palatino Linotype" w:hAnsi="Palatino Linotype" w:cs="Palatino Linotype"/>
          <w:b/>
          <w:bCs/>
          <w:sz w:val="22"/>
          <w:szCs w:val="22"/>
        </w:rPr>
        <w:t xml:space="preserve">solicitante </w:t>
      </w:r>
      <w:r w:rsidRPr="00373C23">
        <w:rPr>
          <w:rFonts w:ascii="Palatino Linotype" w:eastAsia="Palatino Linotype" w:hAnsi="Palatino Linotype" w:cs="Palatino Linotype"/>
          <w:sz w:val="22"/>
          <w:szCs w:val="22"/>
        </w:rPr>
        <w:t xml:space="preserve">requirió al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 xml:space="preserve">le proporcione medularmente, </w:t>
      </w:r>
      <w:r w:rsidRPr="00373C23">
        <w:rPr>
          <w:rFonts w:ascii="Palatino Linotype" w:eastAsia="Palatino Linotype" w:hAnsi="Palatino Linotype" w:cs="Palatino Linotype"/>
          <w:b/>
          <w:bCs/>
          <w:sz w:val="22"/>
          <w:szCs w:val="22"/>
        </w:rPr>
        <w:t>del periodo comprendido 01 de enero de 2021 al 23 de mayo de 2025</w:t>
      </w:r>
      <w:r w:rsidRPr="00373C23">
        <w:rPr>
          <w:rFonts w:ascii="Palatino Linotype" w:eastAsia="Palatino Linotype" w:hAnsi="Palatino Linotype" w:cs="Palatino Linotype"/>
          <w:sz w:val="22"/>
          <w:szCs w:val="22"/>
        </w:rPr>
        <w:t>, lo siguiente:</w:t>
      </w:r>
    </w:p>
    <w:p w14:paraId="156161E6" w14:textId="77777777" w:rsidR="00162637" w:rsidRPr="00373C23" w:rsidRDefault="002A2F53">
      <w:pPr>
        <w:numPr>
          <w:ilvl w:val="0"/>
          <w:numId w:val="1"/>
        </w:numPr>
        <w:pBdr>
          <w:top w:val="nil"/>
          <w:left w:val="nil"/>
          <w:bottom w:val="nil"/>
          <w:right w:val="nil"/>
          <w:between w:val="nil"/>
        </w:pBdr>
        <w:spacing w:before="240" w:line="360" w:lineRule="auto"/>
        <w:ind w:right="51"/>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El número de denuncias o querellas presentadas por el Sujeto Obligado por delitos relacionados con daños al erario público y por los que se solicitó la reparación.</w:t>
      </w:r>
    </w:p>
    <w:p w14:paraId="53F57AFD" w14:textId="77777777" w:rsidR="00162637" w:rsidRPr="00373C23" w:rsidRDefault="002A2F53">
      <w:pPr>
        <w:numPr>
          <w:ilvl w:val="0"/>
          <w:numId w:val="1"/>
        </w:numPr>
        <w:pBdr>
          <w:top w:val="nil"/>
          <w:left w:val="nil"/>
          <w:bottom w:val="nil"/>
          <w:right w:val="nil"/>
          <w:between w:val="nil"/>
        </w:pBdr>
        <w:spacing w:after="240" w:line="360" w:lineRule="auto"/>
        <w:ind w:right="51"/>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El nombre del responsable.</w:t>
      </w:r>
    </w:p>
    <w:p w14:paraId="0B7C0BDD" w14:textId="77777777" w:rsidR="00162637" w:rsidRPr="00373C23" w:rsidRDefault="002A2F53">
      <w:pPr>
        <w:spacing w:before="240" w:after="240"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En respuesta, el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se pronunció por conducto de la Coordinadora Jurídica</w:t>
      </w:r>
      <w:r w:rsidRPr="00373C23">
        <w:t xml:space="preserve"> quien </w:t>
      </w:r>
      <w:r w:rsidRPr="00373C23">
        <w:rPr>
          <w:rFonts w:ascii="Palatino Linotype" w:eastAsia="Palatino Linotype" w:hAnsi="Palatino Linotype" w:cs="Palatino Linotype"/>
          <w:sz w:val="22"/>
          <w:szCs w:val="22"/>
        </w:rPr>
        <w:t>informó que durante los ejercicios 2020, 2021, 2022, 2023, 2024 y del 01 de enero al 28 de mayo de 2025 (fecha de la respuesta), se han presentado 205 carpetas de investigación por daño en los bienes.</w:t>
      </w:r>
    </w:p>
    <w:p w14:paraId="30DFC97E" w14:textId="77777777" w:rsidR="00162637" w:rsidRPr="00373C23" w:rsidRDefault="002A2F53">
      <w:pPr>
        <w:spacing w:before="240" w:after="240"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Asimismo, </w:t>
      </w:r>
      <w:proofErr w:type="gramStart"/>
      <w:r w:rsidRPr="00373C23">
        <w:rPr>
          <w:rFonts w:ascii="Palatino Linotype" w:eastAsia="Palatino Linotype" w:hAnsi="Palatino Linotype" w:cs="Palatino Linotype"/>
          <w:sz w:val="22"/>
          <w:szCs w:val="22"/>
        </w:rPr>
        <w:t>que</w:t>
      </w:r>
      <w:proofErr w:type="gramEnd"/>
      <w:r w:rsidRPr="00373C23">
        <w:rPr>
          <w:rFonts w:ascii="Palatino Linotype" w:eastAsia="Palatino Linotype" w:hAnsi="Palatino Linotype" w:cs="Palatino Linotype"/>
          <w:sz w:val="22"/>
          <w:szCs w:val="22"/>
        </w:rPr>
        <w:t xml:space="preserve"> sobre la petición relativa al nombre del responsable, no se puede proporcionar la información en razón de que el Ayuntamiento de Toluca y sus dependencias está obligado a proteger los datos personales que obran en su poder y/o se encuentren almacenados en su base de datos.</w:t>
      </w:r>
    </w:p>
    <w:p w14:paraId="1441C70F" w14:textId="77777777" w:rsidR="00162637" w:rsidRPr="00373C23" w:rsidRDefault="002A2F53">
      <w:pPr>
        <w:spacing w:before="240" w:after="240" w:line="360" w:lineRule="auto"/>
        <w:ind w:right="49"/>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sz w:val="22"/>
          <w:szCs w:val="22"/>
        </w:rPr>
        <w:t xml:space="preserve">Consecuentemente, al no estar conforme con los términos de la respuesta emitida, la parte </w:t>
      </w:r>
      <w:r w:rsidRPr="00373C23">
        <w:rPr>
          <w:rFonts w:ascii="Palatino Linotype" w:eastAsia="Palatino Linotype" w:hAnsi="Palatino Linotype" w:cs="Palatino Linotype"/>
          <w:b/>
          <w:bCs/>
          <w:sz w:val="22"/>
          <w:szCs w:val="22"/>
        </w:rPr>
        <w:t xml:space="preserve">Recurrente </w:t>
      </w:r>
      <w:r w:rsidRPr="00373C23">
        <w:rPr>
          <w:rFonts w:ascii="Palatino Linotype" w:eastAsia="Palatino Linotype" w:hAnsi="Palatino Linotype" w:cs="Palatino Linotype"/>
          <w:sz w:val="22"/>
          <w:szCs w:val="22"/>
        </w:rPr>
        <w:t>interpuso el recurso de revisión que nos ocupa, donde señaló como motivo de inconformidad la negativa a la entrega de la información.</w:t>
      </w:r>
    </w:p>
    <w:p w14:paraId="3A7E4D96"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Admitido el presente recurso de revisión, en términos del artículo 185 fracción II</w:t>
      </w:r>
      <w:r w:rsidRPr="00373C23">
        <w:rPr>
          <w:rFonts w:ascii="Palatino Linotype" w:eastAsia="Palatino Linotype" w:hAnsi="Palatino Linotype" w:cs="Palatino Linotype"/>
          <w:sz w:val="22"/>
          <w:szCs w:val="22"/>
          <w:vertAlign w:val="superscript"/>
        </w:rPr>
        <w:footnoteReference w:id="1"/>
      </w:r>
      <w:r w:rsidRPr="00373C23">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1A7343BE"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2FA981B"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De las constancias que integran el expediente en que se actúa se advierte que el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rindió su informe justificado en el que sustancialmente ratificó su respuesta inicial.</w:t>
      </w:r>
    </w:p>
    <w:p w14:paraId="72AA139B"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01BF0C4F"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Por su lado, la parte </w:t>
      </w:r>
      <w:r w:rsidRPr="00373C23">
        <w:rPr>
          <w:rFonts w:ascii="Palatino Linotype" w:eastAsia="Palatino Linotype" w:hAnsi="Palatino Linotype" w:cs="Palatino Linotype"/>
          <w:b/>
          <w:bCs/>
          <w:sz w:val="22"/>
          <w:szCs w:val="22"/>
        </w:rPr>
        <w:t xml:space="preserve">Recurrente </w:t>
      </w:r>
      <w:r w:rsidRPr="00373C23">
        <w:rPr>
          <w:rFonts w:ascii="Palatino Linotype" w:eastAsia="Palatino Linotype" w:hAnsi="Palatino Linotype" w:cs="Palatino Linotype"/>
          <w:sz w:val="22"/>
          <w:szCs w:val="22"/>
        </w:rPr>
        <w:t>fue omisa en hacer valer manifestaciones o rendir alegatos que conforme a derecho resultaran procedentes.</w:t>
      </w:r>
    </w:p>
    <w:p w14:paraId="1947F4DD"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788984AC"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Expuestas las posturas de las partes, es de recordar que la información requerida es respecto de denuncias o querellas relacionadas con daños al erario público, por tanto, resulta conveniente hacer valer las siguientes consideraciones:</w:t>
      </w:r>
    </w:p>
    <w:p w14:paraId="4EB3A8C7"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D5EC284"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primer lugar, resulta necesario precisar cómo se integra la Hacienda Pública Municipal a efecto de determinar las conductas -delitos- que tienen como efecto un daño al erario público, respecto de los cuales procede una reparación.</w:t>
      </w:r>
    </w:p>
    <w:p w14:paraId="17593532"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45A8093"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De esta manera, conforme el artículo 97 de la Ley Orgánica Municipal del Estado de México, la Hacienda Pública Municipal se integra por:</w:t>
      </w:r>
    </w:p>
    <w:p w14:paraId="2F037732"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300934E" w14:textId="77777777" w:rsidR="00162637" w:rsidRPr="00373C23" w:rsidRDefault="002A2F5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Los bienes muebles e inmuebles propiedad del municipio; </w:t>
      </w:r>
    </w:p>
    <w:p w14:paraId="381FDE85" w14:textId="77777777" w:rsidR="00162637" w:rsidRPr="00373C23" w:rsidRDefault="002A2F5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Los capitales y créditos a favor del municipio, así como los intereses y productos que generen los mismos; </w:t>
      </w:r>
    </w:p>
    <w:p w14:paraId="39A85D39" w14:textId="77777777" w:rsidR="00162637" w:rsidRPr="00373C23" w:rsidRDefault="002A2F5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Las rentas y productos de todos los bienes municipales; </w:t>
      </w:r>
    </w:p>
    <w:p w14:paraId="0B0D236F" w14:textId="77777777" w:rsidR="00162637" w:rsidRPr="00373C23" w:rsidRDefault="002A2F5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Las participaciones que perciban de acuerdo con las leyes federales y del Estado; </w:t>
      </w:r>
    </w:p>
    <w:p w14:paraId="121516FE" w14:textId="77777777" w:rsidR="00162637" w:rsidRPr="00373C23" w:rsidRDefault="002A2F5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Las contribuciones y demás ingresos determinados en la Ley de Ingresos de los Municipios, los que decrete la Legislatura y otros que por cualquier título legal reciba; </w:t>
      </w:r>
    </w:p>
    <w:p w14:paraId="4E1FD48E" w14:textId="77777777" w:rsidR="00162637" w:rsidRPr="00373C23" w:rsidRDefault="002A2F5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Las donaciones, herencias y legados que reciban.</w:t>
      </w:r>
    </w:p>
    <w:p w14:paraId="362A33F6"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0C183F2F"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Conforme lo anterior, la </w:t>
      </w:r>
      <w:r w:rsidRPr="00373C23">
        <w:rPr>
          <w:rFonts w:ascii="Palatino Linotype" w:eastAsia="Palatino Linotype" w:hAnsi="Palatino Linotype" w:cs="Palatino Linotype"/>
          <w:b/>
          <w:bCs/>
          <w:sz w:val="22"/>
          <w:szCs w:val="22"/>
        </w:rPr>
        <w:t>Hacienda Pública Municipal</w:t>
      </w:r>
      <w:r w:rsidRPr="00373C23">
        <w:rPr>
          <w:rFonts w:ascii="Palatino Linotype" w:eastAsia="Palatino Linotype" w:hAnsi="Palatino Linotype" w:cs="Palatino Linotype"/>
          <w:sz w:val="22"/>
          <w:szCs w:val="22"/>
        </w:rPr>
        <w:t xml:space="preserve"> se integra por el </w:t>
      </w:r>
      <w:r w:rsidRPr="00373C23">
        <w:rPr>
          <w:rFonts w:ascii="Palatino Linotype" w:eastAsia="Palatino Linotype" w:hAnsi="Palatino Linotype" w:cs="Palatino Linotype"/>
          <w:b/>
          <w:bCs/>
          <w:sz w:val="22"/>
          <w:szCs w:val="22"/>
        </w:rPr>
        <w:t>conjunto de bienes, derechos, ingresos y obligaciones</w:t>
      </w:r>
      <w:r w:rsidRPr="00373C23">
        <w:rPr>
          <w:rFonts w:ascii="Palatino Linotype" w:eastAsia="Palatino Linotype" w:hAnsi="Palatino Linotype" w:cs="Palatino Linotype"/>
          <w:sz w:val="22"/>
          <w:szCs w:val="22"/>
        </w:rPr>
        <w:t xml:space="preserve"> que conforman el patrimonio del municipio, y comprende tanto </w:t>
      </w:r>
      <w:r w:rsidRPr="00373C23">
        <w:rPr>
          <w:rFonts w:ascii="Palatino Linotype" w:eastAsia="Palatino Linotype" w:hAnsi="Palatino Linotype" w:cs="Palatino Linotype"/>
          <w:b/>
          <w:bCs/>
          <w:sz w:val="22"/>
          <w:szCs w:val="22"/>
        </w:rPr>
        <w:t>elementos tangibles como intangibles</w:t>
      </w:r>
      <w:r w:rsidRPr="00373C23">
        <w:rPr>
          <w:rFonts w:ascii="Palatino Linotype" w:eastAsia="Palatino Linotype" w:hAnsi="Palatino Linotype" w:cs="Palatino Linotype"/>
          <w:sz w:val="22"/>
          <w:szCs w:val="22"/>
        </w:rPr>
        <w:t>.</w:t>
      </w:r>
    </w:p>
    <w:p w14:paraId="193CA73F"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6E8E611"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De esta manera, </w:t>
      </w:r>
      <w:r w:rsidRPr="00373C23">
        <w:rPr>
          <w:rFonts w:ascii="Palatino Linotype" w:eastAsia="Palatino Linotype" w:hAnsi="Palatino Linotype" w:cs="Palatino Linotype"/>
          <w:b/>
          <w:bCs/>
          <w:sz w:val="22"/>
          <w:szCs w:val="22"/>
          <w:u w:val="single"/>
        </w:rPr>
        <w:t>el daño al erario público o a la hacienda pública municipal</w:t>
      </w:r>
      <w:r w:rsidRPr="00373C23">
        <w:rPr>
          <w:rFonts w:ascii="Palatino Linotype" w:eastAsia="Palatino Linotype" w:hAnsi="Palatino Linotype" w:cs="Palatino Linotype"/>
          <w:sz w:val="22"/>
          <w:szCs w:val="22"/>
        </w:rPr>
        <w:t xml:space="preserve"> es un concepto amplio que engloba cualquier afectación económica al patrimonio del Estado, </w:t>
      </w:r>
      <w:r w:rsidRPr="00373C23">
        <w:rPr>
          <w:rFonts w:ascii="Palatino Linotype" w:eastAsia="Palatino Linotype" w:hAnsi="Palatino Linotype" w:cs="Palatino Linotype"/>
          <w:b/>
          <w:bCs/>
          <w:sz w:val="22"/>
          <w:szCs w:val="22"/>
        </w:rPr>
        <w:t>y eso incluye el daño en bienes públicos (ejemplo: bienes muebles e inmuebles municipales).</w:t>
      </w:r>
    </w:p>
    <w:p w14:paraId="6FCEED45"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70715AC3"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Por tanto, se podría arribar a la conclusión de que </w:t>
      </w:r>
      <w:r w:rsidRPr="00373C23">
        <w:rPr>
          <w:rFonts w:ascii="Palatino Linotype" w:eastAsia="Palatino Linotype" w:hAnsi="Palatino Linotype" w:cs="Palatino Linotype"/>
          <w:b/>
          <w:bCs/>
          <w:sz w:val="22"/>
          <w:szCs w:val="22"/>
          <w:u w:val="single"/>
        </w:rPr>
        <w:t>el daño al erario público o a la hacienda pública municipal,</w:t>
      </w:r>
      <w:r w:rsidRPr="00373C23">
        <w:rPr>
          <w:rFonts w:ascii="Palatino Linotype" w:eastAsia="Palatino Linotype" w:hAnsi="Palatino Linotype" w:cs="Palatino Linotype"/>
          <w:b/>
          <w:bCs/>
          <w:sz w:val="22"/>
          <w:szCs w:val="22"/>
        </w:rPr>
        <w:t xml:space="preserve"> se configuraría como el menoscabo, pérdida o disminución económica del patrimonio del Estado, generado por actos u omisiones dolosas o culposas que implica un perjuicio cuantificable</w:t>
      </w:r>
      <w:r w:rsidRPr="00373C23">
        <w:rPr>
          <w:rFonts w:ascii="Palatino Linotype" w:eastAsia="Palatino Linotype" w:hAnsi="Palatino Linotype" w:cs="Palatino Linotype"/>
          <w:sz w:val="22"/>
          <w:szCs w:val="22"/>
        </w:rPr>
        <w:t>.</w:t>
      </w:r>
    </w:p>
    <w:p w14:paraId="47B3DDDB"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A52ED81"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Ahora, es importante agregar, que dentro de la legislación penal de la Entidad existen delitos que ocasionan daños a la hacienda pública municipal, los cuales comúnmente se encuentran relacionados con actos de corrupción, como: el peculado, ejercicio indebido de la función pública y el enriquecimiento ilícito; mismos que el Código Penal del Estado de México los define como a continuación se indica:</w:t>
      </w:r>
    </w:p>
    <w:p w14:paraId="3A6E4AA0"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431B105" w14:textId="77777777" w:rsidR="00162637" w:rsidRPr="00373C23" w:rsidRDefault="002A2F5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Peculado:</w:t>
      </w:r>
      <w:r w:rsidRPr="00373C23">
        <w:rPr>
          <w:rFonts w:ascii="Palatino Linotype" w:eastAsia="Palatino Linotype" w:hAnsi="Palatino Linotype" w:cs="Palatino Linotype"/>
          <w:sz w:val="22"/>
          <w:szCs w:val="22"/>
        </w:rPr>
        <w:t xml:space="preserve"> Delito que comete quien de manera </w:t>
      </w:r>
      <w:proofErr w:type="spellStart"/>
      <w:r w:rsidRPr="00373C23">
        <w:rPr>
          <w:rFonts w:ascii="Palatino Linotype" w:eastAsia="Palatino Linotype" w:hAnsi="Palatino Linotype" w:cs="Palatino Linotype"/>
          <w:sz w:val="22"/>
          <w:szCs w:val="22"/>
        </w:rPr>
        <w:t>ilicita</w:t>
      </w:r>
      <w:proofErr w:type="spellEnd"/>
      <w:r w:rsidRPr="00373C23">
        <w:rPr>
          <w:rFonts w:ascii="Palatino Linotype" w:eastAsia="Palatino Linotype" w:hAnsi="Palatino Linotype" w:cs="Palatino Linotype"/>
          <w:sz w:val="22"/>
          <w:szCs w:val="22"/>
        </w:rPr>
        <w:t xml:space="preserve"> utilice fondos públicos, o bien que disponga para su beneficio o el de una tercera persona física o jurídica colectiva, con o sin ánimo de lucro, de dinero, rentas, fondos, valores, fincas o sus rendimientos que tenga confiados en razón de su cargo, </w:t>
      </w:r>
      <w:r w:rsidRPr="00373C23">
        <w:rPr>
          <w:rFonts w:ascii="Palatino Linotype" w:eastAsia="Palatino Linotype" w:hAnsi="Palatino Linotype" w:cs="Palatino Linotype"/>
          <w:b/>
          <w:bCs/>
          <w:sz w:val="22"/>
          <w:szCs w:val="22"/>
          <w:u w:val="single"/>
        </w:rPr>
        <w:t>pertenecientes, entre otros, a los municipios.</w:t>
      </w:r>
    </w:p>
    <w:p w14:paraId="7160DEEF"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C557A06" w14:textId="77777777" w:rsidR="00162637" w:rsidRPr="00373C23" w:rsidRDefault="002A2F5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Enriquecimiento ilícito:</w:t>
      </w:r>
      <w:r w:rsidRPr="00373C23">
        <w:rPr>
          <w:rFonts w:ascii="Palatino Linotype" w:eastAsia="Palatino Linotype" w:hAnsi="Palatino Linotype" w:cs="Palatino Linotype"/>
          <w:sz w:val="22"/>
          <w:szCs w:val="22"/>
        </w:rPr>
        <w:t xml:space="preserve"> Delito que comete</w:t>
      </w:r>
      <w:r w:rsidRPr="00373C23">
        <w:t xml:space="preserve"> </w:t>
      </w:r>
      <w:r w:rsidRPr="00373C23">
        <w:rPr>
          <w:rFonts w:ascii="Palatino Linotype" w:eastAsia="Palatino Linotype" w:hAnsi="Palatino Linotype" w:cs="Palatino Linotype"/>
          <w:sz w:val="22"/>
          <w:szCs w:val="22"/>
        </w:rPr>
        <w:t xml:space="preserve">el servidor público que no pudiera acreditar el legítimo aumento de su patrimonio, o la legítima procedencia </w:t>
      </w:r>
      <w:r w:rsidRPr="00373C23">
        <w:rPr>
          <w:rFonts w:ascii="Palatino Linotype" w:eastAsia="Palatino Linotype" w:hAnsi="Palatino Linotype" w:cs="Palatino Linotype"/>
          <w:b/>
          <w:bCs/>
          <w:sz w:val="22"/>
          <w:szCs w:val="22"/>
          <w:u w:val="single"/>
        </w:rPr>
        <w:t>de los bienes</w:t>
      </w:r>
      <w:r w:rsidRPr="00373C23">
        <w:rPr>
          <w:rFonts w:ascii="Palatino Linotype" w:eastAsia="Palatino Linotype" w:hAnsi="Palatino Linotype" w:cs="Palatino Linotype"/>
          <w:sz w:val="22"/>
          <w:szCs w:val="22"/>
        </w:rPr>
        <w:t xml:space="preserve"> a su nombre, o de aquéllos respecto de los cuales se conduzca como dueño.</w:t>
      </w:r>
    </w:p>
    <w:p w14:paraId="6637141D" w14:textId="77777777" w:rsidR="00162637" w:rsidRPr="00373C23" w:rsidRDefault="00162637">
      <w:pPr>
        <w:pBdr>
          <w:top w:val="nil"/>
          <w:left w:val="nil"/>
          <w:bottom w:val="nil"/>
          <w:right w:val="nil"/>
          <w:between w:val="nil"/>
        </w:pBdr>
        <w:ind w:left="720"/>
        <w:rPr>
          <w:rFonts w:ascii="Palatino Linotype" w:eastAsia="Palatino Linotype" w:hAnsi="Palatino Linotype" w:cs="Palatino Linotype"/>
          <w:sz w:val="22"/>
          <w:szCs w:val="22"/>
        </w:rPr>
      </w:pPr>
    </w:p>
    <w:p w14:paraId="6A0B97DD" w14:textId="77777777" w:rsidR="00162637" w:rsidRPr="00373C23" w:rsidRDefault="002A2F5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Ejercicio indebido de función pública: Delito que comete el servidor público que, teniendo conocimiento por razón de su empleo, cargo o comisión sobre la afectación al patrimonio o a los intereses</w:t>
      </w:r>
      <w:r w:rsidRPr="00373C23">
        <w:rPr>
          <w:rFonts w:ascii="Palatino Linotype" w:eastAsia="Palatino Linotype" w:hAnsi="Palatino Linotype" w:cs="Palatino Linotype"/>
          <w:sz w:val="22"/>
          <w:szCs w:val="22"/>
        </w:rPr>
        <w:t xml:space="preserve">, entre otros, de los municipios, así como cualquier otro ente sobre el que tenga control cualquiera de los poderes y órganos públicos a nivel Estatal y Municipal, </w:t>
      </w:r>
      <w:r w:rsidRPr="00373C23">
        <w:rPr>
          <w:rFonts w:ascii="Palatino Linotype" w:eastAsia="Palatino Linotype" w:hAnsi="Palatino Linotype" w:cs="Palatino Linotype"/>
          <w:b/>
          <w:bCs/>
          <w:sz w:val="22"/>
          <w:szCs w:val="22"/>
        </w:rPr>
        <w:t>por cualquier acto u omisión, y no informe por escrito a su superior jerárquico o lo evite si está dentro de sus facultades.</w:t>
      </w:r>
    </w:p>
    <w:p w14:paraId="59CDF8BD"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DCC4360"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Consecuentemente, debe indicarse que conforme el artículo 9 del Código Penal del Estado de México, los delitos de corrupción como los antes mencionados, se encuentran clasificados como </w:t>
      </w:r>
      <w:r w:rsidRPr="00373C23">
        <w:rPr>
          <w:rFonts w:ascii="Palatino Linotype" w:eastAsia="Palatino Linotype" w:hAnsi="Palatino Linotype" w:cs="Palatino Linotype"/>
          <w:b/>
          <w:bCs/>
          <w:sz w:val="22"/>
          <w:szCs w:val="22"/>
          <w:u w:val="single"/>
        </w:rPr>
        <w:t>delitos graves</w:t>
      </w:r>
      <w:r w:rsidRPr="00373C23">
        <w:t xml:space="preserve"> </w:t>
      </w:r>
      <w:r w:rsidRPr="00373C23">
        <w:rPr>
          <w:rFonts w:ascii="Palatino Linotype" w:eastAsia="Palatino Linotype" w:hAnsi="Palatino Linotype" w:cs="Palatino Linotype"/>
          <w:sz w:val="22"/>
          <w:szCs w:val="22"/>
        </w:rPr>
        <w:t>para todos los efectos legales, respecto de los cuales recae una responsabilidad penal.</w:t>
      </w:r>
    </w:p>
    <w:p w14:paraId="3041961D"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F28A103"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Asimismo, resulta importante señalar que conforme el artículo 52 fracciones II y IX de la Ley de Responsabilidades Administrativas del Estado de México y Municipios, los delitos de corrupción como lo son el peculado y el enriquecimiento ilícito, se consideran como faltas administrativas graves.</w:t>
      </w:r>
    </w:p>
    <w:p w14:paraId="34B5DF0F"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03B1CAA"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Por otro lado, es de agregar que los delitos que ocasionan un daño a la hacienda pública municipal, conforme el artículo del 26 del Código Penal del Estado de México, procede la reparación del daño, misma que debe ser plena, efectiva, proporcional a la gravedad del daño causado y a la afectación del desarrollo integral de la víctima u ofendido y, según la naturaleza del delito de que se trate, comprenderá:</w:t>
      </w:r>
    </w:p>
    <w:p w14:paraId="36C773E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1CB6766E" w14:textId="77777777" w:rsidR="00162637" w:rsidRPr="00373C23" w:rsidRDefault="002A2F53">
      <w:pPr>
        <w:spacing w:line="360" w:lineRule="auto"/>
        <w:jc w:val="both"/>
        <w:rPr>
          <w:rFonts w:ascii="Palatino Linotype" w:eastAsia="Palatino Linotype" w:hAnsi="Palatino Linotype" w:cs="Palatino Linotype"/>
          <w:b/>
          <w:bCs/>
          <w:sz w:val="22"/>
          <w:szCs w:val="22"/>
          <w:u w:val="single"/>
        </w:rPr>
      </w:pPr>
      <w:r w:rsidRPr="00373C23">
        <w:rPr>
          <w:rFonts w:ascii="Palatino Linotype" w:eastAsia="Palatino Linotype" w:hAnsi="Palatino Linotype" w:cs="Palatino Linotype"/>
          <w:b/>
          <w:bCs/>
          <w:sz w:val="22"/>
          <w:szCs w:val="22"/>
          <w:u w:val="single"/>
        </w:rPr>
        <w:t xml:space="preserve">I. En términos generales: </w:t>
      </w:r>
    </w:p>
    <w:p w14:paraId="1EEA2A10"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185C61F6" w14:textId="77777777" w:rsidR="00162637" w:rsidRPr="00373C23" w:rsidRDefault="002A2F53">
      <w:pPr>
        <w:spacing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 xml:space="preserve">a) El restablecimiento de las cosas en el estado en que se encontraban antes de cometerse el delito; </w:t>
      </w:r>
    </w:p>
    <w:p w14:paraId="2B26CC0C"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0A6EAC3F" w14:textId="77777777" w:rsidR="00162637" w:rsidRPr="00373C23" w:rsidRDefault="002A2F53">
      <w:pPr>
        <w:spacing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 xml:space="preserve">b) La restitución del bien obtenido por el delito, con sus frutos y accesiones, y el pago en su caso del deterioro y menoscabo, o de los derechos afectados. </w:t>
      </w:r>
    </w:p>
    <w:p w14:paraId="52D2B617" w14:textId="77777777" w:rsidR="00162637" w:rsidRPr="00373C23" w:rsidRDefault="00162637">
      <w:pPr>
        <w:spacing w:line="360" w:lineRule="auto"/>
        <w:jc w:val="both"/>
        <w:rPr>
          <w:rFonts w:ascii="Palatino Linotype" w:eastAsia="Palatino Linotype" w:hAnsi="Palatino Linotype" w:cs="Palatino Linotype"/>
          <w:b/>
          <w:bCs/>
          <w:sz w:val="22"/>
          <w:szCs w:val="22"/>
        </w:rPr>
      </w:pPr>
    </w:p>
    <w:p w14:paraId="78A07BF3"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La restitución se hará aún en el caso de que el bien hubiere pasado a ser propiedad de terceros; a menos que sea irreivindicable o se haya extinguido el derecho de propiedad, los terceros serán escuchados en audiencia en la forma que señala el Código Nacional de Procedimientos Penales.</w:t>
      </w:r>
    </w:p>
    <w:p w14:paraId="3FC01330"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6ACE04B" w14:textId="77777777" w:rsidR="00162637" w:rsidRPr="00373C23" w:rsidRDefault="002A2F5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Puntualizado lo anterior, derivado de la naturaleza de la información requerida, que es “</w:t>
      </w:r>
      <w:r w:rsidRPr="00373C23">
        <w:rPr>
          <w:rFonts w:ascii="Palatino Linotype" w:eastAsia="Palatino Linotype" w:hAnsi="Palatino Linotype" w:cs="Palatino Linotype"/>
          <w:b/>
          <w:bCs/>
          <w:i/>
          <w:iCs/>
          <w:sz w:val="22"/>
          <w:szCs w:val="22"/>
        </w:rPr>
        <w:t>el número de denuncias o querellas presentadas por el Sujeto Obligado por delitos relacionados con daños al erario público</w:t>
      </w:r>
      <w:r w:rsidRPr="00373C23">
        <w:rPr>
          <w:rFonts w:ascii="Palatino Linotype" w:eastAsia="Palatino Linotype" w:hAnsi="Palatino Linotype" w:cs="Palatino Linotype"/>
          <w:b/>
          <w:bCs/>
          <w:sz w:val="22"/>
          <w:szCs w:val="22"/>
        </w:rPr>
        <w:t xml:space="preserve">” </w:t>
      </w:r>
      <w:r w:rsidRPr="00373C23">
        <w:rPr>
          <w:rFonts w:ascii="Palatino Linotype" w:eastAsia="Palatino Linotype" w:hAnsi="Palatino Linotype" w:cs="Palatino Linotype"/>
          <w:sz w:val="22"/>
          <w:szCs w:val="22"/>
        </w:rPr>
        <w:t>y “</w:t>
      </w:r>
      <w:r w:rsidRPr="00373C23">
        <w:rPr>
          <w:rFonts w:ascii="Palatino Linotype" w:eastAsia="Palatino Linotype" w:hAnsi="Palatino Linotype" w:cs="Palatino Linotype"/>
          <w:b/>
          <w:bCs/>
          <w:i/>
          <w:iCs/>
          <w:sz w:val="22"/>
          <w:szCs w:val="22"/>
        </w:rPr>
        <w:t>el nombre del responsable</w:t>
      </w:r>
      <w:r w:rsidRPr="00373C23">
        <w:rPr>
          <w:rFonts w:ascii="Palatino Linotype" w:eastAsia="Palatino Linotype" w:hAnsi="Palatino Linotype" w:cs="Palatino Linotype"/>
          <w:sz w:val="22"/>
          <w:szCs w:val="22"/>
        </w:rPr>
        <w:t>”, es importante referir que los delitos de corrupción como el peculado o el enriquecimiento ilícito que generan un daño al erario público, conforme el Código Penal del Estado de México son perseguibles de oficio, es decir, su investigación se persigue de manera automática, al momento en que la autoridad competente tiene conocimiento de ellos por corresponder a delitos graves que lesionan el patrimonio del Estado.</w:t>
      </w:r>
    </w:p>
    <w:p w14:paraId="71257E80" w14:textId="77777777" w:rsidR="00162637" w:rsidRPr="00373C23" w:rsidRDefault="001626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672EBDC" w14:textId="77777777" w:rsidR="00162637" w:rsidRPr="00373C23" w:rsidRDefault="002A2F5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Por tanto, aunque lo anterior significa que los delitos de corrupción como el peculado o el enriquecimiento ilícito no requieren querella, es decir, no requieren que sean perseguidos a petición de parte, ya que por su naturaleza son perseguibles de oficio al momento en que se tiene conocimiento de ellos; si pueden ser denunciados, en este caso, por las autoridades municipales que ejerzan la representación del Municipio, ante la Fiscalía Especializada en Combate a la Corrupción de la Fiscalía General de Justicia del Estado de México.</w:t>
      </w:r>
    </w:p>
    <w:p w14:paraId="41CF3E66" w14:textId="77777777" w:rsidR="00162637" w:rsidRPr="00373C23" w:rsidRDefault="00162637">
      <w:pPr>
        <w:spacing w:line="360" w:lineRule="auto"/>
        <w:ind w:right="51"/>
        <w:jc w:val="both"/>
        <w:rPr>
          <w:rFonts w:ascii="Palatino Linotype" w:eastAsia="Palatino Linotype" w:hAnsi="Palatino Linotype" w:cs="Palatino Linotype"/>
          <w:sz w:val="22"/>
          <w:szCs w:val="22"/>
        </w:rPr>
      </w:pPr>
    </w:p>
    <w:p w14:paraId="4699A2F9" w14:textId="77777777" w:rsidR="00162637" w:rsidRPr="00373C23" w:rsidRDefault="002A2F53">
      <w:pPr>
        <w:spacing w:line="360" w:lineRule="auto"/>
        <w:ind w:right="51"/>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Por lo que, una vez presentada la denuncia será el Ministerio Público de la Fiscalía Especializada a quien le corresponderá iniciar la carpeta de investigación, si de los datos aportados por la o el denunciante y los recabados por éste, se desprende la probable comisión de un hecho delictivo, de conformidad con lo previsto en el artículo 34 de la Ley de la Fiscalía General de Justicia del Estado de México:</w:t>
      </w:r>
    </w:p>
    <w:p w14:paraId="0F0E1515" w14:textId="77777777" w:rsidR="00162637" w:rsidRPr="00373C23" w:rsidRDefault="00162637">
      <w:pPr>
        <w:spacing w:line="360" w:lineRule="auto"/>
        <w:ind w:right="51"/>
        <w:jc w:val="both"/>
        <w:rPr>
          <w:rFonts w:ascii="Palatino Linotype" w:eastAsia="Palatino Linotype" w:hAnsi="Palatino Linotype" w:cs="Palatino Linotype"/>
          <w:sz w:val="22"/>
          <w:szCs w:val="22"/>
        </w:rPr>
      </w:pPr>
    </w:p>
    <w:p w14:paraId="2A4B8C50"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 xml:space="preserve">Artículo 34. </w:t>
      </w:r>
      <w:r w:rsidRPr="00373C23">
        <w:rPr>
          <w:rFonts w:ascii="Palatino Linotype" w:eastAsia="Palatino Linotype" w:hAnsi="Palatino Linotype" w:cs="Palatino Linotype"/>
          <w:i/>
          <w:iCs/>
          <w:sz w:val="22"/>
          <w:szCs w:val="22"/>
        </w:rPr>
        <w:t>El Ministerio Público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ordenamientos jurídicos estatales aplicables, las siguientes: A. En la investigación del delito:</w:t>
      </w:r>
    </w:p>
    <w:p w14:paraId="2F52B00E"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1238DE82" w14:textId="77777777" w:rsidR="00162637" w:rsidRPr="00373C23" w:rsidRDefault="002A2F53">
      <w:pPr>
        <w:tabs>
          <w:tab w:val="left" w:pos="851"/>
        </w:tabs>
        <w:ind w:left="851" w:right="901"/>
        <w:jc w:val="both"/>
        <w:rPr>
          <w:rFonts w:ascii="Palatino Linotype" w:eastAsia="Palatino Linotype" w:hAnsi="Palatino Linotype" w:cs="Palatino Linotype"/>
          <w:b/>
          <w:bCs/>
          <w:i/>
          <w:iCs/>
          <w:sz w:val="22"/>
          <w:szCs w:val="22"/>
          <w:u w:val="single"/>
        </w:rPr>
      </w:pPr>
      <w:r w:rsidRPr="00373C23">
        <w:rPr>
          <w:rFonts w:ascii="Palatino Linotype" w:eastAsia="Palatino Linotype" w:hAnsi="Palatino Linotype" w:cs="Palatino Linotype"/>
          <w:i/>
          <w:iCs/>
          <w:sz w:val="22"/>
          <w:szCs w:val="22"/>
        </w:rPr>
        <w:t xml:space="preserve">IV. </w:t>
      </w:r>
      <w:r w:rsidRPr="00373C23">
        <w:rPr>
          <w:rFonts w:ascii="Palatino Linotype" w:eastAsia="Palatino Linotype" w:hAnsi="Palatino Linotype" w:cs="Palatino Linotype"/>
          <w:b/>
          <w:bCs/>
          <w:i/>
          <w:iCs/>
          <w:sz w:val="22"/>
          <w:szCs w:val="22"/>
          <w:u w:val="single"/>
        </w:rPr>
        <w:t xml:space="preserve">Iniciar la carpeta de investigación si de los datos aportados por la o el denunciante o querellante y los recabados por éste, se desprende la probable comisión de un hecho delictivo. </w:t>
      </w:r>
    </w:p>
    <w:p w14:paraId="2ABCD767"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29A04A69"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Las corporaciones policiales de la Secretaría de Seguridad y de los municipios del Estado de México, tienen la obligación de colaborar con la Fiscalía y cumplir con los mandamientos que al efecto instruya el Ministerio Público en ejercicio de su función.</w:t>
      </w:r>
    </w:p>
    <w:p w14:paraId="05535645"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69214A6A"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3D30AAEF"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VI. Ejercer la conducción y mando de la Policía de Investigación y otras instituciones policiales, en coordinación con los servicios periciales y las áreas de información y análisis, en la investigación de los delitos, en forma continua, sin dilaciones y hasta la conclusión legal de la misma, de conformidad con las disposiciones legislativas aplicables.</w:t>
      </w:r>
    </w:p>
    <w:p w14:paraId="0F1A7848"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05851363" w14:textId="77777777" w:rsidR="00162637" w:rsidRPr="00373C23" w:rsidRDefault="002A2F53">
      <w:pPr>
        <w:tabs>
          <w:tab w:val="left" w:pos="851"/>
        </w:tabs>
        <w:ind w:left="851" w:right="901"/>
        <w:jc w:val="both"/>
        <w:rPr>
          <w:rFonts w:ascii="Palatino Linotype" w:eastAsia="Palatino Linotype" w:hAnsi="Palatino Linotype" w:cs="Palatino Linotype"/>
          <w:b/>
          <w:bCs/>
          <w:i/>
          <w:iCs/>
          <w:sz w:val="22"/>
          <w:szCs w:val="22"/>
          <w:u w:val="single"/>
        </w:rPr>
      </w:pPr>
      <w:r w:rsidRPr="00373C23">
        <w:rPr>
          <w:rFonts w:ascii="Palatino Linotype" w:eastAsia="Palatino Linotype" w:hAnsi="Palatino Linotype" w:cs="Palatino Linotype"/>
          <w:i/>
          <w:iCs/>
          <w:sz w:val="22"/>
          <w:szCs w:val="22"/>
        </w:rPr>
        <w:t xml:space="preserve">VIII. </w:t>
      </w:r>
      <w:r w:rsidRPr="00373C23">
        <w:rPr>
          <w:rFonts w:ascii="Palatino Linotype" w:eastAsia="Palatino Linotype" w:hAnsi="Palatino Linotype" w:cs="Palatino Linotype"/>
          <w:b/>
          <w:bCs/>
          <w:i/>
          <w:iCs/>
          <w:sz w:val="22"/>
          <w:szCs w:val="22"/>
          <w:u w:val="single"/>
        </w:rPr>
        <w:t>Solicitar, ejecutar u ordenar las técnicas de investigación aplicables, conforme al Código Nacional y la normatividad que emita la o el Fiscal General, con base en lo siguiente:</w:t>
      </w:r>
    </w:p>
    <w:p w14:paraId="5D457D67"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4DE8BA59"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a) Solicitar a la o el juez de control, la autorización para realizar las técnicas de investigación que requieren control judicial y aplicarlas. </w:t>
      </w:r>
    </w:p>
    <w:p w14:paraId="7441D1AE"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1C15E8E3"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b) Solicitar la aprobación de la o el juez de control de las técnicas de investigación, cuya realización requieren aprobación judicial posterior. </w:t>
      </w:r>
    </w:p>
    <w:p w14:paraId="0F941CDE"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4024204E"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c) Observar los manuales y protocolos que al efecto se emitan y demás disposiciones jurídicas aplicables. </w:t>
      </w:r>
    </w:p>
    <w:p w14:paraId="44F817E4"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7CB97192"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d) Guardar estricta confidencialidad respecto de la información que se genere con las técnicas de investigación, cuya revelación no autorizada será sancionada en términos de las disposiciones penales aplicables.</w:t>
      </w:r>
    </w:p>
    <w:p w14:paraId="7146F5E2" w14:textId="77777777" w:rsidR="00162637" w:rsidRPr="00373C23" w:rsidRDefault="00162637">
      <w:pPr>
        <w:tabs>
          <w:tab w:val="left" w:pos="851"/>
        </w:tabs>
        <w:ind w:right="901"/>
        <w:jc w:val="both"/>
        <w:rPr>
          <w:rFonts w:ascii="Palatino Linotype" w:eastAsia="Palatino Linotype" w:hAnsi="Palatino Linotype" w:cs="Palatino Linotype"/>
          <w:i/>
          <w:iCs/>
          <w:sz w:val="22"/>
          <w:szCs w:val="22"/>
        </w:rPr>
      </w:pPr>
    </w:p>
    <w:p w14:paraId="4A53C514"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0ABC725A"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IX.</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Actuar durante todas las etapas del procedimiento</w:t>
      </w:r>
      <w:r w:rsidRPr="00373C23">
        <w:rPr>
          <w:rFonts w:ascii="Palatino Linotype" w:eastAsia="Palatino Linotype" w:hAnsi="Palatino Linotype" w:cs="Palatino Linotype"/>
          <w:i/>
          <w:iCs/>
          <w:sz w:val="22"/>
          <w:szCs w:val="22"/>
        </w:rPr>
        <w:t xml:space="preserve"> en las que intervenga, con absoluto apego a las disposiciones jurídicas aplicables, protegiendo los derechos tanto de las y los imputados como de las demás personas que intervienen en el procedimiento penal, así como el interés social.</w:t>
      </w:r>
    </w:p>
    <w:p w14:paraId="7A7B9140"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71804B0B"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X. Requerir y recabar informes, entrevistas, así como la práctica de peritajes, inspecciones, procesamiento del lugar de los hechos, actuaciones policiales, obtener evidencias, formular requerimientos e integrar a la carpeta de investigación los datos y elementos de prueba que tiendan a establecer el hecho que las disposiciones jurídicas señalan como delito en la forma que determine el Código Nacional y demás leyes aplicables, para fundamentar el ejercicio de la acción penal, así como para acreditar y cuantificar la reparación de los daños y perjuicios causados.</w:t>
      </w:r>
    </w:p>
    <w:p w14:paraId="61CBDC81"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64D73646"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XII.</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 xml:space="preserve">Velar para </w:t>
      </w:r>
      <w:proofErr w:type="gramStart"/>
      <w:r w:rsidRPr="00373C23">
        <w:rPr>
          <w:rFonts w:ascii="Palatino Linotype" w:eastAsia="Palatino Linotype" w:hAnsi="Palatino Linotype" w:cs="Palatino Linotype"/>
          <w:b/>
          <w:bCs/>
          <w:i/>
          <w:iCs/>
          <w:sz w:val="22"/>
          <w:szCs w:val="22"/>
        </w:rPr>
        <w:t>que</w:t>
      </w:r>
      <w:proofErr w:type="gramEnd"/>
      <w:r w:rsidRPr="00373C23">
        <w:rPr>
          <w:rFonts w:ascii="Palatino Linotype" w:eastAsia="Palatino Linotype" w:hAnsi="Palatino Linotype" w:cs="Palatino Linotype"/>
          <w:b/>
          <w:bCs/>
          <w:i/>
          <w:iCs/>
          <w:sz w:val="22"/>
          <w:szCs w:val="22"/>
        </w:rPr>
        <w:t xml:space="preserve"> en todos los actos iniciales del procedimiento</w:t>
      </w:r>
      <w:r w:rsidRPr="00373C23">
        <w:rPr>
          <w:rFonts w:ascii="Palatino Linotype" w:eastAsia="Palatino Linotype" w:hAnsi="Palatino Linotype" w:cs="Palatino Linotype"/>
          <w:i/>
          <w:iCs/>
          <w:sz w:val="22"/>
          <w:szCs w:val="22"/>
        </w:rPr>
        <w:t>, tanto la o el imputado como la víctima u ofendido conozcan los derechos que le reconocen en ese momento procedimental la Constitución Federal, los tratados internacionales vinculantes para el Estado Mexicano y demás disposiciones jurídicas aplicables, en los términos establecidos en el Código Nacional.</w:t>
      </w:r>
    </w:p>
    <w:p w14:paraId="2F4A0D79" w14:textId="77777777" w:rsidR="00162637" w:rsidRPr="00373C23" w:rsidRDefault="00162637">
      <w:pPr>
        <w:tabs>
          <w:tab w:val="left" w:pos="851"/>
        </w:tabs>
        <w:ind w:right="901"/>
        <w:jc w:val="both"/>
        <w:rPr>
          <w:rFonts w:ascii="Palatino Linotype" w:eastAsia="Palatino Linotype" w:hAnsi="Palatino Linotype" w:cs="Palatino Linotype"/>
          <w:i/>
          <w:iCs/>
          <w:sz w:val="22"/>
          <w:szCs w:val="22"/>
        </w:rPr>
      </w:pPr>
    </w:p>
    <w:p w14:paraId="46F39FF7" w14:textId="77777777" w:rsidR="00162637" w:rsidRPr="00373C23" w:rsidRDefault="002A2F53">
      <w:pPr>
        <w:tabs>
          <w:tab w:val="left" w:pos="851"/>
        </w:tabs>
        <w:ind w:left="851" w:right="901"/>
        <w:jc w:val="both"/>
        <w:rPr>
          <w:rFonts w:ascii="Palatino Linotype" w:eastAsia="Palatino Linotype" w:hAnsi="Palatino Linotype" w:cs="Palatino Linotype"/>
          <w:b/>
          <w:bCs/>
          <w:i/>
          <w:iCs/>
          <w:sz w:val="22"/>
          <w:szCs w:val="22"/>
        </w:rPr>
      </w:pPr>
      <w:r w:rsidRPr="00373C23">
        <w:rPr>
          <w:rFonts w:ascii="Palatino Linotype" w:eastAsia="Palatino Linotype" w:hAnsi="Palatino Linotype" w:cs="Palatino Linotype"/>
          <w:b/>
          <w:bCs/>
          <w:i/>
          <w:iCs/>
          <w:sz w:val="22"/>
          <w:szCs w:val="22"/>
        </w:rPr>
        <w:t>B. Para el ejercicio de la acción penal:</w:t>
      </w:r>
    </w:p>
    <w:p w14:paraId="0B4CABBD" w14:textId="77777777" w:rsidR="00162637" w:rsidRPr="00373C23" w:rsidRDefault="002A2F53">
      <w:pPr>
        <w:tabs>
          <w:tab w:val="left" w:pos="851"/>
        </w:tabs>
        <w:ind w:left="851" w:right="901"/>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IX.</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 xml:space="preserve">Aportar los datos o elementos de prueba suficientes para obtener resoluciones favorables </w:t>
      </w:r>
      <w:r w:rsidRPr="00373C23">
        <w:rPr>
          <w:rFonts w:ascii="Palatino Linotype" w:eastAsia="Palatino Linotype" w:hAnsi="Palatino Linotype" w:cs="Palatino Linotype"/>
          <w:i/>
          <w:iCs/>
          <w:sz w:val="22"/>
          <w:szCs w:val="22"/>
        </w:rPr>
        <w:t>al interés social o los medios de prueba y su legal desahogo para la debida comprobación en juicio de la existencia del delito y la plena responsabilidad de la o el imputado, las circunstancias en que hubiese sido cometido, la existencia de los daños, así como para la fijación del monto de su reparación, el decomiso de los bienes afectos, así como para la procedencia de las demás penas y medidas de seguridad.</w:t>
      </w:r>
    </w:p>
    <w:p w14:paraId="17651F72" w14:textId="77777777" w:rsidR="00162637" w:rsidRPr="00373C23" w:rsidRDefault="00162637">
      <w:pPr>
        <w:tabs>
          <w:tab w:val="left" w:pos="851"/>
        </w:tabs>
        <w:ind w:left="851" w:right="901"/>
        <w:jc w:val="both"/>
        <w:rPr>
          <w:rFonts w:ascii="Palatino Linotype" w:eastAsia="Palatino Linotype" w:hAnsi="Palatino Linotype" w:cs="Palatino Linotype"/>
          <w:i/>
          <w:iCs/>
          <w:sz w:val="22"/>
          <w:szCs w:val="22"/>
        </w:rPr>
      </w:pPr>
    </w:p>
    <w:p w14:paraId="1D740B38" w14:textId="77777777" w:rsidR="00162637" w:rsidRPr="00373C23" w:rsidRDefault="002A2F53">
      <w:pPr>
        <w:ind w:left="720"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XI. Acudir puntualmente a las audiencias que fijen las autoridades judiciales, con los datos, órganos y medios de prueba conducentes, permanecer en éstas, promover oralmente lo que en derecho proceda y solicitar copia de los registros respectivos para el acervo institucional.</w:t>
      </w:r>
    </w:p>
    <w:p w14:paraId="07DF1CAB" w14:textId="77777777" w:rsidR="00162637" w:rsidRPr="00373C23" w:rsidRDefault="00162637">
      <w:pPr>
        <w:ind w:left="720" w:right="900"/>
        <w:jc w:val="both"/>
        <w:rPr>
          <w:rFonts w:ascii="Palatino Linotype" w:eastAsia="Palatino Linotype" w:hAnsi="Palatino Linotype" w:cs="Palatino Linotype"/>
          <w:i/>
          <w:iCs/>
          <w:sz w:val="22"/>
          <w:szCs w:val="22"/>
        </w:rPr>
      </w:pPr>
    </w:p>
    <w:p w14:paraId="155B7DE0" w14:textId="77777777" w:rsidR="00162637" w:rsidRPr="00373C23" w:rsidRDefault="00162637">
      <w:pPr>
        <w:ind w:left="720" w:right="900"/>
        <w:jc w:val="both"/>
        <w:rPr>
          <w:rFonts w:ascii="Palatino Linotype" w:eastAsia="Palatino Linotype" w:hAnsi="Palatino Linotype" w:cs="Palatino Linotype"/>
          <w:i/>
          <w:iCs/>
          <w:sz w:val="22"/>
          <w:szCs w:val="22"/>
        </w:rPr>
      </w:pPr>
    </w:p>
    <w:p w14:paraId="71F8C53A" w14:textId="77777777" w:rsidR="00162637" w:rsidRPr="00373C23" w:rsidRDefault="002A2F53">
      <w:pPr>
        <w:ind w:left="720"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C. Para la ejecución de las sanciones penales:</w:t>
      </w:r>
    </w:p>
    <w:p w14:paraId="6FB32D84" w14:textId="77777777" w:rsidR="00162637" w:rsidRPr="00373C23" w:rsidRDefault="002A2F53">
      <w:pPr>
        <w:ind w:left="720"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II. Intervenir e impulsar los procedimientos que se ventilen ante los juzgados de ejecución y cualquier otra autoridad judicial competente.”</w:t>
      </w:r>
    </w:p>
    <w:p w14:paraId="47E60D13" w14:textId="77777777" w:rsidR="00162637" w:rsidRPr="00373C23" w:rsidRDefault="00162637">
      <w:pPr>
        <w:ind w:left="720" w:right="900"/>
        <w:jc w:val="both"/>
        <w:rPr>
          <w:rFonts w:ascii="Palatino Linotype" w:eastAsia="Palatino Linotype" w:hAnsi="Palatino Linotype" w:cs="Palatino Linotype"/>
          <w:i/>
          <w:iCs/>
          <w:sz w:val="22"/>
          <w:szCs w:val="22"/>
        </w:rPr>
      </w:pPr>
    </w:p>
    <w:p w14:paraId="5F906FF0" w14:textId="77777777" w:rsidR="00162637" w:rsidRPr="00373C23" w:rsidRDefault="002A2F53">
      <w:pPr>
        <w:ind w:left="720" w:right="900"/>
        <w:jc w:val="right"/>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(Énfasis añadido)</w:t>
      </w:r>
    </w:p>
    <w:p w14:paraId="43232274" w14:textId="77777777" w:rsidR="00162637" w:rsidRPr="00373C23" w:rsidRDefault="00162637">
      <w:pPr>
        <w:spacing w:line="360" w:lineRule="auto"/>
        <w:ind w:right="51"/>
        <w:jc w:val="both"/>
        <w:rPr>
          <w:rFonts w:ascii="Palatino Linotype" w:eastAsia="Palatino Linotype" w:hAnsi="Palatino Linotype" w:cs="Palatino Linotype"/>
          <w:sz w:val="22"/>
          <w:szCs w:val="22"/>
        </w:rPr>
      </w:pPr>
    </w:p>
    <w:p w14:paraId="35ED94EE" w14:textId="77777777" w:rsidR="00162637" w:rsidRPr="00373C23" w:rsidRDefault="002A2F5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Abonando a lo anterior, de conformidad con lo previsto en el artículo 127 del Código Nacional de Procedimientos Penales se precisa que, corresponde al Ministerio Público conducir la investigación, coordinar a las policías y a los servidores periciales durante la investigación, resolver sobre el ejercicio de la acción penal en la forma establecida por la ley y, en su caso, ordenar las diligencias pertinentes y útiles para demostrar, o no, la existencia del delito y la responsabilidad de quien lo cometió o participó en su comisión. </w:t>
      </w:r>
    </w:p>
    <w:p w14:paraId="767751AA" w14:textId="77777777" w:rsidR="00162637" w:rsidRPr="00373C23" w:rsidRDefault="001626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84D37A" w14:textId="77777777" w:rsidR="00162637" w:rsidRPr="00373C23" w:rsidRDefault="002A2F5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Ahora, del análisis a la normatividad que rige al ente obligado, es necesario señalar que la </w:t>
      </w:r>
      <w:r w:rsidRPr="00373C23">
        <w:rPr>
          <w:rFonts w:ascii="Palatino Linotype" w:eastAsia="Palatino Linotype" w:hAnsi="Palatino Linotype" w:cs="Palatino Linotype"/>
          <w:b/>
          <w:bCs/>
          <w:sz w:val="22"/>
          <w:szCs w:val="22"/>
          <w:u w:val="single"/>
        </w:rPr>
        <w:t>Coordinación Jurídica</w:t>
      </w:r>
      <w:r w:rsidRPr="00373C23">
        <w:rPr>
          <w:rFonts w:ascii="Palatino Linotype" w:eastAsia="Palatino Linotype" w:hAnsi="Palatino Linotype" w:cs="Palatino Linotype"/>
          <w:sz w:val="22"/>
          <w:szCs w:val="22"/>
        </w:rPr>
        <w:t xml:space="preserve"> conforme el artículo 3.18 fracciones I y II del Código Reglamentario Municipal de Toluca, tiene dentro de sus atribuciones las siguientes:</w:t>
      </w:r>
    </w:p>
    <w:p w14:paraId="34B1DEBD" w14:textId="77777777" w:rsidR="00162637" w:rsidRPr="00373C23" w:rsidRDefault="001626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BAD653" w14:textId="77777777" w:rsidR="00162637" w:rsidRPr="00373C23" w:rsidRDefault="002A2F5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Coadyuvar como apoderado jurídico del Ayuntamiento de Toluca,</w:t>
      </w:r>
      <w:r w:rsidRPr="00373C23">
        <w:rPr>
          <w:rFonts w:ascii="Palatino Linotype" w:eastAsia="Palatino Linotype" w:hAnsi="Palatino Linotype" w:cs="Palatino Linotype"/>
          <w:sz w:val="22"/>
          <w:szCs w:val="22"/>
        </w:rPr>
        <w:t xml:space="preserve"> de la Presidenta o del Presidente Municipal, de los Síndicos Municipales y de la Administración Pública municipal Centralizada.</w:t>
      </w:r>
    </w:p>
    <w:p w14:paraId="68BCE393" w14:textId="77777777" w:rsidR="00162637" w:rsidRPr="00373C23" w:rsidRDefault="00162637">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31736BCD" w14:textId="77777777" w:rsidR="00162637" w:rsidRPr="00373C23" w:rsidRDefault="002A2F5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u w:val="single"/>
        </w:rPr>
        <w:t>Formular denuncias y querellas</w:t>
      </w:r>
      <w:r w:rsidRPr="00373C23">
        <w:rPr>
          <w:rFonts w:ascii="Palatino Linotype" w:eastAsia="Palatino Linotype" w:hAnsi="Palatino Linotype" w:cs="Palatino Linotype"/>
          <w:sz w:val="22"/>
          <w:szCs w:val="22"/>
        </w:rPr>
        <w:t xml:space="preserve"> y promover la reparación de daños y perjuicios </w:t>
      </w:r>
      <w:r w:rsidRPr="00373C23">
        <w:rPr>
          <w:rFonts w:ascii="Palatino Linotype" w:eastAsia="Palatino Linotype" w:hAnsi="Palatino Linotype" w:cs="Palatino Linotype"/>
          <w:b/>
          <w:bCs/>
          <w:sz w:val="22"/>
          <w:szCs w:val="22"/>
        </w:rPr>
        <w:t>que se causen a la hacienda municipal</w:t>
      </w:r>
      <w:r w:rsidRPr="00373C23">
        <w:rPr>
          <w:rFonts w:ascii="Palatino Linotype" w:eastAsia="Palatino Linotype" w:hAnsi="Palatino Linotype" w:cs="Palatino Linotype"/>
          <w:sz w:val="22"/>
          <w:szCs w:val="22"/>
        </w:rPr>
        <w:t xml:space="preserve"> y el reconocimiento o la restitución en el goce de los derechos que corresponden al Municipio y a su Ayuntamiento.</w:t>
      </w:r>
    </w:p>
    <w:p w14:paraId="33FB5271" w14:textId="77777777" w:rsidR="00162637" w:rsidRPr="00373C23" w:rsidRDefault="001626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B969104" w14:textId="77777777" w:rsidR="00162637" w:rsidRPr="00373C23" w:rsidRDefault="002A2F5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Por lo tanto, el </w:t>
      </w:r>
      <w:r w:rsidRPr="00373C23">
        <w:rPr>
          <w:rFonts w:ascii="Palatino Linotype" w:eastAsia="Palatino Linotype" w:hAnsi="Palatino Linotype" w:cs="Palatino Linotype"/>
          <w:b/>
          <w:bCs/>
          <w:sz w:val="22"/>
          <w:szCs w:val="22"/>
        </w:rPr>
        <w:t xml:space="preserve">Sujeto Obligado </w:t>
      </w:r>
      <w:r w:rsidRPr="00373C23">
        <w:rPr>
          <w:rFonts w:ascii="Palatino Linotype" w:eastAsia="Palatino Linotype" w:hAnsi="Palatino Linotype" w:cs="Palatino Linotype"/>
          <w:sz w:val="22"/>
          <w:szCs w:val="22"/>
        </w:rPr>
        <w:t xml:space="preserve">por conducto de la Coordinación Jurídica tiene competencia para conocer si en representación del Municipio se promovieron denuncias por delitos relacionados con daños al erario público, los cuales, como se indicó, son catalogados como graves </w:t>
      </w:r>
      <w:r w:rsidRPr="00373C23">
        <w:rPr>
          <w:rFonts w:ascii="Palatino Linotype" w:eastAsia="Palatino Linotype" w:hAnsi="Palatino Linotype" w:cs="Palatino Linotype"/>
          <w:b/>
          <w:bCs/>
          <w:sz w:val="22"/>
          <w:szCs w:val="22"/>
          <w:u w:val="single"/>
        </w:rPr>
        <w:t>cuyo responsable se hace acreedor a una pena, una responsabilidad administrativa grave, así como a la obligación jurídica de reparar el daño ocasionado.</w:t>
      </w:r>
      <w:r w:rsidRPr="00373C23">
        <w:rPr>
          <w:rFonts w:ascii="Palatino Linotype" w:eastAsia="Palatino Linotype" w:hAnsi="Palatino Linotype" w:cs="Palatino Linotype"/>
          <w:sz w:val="22"/>
          <w:szCs w:val="22"/>
        </w:rPr>
        <w:t xml:space="preserve"> </w:t>
      </w:r>
    </w:p>
    <w:p w14:paraId="6A4629BB" w14:textId="77777777" w:rsidR="00162637" w:rsidRPr="00373C23" w:rsidRDefault="001626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BBDEA0" w14:textId="77777777" w:rsidR="00162637" w:rsidRPr="00373C23" w:rsidRDefault="002A2F53">
      <w:pPr>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ese sentido, es de recordar que en el caso quien se pronunció fue la Coordinación Jurídica, unidad administrativa que conforme lo antes expuesto tiene competencia para conocer de lo requerido; por tanto, se cumplió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625864FB" w14:textId="77777777" w:rsidR="00162637" w:rsidRPr="00373C23" w:rsidRDefault="00162637">
      <w:pPr>
        <w:rPr>
          <w:sz w:val="22"/>
          <w:szCs w:val="22"/>
        </w:rPr>
      </w:pPr>
    </w:p>
    <w:p w14:paraId="7426EE9C" w14:textId="77777777" w:rsidR="00162637" w:rsidRPr="00373C23" w:rsidRDefault="002A2F53">
      <w:pPr>
        <w:pBdr>
          <w:top w:val="nil"/>
          <w:left w:val="nil"/>
          <w:bottom w:val="nil"/>
          <w:right w:val="nil"/>
          <w:between w:val="nil"/>
        </w:pBdr>
        <w:ind w:left="864" w:right="864"/>
        <w:jc w:val="both"/>
        <w:rPr>
          <w:sz w:val="22"/>
          <w:szCs w:val="22"/>
        </w:rPr>
      </w:pPr>
      <w:r w:rsidRPr="00373C23">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149CD96D" w14:textId="77777777" w:rsidR="00162637" w:rsidRPr="00373C23" w:rsidRDefault="00162637">
      <w:pPr>
        <w:rPr>
          <w:sz w:val="22"/>
          <w:szCs w:val="22"/>
        </w:rPr>
      </w:pPr>
    </w:p>
    <w:p w14:paraId="604DDCB9" w14:textId="77777777" w:rsidR="00162637" w:rsidRPr="00373C23" w:rsidRDefault="002A2F53">
      <w:pPr>
        <w:pBdr>
          <w:top w:val="nil"/>
          <w:left w:val="nil"/>
          <w:bottom w:val="nil"/>
          <w:right w:val="nil"/>
          <w:between w:val="nil"/>
        </w:pBdr>
        <w:spacing w:line="360" w:lineRule="auto"/>
        <w:jc w:val="both"/>
        <w:rPr>
          <w:sz w:val="22"/>
          <w:szCs w:val="22"/>
        </w:rPr>
      </w:pPr>
      <w:r w:rsidRPr="00373C23">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61992E7" w14:textId="77777777" w:rsidR="00162637" w:rsidRPr="00373C23" w:rsidRDefault="00162637">
      <w:pPr>
        <w:rPr>
          <w:sz w:val="22"/>
          <w:szCs w:val="22"/>
        </w:rPr>
      </w:pPr>
    </w:p>
    <w:p w14:paraId="3E257EC3" w14:textId="77777777" w:rsidR="00162637" w:rsidRPr="00373C23" w:rsidRDefault="002A2F53">
      <w:pPr>
        <w:pBdr>
          <w:top w:val="nil"/>
          <w:left w:val="nil"/>
          <w:bottom w:val="nil"/>
          <w:right w:val="nil"/>
          <w:between w:val="nil"/>
        </w:pBdr>
        <w:ind w:left="864" w:right="864"/>
        <w:jc w:val="both"/>
        <w:rPr>
          <w:sz w:val="22"/>
          <w:szCs w:val="22"/>
        </w:rPr>
      </w:pPr>
      <w:r w:rsidRPr="00373C23">
        <w:rPr>
          <w:rFonts w:ascii="Palatino Linotype" w:eastAsia="Palatino Linotype" w:hAnsi="Palatino Linotype" w:cs="Palatino Linotype"/>
          <w:i/>
          <w:iCs/>
          <w:sz w:val="22"/>
          <w:szCs w:val="22"/>
        </w:rPr>
        <w:t xml:space="preserve">“Artículo 162. Las unidades de transparencia deberán garantizar que las solicitudes </w:t>
      </w:r>
      <w:r w:rsidRPr="00373C23">
        <w:rPr>
          <w:rFonts w:ascii="Palatino Linotype" w:eastAsia="Palatino Linotype" w:hAnsi="Palatino Linotype" w:cs="Palatino Linotype"/>
          <w:b/>
          <w:bCs/>
          <w:i/>
          <w:iCs/>
          <w:sz w:val="22"/>
          <w:szCs w:val="22"/>
        </w:rPr>
        <w:t xml:space="preserve">se turnen a todas las Áreas competentes </w:t>
      </w:r>
      <w:r w:rsidRPr="00373C23">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3F7CC652"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0D11C92"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No obstante, si bien en el caso se pronunció la unidad administrativa competente, en el caso se advierte un cumplimiento parcial por las siguientes consideraciones:</w:t>
      </w:r>
    </w:p>
    <w:p w14:paraId="6141CC47"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446A552"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Se afirma lo anterior, pues con relación al requerimiento relativo </w:t>
      </w:r>
      <w:r w:rsidRPr="00373C23">
        <w:rPr>
          <w:rFonts w:ascii="Palatino Linotype" w:eastAsia="Palatino Linotype" w:hAnsi="Palatino Linotype" w:cs="Palatino Linotype"/>
          <w:b/>
          <w:bCs/>
          <w:i/>
          <w:iCs/>
          <w:sz w:val="22"/>
          <w:szCs w:val="22"/>
        </w:rPr>
        <w:t xml:space="preserve">al número de denuncias o querellas presentadas por el Sujeto Obligado por delitos relacionados con daños al erario público y por los que se solicitó la reparación; </w:t>
      </w:r>
      <w:r w:rsidRPr="00373C23">
        <w:rPr>
          <w:rFonts w:ascii="Palatino Linotype" w:eastAsia="Palatino Linotype" w:hAnsi="Palatino Linotype" w:cs="Palatino Linotype"/>
          <w:sz w:val="22"/>
          <w:szCs w:val="22"/>
        </w:rPr>
        <w:t xml:space="preserve">en primer </w:t>
      </w:r>
      <w:proofErr w:type="gramStart"/>
      <w:r w:rsidRPr="00373C23">
        <w:rPr>
          <w:rFonts w:ascii="Palatino Linotype" w:eastAsia="Palatino Linotype" w:hAnsi="Palatino Linotype" w:cs="Palatino Linotype"/>
          <w:sz w:val="22"/>
          <w:szCs w:val="22"/>
        </w:rPr>
        <w:t>lugar</w:t>
      </w:r>
      <w:proofErr w:type="gramEnd"/>
      <w:r w:rsidRPr="00373C23">
        <w:rPr>
          <w:rFonts w:ascii="Palatino Linotype" w:eastAsia="Palatino Linotype" w:hAnsi="Palatino Linotype" w:cs="Palatino Linotype"/>
          <w:sz w:val="22"/>
          <w:szCs w:val="22"/>
        </w:rPr>
        <w:t xml:space="preserve"> es de indicarse que corresponde a información estadística considerada pública y que tiene dentro de sus atribuciones conocer el ente obligado.</w:t>
      </w:r>
    </w:p>
    <w:p w14:paraId="1541195A"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7D764E02" w14:textId="77777777" w:rsidR="00162637" w:rsidRPr="00373C23" w:rsidRDefault="002A2F53">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Sirve de apoyo a lo anterior, el Criterio orientador con clave de control SO/008/2023, emitido por el entonces Instituto Nacional de Transparencia y Acceso a la Información y Protección de Datos Personales, INAI, de rubro y texto siguientes:</w:t>
      </w:r>
    </w:p>
    <w:p w14:paraId="3E9BAB65" w14:textId="77777777" w:rsidR="00162637" w:rsidRPr="00373C23" w:rsidRDefault="00162637">
      <w:pPr>
        <w:pBdr>
          <w:top w:val="nil"/>
          <w:left w:val="nil"/>
          <w:bottom w:val="nil"/>
          <w:right w:val="nil"/>
          <w:between w:val="nil"/>
        </w:pBdr>
        <w:spacing w:line="360" w:lineRule="auto"/>
        <w:ind w:right="51"/>
        <w:jc w:val="both"/>
        <w:rPr>
          <w:sz w:val="22"/>
          <w:szCs w:val="22"/>
        </w:rPr>
      </w:pPr>
    </w:p>
    <w:p w14:paraId="750B2784" w14:textId="77777777" w:rsidR="00162637" w:rsidRPr="00373C23" w:rsidRDefault="002A2F53">
      <w:pPr>
        <w:pBdr>
          <w:top w:val="nil"/>
          <w:left w:val="nil"/>
          <w:bottom w:val="nil"/>
          <w:right w:val="nil"/>
          <w:between w:val="nil"/>
        </w:pBdr>
        <w:spacing w:line="276" w:lineRule="auto"/>
        <w:ind w:left="851"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 xml:space="preserve">Ejercicio del derecho de Acceso a la Información Pública. La información estadística es de naturaleza pública, independientemente de la materia con la que se encuentre vinculada. </w:t>
      </w:r>
      <w:r w:rsidRPr="00373C23">
        <w:rPr>
          <w:rFonts w:ascii="Palatino Linotype" w:eastAsia="Palatino Linotype" w:hAnsi="Palatino Linotype" w:cs="Palatino Linotype"/>
          <w:i/>
          <w:iCs/>
          <w:sz w:val="22"/>
          <w:szCs w:val="22"/>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w:t>
      </w:r>
      <w:r w:rsidRPr="00373C23">
        <w:rPr>
          <w:rFonts w:ascii="Palatino Linotype" w:eastAsia="Palatino Linotype" w:hAnsi="Palatino Linotype" w:cs="Palatino Linotype"/>
          <w:b/>
          <w:bCs/>
          <w:i/>
          <w:iCs/>
          <w:sz w:val="22"/>
          <w:szCs w:val="22"/>
        </w:rPr>
        <w:t>los sujetos obligados deberán poner a disposición del público, entre otra, la relativa a la que con base en la información estadística</w:t>
      </w:r>
      <w:r w:rsidRPr="00373C23">
        <w:rPr>
          <w:rFonts w:ascii="Palatino Linotype" w:eastAsia="Palatino Linotype" w:hAnsi="Palatino Linotype" w:cs="Palatino Linotype"/>
          <w:i/>
          <w:iCs/>
          <w:sz w:val="22"/>
          <w:szCs w:val="22"/>
        </w:rPr>
        <w:t xml:space="preserve">, responda a las preguntas hechas con más frecuencia por el público, por lo que es posible afirmar que la información estadística es de naturaleza pública, </w:t>
      </w:r>
      <w:r w:rsidRPr="00373C23">
        <w:rPr>
          <w:rFonts w:ascii="Palatino Linotype" w:eastAsia="Palatino Linotype" w:hAnsi="Palatino Linotype" w:cs="Palatino Linotype"/>
          <w:b/>
          <w:bCs/>
          <w:i/>
          <w:iCs/>
          <w:sz w:val="22"/>
          <w:szCs w:val="22"/>
        </w:rPr>
        <w:t>siempre y cuando los datos estadísticos no se encuentren individualizados o personalizados a casos o situaciones específicas,</w:t>
      </w:r>
      <w:r w:rsidRPr="00373C23">
        <w:rPr>
          <w:rFonts w:ascii="Palatino Linotype" w:eastAsia="Palatino Linotype" w:hAnsi="Palatino Linotype" w:cs="Palatino Linotype"/>
          <w:i/>
          <w:iCs/>
          <w:sz w:val="22"/>
          <w:szCs w:val="22"/>
        </w:rPr>
        <w:t xml:space="preserve"> que pudieran llegar a justificar su clasificación.”</w:t>
      </w:r>
    </w:p>
    <w:p w14:paraId="47F7ED63" w14:textId="77777777" w:rsidR="00162637" w:rsidRPr="00373C23" w:rsidRDefault="00162637">
      <w:pPr>
        <w:pBdr>
          <w:top w:val="nil"/>
          <w:left w:val="nil"/>
          <w:bottom w:val="nil"/>
          <w:right w:val="nil"/>
          <w:between w:val="nil"/>
        </w:pBdr>
        <w:spacing w:line="276" w:lineRule="auto"/>
        <w:ind w:left="851" w:right="900"/>
        <w:jc w:val="both"/>
        <w:rPr>
          <w:sz w:val="22"/>
          <w:szCs w:val="22"/>
        </w:rPr>
      </w:pPr>
    </w:p>
    <w:p w14:paraId="0D5AC151" w14:textId="77777777" w:rsidR="00162637" w:rsidRPr="00373C23" w:rsidRDefault="002A2F53">
      <w:pPr>
        <w:spacing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sz w:val="22"/>
          <w:szCs w:val="22"/>
        </w:rPr>
        <w:t>No obstante, del análisis a la respuesta, se advierte un cumplimiento parcial en razón de que</w:t>
      </w:r>
      <w:r w:rsidRPr="00373C23">
        <w:rPr>
          <w:rFonts w:ascii="Palatino Linotype" w:eastAsia="Palatino Linotype" w:hAnsi="Palatino Linotype" w:cs="Palatino Linotype"/>
          <w:b/>
          <w:bCs/>
          <w:i/>
          <w:iCs/>
          <w:sz w:val="22"/>
          <w:szCs w:val="22"/>
        </w:rPr>
        <w:t xml:space="preserve"> </w:t>
      </w:r>
      <w:r w:rsidRPr="00373C23">
        <w:rPr>
          <w:rFonts w:ascii="Palatino Linotype" w:eastAsia="Palatino Linotype" w:hAnsi="Palatino Linotype" w:cs="Palatino Linotype"/>
          <w:b/>
          <w:bCs/>
          <w:sz w:val="22"/>
          <w:szCs w:val="22"/>
        </w:rPr>
        <w:t>la Coordinadora Jurídica únicamente proporcionó el número de carpetas de investigación que se tienen presentadas por delitos que afectan el erario público, específicamente en bienes patrimonio del ente obligado (daño en bienes), por los que procede la reparación del daño.</w:t>
      </w:r>
    </w:p>
    <w:p w14:paraId="6DB6E570"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1C8CEF8D"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Sin embargo, como se precisó, el daño al erario público o hacienda pública municipal es un concepto muy amplio que no sólo engloba a la afectación generada a bienes que conforman el patrimonio del municipio, sino también al conjunto de derechos, ingresos y obligaciones que forman parte de ese patrimonio como: capitales y créditos fiscales a favor del municipio, sus intereses y productos generados de los mismos; rentas y productos; participaciones; contribuciones; entre otros.</w:t>
      </w:r>
    </w:p>
    <w:p w14:paraId="65CEC36B"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82BDFD9"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De ahí que lo entregado en respuesta colma parcialmente el requerimiento del particular, siendo procedente ordenar, previa búsqueda exhaustiva y razonable: </w:t>
      </w:r>
      <w:r w:rsidRPr="00373C23">
        <w:rPr>
          <w:rFonts w:ascii="Palatino Linotype" w:eastAsia="Palatino Linotype" w:hAnsi="Palatino Linotype" w:cs="Palatino Linotype"/>
          <w:b/>
          <w:bCs/>
          <w:sz w:val="22"/>
          <w:szCs w:val="22"/>
        </w:rPr>
        <w:t>el número de querellas o denuncias faltantes presentadas por el Sujeto Obligado por delitos relacionados con daños al erario público en el periodo comprendido del 01 de enero de 2021 al 23 de mayo de 2025.</w:t>
      </w:r>
    </w:p>
    <w:p w14:paraId="56376AF6"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70F451F"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0FDB835E"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Sin embargo, en el supuesto que no se llegara a localizar la información que se ordena en los archivos del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xml:space="preserve"> </w:t>
      </w:r>
      <w:r w:rsidRPr="00373C23">
        <w:rPr>
          <w:rFonts w:ascii="Palatino Linotype" w:eastAsia="Palatino Linotype" w:hAnsi="Palatino Linotype" w:cs="Palatino Linotype"/>
          <w:b/>
          <w:bCs/>
          <w:sz w:val="22"/>
          <w:szCs w:val="22"/>
        </w:rPr>
        <w:t>por qué en el periodo ordenado no se presentaron querellas o denuncias por delitos relacionados con daños al erario público,</w:t>
      </w:r>
      <w:r w:rsidRPr="00373C23">
        <w:rPr>
          <w:rFonts w:ascii="Palatino Linotype" w:eastAsia="Palatino Linotype" w:hAnsi="Palatino Linotype" w:cs="Palatino Linotype"/>
          <w:sz w:val="22"/>
          <w:szCs w:val="22"/>
        </w:rPr>
        <w:t xml:space="preserve"> 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734B5D1A"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D3F91E0" w14:textId="77777777" w:rsidR="00162637" w:rsidRPr="00373C23" w:rsidRDefault="002A2F5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Ahora, con relación al requerimiento relativo </w:t>
      </w:r>
      <w:r w:rsidRPr="00373C23">
        <w:rPr>
          <w:rFonts w:ascii="Palatino Linotype" w:eastAsia="Palatino Linotype" w:hAnsi="Palatino Linotype" w:cs="Palatino Linotype"/>
          <w:b/>
          <w:bCs/>
          <w:sz w:val="22"/>
          <w:szCs w:val="22"/>
        </w:rPr>
        <w:t>al nombre de los responsables de los delitos de corrupción relacionados con daños al erario público en el periodo comprendido del 01 de enero de 2021 al 23 de mayo de 2025</w:t>
      </w:r>
      <w:r w:rsidRPr="00373C23">
        <w:rPr>
          <w:rFonts w:ascii="Palatino Linotype" w:eastAsia="Palatino Linotype" w:hAnsi="Palatino Linotype" w:cs="Palatino Linotype"/>
          <w:sz w:val="22"/>
          <w:szCs w:val="22"/>
        </w:rPr>
        <w:t>, si bien la Coordinación Jurídica indicó que no se puede proporcionar la información en razón de que el Ayuntamiento de Toluca y sus dependencias están obligadas a proteger los datos personales que obran en su poder y/o se encuentren almacenados en su base de datos, resulta conveniente analizar los supuestos bajo los cuales procede la publicidad de dicho dato, o bien su clasificación como información confidencial.</w:t>
      </w:r>
    </w:p>
    <w:p w14:paraId="7ACC19B6" w14:textId="77777777" w:rsidR="00162637" w:rsidRPr="00373C23" w:rsidRDefault="001626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3034512" w14:textId="77777777" w:rsidR="00162637" w:rsidRPr="00373C23" w:rsidRDefault="002A2F5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 xml:space="preserve">Cuando se haya acreditado el daño y haya transcurrido el plazo legal para pagarlo </w:t>
      </w:r>
    </w:p>
    <w:p w14:paraId="2F7D7106"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7A65B078"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Para efecto de lo anterior, resulta conveniente traer a contexto el contenido del artículo 142 de la Ley de Transparencia y Acceso a la Información Pública del Estado de México y Municipios, cuyo contenido es el siguiente:</w:t>
      </w:r>
    </w:p>
    <w:p w14:paraId="2A2FF2C4"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0C8116C2" w14:textId="77777777" w:rsidR="00162637" w:rsidRPr="00373C23" w:rsidRDefault="002A2F53">
      <w:pPr>
        <w:spacing w:line="360" w:lineRule="auto"/>
        <w:ind w:left="567" w:right="843"/>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Artículo 142. Bajo ninguna circunstancia podrá invocarse el carácter de reservado cuando:</w:t>
      </w:r>
    </w:p>
    <w:p w14:paraId="4F52C3E0" w14:textId="77777777" w:rsidR="00162637" w:rsidRPr="00373C23" w:rsidRDefault="002A2F53">
      <w:pPr>
        <w:spacing w:line="360" w:lineRule="auto"/>
        <w:ind w:left="567" w:right="843"/>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I. Se trate de violaciones graves de derechos humanos, calificada así por autoridad competente; </w:t>
      </w:r>
    </w:p>
    <w:p w14:paraId="35315971" w14:textId="77777777" w:rsidR="00162637" w:rsidRPr="00373C23" w:rsidRDefault="002A2F53">
      <w:pPr>
        <w:spacing w:line="360" w:lineRule="auto"/>
        <w:ind w:left="567" w:right="843"/>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41412190" w14:textId="77777777" w:rsidR="00162637" w:rsidRPr="00373C23" w:rsidRDefault="002A2F53">
      <w:pPr>
        <w:spacing w:line="360" w:lineRule="auto"/>
        <w:ind w:left="567" w:right="843"/>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7AB15F29" w14:textId="77777777" w:rsidR="00162637" w:rsidRPr="00373C23" w:rsidRDefault="002A2F53">
      <w:pPr>
        <w:spacing w:line="360" w:lineRule="auto"/>
        <w:ind w:left="567" w:right="843"/>
        <w:jc w:val="both"/>
        <w:rPr>
          <w:rFonts w:ascii="Palatino Linotype" w:eastAsia="Palatino Linotype" w:hAnsi="Palatino Linotype" w:cs="Palatino Linotype"/>
          <w:b/>
          <w:bCs/>
          <w:i/>
          <w:iCs/>
          <w:sz w:val="20"/>
          <w:szCs w:val="20"/>
          <w:u w:val="single"/>
        </w:rPr>
      </w:pPr>
      <w:r w:rsidRPr="00373C23">
        <w:rPr>
          <w:rFonts w:ascii="Palatino Linotype" w:eastAsia="Palatino Linotype" w:hAnsi="Palatino Linotype" w:cs="Palatino Linotype"/>
          <w:b/>
          <w:bCs/>
          <w:i/>
          <w:iCs/>
          <w:sz w:val="22"/>
          <w:szCs w:val="22"/>
          <w:u w:val="single"/>
        </w:rPr>
        <w:t>IV. Se trate de información relacionada con actos de corrupción de conformidad con las disposiciones jurídicas aplicables.</w:t>
      </w:r>
    </w:p>
    <w:p w14:paraId="019C9D8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70544B23"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Del precepto citado se desprende que aquella información que se relacione, entre otros, con</w:t>
      </w:r>
      <w:r w:rsidRPr="00373C23">
        <w:t xml:space="preserve"> </w:t>
      </w:r>
      <w:r w:rsidRPr="00373C23">
        <w:rPr>
          <w:rFonts w:ascii="Palatino Linotype" w:eastAsia="Palatino Linotype" w:hAnsi="Palatino Linotype" w:cs="Palatino Linotype"/>
          <w:sz w:val="22"/>
          <w:szCs w:val="22"/>
        </w:rPr>
        <w:t>actos de corrupción debe ser considerada como información pública,</w:t>
      </w:r>
      <w:r w:rsidRPr="00373C23">
        <w:rPr>
          <w:rFonts w:ascii="Palatino Linotype" w:eastAsia="Palatino Linotype" w:hAnsi="Palatino Linotype" w:cs="Palatino Linotype"/>
          <w:b/>
          <w:bCs/>
          <w:sz w:val="22"/>
          <w:szCs w:val="22"/>
        </w:rPr>
        <w:t xml:space="preserve"> </w:t>
      </w:r>
      <w:r w:rsidRPr="00373C23">
        <w:rPr>
          <w:rFonts w:ascii="Palatino Linotype" w:eastAsia="Palatino Linotype" w:hAnsi="Palatino Linotype" w:cs="Palatino Linotype"/>
          <w:sz w:val="22"/>
          <w:szCs w:val="22"/>
        </w:rPr>
        <w:t>pues</w:t>
      </w:r>
      <w:r w:rsidRPr="00373C23">
        <w:rPr>
          <w:rFonts w:ascii="Palatino Linotype" w:eastAsia="Palatino Linotype" w:hAnsi="Palatino Linotype" w:cs="Palatino Linotype"/>
          <w:b/>
          <w:bCs/>
          <w:sz w:val="22"/>
          <w:szCs w:val="22"/>
        </w:rPr>
        <w:t xml:space="preserve"> </w:t>
      </w:r>
      <w:r w:rsidRPr="00373C23">
        <w:rPr>
          <w:rFonts w:ascii="Palatino Linotype" w:eastAsia="Palatino Linotype" w:hAnsi="Palatino Linotype" w:cs="Palatino Linotype"/>
          <w:sz w:val="22"/>
          <w:szCs w:val="22"/>
        </w:rPr>
        <w:t>cuando se cometen actos de corrupción como desvío de recursos públicos, peculado, enriquecimiento ilícito, se causa un perjuicio de manera externa, esto es, a terceras personas o bien, a la hacienda o erario público; por lo que, se podría considerar que existe una trascendencia social para dar a conocer dicha información, la cual incluye el nombre de los responsables de un delito y/o sanción administrativa de que haya sido objeto, la causa y la disposición legal.</w:t>
      </w:r>
    </w:p>
    <w:p w14:paraId="6CD36AA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05AFBED3"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No obstante, si bien es cierto, la legislación local en materia de transparencia, establece que bajo ninguna circunstancia podrá invocarse el carácter de información reservada cuando se trate de información relacionada con actos de corrupción, lo cierto es que, la Ley General de Transparencia que entró en vigor el veinte de marzo de dos mil veinticinco, establece las siguientes excepciones a la reserva de la información:</w:t>
      </w:r>
    </w:p>
    <w:p w14:paraId="423847A5"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0421581E" w14:textId="77777777" w:rsidR="00162637" w:rsidRPr="00373C23" w:rsidRDefault="002A2F53">
      <w:pPr>
        <w:spacing w:line="360" w:lineRule="auto"/>
        <w:ind w:left="567" w:right="843"/>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Artículo 114.</w:t>
      </w:r>
      <w:r w:rsidRPr="00373C23">
        <w:rPr>
          <w:rFonts w:ascii="Palatino Linotype" w:eastAsia="Palatino Linotype" w:hAnsi="Palatino Linotype" w:cs="Palatino Linotype"/>
          <w:i/>
          <w:iCs/>
          <w:sz w:val="22"/>
          <w:szCs w:val="22"/>
        </w:rPr>
        <w:t xml:space="preserve"> No podrá invocarse el carácter de reservado cuando: </w:t>
      </w:r>
    </w:p>
    <w:p w14:paraId="0E3E1BD7" w14:textId="77777777" w:rsidR="00162637" w:rsidRPr="00373C23" w:rsidRDefault="002A2F53">
      <w:pPr>
        <w:spacing w:line="360" w:lineRule="auto"/>
        <w:ind w:left="567" w:right="843"/>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I. Se trate de violaciones graves de derechos humanos o delitos de lesa humanidad, o </w:t>
      </w:r>
    </w:p>
    <w:p w14:paraId="7FBECFA2" w14:textId="77777777" w:rsidR="00162637" w:rsidRPr="00373C23" w:rsidRDefault="002A2F53">
      <w:pPr>
        <w:spacing w:line="360" w:lineRule="auto"/>
        <w:ind w:left="567" w:right="843"/>
        <w:jc w:val="both"/>
        <w:rPr>
          <w:rFonts w:ascii="Palatino Linotype" w:eastAsia="Palatino Linotype" w:hAnsi="Palatino Linotype" w:cs="Palatino Linotype"/>
          <w:b/>
          <w:bCs/>
          <w:i/>
          <w:iCs/>
          <w:sz w:val="20"/>
          <w:szCs w:val="20"/>
        </w:rPr>
      </w:pPr>
      <w:r w:rsidRPr="00373C23">
        <w:rPr>
          <w:rFonts w:ascii="Palatino Linotype" w:eastAsia="Palatino Linotype" w:hAnsi="Palatino Linotype" w:cs="Palatino Linotype"/>
          <w:b/>
          <w:bCs/>
          <w:i/>
          <w:iCs/>
          <w:sz w:val="22"/>
          <w:szCs w:val="22"/>
        </w:rPr>
        <w:t>II. Se trate de información relacionada con actos de corrupción acreditados de acuerdo con las leyes aplicables</w:t>
      </w:r>
    </w:p>
    <w:p w14:paraId="56307376"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1BCA4837"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De lo anterior, si bien nuestra legislación local en materia de transparencia dispone que no se podrá invocar la reserva de información tratándose, entre otros, de actos de corrupción; atendiendo el principio de supremacía constitucional previsto en el artículo 133 de la Constitución Política de los Estados Unidos Mexicanos, es la Ley General de Transparencia, bajo la cual se debe regir este Órgano Garante.</w:t>
      </w:r>
    </w:p>
    <w:p w14:paraId="3A41315C"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720F65EB"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De esta manera, en aplicación de lo establecido en la Ley General de Transparencia, se tiene que no podrá invocarse el carácter de información reservada cuando se trate de información relacionada con actos de corrupción </w:t>
      </w:r>
      <w:r w:rsidRPr="00373C23">
        <w:rPr>
          <w:rFonts w:ascii="Palatino Linotype" w:eastAsia="Palatino Linotype" w:hAnsi="Palatino Linotype" w:cs="Palatino Linotype"/>
          <w:b/>
          <w:bCs/>
          <w:sz w:val="22"/>
          <w:szCs w:val="22"/>
          <w:u w:val="single"/>
        </w:rPr>
        <w:t>acreditados,</w:t>
      </w:r>
      <w:r w:rsidRPr="00373C23">
        <w:rPr>
          <w:rFonts w:ascii="Palatino Linotype" w:eastAsia="Palatino Linotype" w:hAnsi="Palatino Linotype" w:cs="Palatino Linotype"/>
          <w:sz w:val="22"/>
          <w:szCs w:val="22"/>
          <w:u w:val="single"/>
        </w:rPr>
        <w:t xml:space="preserve"> </w:t>
      </w:r>
      <w:r w:rsidRPr="00373C23">
        <w:rPr>
          <w:rFonts w:ascii="Palatino Linotype" w:eastAsia="Palatino Linotype" w:hAnsi="Palatino Linotype" w:cs="Palatino Linotype"/>
          <w:sz w:val="22"/>
          <w:szCs w:val="22"/>
        </w:rPr>
        <w:t>esto es, que las acciones ilícitas cometidas hayan sido demostradas y formalizadas mediante sentencias judiciales firmes.</w:t>
      </w:r>
    </w:p>
    <w:p w14:paraId="53C5DDDC"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68DD1391"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Este elemento es de suma importancia, pues independientemente que en el caso en particular no se solicitan carpetas de investigación o expedientes en trámite por los que proceda una reserva de información, sino únicamente se requiere el dato relativo al nombre de los responsables por los delitos relacionados con daños al erario público, que constituye información que pudiera encuadrar en el supuesto de confidencialidad, el supuesto legal de entrega de información relacionada con actos de corrupción acreditados es de tomarse en consideración para efectos de la publicidad de dicho dato, pues el mismo se considerará público, siempre y cuando las acciones ilícitas cometidas hayan sido demostradas y formalizadas mediante sentencias judiciales firmes.</w:t>
      </w:r>
    </w:p>
    <w:p w14:paraId="044488EE"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445D17A" w14:textId="77777777" w:rsidR="00162637" w:rsidRPr="00373C23" w:rsidRDefault="002A2F53">
      <w:pPr>
        <w:spacing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sz w:val="22"/>
          <w:szCs w:val="22"/>
        </w:rPr>
        <w:t xml:space="preserve">En ese sentido, el </w:t>
      </w:r>
      <w:r w:rsidRPr="00373C23">
        <w:rPr>
          <w:rFonts w:ascii="Palatino Linotype" w:eastAsia="Palatino Linotype" w:hAnsi="Palatino Linotype" w:cs="Palatino Linotype"/>
          <w:b/>
          <w:bCs/>
          <w:sz w:val="22"/>
          <w:szCs w:val="22"/>
        </w:rPr>
        <w:t>nombre de los responsables de los delitos relacionados con daños al erario público será público siempre y cuando haya sido acreditado el daño mediante resolución firme emitida por autoridad competente, y haya transcurrido el plazo legal para hacer el pago de la responsabilidad generada.</w:t>
      </w:r>
    </w:p>
    <w:p w14:paraId="158205F2" w14:textId="77777777" w:rsidR="00162637" w:rsidRPr="00373C23" w:rsidRDefault="00162637">
      <w:pPr>
        <w:spacing w:line="360" w:lineRule="auto"/>
        <w:jc w:val="both"/>
        <w:rPr>
          <w:rFonts w:ascii="Palatino Linotype" w:eastAsia="Palatino Linotype" w:hAnsi="Palatino Linotype" w:cs="Palatino Linotype"/>
          <w:b/>
          <w:bCs/>
          <w:sz w:val="22"/>
          <w:szCs w:val="22"/>
        </w:rPr>
      </w:pPr>
    </w:p>
    <w:p w14:paraId="382AD979"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Como ejemplo de lo anterior, se toma el </w:t>
      </w:r>
      <w:r w:rsidRPr="00373C23">
        <w:rPr>
          <w:rFonts w:ascii="Palatino Linotype" w:eastAsia="Palatino Linotype" w:hAnsi="Palatino Linotype" w:cs="Palatino Linotype"/>
          <w:b/>
          <w:bCs/>
          <w:sz w:val="22"/>
          <w:szCs w:val="22"/>
          <w:u w:val="single"/>
        </w:rPr>
        <w:t>delito de peculado</w:t>
      </w:r>
      <w:r w:rsidRPr="00373C23">
        <w:rPr>
          <w:rFonts w:ascii="Palatino Linotype" w:eastAsia="Palatino Linotype" w:hAnsi="Palatino Linotype" w:cs="Palatino Linotype"/>
          <w:sz w:val="22"/>
          <w:szCs w:val="22"/>
        </w:rPr>
        <w:t xml:space="preserve">, mismo que conforme el artículo 351 segundo párrafo del Código Penal del Estado de México contempla diversas sanciones, que van, desde la imposición de años de prisión, destitución e inhabilitación (en caso de servidores públicos), </w:t>
      </w:r>
      <w:r w:rsidRPr="00373C23">
        <w:rPr>
          <w:rFonts w:ascii="Palatino Linotype" w:eastAsia="Palatino Linotype" w:hAnsi="Palatino Linotype" w:cs="Palatino Linotype"/>
          <w:b/>
          <w:bCs/>
          <w:sz w:val="22"/>
          <w:szCs w:val="22"/>
        </w:rPr>
        <w:t>como multas económicas.</w:t>
      </w:r>
    </w:p>
    <w:p w14:paraId="5EE5D883"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2B00676"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En el caso de </w:t>
      </w:r>
      <w:r w:rsidRPr="00373C23">
        <w:rPr>
          <w:rFonts w:ascii="Palatino Linotype" w:eastAsia="Palatino Linotype" w:hAnsi="Palatino Linotype" w:cs="Palatino Linotype"/>
          <w:b/>
          <w:bCs/>
          <w:sz w:val="22"/>
          <w:szCs w:val="22"/>
        </w:rPr>
        <w:t>las</w:t>
      </w:r>
      <w:r w:rsidRPr="00373C23">
        <w:rPr>
          <w:rFonts w:ascii="Palatino Linotype" w:eastAsia="Palatino Linotype" w:hAnsi="Palatino Linotype" w:cs="Palatino Linotype"/>
          <w:sz w:val="22"/>
          <w:szCs w:val="22"/>
        </w:rPr>
        <w:t xml:space="preserve"> </w:t>
      </w:r>
      <w:r w:rsidRPr="00373C23">
        <w:rPr>
          <w:rFonts w:ascii="Palatino Linotype" w:eastAsia="Palatino Linotype" w:hAnsi="Palatino Linotype" w:cs="Palatino Linotype"/>
          <w:b/>
          <w:bCs/>
          <w:sz w:val="22"/>
          <w:szCs w:val="22"/>
        </w:rPr>
        <w:t>multas judiciales impuestas por un juez</w:t>
      </w:r>
      <w:r w:rsidRPr="00373C23">
        <w:rPr>
          <w:rFonts w:ascii="Palatino Linotype" w:eastAsia="Palatino Linotype" w:hAnsi="Palatino Linotype" w:cs="Palatino Linotype"/>
          <w:sz w:val="22"/>
          <w:szCs w:val="22"/>
        </w:rPr>
        <w:t xml:space="preserve"> derivadas de delitos tipificados en la ley penal, debe decirse que </w:t>
      </w:r>
      <w:r w:rsidRPr="00373C23">
        <w:rPr>
          <w:rFonts w:ascii="Palatino Linotype" w:eastAsia="Palatino Linotype" w:hAnsi="Palatino Linotype" w:cs="Palatino Linotype"/>
          <w:b/>
          <w:bCs/>
          <w:sz w:val="22"/>
          <w:szCs w:val="22"/>
          <w:u w:val="single"/>
        </w:rPr>
        <w:t>cuando estas tienen carácter pecuniario</w:t>
      </w:r>
      <w:r w:rsidRPr="00373C23">
        <w:rPr>
          <w:rFonts w:ascii="Palatino Linotype" w:eastAsia="Palatino Linotype" w:hAnsi="Palatino Linotype" w:cs="Palatino Linotype"/>
          <w:sz w:val="22"/>
          <w:szCs w:val="22"/>
        </w:rPr>
        <w:t xml:space="preserve">, </w:t>
      </w:r>
      <w:r w:rsidRPr="00373C23">
        <w:rPr>
          <w:rFonts w:ascii="Palatino Linotype" w:eastAsia="Palatino Linotype" w:hAnsi="Palatino Linotype" w:cs="Palatino Linotype"/>
          <w:b/>
          <w:bCs/>
          <w:sz w:val="22"/>
          <w:szCs w:val="22"/>
          <w:u w:val="single"/>
        </w:rPr>
        <w:t>entran en la categoría de sanción exigible al erario,</w:t>
      </w:r>
      <w:r w:rsidRPr="00373C23">
        <w:rPr>
          <w:rFonts w:ascii="Palatino Linotype" w:eastAsia="Palatino Linotype" w:hAnsi="Palatino Linotype" w:cs="Palatino Linotype"/>
          <w:sz w:val="22"/>
          <w:szCs w:val="22"/>
        </w:rPr>
        <w:t xml:space="preserve"> y por lo tanto se consideran créditos fiscales.</w:t>
      </w:r>
    </w:p>
    <w:p w14:paraId="25F4B3C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7A1F478"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En este caso, es de agregar que el pago de multas judiciales, se realiza ante la </w:t>
      </w:r>
      <w:r w:rsidRPr="00373C23">
        <w:rPr>
          <w:rFonts w:ascii="Palatino Linotype" w:eastAsia="Palatino Linotype" w:hAnsi="Palatino Linotype" w:cs="Palatino Linotype"/>
          <w:b/>
          <w:bCs/>
          <w:sz w:val="22"/>
          <w:szCs w:val="22"/>
        </w:rPr>
        <w:t>Tesorería General de Gobierno del Estado de México</w:t>
      </w:r>
      <w:r w:rsidRPr="00373C23">
        <w:rPr>
          <w:rFonts w:ascii="Palatino Linotype" w:eastAsia="Palatino Linotype" w:hAnsi="Palatino Linotype" w:cs="Palatino Linotype"/>
          <w:sz w:val="22"/>
          <w:szCs w:val="22"/>
        </w:rPr>
        <w:t xml:space="preserve"> que es un </w:t>
      </w:r>
      <w:r w:rsidRPr="00373C23">
        <w:rPr>
          <w:rFonts w:ascii="Palatino Linotype" w:eastAsia="Palatino Linotype" w:hAnsi="Palatino Linotype" w:cs="Palatino Linotype"/>
          <w:b/>
          <w:bCs/>
          <w:sz w:val="22"/>
          <w:szCs w:val="22"/>
        </w:rPr>
        <w:t>órgano administrativo centralizado</w:t>
      </w:r>
      <w:r w:rsidRPr="00373C23">
        <w:rPr>
          <w:rFonts w:ascii="Palatino Linotype" w:eastAsia="Palatino Linotype" w:hAnsi="Palatino Linotype" w:cs="Palatino Linotype"/>
          <w:sz w:val="22"/>
          <w:szCs w:val="22"/>
        </w:rPr>
        <w:t xml:space="preserve"> que forma parte del </w:t>
      </w:r>
      <w:r w:rsidRPr="00373C23">
        <w:rPr>
          <w:rFonts w:ascii="Palatino Linotype" w:eastAsia="Palatino Linotype" w:hAnsi="Palatino Linotype" w:cs="Palatino Linotype"/>
          <w:b/>
          <w:bCs/>
          <w:sz w:val="22"/>
          <w:szCs w:val="22"/>
        </w:rPr>
        <w:t>Gobierno del Estado de México</w:t>
      </w:r>
      <w:r w:rsidRPr="00373C23">
        <w:rPr>
          <w:rFonts w:ascii="Palatino Linotype" w:eastAsia="Palatino Linotype" w:hAnsi="Palatino Linotype" w:cs="Palatino Linotype"/>
          <w:sz w:val="22"/>
          <w:szCs w:val="22"/>
        </w:rPr>
        <w:t xml:space="preserve">, y depende directamente de la </w:t>
      </w:r>
      <w:r w:rsidRPr="00373C23">
        <w:rPr>
          <w:rFonts w:ascii="Palatino Linotype" w:eastAsia="Palatino Linotype" w:hAnsi="Palatino Linotype" w:cs="Palatino Linotype"/>
          <w:b/>
          <w:bCs/>
          <w:sz w:val="22"/>
          <w:szCs w:val="22"/>
        </w:rPr>
        <w:t>Secretaría de Finanzas</w:t>
      </w:r>
      <w:r w:rsidRPr="00373C23">
        <w:rPr>
          <w:rFonts w:ascii="Palatino Linotype" w:eastAsia="Palatino Linotype" w:hAnsi="Palatino Linotype" w:cs="Palatino Linotype"/>
          <w:sz w:val="22"/>
          <w:szCs w:val="22"/>
        </w:rPr>
        <w:t xml:space="preserve"> del Estado de México; órgano que tiene dentro de sus atribuciones exigir el cobro de créditos fiscales, incluidas multas judiciales penales o administrativas.</w:t>
      </w:r>
    </w:p>
    <w:p w14:paraId="5B2C8040"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De esta manera, </w:t>
      </w:r>
      <w:r w:rsidRPr="00373C23">
        <w:rPr>
          <w:rFonts w:ascii="Palatino Linotype" w:eastAsia="Palatino Linotype" w:hAnsi="Palatino Linotype" w:cs="Palatino Linotype"/>
          <w:b/>
          <w:bCs/>
          <w:sz w:val="22"/>
          <w:szCs w:val="22"/>
        </w:rPr>
        <w:t>si mediante sentencia judicial se determina la culpabilidad del imputado y este último no promueve medio de defensa alguno, o habiéndolo promovido fue confirmada la determinación del Tribunal correspondiente, alcanzando el grado de cosa juzgada,</w:t>
      </w:r>
      <w:r w:rsidRPr="00373C23">
        <w:rPr>
          <w:rFonts w:ascii="Palatino Linotype" w:eastAsia="Palatino Linotype" w:hAnsi="Palatino Linotype" w:cs="Palatino Linotype"/>
          <w:sz w:val="22"/>
          <w:szCs w:val="22"/>
        </w:rPr>
        <w:t xml:space="preserve"> </w:t>
      </w:r>
      <w:r w:rsidRPr="00373C23">
        <w:rPr>
          <w:rFonts w:ascii="Palatino Linotype" w:eastAsia="Palatino Linotype" w:hAnsi="Palatino Linotype" w:cs="Palatino Linotype"/>
          <w:b/>
          <w:bCs/>
          <w:sz w:val="22"/>
          <w:szCs w:val="22"/>
        </w:rPr>
        <w:t xml:space="preserve">y no se procede al pago correspondiente en el plazo establecido para ello, </w:t>
      </w:r>
      <w:r w:rsidRPr="00373C23">
        <w:rPr>
          <w:rFonts w:ascii="Palatino Linotype" w:eastAsia="Palatino Linotype" w:hAnsi="Palatino Linotype" w:cs="Palatino Linotype"/>
          <w:sz w:val="22"/>
          <w:szCs w:val="22"/>
        </w:rPr>
        <w:t>se considera que la publicidad del nombre del responsable ante su omisión de cumplimiento, encuentra justificación en el interés público de dar a conocer a la persona (particular o servidor público) que ha generado un daño en el patrimonio municipal y por el que el Estado se encuentra facultado en reclamar una reparación.</w:t>
      </w:r>
    </w:p>
    <w:p w14:paraId="5540FD3A"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De ahí, que </w:t>
      </w:r>
      <w:r w:rsidRPr="00373C23">
        <w:rPr>
          <w:rFonts w:ascii="Palatino Linotype" w:eastAsia="Palatino Linotype" w:hAnsi="Palatino Linotype" w:cs="Palatino Linotype"/>
          <w:b/>
          <w:bCs/>
          <w:sz w:val="22"/>
          <w:szCs w:val="22"/>
          <w:u w:val="single"/>
        </w:rPr>
        <w:t xml:space="preserve">será público el nombre del responsable por delitos que ocasionan daño al erario público, siempre y cuando sean acreditados mediante sentencia firme, haya incurrido en omisión de efectuar el pago correspondiente dentro del plazo legal establecido, y que a la fecha de la solicitud -23 de mayo de 2025-, aún siga pendiente pago del daño correspondiente; </w:t>
      </w:r>
      <w:r w:rsidRPr="00373C23">
        <w:rPr>
          <w:rFonts w:ascii="Palatino Linotype" w:eastAsia="Palatino Linotype" w:hAnsi="Palatino Linotype" w:cs="Palatino Linotype"/>
          <w:sz w:val="22"/>
          <w:szCs w:val="22"/>
        </w:rPr>
        <w:t xml:space="preserve">dado que el daño que se genera es directamente contra el patrimonio del Municipio, aún </w:t>
      </w:r>
      <w:proofErr w:type="gramStart"/>
      <w:r w:rsidRPr="00373C23">
        <w:rPr>
          <w:rFonts w:ascii="Palatino Linotype" w:eastAsia="Palatino Linotype" w:hAnsi="Palatino Linotype" w:cs="Palatino Linotype"/>
          <w:sz w:val="22"/>
          <w:szCs w:val="22"/>
        </w:rPr>
        <w:t>persiste .</w:t>
      </w:r>
      <w:proofErr w:type="gramEnd"/>
      <w:r w:rsidRPr="00373C23">
        <w:rPr>
          <w:rFonts w:ascii="Palatino Linotype" w:eastAsia="Palatino Linotype" w:hAnsi="Palatino Linotype" w:cs="Palatino Linotype"/>
          <w:sz w:val="22"/>
          <w:szCs w:val="22"/>
        </w:rPr>
        <w:t xml:space="preserve"> </w:t>
      </w:r>
    </w:p>
    <w:p w14:paraId="393F7C14"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387D538" w14:textId="77777777" w:rsidR="00162637" w:rsidRPr="00373C23" w:rsidRDefault="002A2F5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 xml:space="preserve">Cuando no se haya acreditado el daño, o bien, habiéndose acreditado se haya realizado el pago del mismo, o se encuentre transcurriendo el plazo legal para dicha cuestión. </w:t>
      </w:r>
    </w:p>
    <w:p w14:paraId="1D0BA9E6"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6381AD40"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Ante dicho supuesto y retomando las consideraciones vertidas en el punto anterior, se considera que sólo en el caso de que mediante sentencia judicial firme que determina la culpabilidad del imputado, cuyo pago se realiza dentro del plazo legal, o bien se encuentre transcurriendo el plazo para efectuar el pago correspondiente, se considera que el nombre del responsable actualiza el supuesto de confidencialidad previsto en la fracción I del artículo 143 de la Ley de Transparencia y Acceso a la Información Pública Local, en razón de que su publicidad podría afectar su honor y causar un perjuicio a la vida privada del responsable, por encontrarse transcurriendo el plazo legal para efectuar el pago del daño, o bien por haberse realizado el pago del mismo, no advirtiéndose interés público de dar a conocer dicho dato. </w:t>
      </w:r>
    </w:p>
    <w:p w14:paraId="00E06225"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B21DC84"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D157AD7"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C16429A"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D05E622"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65A9E89"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D80D51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727BE610"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concordancia con lo previo, el artículo 143, fracción I, de la Ley previamente citada, establece que la información privada y los datos personales, concernientes a una persona física identificada o identificable son confidenciales.</w:t>
      </w:r>
    </w:p>
    <w:p w14:paraId="1635E6AE"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CDF6639"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373C23">
        <w:rPr>
          <w:rFonts w:ascii="Palatino Linotype" w:eastAsia="Palatino Linotype" w:hAnsi="Palatino Linotype" w:cs="Palatino Linotype"/>
          <w:b/>
          <w:bCs/>
          <w:sz w:val="22"/>
          <w:szCs w:val="22"/>
        </w:rPr>
        <w:t xml:space="preserve">i) </w:t>
      </w:r>
      <w:r w:rsidRPr="00373C23">
        <w:rPr>
          <w:rFonts w:ascii="Palatino Linotype" w:eastAsia="Palatino Linotype" w:hAnsi="Palatino Linotype" w:cs="Palatino Linotype"/>
          <w:sz w:val="22"/>
          <w:szCs w:val="22"/>
        </w:rPr>
        <w:t xml:space="preserve">la información se encuentre en registros públicos o fuentes de acceso público, </w:t>
      </w:r>
      <w:r w:rsidRPr="00373C23">
        <w:rPr>
          <w:rFonts w:ascii="Palatino Linotype" w:eastAsia="Palatino Linotype" w:hAnsi="Palatino Linotype" w:cs="Palatino Linotype"/>
          <w:b/>
          <w:bCs/>
          <w:sz w:val="22"/>
          <w:szCs w:val="22"/>
        </w:rPr>
        <w:t>ii)</w:t>
      </w:r>
      <w:r w:rsidRPr="00373C23">
        <w:rPr>
          <w:rFonts w:ascii="Palatino Linotype" w:eastAsia="Palatino Linotype" w:hAnsi="Palatino Linotype" w:cs="Palatino Linotype"/>
          <w:sz w:val="22"/>
          <w:szCs w:val="22"/>
        </w:rPr>
        <w:t xml:space="preserve"> por ley tenga el carácter de pública, </w:t>
      </w:r>
      <w:r w:rsidRPr="00373C23">
        <w:rPr>
          <w:rFonts w:ascii="Palatino Linotype" w:eastAsia="Palatino Linotype" w:hAnsi="Palatino Linotype" w:cs="Palatino Linotype"/>
          <w:b/>
          <w:bCs/>
          <w:sz w:val="22"/>
          <w:szCs w:val="22"/>
        </w:rPr>
        <w:t>iii)</w:t>
      </w:r>
      <w:r w:rsidRPr="00373C23">
        <w:rPr>
          <w:rFonts w:ascii="Palatino Linotype" w:eastAsia="Palatino Linotype" w:hAnsi="Palatino Linotype" w:cs="Palatino Linotype"/>
          <w:sz w:val="22"/>
          <w:szCs w:val="22"/>
        </w:rPr>
        <w:t xml:space="preserve"> exista una orden judicial, </w:t>
      </w:r>
      <w:r w:rsidRPr="00373C23">
        <w:rPr>
          <w:rFonts w:ascii="Palatino Linotype" w:eastAsia="Palatino Linotype" w:hAnsi="Palatino Linotype" w:cs="Palatino Linotype"/>
          <w:b/>
          <w:bCs/>
          <w:sz w:val="22"/>
          <w:szCs w:val="22"/>
        </w:rPr>
        <w:t>iv)</w:t>
      </w:r>
      <w:r w:rsidRPr="00373C23">
        <w:rPr>
          <w:rFonts w:ascii="Palatino Linotype" w:eastAsia="Palatino Linotype" w:hAnsi="Palatino Linotype" w:cs="Palatino Linotype"/>
          <w:sz w:val="22"/>
          <w:szCs w:val="22"/>
        </w:rPr>
        <w:t xml:space="preserve"> por razones de seguridad nacional y salubridad general o </w:t>
      </w:r>
      <w:r w:rsidRPr="00373C23">
        <w:rPr>
          <w:rFonts w:ascii="Palatino Linotype" w:eastAsia="Palatino Linotype" w:hAnsi="Palatino Linotype" w:cs="Palatino Linotype"/>
          <w:b/>
          <w:bCs/>
          <w:sz w:val="22"/>
          <w:szCs w:val="22"/>
        </w:rPr>
        <w:t>v)</w:t>
      </w:r>
      <w:r w:rsidRPr="00373C23">
        <w:rPr>
          <w:rFonts w:ascii="Palatino Linotype" w:eastAsia="Palatino Linotype" w:hAnsi="Palatino Linotype" w:cs="Palatino Linotype"/>
          <w:sz w:val="22"/>
          <w:szCs w:val="22"/>
        </w:rPr>
        <w:t xml:space="preserve"> para proteger los derechos de terceros o cuando se transmita entre sujetos obligados en términos de los tratados y los acuerdos interinstitucionales.</w:t>
      </w:r>
    </w:p>
    <w:p w14:paraId="1161575A"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E60C57A"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w:t>
      </w:r>
    </w:p>
    <w:p w14:paraId="4184B27C" w14:textId="77777777" w:rsidR="00162637" w:rsidRPr="00373C23" w:rsidRDefault="00162637">
      <w:pPr>
        <w:spacing w:line="360" w:lineRule="auto"/>
        <w:ind w:right="49"/>
        <w:jc w:val="both"/>
        <w:rPr>
          <w:rFonts w:ascii="Palatino Linotype" w:eastAsia="Palatino Linotype" w:hAnsi="Palatino Linotype" w:cs="Palatino Linotype"/>
          <w:sz w:val="22"/>
          <w:szCs w:val="22"/>
        </w:rPr>
      </w:pPr>
    </w:p>
    <w:p w14:paraId="1AC01EBC" w14:textId="77777777" w:rsidR="00162637" w:rsidRPr="00373C23" w:rsidRDefault="002A2F53">
      <w:pPr>
        <w:spacing w:line="360" w:lineRule="auto"/>
        <w:ind w:left="851" w:right="51"/>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a).</w:t>
      </w:r>
      <w:r w:rsidRPr="00373C23">
        <w:rPr>
          <w:rFonts w:ascii="Palatino Linotype" w:eastAsia="Palatino Linotype" w:hAnsi="Palatino Linotype" w:cs="Palatino Linotype"/>
          <w:sz w:val="22"/>
          <w:szCs w:val="22"/>
        </w:rPr>
        <w:t xml:space="preserve"> Se trate de datos personales; esto es, información concerniente a una persona física y que ésta sea identificada o identificable. </w:t>
      </w:r>
    </w:p>
    <w:p w14:paraId="5767C40C" w14:textId="77777777" w:rsidR="00162637" w:rsidRPr="00373C23" w:rsidRDefault="00162637">
      <w:pPr>
        <w:spacing w:line="360" w:lineRule="auto"/>
        <w:ind w:left="142" w:right="51"/>
        <w:jc w:val="both"/>
        <w:rPr>
          <w:rFonts w:ascii="Palatino Linotype" w:eastAsia="Palatino Linotype" w:hAnsi="Palatino Linotype" w:cs="Palatino Linotype"/>
          <w:sz w:val="22"/>
          <w:szCs w:val="22"/>
        </w:rPr>
      </w:pPr>
    </w:p>
    <w:p w14:paraId="42D8F194" w14:textId="77777777" w:rsidR="00162637" w:rsidRPr="00373C23" w:rsidRDefault="002A2F53">
      <w:pPr>
        <w:spacing w:line="360" w:lineRule="auto"/>
        <w:ind w:left="851" w:right="51"/>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b).</w:t>
      </w:r>
      <w:r w:rsidRPr="00373C23">
        <w:rPr>
          <w:rFonts w:ascii="Palatino Linotype" w:eastAsia="Palatino Linotype" w:hAnsi="Palatino Linotype" w:cs="Palatino Linotype"/>
          <w:sz w:val="22"/>
          <w:szCs w:val="22"/>
        </w:rPr>
        <w:t xml:space="preserve"> Para la difusión de los datos, se requiera el consentimiento del titular. </w:t>
      </w:r>
    </w:p>
    <w:p w14:paraId="17B87FDA" w14:textId="77777777" w:rsidR="00162637" w:rsidRPr="00373C23" w:rsidRDefault="00162637">
      <w:pPr>
        <w:spacing w:line="360" w:lineRule="auto"/>
        <w:ind w:right="49"/>
        <w:jc w:val="both"/>
        <w:rPr>
          <w:rFonts w:ascii="Palatino Linotype" w:eastAsia="Palatino Linotype" w:hAnsi="Palatino Linotype" w:cs="Palatino Linotype"/>
          <w:sz w:val="22"/>
          <w:szCs w:val="22"/>
        </w:rPr>
      </w:pPr>
    </w:p>
    <w:p w14:paraId="1C0D93CE"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373C23">
        <w:rPr>
          <w:rFonts w:ascii="Palatino Linotype" w:eastAsia="Palatino Linotype" w:hAnsi="Palatino Linotype" w:cs="Palatino Linotype"/>
          <w:i/>
          <w:iCs/>
          <w:sz w:val="22"/>
          <w:szCs w:val="22"/>
        </w:rPr>
        <w:t>cuando su identidad pueda determinarse directa o indirectamente a través de cualquier documento informativo físico o electrónico</w:t>
      </w:r>
      <w:r w:rsidRPr="00373C23">
        <w:rPr>
          <w:rFonts w:ascii="Palatino Linotype" w:eastAsia="Palatino Linotype" w:hAnsi="Palatino Linotype" w:cs="Palatino Linotype"/>
          <w:sz w:val="22"/>
          <w:szCs w:val="22"/>
        </w:rPr>
        <w:t xml:space="preserve">), establecida en cualquier formato o modalidad. </w:t>
      </w:r>
    </w:p>
    <w:p w14:paraId="4FEC15DC"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F0F7276"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Además, en el artículo 5° de dicho ordenamiento jurídico, establece que es la Ley aplicable para todo tratamiento de datos personales. </w:t>
      </w:r>
    </w:p>
    <w:p w14:paraId="7EA6F507"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6612F76A"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RPr="00373C23">
        <w:rPr>
          <w:rFonts w:ascii="Palatino Linotype" w:eastAsia="Palatino Linotype" w:hAnsi="Palatino Linotype" w:cs="Palatino Linotype"/>
          <w:i/>
          <w:iCs/>
          <w:sz w:val="22"/>
          <w:szCs w:val="22"/>
        </w:rPr>
        <w:t>principio de finalidad</w:t>
      </w:r>
      <w:r w:rsidRPr="00373C23">
        <w:rPr>
          <w:rFonts w:ascii="Palatino Linotype" w:eastAsia="Palatino Linotype" w:hAnsi="Palatino Linotype" w:cs="Palatino Linotype"/>
          <w:sz w:val="22"/>
          <w:szCs w:val="22"/>
        </w:rPr>
        <w:t>).</w:t>
      </w:r>
    </w:p>
    <w:p w14:paraId="00AA90AD"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A7CF74B"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727C5CD"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6BDC085F"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En este contexto, la confidencialidad de los datos personales, tiene por objetivo establecer el límite del derecho de acceso a la información a partir del derecho a la intimidad y la vida privada de los individuos. </w:t>
      </w:r>
    </w:p>
    <w:p w14:paraId="733A243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188CA31C"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De tal suerte, las instituciones públicas tienen la doble responsabilidad, por un lado, de proteger los datos personales y por otro, darle publicidad aquella información de relevancia que sea de interés público.</w:t>
      </w:r>
    </w:p>
    <w:p w14:paraId="665A1B26"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9D06091"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14:paraId="3A155366"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F2D36C9"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49BA8D7"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2A9288E"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En tales circunstancias, se considera que en la especie </w:t>
      </w:r>
      <w:r w:rsidRPr="00373C23">
        <w:rPr>
          <w:rFonts w:ascii="Palatino Linotype" w:eastAsia="Palatino Linotype" w:hAnsi="Palatino Linotype" w:cs="Palatino Linotype"/>
          <w:b/>
          <w:bCs/>
          <w:sz w:val="22"/>
          <w:szCs w:val="22"/>
        </w:rPr>
        <w:t xml:space="preserve">proporcionar el nombre de los responsables de delitos relacionados con daños al erario público, que no se haya acreditado su responsabilidad mediante sentencia firme, o habiendo sido acreditada, se haya realizado el pago del daño </w:t>
      </w:r>
      <w:proofErr w:type="gramStart"/>
      <w:r w:rsidRPr="00373C23">
        <w:rPr>
          <w:rFonts w:ascii="Palatino Linotype" w:eastAsia="Palatino Linotype" w:hAnsi="Palatino Linotype" w:cs="Palatino Linotype"/>
          <w:b/>
          <w:bCs/>
          <w:sz w:val="22"/>
          <w:szCs w:val="22"/>
        </w:rPr>
        <w:t>generado,  o</w:t>
      </w:r>
      <w:proofErr w:type="gramEnd"/>
      <w:r w:rsidRPr="00373C23">
        <w:rPr>
          <w:rFonts w:ascii="Palatino Linotype" w:eastAsia="Palatino Linotype" w:hAnsi="Palatino Linotype" w:cs="Palatino Linotype"/>
          <w:b/>
          <w:bCs/>
          <w:sz w:val="22"/>
          <w:szCs w:val="22"/>
        </w:rPr>
        <w:t xml:space="preserve"> se encuentre transcurrido el plazo legal para efectuar el mismo, podría afectar su honor, buen nombre y su imagen.</w:t>
      </w:r>
    </w:p>
    <w:p w14:paraId="6E85B15D"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19F23E90"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Al respecto, la Suprema Corte de Justicia de la Nación ha reconocido como derechos fundamentales de las personas, el derecho a la intimidad y a la propia imagen, en el siguiente criterio:</w:t>
      </w:r>
    </w:p>
    <w:p w14:paraId="7D56E4DD" w14:textId="77777777" w:rsidR="00162637" w:rsidRPr="00373C23" w:rsidRDefault="002A2F53">
      <w:pPr>
        <w:ind w:left="851" w:right="851"/>
        <w:jc w:val="both"/>
        <w:rPr>
          <w:rFonts w:ascii="Palatino Linotype" w:eastAsia="Palatino Linotype" w:hAnsi="Palatino Linotype" w:cs="Palatino Linotype"/>
          <w:b/>
          <w:bCs/>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 xml:space="preserve">DERECHOS A LA INTIMIDAD, PROPIA IMAGEN, IDENTIDAD PERSONAL Y SEXUAL. CONSTITUYEN DERECHOS DE DEFENSA Y GARANTÍA ESENCIAL PARA LA CONDICIÓN HUMANA.  </w:t>
      </w:r>
      <w:r w:rsidRPr="00373C23">
        <w:rPr>
          <w:rFonts w:ascii="Palatino Linotype" w:eastAsia="Palatino Linotype" w:hAnsi="Palatino Linotype" w:cs="Palatino Linotype"/>
          <w:i/>
          <w:iCs/>
          <w:sz w:val="22"/>
          <w:szCs w:val="22"/>
        </w:rPr>
        <w:t xml:space="preserve">Dentro de los derechos personalísimos se encuentran necesariamente comprendidos el </w:t>
      </w:r>
      <w:r w:rsidRPr="00373C23">
        <w:rPr>
          <w:rFonts w:ascii="Palatino Linotype" w:eastAsia="Palatino Linotype" w:hAnsi="Palatino Linotype" w:cs="Palatino Linotype"/>
          <w:b/>
          <w:bCs/>
          <w:i/>
          <w:iCs/>
          <w:sz w:val="22"/>
          <w:szCs w:val="22"/>
        </w:rPr>
        <w:t>derecho a la intimidad y a la propia imagen</w:t>
      </w:r>
      <w:r w:rsidRPr="00373C23">
        <w:rPr>
          <w:rFonts w:ascii="Palatino Linotype" w:eastAsia="Palatino Linotype" w:hAnsi="Palatino Linotype" w:cs="Palatino Linotype"/>
          <w:i/>
          <w:iCs/>
          <w:sz w:val="22"/>
          <w:szCs w:val="22"/>
        </w:rPr>
        <w:t xml:space="preserve">, así como a la </w:t>
      </w:r>
      <w:r w:rsidRPr="00373C23">
        <w:rPr>
          <w:rFonts w:ascii="Palatino Linotype" w:eastAsia="Palatino Linotype" w:hAnsi="Palatino Linotype" w:cs="Palatino Linotype"/>
          <w:b/>
          <w:bCs/>
          <w:i/>
          <w:iCs/>
          <w:sz w:val="22"/>
          <w:szCs w:val="22"/>
        </w:rPr>
        <w:t>identidad personal</w:t>
      </w:r>
      <w:r w:rsidRPr="00373C23">
        <w:rPr>
          <w:rFonts w:ascii="Palatino Linotype" w:eastAsia="Palatino Linotype" w:hAnsi="Palatino Linotype" w:cs="Palatino Linotype"/>
          <w:i/>
          <w:iCs/>
          <w:sz w:val="22"/>
          <w:szCs w:val="22"/>
        </w:rPr>
        <w:t xml:space="preserve"> y sexual; entendiéndose por el primero, </w:t>
      </w:r>
      <w:r w:rsidRPr="00373C23">
        <w:rPr>
          <w:rFonts w:ascii="Palatino Linotype" w:eastAsia="Palatino Linotype" w:hAnsi="Palatino Linotype" w:cs="Palatino Linotype"/>
          <w:b/>
          <w:bCs/>
          <w:i/>
          <w:iCs/>
          <w:sz w:val="22"/>
          <w:szCs w:val="22"/>
        </w:rPr>
        <w:t>el derecho del individuo a no ser conocido por otros en ciertos aspectos de su vida</w:t>
      </w:r>
      <w:r w:rsidRPr="00373C23">
        <w:rPr>
          <w:rFonts w:ascii="Palatino Linotype" w:eastAsia="Palatino Linotype" w:hAnsi="Palatino Linotype" w:cs="Palatino Linotype"/>
          <w:i/>
          <w:iCs/>
          <w:sz w:val="22"/>
          <w:szCs w:val="22"/>
        </w:rPr>
        <w:t xml:space="preserve"> y, </w:t>
      </w:r>
      <w:r w:rsidRPr="00373C23">
        <w:rPr>
          <w:rFonts w:ascii="Palatino Linotype" w:eastAsia="Palatino Linotype" w:hAnsi="Palatino Linotype" w:cs="Palatino Linotype"/>
          <w:b/>
          <w:bCs/>
          <w:i/>
          <w:iCs/>
          <w:sz w:val="22"/>
          <w:szCs w:val="22"/>
        </w:rPr>
        <w:t>por ende, el poder de decisión sobre la publicidad o información de datos relativos a su persona</w:t>
      </w:r>
      <w:r w:rsidRPr="00373C23">
        <w:rPr>
          <w:rFonts w:ascii="Palatino Linotype" w:eastAsia="Palatino Linotype" w:hAnsi="Palatino Linotype" w:cs="Palatino Linotype"/>
          <w:i/>
          <w:iCs/>
          <w:sz w:val="22"/>
          <w:szCs w:val="22"/>
        </w:rPr>
        <w:t>, familia, pensamientos o sentimientos;</w:t>
      </w:r>
      <w:r w:rsidRPr="00373C23">
        <w:rPr>
          <w:rFonts w:ascii="Palatino Linotype" w:eastAsia="Palatino Linotype" w:hAnsi="Palatino Linotype" w:cs="Palatino Linotype"/>
          <w:b/>
          <w:bCs/>
          <w:i/>
          <w:iCs/>
          <w:sz w:val="22"/>
          <w:szCs w:val="22"/>
        </w:rPr>
        <w:t xml:space="preserve"> </w:t>
      </w:r>
      <w:r w:rsidRPr="00373C23">
        <w:rPr>
          <w:rFonts w:ascii="Palatino Linotype" w:eastAsia="Palatino Linotype" w:hAnsi="Palatino Linotype" w:cs="Palatino Linotype"/>
          <w:i/>
          <w:iCs/>
          <w:sz w:val="22"/>
          <w:szCs w:val="22"/>
        </w:rPr>
        <w:t xml:space="preserve">a la </w:t>
      </w:r>
      <w:r w:rsidRPr="00373C23">
        <w:rPr>
          <w:rFonts w:ascii="Palatino Linotype" w:eastAsia="Palatino Linotype" w:hAnsi="Palatino Linotype" w:cs="Palatino Linotype"/>
          <w:b/>
          <w:bCs/>
          <w:i/>
          <w:iCs/>
          <w:sz w:val="22"/>
          <w:szCs w:val="22"/>
        </w:rPr>
        <w:t>propia imagen, como aquel derecho de decidir, en forma libre, sobre la manera en que elige mostrarse frente a los demás</w:t>
      </w:r>
      <w:r w:rsidRPr="00373C23">
        <w:rPr>
          <w:rFonts w:ascii="Palatino Linotype" w:eastAsia="Palatino Linotype" w:hAnsi="Palatino Linotype" w:cs="Palatino Linotype"/>
          <w:i/>
          <w:iCs/>
          <w:sz w:val="22"/>
          <w:szCs w:val="22"/>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373C23">
        <w:rPr>
          <w:rFonts w:ascii="Palatino Linotype" w:eastAsia="Palatino Linotype" w:hAnsi="Palatino Linotype" w:cs="Palatino Linotype"/>
          <w:b/>
          <w:bCs/>
          <w:i/>
          <w:iCs/>
          <w:sz w:val="22"/>
          <w:szCs w:val="22"/>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373C23">
        <w:rPr>
          <w:rFonts w:ascii="Palatino Linotype" w:eastAsia="Palatino Linotype" w:hAnsi="Palatino Linotype" w:cs="Palatino Linotype"/>
          <w:i/>
          <w:iCs/>
          <w:sz w:val="22"/>
          <w:szCs w:val="22"/>
        </w:rPr>
        <w:t>”</w:t>
      </w:r>
    </w:p>
    <w:p w14:paraId="0996E83A"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 </w:t>
      </w:r>
    </w:p>
    <w:p w14:paraId="7D57A8F2"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ese sentido, es derecho de todo individuo a no ser conocido por otros en ciertos aspectos de su vida y, por ende, el poder de decisión sobre la publicidad o información de datos relativos a su persona (</w:t>
      </w:r>
      <w:r w:rsidRPr="00373C23">
        <w:rPr>
          <w:rFonts w:ascii="Palatino Linotype" w:eastAsia="Palatino Linotype" w:hAnsi="Palatino Linotype" w:cs="Palatino Linotype"/>
          <w:i/>
          <w:iCs/>
          <w:sz w:val="22"/>
          <w:szCs w:val="22"/>
        </w:rPr>
        <w:t>derecho a la intimidad</w:t>
      </w:r>
      <w:r w:rsidRPr="00373C23">
        <w:rPr>
          <w:rFonts w:ascii="Palatino Linotype" w:eastAsia="Palatino Linotype" w:hAnsi="Palatino Linotype" w:cs="Palatino Linotype"/>
          <w:sz w:val="22"/>
          <w:szCs w:val="22"/>
        </w:rPr>
        <w:t>).</w:t>
      </w:r>
    </w:p>
    <w:p w14:paraId="26F94EBE"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54E8832"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Asimismo, el derecho a la propia imagen es el derecho de decidir, de forma libre, sobre la manera en que elige mostrarse frente a los demás.</w:t>
      </w:r>
    </w:p>
    <w:p w14:paraId="70CBB057"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138F310"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10D19797"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3B1291C" w14:textId="77777777" w:rsidR="00162637" w:rsidRPr="00373C23" w:rsidRDefault="002A2F53">
      <w:pPr>
        <w:ind w:left="851" w:right="851"/>
        <w:jc w:val="both"/>
        <w:rPr>
          <w:rFonts w:ascii="Palatino Linotype" w:eastAsia="Palatino Linotype" w:hAnsi="Palatino Linotype" w:cs="Palatino Linotype"/>
          <w:b/>
          <w:bCs/>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 xml:space="preserve">DERECHO FUNDAMENTAL AL HONOR. SU DIMENSIÓN SUBJETIVA Y OBJETIVA. </w:t>
      </w:r>
      <w:r w:rsidRPr="00373C23">
        <w:rPr>
          <w:rFonts w:ascii="Palatino Linotype" w:eastAsia="Palatino Linotype" w:hAnsi="Palatino Linotype" w:cs="Palatino Linotype"/>
          <w:i/>
          <w:iCs/>
          <w:sz w:val="22"/>
          <w:szCs w:val="22"/>
        </w:rPr>
        <w:t xml:space="preserve">A juicio de esta Primera Sala de la Suprema Corte de Justicia de la Nación, es posible definir al honor como el </w:t>
      </w:r>
      <w:r w:rsidRPr="00373C23">
        <w:rPr>
          <w:rFonts w:ascii="Palatino Linotype" w:eastAsia="Palatino Linotype" w:hAnsi="Palatino Linotype" w:cs="Palatino Linotype"/>
          <w:b/>
          <w:bCs/>
          <w:i/>
          <w:iCs/>
          <w:sz w:val="22"/>
          <w:szCs w:val="22"/>
        </w:rPr>
        <w:t>concepto que la persona tiene de sí misma o que los demás se han formado de ella, en virtud de su proceder o de la expresión de su calidad ética y social.</w:t>
      </w:r>
      <w:r w:rsidRPr="00373C23">
        <w:rPr>
          <w:rFonts w:ascii="Palatino Linotype" w:eastAsia="Palatino Linotype" w:hAnsi="Palatino Linotype" w:cs="Palatino Linotype"/>
          <w:i/>
          <w:iCs/>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4E830C49" w14:textId="77777777" w:rsidR="00162637" w:rsidRPr="00373C23" w:rsidRDefault="00162637">
      <w:pPr>
        <w:jc w:val="both"/>
        <w:rPr>
          <w:rFonts w:ascii="Palatino Linotype" w:eastAsia="Palatino Linotype" w:hAnsi="Palatino Linotype" w:cs="Palatino Linotype"/>
          <w:sz w:val="22"/>
          <w:szCs w:val="22"/>
        </w:rPr>
      </w:pPr>
    </w:p>
    <w:p w14:paraId="147B22B1"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De la tesis transcrita se desprende que el honor es el concepto que la persona tiene de sí misma o que los demás se han formado de ella, en virtud de su proceder o de la expresión de su calidad ética y social. </w:t>
      </w:r>
    </w:p>
    <w:p w14:paraId="52EE8F6E"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5015278"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3EC58176"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A046ABA"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Adicionalmente, en relación a este derecho [</w:t>
      </w:r>
      <w:r w:rsidRPr="00373C23">
        <w:rPr>
          <w:rFonts w:ascii="Palatino Linotype" w:eastAsia="Palatino Linotype" w:hAnsi="Palatino Linotype" w:cs="Palatino Linotype"/>
          <w:i/>
          <w:iCs/>
          <w:sz w:val="22"/>
          <w:szCs w:val="22"/>
        </w:rPr>
        <w:t>al honor</w:t>
      </w:r>
      <w:r w:rsidRPr="00373C23">
        <w:rPr>
          <w:rFonts w:ascii="Palatino Linotype" w:eastAsia="Palatino Linotype" w:hAnsi="Palatino Linotype" w:cs="Palatino Linotype"/>
          <w:sz w:val="22"/>
          <w:szCs w:val="22"/>
        </w:rPr>
        <w:t>],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567F39C3"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69D7BFA9" w14:textId="77777777" w:rsidR="00162637" w:rsidRPr="00373C23" w:rsidRDefault="002A2F53">
      <w:pPr>
        <w:tabs>
          <w:tab w:val="left" w:pos="8363"/>
        </w:tabs>
        <w:ind w:left="851" w:right="851"/>
        <w:jc w:val="both"/>
        <w:rPr>
          <w:rFonts w:ascii="Palatino Linotype" w:eastAsia="Palatino Linotype" w:hAnsi="Palatino Linotype" w:cs="Palatino Linotype"/>
          <w:b/>
          <w:bCs/>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 xml:space="preserve">DERECHOS AL HONOR, A LA INTIMIDAD Y A LA PROPIA IMAGEN. CONSTITUYEN DERECHOS HUMANOS QUE SE PROTEGEN A TRAVÉS DEL ACTUAL MARCO CONSTITUCIONAL. </w:t>
      </w:r>
      <w:r w:rsidRPr="00373C23">
        <w:rPr>
          <w:rFonts w:ascii="Palatino Linotype" w:eastAsia="Palatino Linotype" w:hAnsi="Palatino Linotype" w:cs="Palatino Linotype"/>
          <w:i/>
          <w:iCs/>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373C23">
        <w:rPr>
          <w:rFonts w:ascii="Palatino Linotype" w:eastAsia="Palatino Linotype" w:hAnsi="Palatino Linotype" w:cs="Palatino Linotype"/>
          <w:i/>
          <w:iCs/>
          <w:sz w:val="22"/>
          <w:szCs w:val="22"/>
        </w:rPr>
        <w:t>personae</w:t>
      </w:r>
      <w:proofErr w:type="spellEnd"/>
      <w:r w:rsidRPr="00373C23">
        <w:rPr>
          <w:rFonts w:ascii="Palatino Linotype" w:eastAsia="Palatino Linotype" w:hAnsi="Palatino Linotype" w:cs="Palatino Linotype"/>
          <w:i/>
          <w:iCs/>
          <w:sz w:val="22"/>
          <w:szCs w:val="22"/>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14:paraId="14E09DB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080F8832"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Asimismo, el artículo 12 de la Declaración Universal de los Derechos Humanos</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sz w:val="22"/>
          <w:szCs w:val="22"/>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56E88C4D"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325B5145"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7449A21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7DC97B6"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74B4FA0E"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5DE9DC3A"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Por lo expuesto, se desprende que dar a conocer los </w:t>
      </w:r>
      <w:r w:rsidRPr="00373C23">
        <w:rPr>
          <w:rFonts w:ascii="Palatino Linotype" w:eastAsia="Palatino Linotype" w:hAnsi="Palatino Linotype" w:cs="Palatino Linotype"/>
          <w:b/>
          <w:bCs/>
          <w:sz w:val="22"/>
          <w:szCs w:val="22"/>
        </w:rPr>
        <w:t xml:space="preserve">nombres de los responsables de delitos relacionados con daños al erario público, que no se hayan tenido por acreditados mediante resolución firme, o habiendo sido acreditados, se haya hecho el pago del daño correspondiente, o se encuentre transcurriendo el plazo legal para dicha cuestión, </w:t>
      </w:r>
      <w:r w:rsidRPr="00373C23">
        <w:rPr>
          <w:rFonts w:ascii="Palatino Linotype" w:eastAsia="Palatino Linotype" w:hAnsi="Palatino Linotype" w:cs="Palatino Linotype"/>
          <w:sz w:val="22"/>
          <w:szCs w:val="22"/>
        </w:rPr>
        <w:t xml:space="preserve">constituye información confidencial que afecta su esfera privada, puesto que podría generar una percepción negativa de éste, ocasionando un perjuicio en su honor, intimidad y buena imagen, pues como se precisó la afectación es para el propio responsable, situación que aún no afecta a terceros, generando un juicio </w:t>
      </w:r>
      <w:r w:rsidRPr="00373C23">
        <w:rPr>
          <w:rFonts w:ascii="Palatino Linotype" w:eastAsia="Palatino Linotype" w:hAnsi="Palatino Linotype" w:cs="Palatino Linotype"/>
          <w:i/>
          <w:iCs/>
          <w:sz w:val="22"/>
          <w:szCs w:val="22"/>
        </w:rPr>
        <w:t>a priori</w:t>
      </w:r>
      <w:r w:rsidRPr="00373C23">
        <w:rPr>
          <w:rFonts w:ascii="Palatino Linotype" w:eastAsia="Palatino Linotype" w:hAnsi="Palatino Linotype" w:cs="Palatino Linotype"/>
          <w:sz w:val="22"/>
          <w:szCs w:val="22"/>
        </w:rPr>
        <w:t xml:space="preserve"> por parte de la sociedad, afectando su prestigio y su buen nombre, pues la sociedad podría calificar de manera negativa a la persona en cuestión, o hacerlo sujeto a ofensas, lo cual daña su vida privada y profesional, mismas que forman parte de su intimidad; por lo que se concluye que dicha información, en caso que no actualizara el supuesto antes analizado, tiene el carácter de confidencial.</w:t>
      </w:r>
    </w:p>
    <w:p w14:paraId="6FB281B2" w14:textId="77777777" w:rsidR="00162637" w:rsidRPr="00373C23" w:rsidRDefault="00162637">
      <w:pPr>
        <w:spacing w:line="360" w:lineRule="auto"/>
        <w:jc w:val="both"/>
        <w:rPr>
          <w:rFonts w:ascii="Palatino Linotype" w:eastAsia="Palatino Linotype" w:hAnsi="Palatino Linotype" w:cs="Palatino Linotype"/>
          <w:b/>
          <w:bCs/>
          <w:sz w:val="22"/>
          <w:szCs w:val="22"/>
        </w:rPr>
      </w:pPr>
    </w:p>
    <w:p w14:paraId="2E2687B2" w14:textId="77777777" w:rsidR="00162637" w:rsidRPr="00373C23" w:rsidRDefault="002A2F53">
      <w:pPr>
        <w:tabs>
          <w:tab w:val="left" w:pos="7513"/>
        </w:tabs>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Por tal motivo, para el caso de aquella información</w:t>
      </w:r>
      <w:r w:rsidRPr="00373C23">
        <w:rPr>
          <w:rFonts w:ascii="Palatino Linotype" w:eastAsia="Palatino Linotype" w:hAnsi="Palatino Linotype" w:cs="Palatino Linotype"/>
          <w:b/>
          <w:bCs/>
          <w:sz w:val="22"/>
          <w:szCs w:val="22"/>
        </w:rPr>
        <w:t xml:space="preserve"> que contenga el nombre de los responsables por delitos relacionados con daños al erario público, respecto de los cuales no se haya acreditado su responsabilidad mediante resolución firme, o habiendo sido acreditada, se haya hecho el pago del daño o se encuentre transcurriendo el plazo legal para efectuar dicha cuestión, respecto  del periodo comprendido del 01 de enero de 2021 al 23 de mayo de 2025, </w:t>
      </w:r>
      <w:r w:rsidRPr="00373C23">
        <w:rPr>
          <w:rFonts w:ascii="Palatino Linotype" w:eastAsia="Palatino Linotype" w:hAnsi="Palatino Linotype" w:cs="Palatino Linotype"/>
          <w:sz w:val="22"/>
          <w:szCs w:val="22"/>
        </w:rPr>
        <w:t>se deberá elaborar un acuerdo de clasificación de la información como confidencial en términos de los artículos 49, fracción II, 132, fracción II, 143, fracción I y 149 de la Ley de Transparencia y Acceso a la Información Pública del Estado de México y Municipios.</w:t>
      </w:r>
    </w:p>
    <w:p w14:paraId="17307F39" w14:textId="77777777" w:rsidR="00162637" w:rsidRPr="00373C23" w:rsidRDefault="00162637">
      <w:pPr>
        <w:spacing w:line="360" w:lineRule="auto"/>
        <w:jc w:val="both"/>
        <w:rPr>
          <w:rFonts w:ascii="Palatino Linotype" w:eastAsia="Palatino Linotype" w:hAnsi="Palatino Linotype" w:cs="Palatino Linotype"/>
          <w:b/>
          <w:bCs/>
          <w:sz w:val="22"/>
          <w:szCs w:val="22"/>
        </w:rPr>
      </w:pPr>
    </w:p>
    <w:p w14:paraId="3A8D7317" w14:textId="77777777" w:rsidR="00162637" w:rsidRPr="00373C23" w:rsidRDefault="002A2F5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Cuando se haya acreditado el daño, haya transcurrido el plazo legal para realizar el pago del mismo, pero este se efectúe de manera extemporánea.</w:t>
      </w:r>
    </w:p>
    <w:p w14:paraId="5F851AD6" w14:textId="77777777" w:rsidR="00162637" w:rsidRPr="00373C23" w:rsidRDefault="00162637">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106369A6"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Sobre dicho supuesto y retomando las consideraciones vertidas en apartados anteriores, se considera que sólo en el caso de que mediante sentencia judicial firme que determina la culpabilidad del imputado, cuyo pago se procede pero de manera extemporánea, es decir, vencido el plazo legal otorgado para su pago, se considera que el nombre del responsable actualiza el supuesto de confidencialidad previsto en la fracción I del artículo 143 de la Ley de Transparencia y Acceso a la Información Pública Local, en razón de que el daño a la hacienda pública o erario público, ya quedó solventado, por ende no existe interés público en dar a conocer dicha información.</w:t>
      </w:r>
    </w:p>
    <w:p w14:paraId="50D8B9FB"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2563A043"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Recordemos que conforme el artículo 3 fracción XXII de la Ley de Transparencia Local, la información de interés público es aquella que resulta relevante o beneficiosa para la sociedad y no simplemente de interés individual, cuya divulgación resulta útil; hipótesis que no se actualizaría en este caso, pues al pagarse o resarcir el daño ocasionado, que puede ser mediante el pago de multas judiciales, independientemente el pago haya sido extemporáneo, dicha información ya no se considera de utilidad a la sociedad, pues las deudas económicas han quedado solventadas.</w:t>
      </w:r>
    </w:p>
    <w:p w14:paraId="7A07E827"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1C621AC1"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Por tanto, el nombre del responsable, en este supuesto, actualiza su clasificación en términos de la fracción I del artículo 143 de la Ley de Transparencia y Acceso a la Información Pública Local, por las consideraciones señaladas en el apartado anterior, mismas que se tienen por reproducidas como si a la letra se insertaran.</w:t>
      </w:r>
    </w:p>
    <w:p w14:paraId="7AA917E1"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440614AA" w14:textId="77777777" w:rsidR="00162637" w:rsidRPr="00373C23" w:rsidRDefault="002A2F53">
      <w:pPr>
        <w:spacing w:line="360" w:lineRule="auto"/>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sz w:val="22"/>
          <w:szCs w:val="22"/>
        </w:rPr>
        <w:t>En esa tesitura, de actualizarse el supuesto en cuestión, el ente obligado deberá elaborar un acuerdo de clasificación de la información como confidencial en términos de los artículos 49, fracción II, 132, fracción II, 143, fracción I y 149 de la Ley de Transparencia y Acceso a la Información Pública del Estado de México y Municipios.</w:t>
      </w:r>
    </w:p>
    <w:p w14:paraId="38539666"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79BD9C52" w14:textId="77777777" w:rsidR="00162637" w:rsidRPr="00373C23" w:rsidRDefault="002A2F5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 xml:space="preserve">Quinto. Versión Pública. </w:t>
      </w:r>
      <w:r w:rsidRPr="00373C23">
        <w:rPr>
          <w:rFonts w:ascii="Palatino Linotype" w:eastAsia="Palatino Linotype" w:hAnsi="Palatino Linotype" w:cs="Palatino Linotype"/>
          <w:sz w:val="22"/>
          <w:szCs w:val="22"/>
        </w:rPr>
        <w:t>Como fue debidamente apuntado, 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A22EAC0" w14:textId="77777777" w:rsidR="00162637" w:rsidRPr="00373C23" w:rsidRDefault="00162637">
      <w:pPr>
        <w:spacing w:line="360" w:lineRule="auto"/>
        <w:ind w:right="51"/>
        <w:jc w:val="both"/>
        <w:rPr>
          <w:rFonts w:ascii="Palatino Linotype" w:eastAsia="Palatino Linotype" w:hAnsi="Palatino Linotype" w:cs="Palatino Linotype"/>
          <w:sz w:val="22"/>
          <w:szCs w:val="22"/>
        </w:rPr>
      </w:pPr>
    </w:p>
    <w:p w14:paraId="2894B66C" w14:textId="77777777" w:rsidR="00162637" w:rsidRPr="00373C23" w:rsidRDefault="002A2F53">
      <w:pPr>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C270BA6" w14:textId="77777777" w:rsidR="00162637" w:rsidRPr="00373C23" w:rsidRDefault="00162637">
      <w:pPr>
        <w:spacing w:line="360" w:lineRule="auto"/>
        <w:ind w:right="49"/>
        <w:jc w:val="both"/>
        <w:rPr>
          <w:rFonts w:ascii="Palatino Linotype" w:eastAsia="Palatino Linotype" w:hAnsi="Palatino Linotype" w:cs="Palatino Linotype"/>
          <w:sz w:val="22"/>
          <w:szCs w:val="22"/>
        </w:rPr>
      </w:pPr>
    </w:p>
    <w:p w14:paraId="30F6C4E9" w14:textId="77777777" w:rsidR="00162637" w:rsidRPr="00373C23" w:rsidRDefault="002A2F53">
      <w:pPr>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5ECDDD0" w14:textId="77777777" w:rsidR="00162637" w:rsidRPr="00373C23" w:rsidRDefault="00162637">
      <w:pPr>
        <w:spacing w:line="360" w:lineRule="auto"/>
        <w:ind w:right="49"/>
        <w:jc w:val="both"/>
        <w:rPr>
          <w:rFonts w:ascii="Palatino Linotype" w:eastAsia="Palatino Linotype" w:hAnsi="Palatino Linotype" w:cs="Palatino Linotype"/>
          <w:sz w:val="22"/>
          <w:szCs w:val="22"/>
        </w:rPr>
      </w:pPr>
    </w:p>
    <w:p w14:paraId="6B062CC2" w14:textId="77777777" w:rsidR="00162637" w:rsidRPr="00373C23" w:rsidRDefault="002A2F53">
      <w:pPr>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66EFF128"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sz w:val="22"/>
          <w:szCs w:val="22"/>
        </w:rPr>
        <w:t> </w:t>
      </w: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Artículo 3.</w:t>
      </w:r>
      <w:r w:rsidRPr="00373C23">
        <w:rPr>
          <w:rFonts w:ascii="Palatino Linotype" w:eastAsia="Palatino Linotype" w:hAnsi="Palatino Linotype" w:cs="Palatino Linotype"/>
          <w:i/>
          <w:iCs/>
          <w:sz w:val="22"/>
          <w:szCs w:val="22"/>
        </w:rPr>
        <w:t xml:space="preserve"> Para los efectos de la presente Ley se entenderá por:</w:t>
      </w:r>
    </w:p>
    <w:p w14:paraId="1E036DEA" w14:textId="77777777" w:rsidR="00162637" w:rsidRPr="00373C23" w:rsidRDefault="002A2F53">
      <w:pPr>
        <w:tabs>
          <w:tab w:val="left" w:pos="1276"/>
        </w:tabs>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049C7072" w14:textId="77777777" w:rsidR="00162637" w:rsidRPr="00373C23" w:rsidRDefault="002A2F53">
      <w:pPr>
        <w:tabs>
          <w:tab w:val="left" w:pos="1276"/>
        </w:tabs>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IX. Datos personales</w:t>
      </w:r>
      <w:r w:rsidRPr="00373C23">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00926F01" w14:textId="77777777" w:rsidR="00162637" w:rsidRPr="00373C23" w:rsidRDefault="002A2F53">
      <w:pPr>
        <w:tabs>
          <w:tab w:val="left" w:pos="1276"/>
        </w:tabs>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0CB92593" w14:textId="77777777" w:rsidR="00162637" w:rsidRPr="00373C23" w:rsidRDefault="002A2F53">
      <w:pPr>
        <w:tabs>
          <w:tab w:val="left" w:pos="1276"/>
        </w:tabs>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XX. Información clasificada</w:t>
      </w:r>
      <w:r w:rsidRPr="00373C23">
        <w:rPr>
          <w:rFonts w:ascii="Palatino Linotype" w:eastAsia="Palatino Linotype" w:hAnsi="Palatino Linotype" w:cs="Palatino Linotype"/>
          <w:i/>
          <w:iCs/>
          <w:sz w:val="22"/>
          <w:szCs w:val="22"/>
        </w:rPr>
        <w:t>: Aquella considerada por la presente Ley como reservada o confidencial;</w:t>
      </w:r>
    </w:p>
    <w:p w14:paraId="35E33253" w14:textId="77777777" w:rsidR="00162637" w:rsidRPr="00373C23" w:rsidRDefault="002A2F53">
      <w:pPr>
        <w:tabs>
          <w:tab w:val="left" w:pos="1276"/>
        </w:tabs>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XXI. Información confidencial</w:t>
      </w:r>
      <w:r w:rsidRPr="00373C23">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80E68CA" w14:textId="77777777" w:rsidR="00162637" w:rsidRPr="00373C23" w:rsidRDefault="002A2F53">
      <w:pPr>
        <w:tabs>
          <w:tab w:val="left" w:pos="1276"/>
        </w:tabs>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0BD6EC3F" w14:textId="77777777" w:rsidR="00162637" w:rsidRPr="00373C23" w:rsidRDefault="002A2F53">
      <w:pPr>
        <w:tabs>
          <w:tab w:val="left" w:pos="1276"/>
        </w:tabs>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XXXII. Protección de Datos Personales</w:t>
      </w:r>
      <w:r w:rsidRPr="00373C23">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4F31DEB7" w14:textId="77777777" w:rsidR="00162637" w:rsidRPr="00373C23" w:rsidRDefault="002A2F53">
      <w:pPr>
        <w:tabs>
          <w:tab w:val="left" w:pos="1276"/>
        </w:tabs>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4739E44D" w14:textId="77777777" w:rsidR="00162637" w:rsidRPr="00373C23" w:rsidRDefault="002A2F53">
      <w:pPr>
        <w:tabs>
          <w:tab w:val="left" w:pos="1276"/>
        </w:tabs>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XLV. Versión pública</w:t>
      </w:r>
      <w:r w:rsidRPr="00373C23">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12F8454D"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 Artículo 6</w:t>
      </w:r>
      <w:r w:rsidRPr="00373C23">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98760F4"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399F6382"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Artículo 91.</w:t>
      </w:r>
      <w:r w:rsidRPr="00373C23">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373C23">
        <w:rPr>
          <w:rFonts w:ascii="Palatino Linotype" w:eastAsia="Palatino Linotype" w:hAnsi="Palatino Linotype" w:cs="Palatino Linotype"/>
          <w:i/>
          <w:iCs/>
          <w:sz w:val="22"/>
          <w:szCs w:val="22"/>
        </w:rPr>
        <w:br/>
        <w:t>…</w:t>
      </w:r>
    </w:p>
    <w:p w14:paraId="32B93729"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Artículo 132.</w:t>
      </w:r>
      <w:r w:rsidRPr="00373C23">
        <w:rPr>
          <w:rFonts w:ascii="Palatino Linotype" w:eastAsia="Palatino Linotype" w:hAnsi="Palatino Linotype" w:cs="Palatino Linotype"/>
          <w:i/>
          <w:iCs/>
          <w:sz w:val="22"/>
          <w:szCs w:val="22"/>
        </w:rPr>
        <w:t xml:space="preserve"> La clasificación de la información se llevará a cabo en el momento en que:</w:t>
      </w:r>
    </w:p>
    <w:p w14:paraId="0685FDEF"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w:t>
      </w:r>
      <w:r w:rsidRPr="00373C23">
        <w:rPr>
          <w:rFonts w:ascii="Palatino Linotype" w:eastAsia="Palatino Linotype" w:hAnsi="Palatino Linotype" w:cs="Palatino Linotype"/>
          <w:i/>
          <w:iCs/>
          <w:sz w:val="22"/>
          <w:szCs w:val="22"/>
        </w:rPr>
        <w:t>. Se reciba una solicitud de acceso a la información;</w:t>
      </w:r>
    </w:p>
    <w:p w14:paraId="5D6B6BBA"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w:t>
      </w:r>
      <w:r w:rsidRPr="00373C23">
        <w:rPr>
          <w:rFonts w:ascii="Palatino Linotype" w:eastAsia="Palatino Linotype" w:hAnsi="Palatino Linotype" w:cs="Palatino Linotype"/>
          <w:i/>
          <w:iCs/>
          <w:sz w:val="22"/>
          <w:szCs w:val="22"/>
        </w:rPr>
        <w:t xml:space="preserve"> Se determine mediante resolución de autoridad competente; o</w:t>
      </w:r>
    </w:p>
    <w:p w14:paraId="7D10975B"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III.</w:t>
      </w:r>
      <w:r w:rsidRPr="00373C23">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008B87A2"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w:t>
      </w:r>
    </w:p>
    <w:p w14:paraId="03DEF1DA"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Artículo 137.</w:t>
      </w:r>
      <w:r w:rsidRPr="00373C23">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AF0DAD1"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 Artículo 143.</w:t>
      </w:r>
      <w:r w:rsidRPr="00373C23">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25073FC1"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w:t>
      </w:r>
      <w:r w:rsidRPr="00373C23">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22258FAB" w14:textId="77777777" w:rsidR="00162637" w:rsidRPr="00373C23" w:rsidRDefault="002A2F53">
      <w:pPr>
        <w:spacing w:before="240" w:after="240" w:line="360" w:lineRule="auto"/>
        <w:ind w:right="50"/>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60545F6" w14:textId="77777777" w:rsidR="00162637" w:rsidRPr="00373C23" w:rsidRDefault="002A2F53">
      <w:pPr>
        <w:spacing w:before="240" w:after="240" w:line="360" w:lineRule="auto"/>
        <w:ind w:right="50"/>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359BE5A" w14:textId="77777777" w:rsidR="00162637" w:rsidRPr="00373C23" w:rsidRDefault="002A2F53">
      <w:pPr>
        <w:spacing w:before="240" w:after="240" w:line="360" w:lineRule="auto"/>
        <w:ind w:right="50"/>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4E86BF0"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“Artículo 49.</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Los Comités de Transparencia</w:t>
      </w:r>
      <w:r w:rsidRPr="00373C23">
        <w:rPr>
          <w:rFonts w:ascii="Palatino Linotype" w:eastAsia="Palatino Linotype" w:hAnsi="Palatino Linotype" w:cs="Palatino Linotype"/>
          <w:i/>
          <w:iCs/>
          <w:sz w:val="22"/>
          <w:szCs w:val="22"/>
        </w:rPr>
        <w:t xml:space="preserve"> tendrán las siguientes atribuciones:</w:t>
      </w:r>
    </w:p>
    <w:p w14:paraId="63817AE7"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VIII. Aprobar, modificar o revocar la clasificación de la información</w:t>
      </w:r>
      <w:r w:rsidRPr="00373C23">
        <w:rPr>
          <w:rFonts w:ascii="Palatino Linotype" w:eastAsia="Palatino Linotype" w:hAnsi="Palatino Linotype" w:cs="Palatino Linotype"/>
          <w:i/>
          <w:iCs/>
          <w:sz w:val="22"/>
          <w:szCs w:val="22"/>
        </w:rPr>
        <w:t>…”</w:t>
      </w:r>
    </w:p>
    <w:p w14:paraId="7954C9E7"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Artículo 53.</w:t>
      </w:r>
      <w:r w:rsidRPr="00373C23">
        <w:rPr>
          <w:rFonts w:ascii="Palatino Linotype" w:eastAsia="Palatino Linotype" w:hAnsi="Palatino Linotype" w:cs="Palatino Linotype"/>
          <w:i/>
          <w:iCs/>
          <w:sz w:val="22"/>
          <w:szCs w:val="22"/>
        </w:rPr>
        <w:t xml:space="preserve"> Las </w:t>
      </w:r>
      <w:r w:rsidRPr="00373C23">
        <w:rPr>
          <w:rFonts w:ascii="Palatino Linotype" w:eastAsia="Palatino Linotype" w:hAnsi="Palatino Linotype" w:cs="Palatino Linotype"/>
          <w:b/>
          <w:bCs/>
          <w:i/>
          <w:iCs/>
          <w:sz w:val="22"/>
          <w:szCs w:val="22"/>
        </w:rPr>
        <w:t>Unidades de Transparencia</w:t>
      </w:r>
      <w:r w:rsidRPr="00373C23">
        <w:rPr>
          <w:rFonts w:ascii="Palatino Linotype" w:eastAsia="Palatino Linotype" w:hAnsi="Palatino Linotype" w:cs="Palatino Linotype"/>
          <w:i/>
          <w:iCs/>
          <w:sz w:val="22"/>
          <w:szCs w:val="22"/>
        </w:rPr>
        <w:t xml:space="preserve"> tendrán las siguientes </w:t>
      </w:r>
      <w:r w:rsidRPr="00373C23">
        <w:rPr>
          <w:rFonts w:ascii="Palatino Linotype" w:eastAsia="Palatino Linotype" w:hAnsi="Palatino Linotype" w:cs="Palatino Linotype"/>
          <w:b/>
          <w:bCs/>
          <w:i/>
          <w:iCs/>
          <w:sz w:val="22"/>
          <w:szCs w:val="22"/>
        </w:rPr>
        <w:t>funciones</w:t>
      </w:r>
      <w:r w:rsidRPr="00373C23">
        <w:rPr>
          <w:rFonts w:ascii="Palatino Linotype" w:eastAsia="Palatino Linotype" w:hAnsi="Palatino Linotype" w:cs="Palatino Linotype"/>
          <w:i/>
          <w:iCs/>
          <w:sz w:val="22"/>
          <w:szCs w:val="22"/>
        </w:rPr>
        <w:t>:</w:t>
      </w:r>
    </w:p>
    <w:p w14:paraId="44D2A8E4"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X. Presentar ante el Comité, el proyecto de clasificación de información</w:t>
      </w:r>
      <w:r w:rsidRPr="00373C23">
        <w:rPr>
          <w:rFonts w:ascii="Palatino Linotype" w:eastAsia="Palatino Linotype" w:hAnsi="Palatino Linotype" w:cs="Palatino Linotype"/>
          <w:i/>
          <w:iCs/>
          <w:sz w:val="22"/>
          <w:szCs w:val="22"/>
        </w:rPr>
        <w:t xml:space="preserve">…” </w:t>
      </w:r>
    </w:p>
    <w:p w14:paraId="60A603F9"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“Artículo 59.</w:t>
      </w:r>
      <w:r w:rsidRPr="00373C23">
        <w:rPr>
          <w:rFonts w:ascii="Palatino Linotype" w:eastAsia="Palatino Linotype" w:hAnsi="Palatino Linotype" w:cs="Palatino Linotype"/>
          <w:i/>
          <w:iCs/>
          <w:sz w:val="22"/>
          <w:szCs w:val="22"/>
        </w:rPr>
        <w:t xml:space="preserve"> Los </w:t>
      </w:r>
      <w:r w:rsidRPr="00373C23">
        <w:rPr>
          <w:rFonts w:ascii="Palatino Linotype" w:eastAsia="Palatino Linotype" w:hAnsi="Palatino Linotype" w:cs="Palatino Linotype"/>
          <w:b/>
          <w:bCs/>
          <w:i/>
          <w:iCs/>
          <w:sz w:val="22"/>
          <w:szCs w:val="22"/>
        </w:rPr>
        <w:t>servidores públicos habilitados</w:t>
      </w:r>
      <w:r w:rsidRPr="00373C23">
        <w:rPr>
          <w:rFonts w:ascii="Palatino Linotype" w:eastAsia="Palatino Linotype" w:hAnsi="Palatino Linotype" w:cs="Palatino Linotype"/>
          <w:i/>
          <w:iCs/>
          <w:sz w:val="22"/>
          <w:szCs w:val="22"/>
        </w:rPr>
        <w:t xml:space="preserve"> tendrán las </w:t>
      </w:r>
      <w:r w:rsidRPr="00373C23">
        <w:rPr>
          <w:rFonts w:ascii="Palatino Linotype" w:eastAsia="Palatino Linotype" w:hAnsi="Palatino Linotype" w:cs="Palatino Linotype"/>
          <w:b/>
          <w:bCs/>
          <w:i/>
          <w:iCs/>
          <w:sz w:val="22"/>
          <w:szCs w:val="22"/>
        </w:rPr>
        <w:t>funciones</w:t>
      </w:r>
      <w:r w:rsidRPr="00373C23">
        <w:rPr>
          <w:rFonts w:ascii="Palatino Linotype" w:eastAsia="Palatino Linotype" w:hAnsi="Palatino Linotype" w:cs="Palatino Linotype"/>
          <w:i/>
          <w:iCs/>
          <w:sz w:val="22"/>
          <w:szCs w:val="22"/>
        </w:rPr>
        <w:t xml:space="preserve"> siguientes:</w:t>
      </w:r>
    </w:p>
    <w:p w14:paraId="5BF35CCB"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373C23">
        <w:rPr>
          <w:rFonts w:ascii="Palatino Linotype" w:eastAsia="Palatino Linotype" w:hAnsi="Palatino Linotype" w:cs="Palatino Linotype"/>
          <w:i/>
          <w:iCs/>
          <w:sz w:val="22"/>
          <w:szCs w:val="22"/>
        </w:rPr>
        <w:t>, la cual tendrá los fundamentos y argumentos en que se basa dicha propuesta…”</w:t>
      </w:r>
    </w:p>
    <w:p w14:paraId="223BC2D2"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9ADBB6B"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8FBDC80"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Artículo 149.</w:t>
      </w:r>
      <w:r w:rsidRPr="00373C23">
        <w:rPr>
          <w:rFonts w:ascii="Palatino Linotype" w:eastAsia="Palatino Linotype" w:hAnsi="Palatino Linotype" w:cs="Palatino Linotype"/>
          <w:i/>
          <w:iCs/>
          <w:sz w:val="22"/>
          <w:szCs w:val="22"/>
        </w:rPr>
        <w:t xml:space="preserve"> El </w:t>
      </w:r>
      <w:r w:rsidRPr="00373C23">
        <w:rPr>
          <w:rFonts w:ascii="Palatino Linotype" w:eastAsia="Palatino Linotype" w:hAnsi="Palatino Linotype" w:cs="Palatino Linotype"/>
          <w:b/>
          <w:bCs/>
          <w:i/>
          <w:iCs/>
          <w:sz w:val="22"/>
          <w:szCs w:val="22"/>
        </w:rPr>
        <w:t>acuerdo que clasifique la información como confidencial</w:t>
      </w:r>
      <w:r w:rsidRPr="00373C23">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0146F22C" w14:textId="77777777" w:rsidR="00162637" w:rsidRPr="00373C23" w:rsidRDefault="002A2F53">
      <w:pPr>
        <w:spacing w:before="240" w:after="240" w:line="360" w:lineRule="auto"/>
        <w:ind w:right="51"/>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Es decir, 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9C52308" w14:textId="77777777" w:rsidR="00162637" w:rsidRPr="00373C23" w:rsidRDefault="002A2F53">
      <w:pPr>
        <w:spacing w:before="240" w:after="240"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Atento a lo anterior, cabe señalar que el Comité de Transparencia del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3ADDA15B"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 “</w:t>
      </w:r>
      <w:proofErr w:type="gramStart"/>
      <w:r w:rsidRPr="00373C23">
        <w:rPr>
          <w:rFonts w:ascii="Palatino Linotype" w:eastAsia="Palatino Linotype" w:hAnsi="Palatino Linotype" w:cs="Palatino Linotype"/>
          <w:b/>
          <w:bCs/>
          <w:i/>
          <w:iCs/>
          <w:sz w:val="22"/>
          <w:szCs w:val="22"/>
        </w:rPr>
        <w:t>Segundo.-</w:t>
      </w:r>
      <w:proofErr w:type="gramEnd"/>
      <w:r w:rsidRPr="00373C23">
        <w:rPr>
          <w:rFonts w:ascii="Palatino Linotype" w:eastAsia="Palatino Linotype" w:hAnsi="Palatino Linotype" w:cs="Palatino Linotype"/>
          <w:i/>
          <w:iCs/>
          <w:sz w:val="22"/>
          <w:szCs w:val="22"/>
        </w:rPr>
        <w:t xml:space="preserve"> Para efectos de los presentes Lineamientos Generales, se entenderá por:</w:t>
      </w:r>
    </w:p>
    <w:p w14:paraId="6383EEEB" w14:textId="77777777" w:rsidR="00162637" w:rsidRPr="00373C23" w:rsidRDefault="002A2F53">
      <w:pPr>
        <w:tabs>
          <w:tab w:val="left" w:pos="8222"/>
        </w:tabs>
        <w:spacing w:before="120" w:after="120"/>
        <w:ind w:left="1134"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XVIII.</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Versión pública:</w:t>
      </w:r>
      <w:r w:rsidRPr="00373C23">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373C23">
        <w:rPr>
          <w:rFonts w:ascii="Palatino Linotype" w:eastAsia="Palatino Linotype" w:hAnsi="Palatino Linotype" w:cs="Palatino Linotype"/>
          <w:b/>
          <w:bCs/>
          <w:i/>
          <w:iCs/>
          <w:sz w:val="22"/>
          <w:szCs w:val="22"/>
        </w:rPr>
        <w:t>fundando y motivando la</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reserva o confidencialidad</w:t>
      </w:r>
      <w:r w:rsidRPr="00373C23">
        <w:rPr>
          <w:rFonts w:ascii="Palatino Linotype" w:eastAsia="Palatino Linotype" w:hAnsi="Palatino Linotype" w:cs="Palatino Linotype"/>
          <w:i/>
          <w:iCs/>
          <w:sz w:val="22"/>
          <w:szCs w:val="22"/>
        </w:rPr>
        <w:t>, a través de la resolución que para tal efecto emita el Comité de Transparencia.</w:t>
      </w:r>
    </w:p>
    <w:p w14:paraId="5771A136"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b/>
          <w:bCs/>
          <w:i/>
          <w:iCs/>
          <w:sz w:val="22"/>
          <w:szCs w:val="22"/>
        </w:rPr>
      </w:pPr>
      <w:r w:rsidRPr="00373C23">
        <w:rPr>
          <w:rFonts w:ascii="Palatino Linotype" w:eastAsia="Palatino Linotype" w:hAnsi="Palatino Linotype" w:cs="Palatino Linotype"/>
          <w:b/>
          <w:bCs/>
          <w:i/>
          <w:iCs/>
          <w:sz w:val="22"/>
          <w:szCs w:val="22"/>
        </w:rPr>
        <w:t>...</w:t>
      </w:r>
    </w:p>
    <w:p w14:paraId="3D42676A"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Cuarto.</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Para clasificar la información como</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reservada o</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373C23">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7861C55"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2EF9C604"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Quinto.</w:t>
      </w:r>
      <w:r w:rsidRPr="00373C23">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F2E58D3"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Sexto.</w:t>
      </w:r>
      <w:r w:rsidRPr="00373C23">
        <w:rPr>
          <w:rFonts w:ascii="Palatino Linotype" w:eastAsia="Palatino Linotype" w:hAnsi="Palatino Linotype" w:cs="Palatino Linotype"/>
          <w:i/>
          <w:iCs/>
          <w:sz w:val="22"/>
          <w:szCs w:val="22"/>
        </w:rPr>
        <w:t xml:space="preserve"> Se deroga.</w:t>
      </w:r>
    </w:p>
    <w:p w14:paraId="70127A87"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Séptimo.</w:t>
      </w:r>
      <w:r w:rsidRPr="00373C23">
        <w:rPr>
          <w:rFonts w:ascii="Palatino Linotype" w:eastAsia="Palatino Linotype" w:hAnsi="Palatino Linotype" w:cs="Palatino Linotype"/>
          <w:i/>
          <w:iCs/>
          <w:sz w:val="22"/>
          <w:szCs w:val="22"/>
        </w:rPr>
        <w:t xml:space="preserve"> La clasificación de la información se llevará a cabo en el momento en que:</w:t>
      </w:r>
    </w:p>
    <w:p w14:paraId="0FF3921E" w14:textId="77777777" w:rsidR="00162637" w:rsidRPr="00373C23" w:rsidRDefault="002A2F53">
      <w:pPr>
        <w:tabs>
          <w:tab w:val="left" w:pos="8222"/>
        </w:tabs>
        <w:spacing w:before="120" w:after="120"/>
        <w:ind w:left="1134"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w:t>
      </w:r>
      <w:r w:rsidRPr="00373C23">
        <w:rPr>
          <w:rFonts w:ascii="Palatino Linotype" w:eastAsia="Palatino Linotype" w:hAnsi="Palatino Linotype" w:cs="Palatino Linotype"/>
          <w:i/>
          <w:iCs/>
          <w:sz w:val="22"/>
          <w:szCs w:val="22"/>
        </w:rPr>
        <w:t xml:space="preserve"> Se reciba una solicitud de acceso a la información;</w:t>
      </w:r>
    </w:p>
    <w:p w14:paraId="0E395328" w14:textId="77777777" w:rsidR="00162637" w:rsidRPr="00373C23" w:rsidRDefault="002A2F53">
      <w:pPr>
        <w:tabs>
          <w:tab w:val="left" w:pos="8222"/>
        </w:tabs>
        <w:spacing w:before="120" w:after="120"/>
        <w:ind w:left="1134"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w:t>
      </w:r>
      <w:r w:rsidRPr="00373C23">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14:paraId="4837D93B" w14:textId="77777777" w:rsidR="00162637" w:rsidRPr="00373C23" w:rsidRDefault="002A2F53">
      <w:pPr>
        <w:tabs>
          <w:tab w:val="left" w:pos="8222"/>
        </w:tabs>
        <w:spacing w:before="120" w:after="120"/>
        <w:ind w:left="1134"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III.</w:t>
      </w:r>
      <w:r w:rsidRPr="00373C23">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21959303"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373C23">
        <w:rPr>
          <w:rFonts w:ascii="Palatino Linotype" w:eastAsia="Palatino Linotype" w:hAnsi="Palatino Linotype" w:cs="Palatino Linotype"/>
          <w:sz w:val="22"/>
          <w:szCs w:val="22"/>
        </w:rPr>
        <w:t xml:space="preserve">, </w:t>
      </w:r>
      <w:r w:rsidRPr="00373C23">
        <w:rPr>
          <w:rFonts w:ascii="Palatino Linotype" w:eastAsia="Palatino Linotype" w:hAnsi="Palatino Linotype" w:cs="Palatino Linotype"/>
          <w:i/>
          <w:iCs/>
          <w:sz w:val="22"/>
          <w:szCs w:val="22"/>
        </w:rPr>
        <w:t>conforme a su naturaleza, si encuadra en una causal de reserva o de confidencialidad.</w:t>
      </w:r>
    </w:p>
    <w:p w14:paraId="0235A71F"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Octavo.</w:t>
      </w:r>
      <w:r w:rsidRPr="00373C23">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F58F93F"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735ECD70"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6FC3395"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Noveno.</w:t>
      </w:r>
      <w:r w:rsidRPr="00373C23">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539233"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Décimo.</w:t>
      </w:r>
      <w:r w:rsidRPr="00373C23">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51C9BC5"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6590CE53" w14:textId="77777777" w:rsidR="00162637" w:rsidRPr="00373C23" w:rsidRDefault="002A2F53">
      <w:pPr>
        <w:tabs>
          <w:tab w:val="left" w:pos="8222"/>
        </w:tabs>
        <w:spacing w:before="120" w:after="120"/>
        <w:ind w:left="851" w:right="113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Décimo primero.</w:t>
      </w:r>
      <w:r w:rsidRPr="00373C23">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F48266F" w14:textId="77777777" w:rsidR="00162637" w:rsidRPr="00373C23" w:rsidRDefault="002A2F5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DF759D4"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 xml:space="preserve"> “Quincuagésimo. </w:t>
      </w:r>
      <w:r w:rsidRPr="00373C23">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53DC3E6" w14:textId="77777777" w:rsidR="00162637" w:rsidRPr="00373C23" w:rsidRDefault="002A2F53">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 xml:space="preserve">Quincuagésimo primero. </w:t>
      </w:r>
      <w:r w:rsidRPr="00373C23">
        <w:rPr>
          <w:rFonts w:ascii="Palatino Linotype" w:eastAsia="Palatino Linotype" w:hAnsi="Palatino Linotype" w:cs="Palatino Linotype"/>
          <w:i/>
          <w:iCs/>
          <w:sz w:val="22"/>
          <w:szCs w:val="22"/>
        </w:rPr>
        <w:t xml:space="preserve">Toda acta del Comité de Transparencia deberá contener: </w:t>
      </w:r>
    </w:p>
    <w:p w14:paraId="0D913D01" w14:textId="77777777" w:rsidR="00162637" w:rsidRPr="00373C23" w:rsidRDefault="002A2F5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w:t>
      </w:r>
      <w:r w:rsidRPr="00373C23">
        <w:rPr>
          <w:rFonts w:ascii="Palatino Linotype" w:eastAsia="Palatino Linotype" w:hAnsi="Palatino Linotype" w:cs="Palatino Linotype"/>
          <w:i/>
          <w:iCs/>
          <w:sz w:val="22"/>
          <w:szCs w:val="22"/>
        </w:rPr>
        <w:t xml:space="preserve"> El número de sesión y fecha; </w:t>
      </w:r>
    </w:p>
    <w:p w14:paraId="17DDF8CD" w14:textId="77777777" w:rsidR="00162637" w:rsidRPr="00373C23" w:rsidRDefault="002A2F5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w:t>
      </w:r>
      <w:r w:rsidRPr="00373C23">
        <w:rPr>
          <w:rFonts w:ascii="Palatino Linotype" w:eastAsia="Palatino Linotype" w:hAnsi="Palatino Linotype" w:cs="Palatino Linotype"/>
          <w:i/>
          <w:iCs/>
          <w:sz w:val="22"/>
          <w:szCs w:val="22"/>
        </w:rPr>
        <w:t xml:space="preserve">. El nombre del área que solicitó la clasificación de información; </w:t>
      </w:r>
    </w:p>
    <w:p w14:paraId="399E951C" w14:textId="77777777" w:rsidR="00162637" w:rsidRPr="00373C23" w:rsidRDefault="002A2F5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III</w:t>
      </w:r>
      <w:r w:rsidRPr="00373C23">
        <w:rPr>
          <w:rFonts w:ascii="Palatino Linotype" w:eastAsia="Palatino Linotype" w:hAnsi="Palatino Linotype" w:cs="Palatino Linotype"/>
          <w:i/>
          <w:iCs/>
          <w:sz w:val="22"/>
          <w:szCs w:val="22"/>
        </w:rPr>
        <w:t xml:space="preserve">. La fundamentación legal y motivación correspondiente; </w:t>
      </w:r>
    </w:p>
    <w:p w14:paraId="13CB1556" w14:textId="77777777" w:rsidR="00162637" w:rsidRPr="00373C23" w:rsidRDefault="002A2F5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IV</w:t>
      </w:r>
      <w:r w:rsidRPr="00373C23">
        <w:rPr>
          <w:rFonts w:ascii="Palatino Linotype" w:eastAsia="Palatino Linotype" w:hAnsi="Palatino Linotype" w:cs="Palatino Linotype"/>
          <w:i/>
          <w:iCs/>
          <w:sz w:val="22"/>
          <w:szCs w:val="22"/>
        </w:rPr>
        <w:t xml:space="preserve">. La resolución o resoluciones aprobadas; y </w:t>
      </w:r>
    </w:p>
    <w:p w14:paraId="70FE46A0" w14:textId="77777777" w:rsidR="00162637" w:rsidRPr="00373C23" w:rsidRDefault="002A2F5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V</w:t>
      </w:r>
      <w:r w:rsidRPr="00373C23">
        <w:rPr>
          <w:rFonts w:ascii="Palatino Linotype" w:eastAsia="Palatino Linotype" w:hAnsi="Palatino Linotype" w:cs="Palatino Linotype"/>
          <w:i/>
          <w:iCs/>
          <w:sz w:val="22"/>
          <w:szCs w:val="22"/>
        </w:rPr>
        <w:t xml:space="preserve">. La rúbrica o firma digital de cada integrante del Comité de Transparencia. </w:t>
      </w:r>
    </w:p>
    <w:p w14:paraId="65E865C7" w14:textId="77777777" w:rsidR="00162637" w:rsidRPr="00373C23" w:rsidRDefault="002A2F53">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1F9574A9" w14:textId="77777777" w:rsidR="00162637" w:rsidRPr="00373C23" w:rsidRDefault="002A2F5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w:t>
      </w:r>
      <w:r w:rsidRPr="00373C23">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43A94A6A" w14:textId="77777777" w:rsidR="00162637" w:rsidRPr="00373C23" w:rsidRDefault="002A2F53">
      <w:pPr>
        <w:pBdr>
          <w:top w:val="nil"/>
          <w:left w:val="nil"/>
          <w:bottom w:val="nil"/>
          <w:right w:val="nil"/>
          <w:between w:val="nil"/>
        </w:pBdr>
        <w:spacing w:before="120" w:after="120"/>
        <w:ind w:left="1134" w:right="902"/>
        <w:jc w:val="both"/>
        <w:rPr>
          <w:rFonts w:ascii="Palatino Linotype" w:eastAsia="Palatino Linotype" w:hAnsi="Palatino Linotype" w:cs="Palatino Linotype"/>
          <w:b/>
          <w:bCs/>
          <w:i/>
          <w:iCs/>
          <w:sz w:val="22"/>
          <w:szCs w:val="22"/>
        </w:rPr>
      </w:pPr>
      <w:r w:rsidRPr="00373C23">
        <w:rPr>
          <w:rFonts w:ascii="Palatino Linotype" w:eastAsia="Palatino Linotype" w:hAnsi="Palatino Linotype" w:cs="Palatino Linotype"/>
          <w:b/>
          <w:bCs/>
          <w:i/>
          <w:iCs/>
          <w:sz w:val="22"/>
          <w:szCs w:val="22"/>
        </w:rPr>
        <w:t>II</w:t>
      </w:r>
      <w:r w:rsidRPr="00373C23">
        <w:rPr>
          <w:rFonts w:ascii="Palatino Linotype" w:eastAsia="Palatino Linotype" w:hAnsi="Palatino Linotype" w:cs="Palatino Linotype"/>
          <w:i/>
          <w:iCs/>
          <w:sz w:val="22"/>
          <w:szCs w:val="22"/>
        </w:rPr>
        <w:t>. Descripción de las partes o secciones reservadas, en caso de clasificación parcial</w:t>
      </w:r>
      <w:r w:rsidRPr="00373C23">
        <w:rPr>
          <w:rFonts w:ascii="Palatino Linotype" w:eastAsia="Palatino Linotype" w:hAnsi="Palatino Linotype" w:cs="Palatino Linotype"/>
          <w:b/>
          <w:bCs/>
          <w:i/>
          <w:iCs/>
          <w:sz w:val="22"/>
          <w:szCs w:val="22"/>
        </w:rPr>
        <w:t xml:space="preserve">; </w:t>
      </w:r>
    </w:p>
    <w:p w14:paraId="5098A83D" w14:textId="77777777" w:rsidR="00162637" w:rsidRPr="00373C23" w:rsidRDefault="002A2F5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III.</w:t>
      </w:r>
      <w:r w:rsidRPr="00373C23">
        <w:rPr>
          <w:rFonts w:ascii="Palatino Linotype" w:eastAsia="Palatino Linotype" w:hAnsi="Palatino Linotype" w:cs="Palatino Linotype"/>
          <w:i/>
          <w:iCs/>
          <w:sz w:val="22"/>
          <w:szCs w:val="22"/>
        </w:rPr>
        <w:t xml:space="preserve"> El periodo por el que mantendrá su clasificación y fecha de expiración; y </w:t>
      </w:r>
    </w:p>
    <w:p w14:paraId="0B7AFCF0" w14:textId="77777777" w:rsidR="00162637" w:rsidRPr="00373C23" w:rsidRDefault="002A2F5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IV.</w:t>
      </w:r>
      <w:r w:rsidRPr="00373C23">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08462F53" w14:textId="77777777" w:rsidR="00162637" w:rsidRPr="00373C23" w:rsidRDefault="002A2F53">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0792361B" w14:textId="77777777" w:rsidR="00162637" w:rsidRPr="00373C23" w:rsidRDefault="002A2F53">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F327112" w14:textId="77777777" w:rsidR="00162637" w:rsidRPr="00373C23" w:rsidRDefault="002A2F53">
      <w:pPr>
        <w:spacing w:before="240" w:after="240"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1D28690D" w14:textId="77777777" w:rsidR="00162637" w:rsidRPr="00373C23" w:rsidRDefault="002A2F53">
      <w:pPr>
        <w:spacing w:before="120" w:after="120"/>
        <w:ind w:left="851"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r w:rsidRPr="00373C23">
        <w:rPr>
          <w:rFonts w:ascii="Palatino Linotype" w:eastAsia="Palatino Linotype" w:hAnsi="Palatino Linotype" w:cs="Palatino Linotype"/>
          <w:b/>
          <w:bCs/>
          <w:i/>
          <w:iCs/>
          <w:sz w:val="22"/>
          <w:szCs w:val="22"/>
        </w:rPr>
        <w:t>Quincuagésimo segundo</w:t>
      </w:r>
      <w:r w:rsidRPr="00373C23">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373C23">
        <w:rPr>
          <w:rFonts w:ascii="Palatino Linotype" w:eastAsia="Palatino Linotype" w:hAnsi="Palatino Linotype" w:cs="Palatino Linotype"/>
          <w:i/>
          <w:iCs/>
          <w:sz w:val="22"/>
          <w:szCs w:val="22"/>
        </w:rPr>
        <w:t>sobreposición</w:t>
      </w:r>
      <w:proofErr w:type="spellEnd"/>
      <w:r w:rsidRPr="00373C23">
        <w:rPr>
          <w:rFonts w:ascii="Palatino Linotype" w:eastAsia="Palatino Linotype" w:hAnsi="Palatino Linotype" w:cs="Palatino Linotype"/>
          <w:i/>
          <w:iCs/>
          <w:sz w:val="22"/>
          <w:szCs w:val="22"/>
        </w:rPr>
        <w:t xml:space="preserve"> de contenido distinto al autorizado por el Comité.</w:t>
      </w:r>
    </w:p>
    <w:p w14:paraId="3252E354" w14:textId="77777777" w:rsidR="00162637" w:rsidRPr="00373C23" w:rsidRDefault="002A2F53">
      <w:pPr>
        <w:spacing w:before="120" w:after="120"/>
        <w:ind w:left="851"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30E7CB8F" w14:textId="77777777" w:rsidR="00162637" w:rsidRPr="00373C23" w:rsidRDefault="002A2F53">
      <w:pPr>
        <w:spacing w:before="120" w:after="120"/>
        <w:ind w:left="1134"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w:t>
      </w:r>
      <w:r w:rsidRPr="00373C23">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4778EFB6" w14:textId="77777777" w:rsidR="00162637" w:rsidRPr="00373C23" w:rsidRDefault="002A2F53">
      <w:pPr>
        <w:spacing w:before="120" w:after="120"/>
        <w:ind w:left="1134"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w:t>
      </w:r>
      <w:r w:rsidRPr="00373C23">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0590ECE4" w14:textId="77777777" w:rsidR="00162637" w:rsidRPr="00373C23" w:rsidRDefault="002A2F53">
      <w:pPr>
        <w:spacing w:before="120" w:after="120"/>
        <w:ind w:left="1134"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III.</w:t>
      </w:r>
      <w:r w:rsidRPr="00373C23">
        <w:rPr>
          <w:rFonts w:ascii="Palatino Linotype" w:eastAsia="Palatino Linotype" w:hAnsi="Palatino Linotype" w:cs="Palatino Linotype"/>
          <w:i/>
          <w:iCs/>
          <w:sz w:val="22"/>
          <w:szCs w:val="22"/>
        </w:rPr>
        <w:t xml:space="preserve"> Señalar las personas o instancias autorizadas a acceder a la información clasificada.</w:t>
      </w:r>
    </w:p>
    <w:p w14:paraId="23DC9D27" w14:textId="77777777" w:rsidR="00162637" w:rsidRPr="00373C23" w:rsidRDefault="002A2F53">
      <w:pPr>
        <w:spacing w:before="120" w:after="120"/>
        <w:ind w:left="851"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6185AF17" w14:textId="77777777" w:rsidR="00162637" w:rsidRPr="00373C23" w:rsidRDefault="002A2F53">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w:t>
      </w:r>
    </w:p>
    <w:p w14:paraId="609B01F6" w14:textId="77777777" w:rsidR="00162637" w:rsidRPr="00373C23" w:rsidRDefault="002A2F53">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373C23">
        <w:rPr>
          <w:rFonts w:ascii="Palatino Linotype" w:eastAsia="Palatino Linotype" w:hAnsi="Palatino Linotype" w:cs="Palatino Linotype"/>
          <w:b/>
          <w:bCs/>
          <w:i/>
          <w:iCs/>
          <w:sz w:val="22"/>
          <w:szCs w:val="22"/>
        </w:rPr>
        <w:t xml:space="preserve">Quincuagésimo cuarto. </w:t>
      </w:r>
      <w:r w:rsidRPr="00373C23">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73C23">
        <w:rPr>
          <w:rFonts w:ascii="Palatino Linotype" w:eastAsia="Palatino Linotype" w:hAnsi="Palatino Linotype" w:cs="Palatino Linotype"/>
          <w:b/>
          <w:bCs/>
          <w:i/>
          <w:iCs/>
          <w:sz w:val="22"/>
          <w:szCs w:val="22"/>
        </w:rPr>
        <w:t xml:space="preserve"> </w:t>
      </w:r>
    </w:p>
    <w:p w14:paraId="35A716D4"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 xml:space="preserve">Quincuagésimo quinto. </w:t>
      </w:r>
      <w:r w:rsidRPr="00373C23">
        <w:rPr>
          <w:rFonts w:ascii="Palatino Linotype" w:eastAsia="Palatino Linotype" w:hAnsi="Palatino Linotype" w:cs="Palatino Linotype"/>
          <w:i/>
          <w:iCs/>
          <w:sz w:val="22"/>
          <w:szCs w:val="22"/>
        </w:rPr>
        <w:t xml:space="preserve">Cada área del sujeto obligado podrá designar formalmente a una o más personas como responsables del </w:t>
      </w:r>
      <w:proofErr w:type="spellStart"/>
      <w:r w:rsidRPr="00373C23">
        <w:rPr>
          <w:rFonts w:ascii="Palatino Linotype" w:eastAsia="Palatino Linotype" w:hAnsi="Palatino Linotype" w:cs="Palatino Linotype"/>
          <w:i/>
          <w:iCs/>
          <w:sz w:val="22"/>
          <w:szCs w:val="22"/>
        </w:rPr>
        <w:t>testado</w:t>
      </w:r>
      <w:proofErr w:type="spellEnd"/>
      <w:r w:rsidRPr="00373C23">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623A266" w14:textId="77777777" w:rsidR="00162637" w:rsidRPr="00373C23" w:rsidRDefault="002A2F53">
      <w:pPr>
        <w:spacing w:before="120" w:after="120"/>
        <w:ind w:left="851" w:right="902"/>
        <w:jc w:val="both"/>
        <w:rPr>
          <w:rFonts w:ascii="Palatino Linotype" w:eastAsia="Palatino Linotype" w:hAnsi="Palatino Linotype" w:cs="Palatino Linotype"/>
          <w:b/>
          <w:bCs/>
          <w:i/>
          <w:iCs/>
          <w:sz w:val="22"/>
          <w:szCs w:val="22"/>
        </w:rPr>
      </w:pPr>
      <w:r w:rsidRPr="00373C23">
        <w:rPr>
          <w:rFonts w:ascii="Palatino Linotype" w:eastAsia="Palatino Linotype" w:hAnsi="Palatino Linotype" w:cs="Palatino Linotype"/>
          <w:b/>
          <w:bCs/>
          <w:i/>
          <w:iCs/>
          <w:sz w:val="22"/>
          <w:szCs w:val="22"/>
        </w:rPr>
        <w:t>...</w:t>
      </w:r>
    </w:p>
    <w:p w14:paraId="001A05AA"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Quincuagésimo séptimo</w:t>
      </w:r>
      <w:r w:rsidRPr="00373C23">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0157FFBC"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w:t>
      </w:r>
      <w:r w:rsidRPr="00373C23">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27FA92E3"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w:t>
      </w:r>
      <w:r w:rsidRPr="00373C23">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2E1CA2B" w14:textId="77777777" w:rsidR="00162637" w:rsidRPr="00373C23" w:rsidRDefault="002A2F53">
      <w:pPr>
        <w:spacing w:before="120" w:after="120"/>
        <w:ind w:left="1134"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III</w:t>
      </w:r>
      <w:r w:rsidRPr="00373C23">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B15BF85"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4C611A5F" w14:textId="77777777" w:rsidR="00162637" w:rsidRPr="00373C23" w:rsidRDefault="002A2F53">
      <w:pPr>
        <w:spacing w:before="120" w:after="120"/>
        <w:ind w:left="851" w:right="902"/>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b/>
          <w:bCs/>
          <w:i/>
          <w:iCs/>
          <w:sz w:val="22"/>
          <w:szCs w:val="22"/>
        </w:rPr>
        <w:t>Quincuagésimo octavo</w:t>
      </w:r>
      <w:r w:rsidRPr="00373C23">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43D8C2C" w14:textId="77777777" w:rsidR="00162637" w:rsidRPr="00373C23" w:rsidRDefault="002A2F5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08374FC6" w14:textId="77777777" w:rsidR="00162637" w:rsidRPr="00373C23" w:rsidRDefault="00162637">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4CFC25F6" w14:textId="77777777" w:rsidR="00162637" w:rsidRPr="00373C23" w:rsidRDefault="002A2F5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9" w:name="_heading=h.ijv98pntcd5s" w:colFirst="0" w:colLast="0"/>
      <w:bookmarkEnd w:id="9"/>
      <w:r w:rsidRPr="00373C23">
        <w:rPr>
          <w:rFonts w:ascii="Palatino Linotype" w:eastAsia="Palatino Linotype" w:hAnsi="Palatino Linotype" w:cs="Palatino Linotype"/>
          <w:b/>
          <w:bCs/>
          <w:sz w:val="22"/>
          <w:szCs w:val="22"/>
        </w:rPr>
        <w:t>III. R E S U E L V E</w:t>
      </w:r>
    </w:p>
    <w:p w14:paraId="00492FB4" w14:textId="77777777" w:rsidR="00162637" w:rsidRPr="00373C23" w:rsidRDefault="00162637">
      <w:pPr>
        <w:spacing w:line="360" w:lineRule="auto"/>
        <w:jc w:val="both"/>
        <w:rPr>
          <w:rFonts w:ascii="Palatino Linotype" w:eastAsia="Palatino Linotype" w:hAnsi="Palatino Linotype" w:cs="Palatino Linotype"/>
          <w:b/>
          <w:bCs/>
          <w:sz w:val="22"/>
          <w:szCs w:val="22"/>
        </w:rPr>
      </w:pPr>
      <w:bookmarkStart w:id="10" w:name="_heading=h.26in1rg" w:colFirst="0" w:colLast="0"/>
      <w:bookmarkEnd w:id="10"/>
    </w:p>
    <w:p w14:paraId="12B7BDFF" w14:textId="77777777" w:rsidR="00162637" w:rsidRPr="00373C23" w:rsidRDefault="002A2F53">
      <w:pPr>
        <w:spacing w:line="360" w:lineRule="auto"/>
        <w:jc w:val="both"/>
        <w:rPr>
          <w:rFonts w:ascii="Palatino Linotype" w:eastAsia="Palatino Linotype" w:hAnsi="Palatino Linotype" w:cs="Palatino Linotype"/>
          <w:b/>
          <w:bCs/>
          <w:sz w:val="22"/>
          <w:szCs w:val="22"/>
        </w:rPr>
      </w:pPr>
      <w:bookmarkStart w:id="11" w:name="_heading=h.h7nzb79wlra" w:colFirst="0" w:colLast="0"/>
      <w:bookmarkEnd w:id="11"/>
      <w:r w:rsidRPr="00373C23">
        <w:rPr>
          <w:rFonts w:ascii="Palatino Linotype" w:eastAsia="Palatino Linotype" w:hAnsi="Palatino Linotype" w:cs="Palatino Linotype"/>
          <w:b/>
          <w:bCs/>
          <w:sz w:val="22"/>
          <w:szCs w:val="22"/>
        </w:rPr>
        <w:t xml:space="preserve">Primero. </w:t>
      </w:r>
      <w:r w:rsidRPr="00373C23">
        <w:rPr>
          <w:rFonts w:ascii="Palatino Linotype" w:eastAsia="Palatino Linotype" w:hAnsi="Palatino Linotype" w:cs="Palatino Linotype"/>
          <w:sz w:val="22"/>
          <w:szCs w:val="22"/>
        </w:rPr>
        <w:t xml:space="preserve">Resultan </w:t>
      </w:r>
      <w:r w:rsidRPr="00373C23">
        <w:rPr>
          <w:rFonts w:ascii="Palatino Linotype" w:eastAsia="Palatino Linotype" w:hAnsi="Palatino Linotype" w:cs="Palatino Linotype"/>
          <w:b/>
          <w:bCs/>
          <w:sz w:val="22"/>
          <w:szCs w:val="22"/>
        </w:rPr>
        <w:t>parcialmente fundadas</w:t>
      </w:r>
      <w:r w:rsidRPr="00373C23">
        <w:rPr>
          <w:rFonts w:ascii="Palatino Linotype" w:eastAsia="Palatino Linotype" w:hAnsi="Palatino Linotype" w:cs="Palatino Linotype"/>
          <w:sz w:val="22"/>
          <w:szCs w:val="22"/>
        </w:rPr>
        <w:t xml:space="preserve"> las razones o motivos de inconformidad hechos valer por la parte</w:t>
      </w:r>
      <w:r w:rsidRPr="00373C23">
        <w:rPr>
          <w:rFonts w:ascii="Palatino Linotype" w:eastAsia="Palatino Linotype" w:hAnsi="Palatino Linotype" w:cs="Palatino Linotype"/>
          <w:b/>
          <w:bCs/>
          <w:sz w:val="22"/>
          <w:szCs w:val="22"/>
        </w:rPr>
        <w:t xml:space="preserve"> Recurrente</w:t>
      </w:r>
      <w:r w:rsidRPr="00373C23">
        <w:rPr>
          <w:rFonts w:ascii="Palatino Linotype" w:eastAsia="Palatino Linotype" w:hAnsi="Palatino Linotype" w:cs="Palatino Linotype"/>
          <w:sz w:val="22"/>
          <w:szCs w:val="22"/>
        </w:rPr>
        <w:t xml:space="preserve"> en el recurso de revisión </w:t>
      </w:r>
      <w:r w:rsidRPr="00373C23">
        <w:rPr>
          <w:rFonts w:ascii="Palatino Linotype" w:eastAsia="Palatino Linotype" w:hAnsi="Palatino Linotype" w:cs="Palatino Linotype"/>
          <w:b/>
          <w:bCs/>
          <w:sz w:val="22"/>
          <w:szCs w:val="22"/>
        </w:rPr>
        <w:t>07119/INFOEM/IP/RR/2025</w:t>
      </w:r>
      <w:r w:rsidRPr="00373C23">
        <w:rPr>
          <w:rFonts w:ascii="Palatino Linotype" w:eastAsia="Palatino Linotype" w:hAnsi="Palatino Linotype" w:cs="Palatino Linotype"/>
          <w:sz w:val="22"/>
          <w:szCs w:val="22"/>
        </w:rPr>
        <w:t xml:space="preserve">; por lo que, en términos del </w:t>
      </w:r>
      <w:r w:rsidRPr="00373C23">
        <w:rPr>
          <w:rFonts w:ascii="Palatino Linotype" w:eastAsia="Palatino Linotype" w:hAnsi="Palatino Linotype" w:cs="Palatino Linotype"/>
          <w:b/>
          <w:bCs/>
          <w:sz w:val="22"/>
          <w:szCs w:val="22"/>
        </w:rPr>
        <w:t>Considerando</w:t>
      </w:r>
      <w:r w:rsidRPr="00373C23">
        <w:rPr>
          <w:rFonts w:ascii="Palatino Linotype" w:eastAsia="Palatino Linotype" w:hAnsi="Palatino Linotype" w:cs="Palatino Linotype"/>
          <w:sz w:val="22"/>
          <w:szCs w:val="22"/>
        </w:rPr>
        <w:t xml:space="preserve"> </w:t>
      </w:r>
      <w:r w:rsidRPr="00373C23">
        <w:rPr>
          <w:rFonts w:ascii="Palatino Linotype" w:eastAsia="Palatino Linotype" w:hAnsi="Palatino Linotype" w:cs="Palatino Linotype"/>
          <w:b/>
          <w:bCs/>
          <w:sz w:val="22"/>
          <w:szCs w:val="22"/>
        </w:rPr>
        <w:t xml:space="preserve">Cuarto </w:t>
      </w:r>
      <w:r w:rsidRPr="00373C23">
        <w:rPr>
          <w:rFonts w:ascii="Palatino Linotype" w:eastAsia="Palatino Linotype" w:hAnsi="Palatino Linotype" w:cs="Palatino Linotype"/>
          <w:sz w:val="22"/>
          <w:szCs w:val="22"/>
        </w:rPr>
        <w:t xml:space="preserve">de esta resolución, se </w:t>
      </w:r>
      <w:r w:rsidRPr="00373C23">
        <w:rPr>
          <w:rFonts w:ascii="Palatino Linotype" w:eastAsia="Palatino Linotype" w:hAnsi="Palatino Linotype" w:cs="Palatino Linotype"/>
          <w:b/>
          <w:bCs/>
          <w:sz w:val="22"/>
          <w:szCs w:val="22"/>
        </w:rPr>
        <w:t xml:space="preserve">Modifica </w:t>
      </w:r>
      <w:r w:rsidRPr="00373C23">
        <w:rPr>
          <w:rFonts w:ascii="Palatino Linotype" w:eastAsia="Palatino Linotype" w:hAnsi="Palatino Linotype" w:cs="Palatino Linotype"/>
          <w:sz w:val="22"/>
          <w:szCs w:val="22"/>
        </w:rPr>
        <w:t xml:space="preserve">la respuesta emitida por el </w:t>
      </w:r>
      <w:r w:rsidRPr="00373C23">
        <w:rPr>
          <w:rFonts w:ascii="Palatino Linotype" w:eastAsia="Palatino Linotype" w:hAnsi="Palatino Linotype" w:cs="Palatino Linotype"/>
          <w:b/>
          <w:bCs/>
          <w:sz w:val="22"/>
          <w:szCs w:val="22"/>
        </w:rPr>
        <w:t>Sujeto Obligado.</w:t>
      </w:r>
    </w:p>
    <w:p w14:paraId="2E009C8E" w14:textId="77777777" w:rsidR="00162637" w:rsidRPr="00373C23" w:rsidRDefault="00162637">
      <w:pPr>
        <w:spacing w:line="360" w:lineRule="auto"/>
        <w:jc w:val="both"/>
        <w:rPr>
          <w:rFonts w:ascii="Palatino Linotype" w:eastAsia="Palatino Linotype" w:hAnsi="Palatino Linotype" w:cs="Palatino Linotype"/>
          <w:b/>
          <w:bCs/>
          <w:sz w:val="22"/>
          <w:szCs w:val="22"/>
        </w:rPr>
      </w:pPr>
    </w:p>
    <w:p w14:paraId="6882CF47" w14:textId="77777777" w:rsidR="00162637" w:rsidRPr="00373C23"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 xml:space="preserve">Segundo. </w:t>
      </w:r>
      <w:r w:rsidRPr="00373C23">
        <w:rPr>
          <w:rFonts w:ascii="Palatino Linotype" w:eastAsia="Palatino Linotype" w:hAnsi="Palatino Linotype" w:cs="Palatino Linotype"/>
          <w:sz w:val="22"/>
          <w:szCs w:val="22"/>
        </w:rPr>
        <w:t xml:space="preserve">Se </w:t>
      </w:r>
      <w:r w:rsidRPr="00373C23">
        <w:rPr>
          <w:rFonts w:ascii="Palatino Linotype" w:eastAsia="Palatino Linotype" w:hAnsi="Palatino Linotype" w:cs="Palatino Linotype"/>
          <w:b/>
          <w:bCs/>
          <w:sz w:val="22"/>
          <w:szCs w:val="22"/>
        </w:rPr>
        <w:t>Ordena</w:t>
      </w:r>
      <w:r w:rsidRPr="00373C23">
        <w:rPr>
          <w:rFonts w:ascii="Palatino Linotype" w:eastAsia="Palatino Linotype" w:hAnsi="Palatino Linotype" w:cs="Palatino Linotype"/>
          <w:sz w:val="22"/>
          <w:szCs w:val="22"/>
        </w:rPr>
        <w:t xml:space="preserve"> al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xml:space="preserve">, en términos de los considerandos </w:t>
      </w:r>
      <w:r w:rsidRPr="00373C23">
        <w:rPr>
          <w:rFonts w:ascii="Palatino Linotype" w:eastAsia="Palatino Linotype" w:hAnsi="Palatino Linotype" w:cs="Palatino Linotype"/>
          <w:b/>
          <w:bCs/>
          <w:sz w:val="22"/>
          <w:szCs w:val="22"/>
        </w:rPr>
        <w:t xml:space="preserve">Cuarto y Quinto </w:t>
      </w:r>
      <w:r w:rsidRPr="00373C23">
        <w:rPr>
          <w:rFonts w:ascii="Palatino Linotype" w:eastAsia="Palatino Linotype" w:hAnsi="Palatino Linotype" w:cs="Palatino Linotype"/>
          <w:sz w:val="22"/>
          <w:szCs w:val="22"/>
        </w:rPr>
        <w:t xml:space="preserve">de esta resolución, </w:t>
      </w:r>
      <w:r w:rsidRPr="00373C23">
        <w:rPr>
          <w:rFonts w:ascii="Palatino Linotype" w:eastAsia="Palatino Linotype" w:hAnsi="Palatino Linotype" w:cs="Palatino Linotype"/>
          <w:b/>
          <w:bCs/>
          <w:sz w:val="22"/>
          <w:szCs w:val="22"/>
        </w:rPr>
        <w:t xml:space="preserve">haga entrega vía Sistema de Acceso a la Información Mexiquense (SAIMEX), de ser procedente en versión pública, el documento donde conste o se advierta, </w:t>
      </w:r>
      <w:r w:rsidRPr="00373C23">
        <w:rPr>
          <w:rFonts w:ascii="Palatino Linotype" w:eastAsia="Palatino Linotype" w:hAnsi="Palatino Linotype" w:cs="Palatino Linotype"/>
          <w:sz w:val="22"/>
          <w:szCs w:val="22"/>
        </w:rPr>
        <w:t>lo siguiente:</w:t>
      </w:r>
    </w:p>
    <w:p w14:paraId="7D56C516" w14:textId="77777777" w:rsidR="00162637" w:rsidRPr="00373C23" w:rsidRDefault="00162637">
      <w:pPr>
        <w:spacing w:line="360" w:lineRule="auto"/>
        <w:jc w:val="both"/>
        <w:rPr>
          <w:rFonts w:ascii="Palatino Linotype" w:eastAsia="Palatino Linotype" w:hAnsi="Palatino Linotype" w:cs="Palatino Linotype"/>
          <w:b/>
          <w:bCs/>
          <w:sz w:val="22"/>
          <w:szCs w:val="22"/>
        </w:rPr>
      </w:pPr>
    </w:p>
    <w:p w14:paraId="04D3C539" w14:textId="77777777" w:rsidR="00162637" w:rsidRPr="00373C23" w:rsidRDefault="002A2F53">
      <w:pPr>
        <w:numPr>
          <w:ilvl w:val="3"/>
          <w:numId w:val="4"/>
        </w:numPr>
        <w:pBdr>
          <w:top w:val="nil"/>
          <w:left w:val="nil"/>
          <w:bottom w:val="nil"/>
          <w:right w:val="nil"/>
          <w:between w:val="nil"/>
        </w:pBdr>
        <w:spacing w:line="360" w:lineRule="auto"/>
        <w:ind w:left="284" w:hanging="284"/>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El número de querellas o denuncias faltantes presentadas por el Sujeto Obligado por delitos relacionados con daños al erario público en el periodo comprendido del 01 de enero de 2021 al 23 de mayo de 2025.</w:t>
      </w:r>
    </w:p>
    <w:p w14:paraId="4B41C24B" w14:textId="77777777" w:rsidR="00162637" w:rsidRPr="00373C23" w:rsidRDefault="00162637">
      <w:pPr>
        <w:pBdr>
          <w:top w:val="nil"/>
          <w:left w:val="nil"/>
          <w:bottom w:val="nil"/>
          <w:right w:val="nil"/>
          <w:between w:val="nil"/>
        </w:pBdr>
        <w:spacing w:line="360" w:lineRule="auto"/>
        <w:ind w:left="3087"/>
        <w:jc w:val="both"/>
        <w:rPr>
          <w:rFonts w:ascii="Palatino Linotype" w:eastAsia="Palatino Linotype" w:hAnsi="Palatino Linotype" w:cs="Palatino Linotype"/>
          <w:b/>
          <w:bCs/>
          <w:sz w:val="22"/>
          <w:szCs w:val="22"/>
        </w:rPr>
      </w:pPr>
    </w:p>
    <w:p w14:paraId="34C7A5FE" w14:textId="77777777" w:rsidR="00162637" w:rsidRPr="00373C23" w:rsidRDefault="002A2F53">
      <w:pPr>
        <w:numPr>
          <w:ilvl w:val="3"/>
          <w:numId w:val="4"/>
        </w:numPr>
        <w:pBdr>
          <w:top w:val="nil"/>
          <w:left w:val="nil"/>
          <w:bottom w:val="nil"/>
          <w:right w:val="nil"/>
          <w:between w:val="nil"/>
        </w:pBdr>
        <w:spacing w:line="360" w:lineRule="auto"/>
        <w:ind w:left="284" w:hanging="284"/>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 xml:space="preserve">El nombre de los responsables de los delitos relacionados con daños al erario público, que hayan sido acreditados mediante resolución firme, </w:t>
      </w:r>
      <w:r w:rsidRPr="00373C23">
        <w:rPr>
          <w:rFonts w:ascii="Palatino Linotype" w:eastAsia="Palatino Linotype" w:hAnsi="Palatino Linotype" w:cs="Palatino Linotype"/>
          <w:b/>
          <w:bCs/>
          <w:sz w:val="22"/>
          <w:szCs w:val="22"/>
          <w:u w:val="single"/>
        </w:rPr>
        <w:t>haya incurrido en omisión de efectuar el pago correspondiente dentro del plazo legal establecido, y que a la fecha de la solicitud -23 de mayo de 2025-, aún siga pendiente pago del daño correspondiente.</w:t>
      </w:r>
    </w:p>
    <w:p w14:paraId="6A37C694" w14:textId="77777777" w:rsidR="00162637" w:rsidRPr="00373C23" w:rsidRDefault="00162637">
      <w:pPr>
        <w:pBdr>
          <w:top w:val="nil"/>
          <w:left w:val="nil"/>
          <w:bottom w:val="nil"/>
          <w:right w:val="nil"/>
          <w:between w:val="nil"/>
        </w:pBdr>
        <w:spacing w:line="360" w:lineRule="auto"/>
        <w:ind w:left="3087"/>
        <w:jc w:val="both"/>
        <w:rPr>
          <w:rFonts w:ascii="Palatino Linotype" w:eastAsia="Palatino Linotype" w:hAnsi="Palatino Linotype" w:cs="Palatino Linotype"/>
          <w:b/>
          <w:bCs/>
          <w:sz w:val="22"/>
          <w:szCs w:val="22"/>
        </w:rPr>
      </w:pPr>
    </w:p>
    <w:p w14:paraId="78CA1CA4" w14:textId="77777777" w:rsidR="00162637" w:rsidRPr="00373C23" w:rsidRDefault="002A2F53">
      <w:pPr>
        <w:numPr>
          <w:ilvl w:val="3"/>
          <w:numId w:val="4"/>
        </w:numPr>
        <w:pBdr>
          <w:top w:val="nil"/>
          <w:left w:val="nil"/>
          <w:bottom w:val="nil"/>
          <w:right w:val="nil"/>
          <w:between w:val="nil"/>
        </w:pBdr>
        <w:spacing w:line="360" w:lineRule="auto"/>
        <w:ind w:left="284" w:hanging="284"/>
        <w:jc w:val="both"/>
        <w:rPr>
          <w:rFonts w:ascii="Palatino Linotype" w:eastAsia="Palatino Linotype" w:hAnsi="Palatino Linotype" w:cs="Palatino Linotype"/>
          <w:b/>
          <w:bCs/>
          <w:sz w:val="22"/>
          <w:szCs w:val="22"/>
        </w:rPr>
      </w:pPr>
      <w:r w:rsidRPr="00373C23">
        <w:rPr>
          <w:rFonts w:ascii="Palatino Linotype" w:eastAsia="Palatino Linotype" w:hAnsi="Palatino Linotype" w:cs="Palatino Linotype"/>
          <w:b/>
          <w:bCs/>
          <w:sz w:val="22"/>
          <w:szCs w:val="22"/>
        </w:rPr>
        <w:t>En su caso, el Acuerdo de Clasificación como Información Confidencial que emita el Comité de Transparencia, en términos de los artículos 49, fracción II, 132, fracción II, 143, fracción I y 149 de la Ley de Transparencia y Acceso a la Información Pública del Estado de México y Municipios, respecto del nombre de los responsables de los delitos relacionados con daños al erario público, que no hayan sido acreditados mediante resolución firme, o bien, habiendo sido acreditados, se haya realizado el pago del daño (dentro del plazo legal otorgado o de manera extemporánea), o se encuentre transcurriendo el plazo legal para dicha cuestión, respecto del periodo comprendido del 01 de enero de 2021 al 23 de mayo de 2025.</w:t>
      </w:r>
    </w:p>
    <w:p w14:paraId="7CB9A999" w14:textId="77777777" w:rsidR="00162637" w:rsidRPr="00373C23" w:rsidRDefault="00162637">
      <w:pPr>
        <w:pBdr>
          <w:top w:val="nil"/>
          <w:left w:val="nil"/>
          <w:bottom w:val="nil"/>
          <w:right w:val="nil"/>
          <w:between w:val="nil"/>
        </w:pBdr>
        <w:ind w:left="720"/>
        <w:rPr>
          <w:rFonts w:ascii="Palatino Linotype" w:eastAsia="Palatino Linotype" w:hAnsi="Palatino Linotype" w:cs="Palatino Linotype"/>
          <w:b/>
          <w:bCs/>
          <w:sz w:val="22"/>
          <w:szCs w:val="22"/>
        </w:rPr>
      </w:pPr>
    </w:p>
    <w:p w14:paraId="79AC53AE" w14:textId="77777777" w:rsidR="00162637" w:rsidRPr="00373C23" w:rsidRDefault="002A2F53">
      <w:pPr>
        <w:ind w:left="284"/>
        <w:jc w:val="both"/>
        <w:rPr>
          <w:rFonts w:ascii="Palatino Linotype" w:eastAsia="Palatino Linotype" w:hAnsi="Palatino Linotype" w:cs="Palatino Linotype"/>
          <w:i/>
          <w:iCs/>
          <w:sz w:val="22"/>
          <w:szCs w:val="22"/>
        </w:rPr>
      </w:pPr>
      <w:r w:rsidRPr="00373C23">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373C23">
        <w:rPr>
          <w:rFonts w:ascii="Palatino Linotype" w:eastAsia="Palatino Linotype" w:hAnsi="Palatino Linotype" w:cs="Palatino Linotype"/>
          <w:b/>
          <w:bCs/>
          <w:i/>
          <w:iCs/>
          <w:sz w:val="22"/>
          <w:szCs w:val="22"/>
        </w:rPr>
        <w:t>la parte Recurrente</w:t>
      </w:r>
      <w:r w:rsidRPr="00373C23">
        <w:rPr>
          <w:rFonts w:ascii="Palatino Linotype" w:eastAsia="Palatino Linotype" w:hAnsi="Palatino Linotype" w:cs="Palatino Linotype"/>
          <w:i/>
          <w:iCs/>
          <w:sz w:val="22"/>
          <w:szCs w:val="22"/>
        </w:rPr>
        <w:t>, mismo que igualmente hará de su conocimiento.</w:t>
      </w:r>
    </w:p>
    <w:p w14:paraId="63133936" w14:textId="77777777" w:rsidR="00162637" w:rsidRPr="00373C23" w:rsidRDefault="00162637">
      <w:pPr>
        <w:ind w:left="284"/>
        <w:jc w:val="both"/>
        <w:rPr>
          <w:rFonts w:ascii="Palatino Linotype" w:eastAsia="Palatino Linotype" w:hAnsi="Palatino Linotype" w:cs="Palatino Linotype"/>
          <w:i/>
          <w:iCs/>
          <w:sz w:val="22"/>
          <w:szCs w:val="22"/>
        </w:rPr>
      </w:pPr>
    </w:p>
    <w:p w14:paraId="7386C852" w14:textId="77777777" w:rsidR="00162637" w:rsidRPr="00373C23" w:rsidRDefault="002A2F53">
      <w:pPr>
        <w:spacing w:before="240" w:after="240"/>
        <w:ind w:left="280"/>
        <w:jc w:val="both"/>
        <w:rPr>
          <w:rFonts w:ascii="Palatino Linotype" w:eastAsia="Palatino Linotype" w:hAnsi="Palatino Linotype" w:cs="Palatino Linotype"/>
          <w:i/>
          <w:iCs/>
          <w:sz w:val="22"/>
          <w:szCs w:val="22"/>
        </w:rPr>
      </w:pPr>
      <w:bookmarkStart w:id="12" w:name="_heading=h.rvr1sozfx83k" w:colFirst="0" w:colLast="0"/>
      <w:bookmarkEnd w:id="12"/>
      <w:r w:rsidRPr="00373C23">
        <w:rPr>
          <w:rFonts w:ascii="Palatino Linotype" w:eastAsia="Palatino Linotype" w:hAnsi="Palatino Linotype" w:cs="Palatino Linotype"/>
          <w:i/>
          <w:iCs/>
          <w:sz w:val="22"/>
          <w:szCs w:val="22"/>
        </w:rPr>
        <w:t xml:space="preserve">No obstante, en el supuesto que no se llegara a localizar la información que se ordena en los </w:t>
      </w:r>
      <w:r w:rsidRPr="00373C23">
        <w:rPr>
          <w:rFonts w:ascii="Palatino Linotype" w:eastAsia="Palatino Linotype" w:hAnsi="Palatino Linotype" w:cs="Palatino Linotype"/>
          <w:b/>
          <w:bCs/>
          <w:i/>
          <w:iCs/>
          <w:sz w:val="22"/>
          <w:szCs w:val="22"/>
          <w:u w:val="single"/>
        </w:rPr>
        <w:t>puntos 1 y 2</w:t>
      </w:r>
      <w:r w:rsidRPr="00373C23">
        <w:rPr>
          <w:rFonts w:ascii="Palatino Linotype" w:eastAsia="Palatino Linotype" w:hAnsi="Palatino Linotype" w:cs="Palatino Linotype"/>
          <w:i/>
          <w:iCs/>
          <w:sz w:val="22"/>
          <w:szCs w:val="22"/>
        </w:rPr>
        <w:t xml:space="preserve"> en los archivos del </w:t>
      </w:r>
      <w:r w:rsidRPr="00373C23">
        <w:rPr>
          <w:rFonts w:ascii="Palatino Linotype" w:eastAsia="Palatino Linotype" w:hAnsi="Palatino Linotype" w:cs="Palatino Linotype"/>
          <w:b/>
          <w:bCs/>
          <w:i/>
          <w:iCs/>
          <w:sz w:val="22"/>
          <w:szCs w:val="22"/>
        </w:rPr>
        <w:t>Sujeto Obligado</w:t>
      </w:r>
      <w:r w:rsidRPr="00373C23">
        <w:rPr>
          <w:rFonts w:ascii="Palatino Linotype" w:eastAsia="Palatino Linotype" w:hAnsi="Palatino Linotype" w:cs="Palatino Linotype"/>
          <w:i/>
          <w:iCs/>
          <w:sz w:val="22"/>
          <w:szCs w:val="22"/>
        </w:rPr>
        <w:t xml:space="preserve"> </w:t>
      </w:r>
      <w:r w:rsidRPr="00373C23">
        <w:rPr>
          <w:rFonts w:ascii="Palatino Linotype" w:eastAsia="Palatino Linotype" w:hAnsi="Palatino Linotype" w:cs="Palatino Linotype"/>
          <w:b/>
          <w:bCs/>
          <w:i/>
          <w:iCs/>
          <w:sz w:val="22"/>
          <w:szCs w:val="22"/>
        </w:rPr>
        <w:t>porque no se actualice alguno de los supuestos por los que se ordena la entrega,</w:t>
      </w:r>
      <w:r w:rsidRPr="00373C23">
        <w:rPr>
          <w:rFonts w:ascii="Palatino Linotype" w:eastAsia="Palatino Linotype" w:hAnsi="Palatino Linotype" w:cs="Palatino Linotype"/>
          <w:i/>
          <w:iCs/>
          <w:sz w:val="22"/>
          <w:szCs w:val="22"/>
        </w:rPr>
        <w:t xml:space="preserve"> 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14BFEDB9" w14:textId="77777777" w:rsidR="00162637" w:rsidRPr="00373C23" w:rsidRDefault="00162637">
      <w:pPr>
        <w:ind w:left="284"/>
        <w:jc w:val="both"/>
        <w:rPr>
          <w:rFonts w:ascii="Palatino Linotype" w:eastAsia="Palatino Linotype" w:hAnsi="Palatino Linotype" w:cs="Palatino Linotype"/>
          <w:i/>
          <w:iCs/>
          <w:sz w:val="22"/>
          <w:szCs w:val="22"/>
        </w:rPr>
      </w:pPr>
    </w:p>
    <w:p w14:paraId="4B0C3F47" w14:textId="77777777" w:rsidR="00162637" w:rsidRPr="00373C23" w:rsidRDefault="002A2F53">
      <w:pPr>
        <w:spacing w:line="360" w:lineRule="auto"/>
        <w:jc w:val="both"/>
        <w:rPr>
          <w:rFonts w:ascii="Palatino Linotype" w:eastAsia="Palatino Linotype" w:hAnsi="Palatino Linotype" w:cs="Palatino Linotype"/>
          <w:sz w:val="22"/>
          <w:szCs w:val="22"/>
        </w:rPr>
      </w:pPr>
      <w:bookmarkStart w:id="13" w:name="_heading=h.59npxyxpomjd" w:colFirst="0" w:colLast="0"/>
      <w:bookmarkEnd w:id="13"/>
      <w:r w:rsidRPr="00373C23">
        <w:rPr>
          <w:rFonts w:ascii="Palatino Linotype" w:eastAsia="Palatino Linotype" w:hAnsi="Palatino Linotype" w:cs="Palatino Linotype"/>
          <w:b/>
          <w:bCs/>
          <w:sz w:val="22"/>
          <w:szCs w:val="22"/>
        </w:rPr>
        <w:t xml:space="preserve">Tercero. Notifíquese, </w:t>
      </w:r>
      <w:r w:rsidRPr="00373C23">
        <w:rPr>
          <w:rFonts w:ascii="Palatino Linotype" w:eastAsia="Palatino Linotype" w:hAnsi="Palatino Linotype" w:cs="Palatino Linotype"/>
          <w:sz w:val="22"/>
          <w:szCs w:val="22"/>
        </w:rPr>
        <w:t xml:space="preserve">vía </w:t>
      </w:r>
      <w:r w:rsidRPr="00373C23">
        <w:rPr>
          <w:rFonts w:ascii="Palatino Linotype" w:eastAsia="Palatino Linotype" w:hAnsi="Palatino Linotype" w:cs="Palatino Linotype"/>
          <w:b/>
          <w:bCs/>
          <w:sz w:val="22"/>
          <w:szCs w:val="22"/>
        </w:rPr>
        <w:t>SAIMEX</w:t>
      </w:r>
      <w:r w:rsidRPr="00373C23">
        <w:rPr>
          <w:rFonts w:ascii="Palatino Linotype" w:eastAsia="Palatino Linotype" w:hAnsi="Palatino Linotype" w:cs="Palatino Linotype"/>
          <w:sz w:val="22"/>
          <w:szCs w:val="22"/>
        </w:rPr>
        <w:t xml:space="preserve">, al Titular de la Unidad de Transparencia del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FE45DC9" w14:textId="77777777" w:rsidR="00162637" w:rsidRPr="00373C23" w:rsidRDefault="00162637">
      <w:pPr>
        <w:spacing w:line="360" w:lineRule="auto"/>
        <w:jc w:val="both"/>
        <w:rPr>
          <w:rFonts w:ascii="Palatino Linotype" w:eastAsia="Palatino Linotype" w:hAnsi="Palatino Linotype" w:cs="Palatino Linotype"/>
          <w:sz w:val="22"/>
          <w:szCs w:val="22"/>
        </w:rPr>
      </w:pPr>
    </w:p>
    <w:p w14:paraId="66EEBD70" w14:textId="77777777" w:rsidR="00162637" w:rsidRPr="00373C23" w:rsidRDefault="002A2F53">
      <w:pPr>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Cuarto.</w:t>
      </w:r>
      <w:r w:rsidRPr="00373C23">
        <w:rPr>
          <w:rFonts w:ascii="Palatino Linotype" w:eastAsia="Palatino Linotype" w:hAnsi="Palatino Linotype" w:cs="Palatino Linotype"/>
          <w:sz w:val="22"/>
          <w:szCs w:val="22"/>
        </w:rPr>
        <w:t xml:space="preserve"> </w:t>
      </w:r>
      <w:r w:rsidRPr="00373C23">
        <w:rPr>
          <w:rFonts w:ascii="Palatino Linotype" w:eastAsia="Palatino Linotype" w:hAnsi="Palatino Linotype" w:cs="Palatino Linotype"/>
          <w:b/>
          <w:bCs/>
          <w:sz w:val="22"/>
          <w:szCs w:val="22"/>
        </w:rPr>
        <w:t xml:space="preserve">Notifíquese, </w:t>
      </w:r>
      <w:r w:rsidRPr="00373C23">
        <w:rPr>
          <w:rFonts w:ascii="Palatino Linotype" w:eastAsia="Palatino Linotype" w:hAnsi="Palatino Linotype" w:cs="Palatino Linotype"/>
          <w:sz w:val="22"/>
          <w:szCs w:val="22"/>
        </w:rPr>
        <w:t xml:space="preserve">vía </w:t>
      </w:r>
      <w:r w:rsidRPr="00373C23">
        <w:rPr>
          <w:rFonts w:ascii="Palatino Linotype" w:eastAsia="Palatino Linotype" w:hAnsi="Palatino Linotype" w:cs="Palatino Linotype"/>
          <w:b/>
          <w:bCs/>
          <w:sz w:val="22"/>
          <w:szCs w:val="22"/>
        </w:rPr>
        <w:t>SAIMEX</w:t>
      </w:r>
      <w:r w:rsidRPr="00373C23">
        <w:rPr>
          <w:rFonts w:ascii="Palatino Linotype" w:eastAsia="Palatino Linotype" w:hAnsi="Palatino Linotype" w:cs="Palatino Linotype"/>
          <w:sz w:val="22"/>
          <w:szCs w:val="22"/>
        </w:rPr>
        <w:t xml:space="preserve">, al Titular de la Unidad de Transparencia del </w:t>
      </w:r>
      <w:r w:rsidRPr="00373C23">
        <w:rPr>
          <w:rFonts w:ascii="Palatino Linotype" w:eastAsia="Palatino Linotype" w:hAnsi="Palatino Linotype" w:cs="Palatino Linotype"/>
          <w:b/>
          <w:bCs/>
          <w:sz w:val="22"/>
          <w:szCs w:val="22"/>
        </w:rPr>
        <w:t>Sujeto Obligado,</w:t>
      </w:r>
      <w:r w:rsidRPr="00373C23">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6FE64E39" w14:textId="77777777" w:rsidR="00162637" w:rsidRPr="00373C23" w:rsidRDefault="00162637">
      <w:pPr>
        <w:spacing w:line="360" w:lineRule="auto"/>
        <w:ind w:right="49"/>
        <w:jc w:val="both"/>
        <w:rPr>
          <w:rFonts w:ascii="Palatino Linotype" w:eastAsia="Palatino Linotype" w:hAnsi="Palatino Linotype" w:cs="Palatino Linotype"/>
          <w:sz w:val="22"/>
          <w:szCs w:val="22"/>
        </w:rPr>
      </w:pPr>
    </w:p>
    <w:p w14:paraId="7153C70E" w14:textId="77777777" w:rsidR="00162637" w:rsidRPr="00373C23" w:rsidRDefault="002A2F53">
      <w:pPr>
        <w:spacing w:line="360" w:lineRule="auto"/>
        <w:ind w:right="49"/>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b/>
          <w:bCs/>
          <w:sz w:val="22"/>
          <w:szCs w:val="22"/>
        </w:rPr>
        <w:t xml:space="preserve">Quinto. Notifíquese vía SAIMEX, </w:t>
      </w:r>
      <w:r w:rsidRPr="00373C23">
        <w:rPr>
          <w:rFonts w:ascii="Palatino Linotype" w:eastAsia="Palatino Linotype" w:hAnsi="Palatino Linotype" w:cs="Palatino Linotype"/>
          <w:sz w:val="22"/>
          <w:szCs w:val="22"/>
        </w:rPr>
        <w:t xml:space="preserve">la presente resolución a la parte </w:t>
      </w:r>
      <w:r w:rsidRPr="00373C23">
        <w:rPr>
          <w:rFonts w:ascii="Palatino Linotype" w:eastAsia="Palatino Linotype" w:hAnsi="Palatino Linotype" w:cs="Palatino Linotype"/>
          <w:b/>
          <w:bCs/>
          <w:sz w:val="22"/>
          <w:szCs w:val="22"/>
        </w:rPr>
        <w:t>Recurrente</w:t>
      </w:r>
      <w:r w:rsidRPr="00373C23">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36086916" w14:textId="77777777" w:rsidR="00162637" w:rsidRPr="00373C23" w:rsidRDefault="00162637">
      <w:pPr>
        <w:spacing w:line="360" w:lineRule="auto"/>
        <w:ind w:right="49"/>
        <w:jc w:val="both"/>
        <w:rPr>
          <w:rFonts w:ascii="Palatino Linotype" w:eastAsia="Palatino Linotype" w:hAnsi="Palatino Linotype" w:cs="Palatino Linotype"/>
          <w:sz w:val="22"/>
          <w:szCs w:val="22"/>
        </w:rPr>
      </w:pPr>
    </w:p>
    <w:p w14:paraId="7BB43459" w14:textId="501B9D69" w:rsidR="00162637" w:rsidRPr="00BA2F37" w:rsidRDefault="002A2F53">
      <w:pPr>
        <w:spacing w:line="360" w:lineRule="auto"/>
        <w:jc w:val="both"/>
        <w:rPr>
          <w:rFonts w:ascii="Palatino Linotype" w:eastAsia="Palatino Linotype" w:hAnsi="Palatino Linotype" w:cs="Palatino Linotype"/>
          <w:sz w:val="22"/>
          <w:szCs w:val="22"/>
        </w:rPr>
      </w:pPr>
      <w:r w:rsidRPr="00373C2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A2F37" w:rsidRPr="00373C23">
        <w:rPr>
          <w:rFonts w:ascii="Palatino Linotype" w:eastAsia="Palatino Linotype" w:hAnsi="Palatino Linotype" w:cs="Palatino Linotype"/>
          <w:sz w:val="22"/>
          <w:szCs w:val="22"/>
        </w:rPr>
        <w:t xml:space="preserve"> EMITIENDO VOTO PARTICULAR,</w:t>
      </w:r>
      <w:r w:rsidRPr="00373C23">
        <w:rPr>
          <w:rFonts w:ascii="Palatino Linotype" w:eastAsia="Palatino Linotype" w:hAnsi="Palatino Linotype" w:cs="Palatino Linotype"/>
          <w:sz w:val="22"/>
          <w:szCs w:val="22"/>
        </w:rPr>
        <w:t xml:space="preserve"> SHARON CRISTINA MORALES MARTÍNEZ, LUIS GUSTAVO PARRA NORIEGA Y GUADALUPE RAMÍREZ PEÑA; EN LA SEXTA SESIÓN ORDINARIA, CELEBRADA EL DIECIOCHO DE FEBRERO DE DOS MIL VEINTISÉIS, ANTE EL SECRETARIO TÉCNICO DEL PLENO ALEXIS TAPIA RAMÍREZ.</w:t>
      </w:r>
      <w:r w:rsidRPr="00BA2F37">
        <w:rPr>
          <w:rFonts w:ascii="Palatino Linotype" w:eastAsia="Palatino Linotype" w:hAnsi="Palatino Linotype" w:cs="Palatino Linotype"/>
          <w:sz w:val="22"/>
          <w:szCs w:val="22"/>
        </w:rPr>
        <w:t xml:space="preserve"> </w:t>
      </w:r>
    </w:p>
    <w:p w14:paraId="4B4945D9"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55097810" w14:textId="77777777" w:rsidR="00162637" w:rsidRPr="00BA2F37" w:rsidRDefault="00162637">
      <w:pPr>
        <w:spacing w:line="360" w:lineRule="auto"/>
        <w:jc w:val="center"/>
        <w:rPr>
          <w:rFonts w:ascii="Palatino Linotype" w:eastAsia="Palatino Linotype" w:hAnsi="Palatino Linotype" w:cs="Palatino Linotype"/>
          <w:sz w:val="22"/>
          <w:szCs w:val="22"/>
        </w:rPr>
      </w:pPr>
    </w:p>
    <w:p w14:paraId="674FDCAB"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7DD18AAC"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6AC1E0AB"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2AD4E773"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44BFECC3"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11EAC158"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760811E6"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2EA3A8F4"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579570FB"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1B1C2CF2"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22F4F8A3"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2AF34BF3"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52B56EBC"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15660AC0"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06B7232C"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3ACD0409"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662097D2" w14:textId="77777777" w:rsidR="00162637" w:rsidRPr="00BA2F37" w:rsidRDefault="00162637">
      <w:pPr>
        <w:spacing w:line="360" w:lineRule="auto"/>
        <w:jc w:val="both"/>
        <w:rPr>
          <w:rFonts w:ascii="Palatino Linotype" w:eastAsia="Palatino Linotype" w:hAnsi="Palatino Linotype" w:cs="Palatino Linotype"/>
          <w:sz w:val="22"/>
          <w:szCs w:val="22"/>
        </w:rPr>
      </w:pPr>
    </w:p>
    <w:p w14:paraId="0B6D493B" w14:textId="77777777" w:rsidR="00162637" w:rsidRPr="00BA2F37" w:rsidRDefault="00162637">
      <w:pPr>
        <w:spacing w:line="360" w:lineRule="auto"/>
        <w:jc w:val="both"/>
        <w:rPr>
          <w:rFonts w:ascii="Palatino Linotype" w:eastAsia="Palatino Linotype" w:hAnsi="Palatino Linotype" w:cs="Palatino Linotype"/>
          <w:sz w:val="22"/>
          <w:szCs w:val="22"/>
        </w:rPr>
      </w:pPr>
    </w:p>
    <w:sectPr w:rsidR="00162637" w:rsidRPr="00BA2F37">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9832D" w14:textId="77777777" w:rsidR="00E27846" w:rsidRDefault="00E27846">
      <w:r>
        <w:separator/>
      </w:r>
    </w:p>
  </w:endnote>
  <w:endnote w:type="continuationSeparator" w:id="0">
    <w:p w14:paraId="47CFE14A" w14:textId="77777777" w:rsidR="00E27846" w:rsidRDefault="00E2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2AD7C813-12A8-42D7-97B1-F7FB6B795A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703B3B-D4E8-4FF1-83EE-C45DE45D9049}"/>
    <w:embedBold r:id="rId3" w:fontKey="{B7858255-20B4-486A-B7CD-E47C2077F7C2}"/>
  </w:font>
  <w:font w:name="Cambria">
    <w:panose1 w:val="02040503050406030204"/>
    <w:charset w:val="00"/>
    <w:family w:val="roman"/>
    <w:pitch w:val="variable"/>
    <w:sig w:usb0="E00006FF" w:usb1="420024FF" w:usb2="02000000" w:usb3="00000000" w:csb0="0000019F" w:csb1="00000000"/>
    <w:embedRegular r:id="rId4" w:fontKey="{38ACE2F6-F2F2-470E-B38E-E463E67A367D}"/>
    <w:embedBold r:id="rId5" w:fontKey="{D937D4B5-265B-4220-BD74-8B23167F1357}"/>
    <w:embedBoldItalic r:id="rId6" w:fontKey="{C2CC410A-E8B1-4B4B-8B16-00C45A839ED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456D5F5A-F2F5-4930-A4D4-BF61BB335E6D}"/>
  </w:font>
  <w:font w:name="Georgia">
    <w:panose1 w:val="02040502050405020303"/>
    <w:charset w:val="00"/>
    <w:family w:val="roman"/>
    <w:pitch w:val="variable"/>
    <w:sig w:usb0="00000287" w:usb1="00000000" w:usb2="00000000" w:usb3="00000000" w:csb0="0000009F" w:csb1="00000000"/>
    <w:embedItalic r:id="rId8" w:fontKey="{A780BAAA-0E08-42BD-BF8B-07593D19E700}"/>
  </w:font>
  <w:font w:name="Palatino Linotype">
    <w:panose1 w:val="02040502050505030304"/>
    <w:charset w:val="00"/>
    <w:family w:val="roman"/>
    <w:pitch w:val="variable"/>
    <w:sig w:usb0="E0000287" w:usb1="40000013" w:usb2="00000000" w:usb3="00000000" w:csb0="0000019F" w:csb1="00000000"/>
    <w:embedRegular r:id="rId9" w:fontKey="{4E4314DE-0D46-4210-9ED8-F7CC8BB90EBB}"/>
    <w:embedBold r:id="rId10" w:fontKey="{D068911E-F9F7-4DE6-A491-D64B2C6E001C}"/>
    <w:embedItalic r:id="rId11" w:fontKey="{ED5B6D01-13BA-4AC2-B301-BF6C6220DF30}"/>
    <w:embedBoldItalic r:id="rId12" w:fontKey="{DB4A8085-0B41-476A-BE62-141164E724A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A9346" w14:textId="64FE3430" w:rsidR="00162637" w:rsidRDefault="002A2F5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2C0620">
      <w:rPr>
        <w:rFonts w:ascii="Palatino Linotype" w:eastAsia="Palatino Linotype" w:hAnsi="Palatino Linotype" w:cs="Palatino Linotype"/>
        <w:b/>
        <w:bCs/>
        <w:noProof/>
        <w:color w:val="000000"/>
        <w:sz w:val="20"/>
        <w:szCs w:val="20"/>
      </w:rPr>
      <w:t>21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2C0620">
      <w:rPr>
        <w:rFonts w:ascii="Palatino Linotype" w:eastAsia="Palatino Linotype" w:hAnsi="Palatino Linotype" w:cs="Palatino Linotype"/>
        <w:b/>
        <w:bCs/>
        <w:noProof/>
        <w:color w:val="000000"/>
        <w:sz w:val="20"/>
        <w:szCs w:val="20"/>
      </w:rPr>
      <w:t>58</w:t>
    </w:r>
    <w:r>
      <w:rPr>
        <w:rFonts w:ascii="Palatino Linotype" w:eastAsia="Palatino Linotype" w:hAnsi="Palatino Linotype" w:cs="Palatino Linotype"/>
        <w:b/>
        <w:bCs/>
        <w:color w:val="000000"/>
        <w:sz w:val="20"/>
        <w:szCs w:val="20"/>
      </w:rPr>
      <w:fldChar w:fldCharType="end"/>
    </w:r>
  </w:p>
  <w:p w14:paraId="24B0AF96" w14:textId="77777777" w:rsidR="00162637" w:rsidRDefault="0016263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ECC4D" w14:textId="2897938E" w:rsidR="00162637" w:rsidRDefault="002A2F5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2C0620">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2C0620">
      <w:rPr>
        <w:rFonts w:ascii="Palatino Linotype" w:eastAsia="Palatino Linotype" w:hAnsi="Palatino Linotype" w:cs="Palatino Linotype"/>
        <w:b/>
        <w:bCs/>
        <w:noProof/>
        <w:color w:val="000000"/>
        <w:sz w:val="20"/>
        <w:szCs w:val="20"/>
      </w:rPr>
      <w:t>58</w:t>
    </w:r>
    <w:r>
      <w:rPr>
        <w:rFonts w:ascii="Palatino Linotype" w:eastAsia="Palatino Linotype" w:hAnsi="Palatino Linotype" w:cs="Palatino Linotype"/>
        <w:b/>
        <w:bCs/>
        <w:color w:val="000000"/>
        <w:sz w:val="20"/>
        <w:szCs w:val="20"/>
      </w:rPr>
      <w:fldChar w:fldCharType="end"/>
    </w:r>
  </w:p>
  <w:p w14:paraId="4F906549" w14:textId="77777777" w:rsidR="00162637" w:rsidRDefault="0016263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CF248" w14:textId="77777777" w:rsidR="00E27846" w:rsidRDefault="00E27846">
      <w:r>
        <w:separator/>
      </w:r>
    </w:p>
  </w:footnote>
  <w:footnote w:type="continuationSeparator" w:id="0">
    <w:p w14:paraId="54DC0457" w14:textId="77777777" w:rsidR="00E27846" w:rsidRDefault="00E27846">
      <w:r>
        <w:continuationSeparator/>
      </w:r>
    </w:p>
  </w:footnote>
  <w:footnote w:id="1">
    <w:p w14:paraId="47BEF5E8" w14:textId="77777777" w:rsidR="00162637" w:rsidRDefault="002A2F53">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3ECAE69" w14:textId="77777777" w:rsidR="00162637" w:rsidRDefault="002A2F53">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E2ACE" w14:textId="77E0059D" w:rsidR="00162637" w:rsidRDefault="002A2F53" w:rsidP="007237EF">
    <w:pPr>
      <w:tabs>
        <w:tab w:val="center" w:pos="4419"/>
      </w:tabs>
      <w:rPr>
        <w:noProof/>
      </w:rPr>
    </w:pPr>
    <w:r>
      <w:rPr>
        <w:noProof/>
      </w:rPr>
      <w:drawing>
        <wp:anchor distT="0" distB="0" distL="0" distR="0" simplePos="0" relativeHeight="251658240" behindDoc="1" locked="0" layoutInCell="1" hidden="0" allowOverlap="1" wp14:anchorId="5435CB54" wp14:editId="2EC64323">
          <wp:simplePos x="0" y="0"/>
          <wp:positionH relativeFrom="column">
            <wp:posOffset>-1080090</wp:posOffset>
          </wp:positionH>
          <wp:positionV relativeFrom="paragraph">
            <wp:posOffset>-488261</wp:posOffset>
          </wp:positionV>
          <wp:extent cx="7809865" cy="10165715"/>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r w:rsidR="007237EF">
      <w:rPr>
        <w:noProof/>
      </w:rPr>
      <w:tab/>
    </w:r>
  </w:p>
  <w:p w14:paraId="0A2ABC5D" w14:textId="77777777" w:rsidR="007237EF" w:rsidRDefault="007237EF" w:rsidP="007237EF">
    <w:pPr>
      <w:tabs>
        <w:tab w:val="left" w:pos="3330"/>
      </w:tabs>
      <w:rPr>
        <w:noProof/>
      </w:rPr>
    </w:pPr>
    <w:r>
      <w:rPr>
        <w:noProof/>
      </w:rPr>
      <w:tab/>
    </w:r>
  </w:p>
  <w:tbl>
    <w:tblPr>
      <w:tblStyle w:val="affd"/>
      <w:tblW w:w="5953" w:type="dxa"/>
      <w:tblInd w:w="3261" w:type="dxa"/>
      <w:tblLayout w:type="fixed"/>
      <w:tblLook w:val="0400" w:firstRow="0" w:lastRow="0" w:firstColumn="0" w:lastColumn="0" w:noHBand="0" w:noVBand="1"/>
    </w:tblPr>
    <w:tblGrid>
      <w:gridCol w:w="2489"/>
      <w:gridCol w:w="3464"/>
    </w:tblGrid>
    <w:tr w:rsidR="007237EF" w14:paraId="4CC4ED79" w14:textId="77777777" w:rsidTr="00F77CB2">
      <w:tc>
        <w:tcPr>
          <w:tcW w:w="2489" w:type="dxa"/>
        </w:tcPr>
        <w:p w14:paraId="2488E5AC" w14:textId="77777777" w:rsidR="007237EF" w:rsidRDefault="007237EF" w:rsidP="007237E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32DFBF91" w14:textId="77777777" w:rsidR="007237EF" w:rsidRDefault="007237EF" w:rsidP="007237E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07119/INFOEM/IP/RR/2025</w:t>
          </w:r>
        </w:p>
      </w:tc>
    </w:tr>
    <w:tr w:rsidR="007237EF" w14:paraId="2F3F3602" w14:textId="77777777" w:rsidTr="00F77CB2">
      <w:tc>
        <w:tcPr>
          <w:tcW w:w="2489" w:type="dxa"/>
        </w:tcPr>
        <w:p w14:paraId="39D725F5" w14:textId="77777777" w:rsidR="007237EF" w:rsidRDefault="007237EF" w:rsidP="007237E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0DD7EA2B" w14:textId="77777777" w:rsidR="007237EF" w:rsidRDefault="007237EF" w:rsidP="007237EF">
          <w:pPr>
            <w:ind w:right="175"/>
            <w:jc w:val="both"/>
            <w:rPr>
              <w:rFonts w:ascii="Palatino Linotype" w:eastAsia="Palatino Linotype" w:hAnsi="Palatino Linotype" w:cs="Palatino Linotype"/>
              <w:b/>
              <w:bCs/>
              <w:sz w:val="22"/>
              <w:szCs w:val="22"/>
            </w:rPr>
          </w:pPr>
        </w:p>
      </w:tc>
    </w:tr>
    <w:tr w:rsidR="007237EF" w14:paraId="0EE1DF71" w14:textId="77777777" w:rsidTr="00F77CB2">
      <w:trPr>
        <w:trHeight w:val="228"/>
      </w:trPr>
      <w:tc>
        <w:tcPr>
          <w:tcW w:w="2489" w:type="dxa"/>
          <w:vAlign w:val="center"/>
        </w:tcPr>
        <w:p w14:paraId="2707C205" w14:textId="77777777" w:rsidR="007237EF" w:rsidRDefault="007237EF" w:rsidP="007237E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6FAB04BE" w14:textId="77777777" w:rsidR="007237EF" w:rsidRDefault="007237EF" w:rsidP="007237EF">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7237EF" w14:paraId="0347EC4A" w14:textId="77777777" w:rsidTr="00F77CB2">
      <w:tc>
        <w:tcPr>
          <w:tcW w:w="2489" w:type="dxa"/>
          <w:vAlign w:val="center"/>
        </w:tcPr>
        <w:p w14:paraId="0A45B39E" w14:textId="77777777" w:rsidR="007237EF" w:rsidRDefault="007237EF" w:rsidP="007237EF">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2F086567" w14:textId="77777777" w:rsidR="007237EF" w:rsidRDefault="007237EF" w:rsidP="007237E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p w14:paraId="7026F250" w14:textId="77777777" w:rsidR="007237EF" w:rsidRDefault="007237EF" w:rsidP="007237EF">
          <w:pPr>
            <w:ind w:right="175"/>
            <w:jc w:val="both"/>
            <w:rPr>
              <w:rFonts w:ascii="Palatino Linotype" w:eastAsia="Palatino Linotype" w:hAnsi="Palatino Linotype" w:cs="Palatino Linotype"/>
              <w:b/>
              <w:bCs/>
              <w:sz w:val="22"/>
              <w:szCs w:val="22"/>
            </w:rPr>
          </w:pPr>
        </w:p>
        <w:p w14:paraId="212AD55C" w14:textId="77777777" w:rsidR="007237EF" w:rsidRDefault="007237EF" w:rsidP="007237EF">
          <w:pPr>
            <w:ind w:right="175"/>
            <w:jc w:val="both"/>
            <w:rPr>
              <w:rFonts w:ascii="Palatino Linotype" w:eastAsia="Palatino Linotype" w:hAnsi="Palatino Linotype" w:cs="Palatino Linotype"/>
              <w:b/>
              <w:bCs/>
              <w:sz w:val="22"/>
              <w:szCs w:val="22"/>
            </w:rPr>
          </w:pPr>
        </w:p>
      </w:tc>
    </w:tr>
  </w:tbl>
  <w:p w14:paraId="30424B5A" w14:textId="79407965" w:rsidR="00162637" w:rsidRDefault="00162637" w:rsidP="007237EF">
    <w:pPr>
      <w:tabs>
        <w:tab w:val="left" w:pos="3075"/>
      </w:tabs>
      <w:rPr>
        <w:rFonts w:ascii="Cambria" w:eastAsia="Cambria" w:hAnsi="Cambria" w:cs="Cambri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4CF7C" w14:textId="77777777" w:rsidR="00162637" w:rsidRDefault="002A2F53">
    <w:pPr>
      <w:widowControl w:val="0"/>
      <w:pBdr>
        <w:top w:val="nil"/>
        <w:left w:val="nil"/>
        <w:bottom w:val="nil"/>
        <w:right w:val="nil"/>
        <w:between w:val="nil"/>
      </w:pBdr>
      <w:spacing w:line="276" w:lineRule="auto"/>
      <w:rPr>
        <w:rFonts w:ascii="Palatino Linotype" w:eastAsia="Palatino Linotype" w:hAnsi="Palatino Linotype" w:cs="Palatino Linotype"/>
        <w:sz w:val="16"/>
        <w:szCs w:val="16"/>
      </w:rPr>
    </w:pPr>
    <w:r>
      <w:rPr>
        <w:noProof/>
      </w:rPr>
      <w:drawing>
        <wp:anchor distT="0" distB="0" distL="0" distR="0" simplePos="0" relativeHeight="251659264" behindDoc="1" locked="0" layoutInCell="1" hidden="0" allowOverlap="1" wp14:anchorId="070A6598" wp14:editId="34E81D76">
          <wp:simplePos x="0" y="0"/>
          <wp:positionH relativeFrom="column">
            <wp:posOffset>-1080132</wp:posOffset>
          </wp:positionH>
          <wp:positionV relativeFrom="paragraph">
            <wp:posOffset>-369891</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162637" w14:paraId="0A5198BA" w14:textId="77777777">
      <w:tc>
        <w:tcPr>
          <w:tcW w:w="2489" w:type="dxa"/>
        </w:tcPr>
        <w:p w14:paraId="2AB87335" w14:textId="77777777" w:rsidR="00162637" w:rsidRDefault="002A2F5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012883B6" w14:textId="77777777" w:rsidR="00162637" w:rsidRDefault="002A2F5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07119/INFOEM/IP/RR/2025</w:t>
          </w:r>
        </w:p>
      </w:tc>
    </w:tr>
    <w:tr w:rsidR="00162637" w14:paraId="379508CB" w14:textId="77777777">
      <w:tc>
        <w:tcPr>
          <w:tcW w:w="2489" w:type="dxa"/>
        </w:tcPr>
        <w:p w14:paraId="775CCADB" w14:textId="77777777" w:rsidR="00162637" w:rsidRDefault="002A2F5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3DDF38DB" w14:textId="77777777" w:rsidR="00162637" w:rsidRDefault="00162637">
          <w:pPr>
            <w:ind w:right="175"/>
            <w:jc w:val="both"/>
            <w:rPr>
              <w:rFonts w:ascii="Palatino Linotype" w:eastAsia="Palatino Linotype" w:hAnsi="Palatino Linotype" w:cs="Palatino Linotype"/>
              <w:b/>
              <w:bCs/>
              <w:sz w:val="22"/>
              <w:szCs w:val="22"/>
            </w:rPr>
          </w:pPr>
        </w:p>
      </w:tc>
    </w:tr>
    <w:tr w:rsidR="00162637" w14:paraId="59468B44" w14:textId="77777777">
      <w:trPr>
        <w:trHeight w:val="228"/>
      </w:trPr>
      <w:tc>
        <w:tcPr>
          <w:tcW w:w="2489" w:type="dxa"/>
          <w:vAlign w:val="center"/>
        </w:tcPr>
        <w:p w14:paraId="6B7F286A" w14:textId="77777777" w:rsidR="00162637" w:rsidRDefault="002A2F5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83E4E17" w14:textId="77777777" w:rsidR="00162637" w:rsidRDefault="002A2F53">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162637" w14:paraId="59439888" w14:textId="77777777">
      <w:tc>
        <w:tcPr>
          <w:tcW w:w="2489" w:type="dxa"/>
          <w:vAlign w:val="center"/>
        </w:tcPr>
        <w:p w14:paraId="0259916A" w14:textId="77777777" w:rsidR="00162637" w:rsidRDefault="002A2F53">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3C5055AE" w14:textId="77777777" w:rsidR="00162637" w:rsidRDefault="002A2F5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p w14:paraId="50FE7F62" w14:textId="77777777" w:rsidR="007237EF" w:rsidRDefault="007237EF">
          <w:pPr>
            <w:ind w:right="175"/>
            <w:jc w:val="both"/>
            <w:rPr>
              <w:rFonts w:ascii="Palatino Linotype" w:eastAsia="Palatino Linotype" w:hAnsi="Palatino Linotype" w:cs="Palatino Linotype"/>
              <w:b/>
              <w:bCs/>
              <w:sz w:val="22"/>
              <w:szCs w:val="22"/>
            </w:rPr>
          </w:pPr>
        </w:p>
        <w:p w14:paraId="412C3D97" w14:textId="70F3B89E" w:rsidR="007237EF" w:rsidRDefault="007237EF">
          <w:pPr>
            <w:ind w:right="175"/>
            <w:jc w:val="both"/>
            <w:rPr>
              <w:rFonts w:ascii="Palatino Linotype" w:eastAsia="Palatino Linotype" w:hAnsi="Palatino Linotype" w:cs="Palatino Linotype"/>
              <w:b/>
              <w:bCs/>
              <w:sz w:val="22"/>
              <w:szCs w:val="22"/>
            </w:rPr>
          </w:pPr>
        </w:p>
      </w:tc>
    </w:tr>
  </w:tbl>
  <w:p w14:paraId="113F7F9D" w14:textId="77777777" w:rsidR="00162637" w:rsidRDefault="0016263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571BC8"/>
    <w:multiLevelType w:val="multilevel"/>
    <w:tmpl w:val="EEC8EF4C"/>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A2665FE"/>
    <w:multiLevelType w:val="multilevel"/>
    <w:tmpl w:val="003C438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77149A3"/>
    <w:multiLevelType w:val="multilevel"/>
    <w:tmpl w:val="56BA72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F723221"/>
    <w:multiLevelType w:val="multilevel"/>
    <w:tmpl w:val="C1CEB762"/>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637"/>
    <w:rsid w:val="00162637"/>
    <w:rsid w:val="002A2F53"/>
    <w:rsid w:val="002C0620"/>
    <w:rsid w:val="00373C23"/>
    <w:rsid w:val="00703CD0"/>
    <w:rsid w:val="007237EF"/>
    <w:rsid w:val="00A30765"/>
    <w:rsid w:val="00BA2F37"/>
    <w:rsid w:val="00E278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797893"/>
  <w15:docId w15:val="{1DDE4B0B-321F-452F-88BF-640C9EC81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TVxyWynNJvI4F/PYMwki4Ox4YQ==">CgMxLjAyCWguM3JkY3JqbjIOaC5kYWozajJ4bzZxNjYyCGguZ2pkZ3hzMgloLjNkeTZ2a20yCWguMzBqMHpsbDIJaC4yczhleW8xMghoLnR5amN3dDIJaC4yZXQ5MnAwMg5oLmlqdjk4cG50Y2Q1czIJaC4yNmluMXJnMg1oLmg3bnpiNzl3bHJhMg5oLnJ2cjFzb3pmeDgzazIOaC41OW5weHl4cG9tamQ4AHIhMXpvTEs4TV9BTzhTd3JwbzRvV3N2VllPekhFSWdvbkZi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14721</Words>
  <Characters>80968</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2026-02-20T19:19:00Z</cp:lastPrinted>
  <dcterms:created xsi:type="dcterms:W3CDTF">2026-04-06T20:00:00Z</dcterms:created>
  <dcterms:modified xsi:type="dcterms:W3CDTF">2026-04-06T20:00:00Z</dcterms:modified>
</cp:coreProperties>
</file>