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6426" w:rsidRPr="00E506E6" w:rsidRDefault="004679EF">
      <w:pPr>
        <w:spacing w:before="240" w:after="240" w:line="360" w:lineRule="auto"/>
        <w:jc w:val="both"/>
        <w:rPr>
          <w:rFonts w:ascii="Palatino Linotype" w:eastAsia="Palatino Linotype" w:hAnsi="Palatino Linotype" w:cs="Palatino Linotype"/>
          <w:b/>
          <w:bCs/>
          <w:sz w:val="22"/>
          <w:szCs w:val="22"/>
        </w:rPr>
      </w:pPr>
      <w:r w:rsidRPr="00E506E6">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E506E6">
        <w:rPr>
          <w:rFonts w:ascii="Palatino Linotype" w:eastAsia="Palatino Linotype" w:hAnsi="Palatino Linotype" w:cs="Palatino Linotype"/>
          <w:b/>
          <w:bCs/>
          <w:sz w:val="22"/>
          <w:szCs w:val="22"/>
        </w:rPr>
        <w:t>a cinco de marzo de dos mil veintiséis</w:t>
      </w:r>
      <w:r w:rsidRPr="00E506E6">
        <w:rPr>
          <w:rFonts w:ascii="Palatino Linotype" w:eastAsia="Palatino Linotype" w:hAnsi="Palatino Linotype" w:cs="Palatino Linotype"/>
          <w:sz w:val="22"/>
          <w:szCs w:val="22"/>
        </w:rPr>
        <w:t xml:space="preserve">. </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bookmarkStart w:id="0" w:name="_heading=h.4d34og8" w:colFirst="0" w:colLast="0"/>
      <w:bookmarkEnd w:id="0"/>
      <w:r w:rsidRPr="00E506E6">
        <w:rPr>
          <w:rFonts w:ascii="Palatino Linotype" w:eastAsia="Palatino Linotype" w:hAnsi="Palatino Linotype" w:cs="Palatino Linotype"/>
          <w:b/>
          <w:bCs/>
          <w:sz w:val="22"/>
          <w:szCs w:val="22"/>
        </w:rPr>
        <w:t>Visto</w:t>
      </w:r>
      <w:r w:rsidRPr="00E506E6">
        <w:rPr>
          <w:rFonts w:ascii="Palatino Linotype" w:eastAsia="Palatino Linotype" w:hAnsi="Palatino Linotype" w:cs="Palatino Linotype"/>
          <w:sz w:val="22"/>
          <w:szCs w:val="22"/>
        </w:rPr>
        <w:t xml:space="preserve"> el expediente formado con motivo del recurso de revisión </w:t>
      </w:r>
      <w:r w:rsidRPr="00E506E6">
        <w:rPr>
          <w:rFonts w:ascii="Palatino Linotype" w:eastAsia="Palatino Linotype" w:hAnsi="Palatino Linotype" w:cs="Palatino Linotype"/>
          <w:b/>
          <w:bCs/>
          <w:sz w:val="22"/>
          <w:szCs w:val="22"/>
        </w:rPr>
        <w:t>08359/INFOEM/IP/RR/2025</w:t>
      </w:r>
      <w:r w:rsidRPr="00E506E6">
        <w:rPr>
          <w:rFonts w:ascii="Palatino Linotype" w:eastAsia="Palatino Linotype" w:hAnsi="Palatino Linotype" w:cs="Palatino Linotype"/>
          <w:sz w:val="22"/>
          <w:szCs w:val="22"/>
        </w:rPr>
        <w:t>, interpuesto por</w:t>
      </w:r>
      <w:r w:rsidRPr="00E506E6">
        <w:t xml:space="preserve"> </w:t>
      </w:r>
      <w:r w:rsidR="00DA2E03">
        <w:rPr>
          <w:rFonts w:ascii="Palatino Linotype" w:eastAsia="Palatino Linotype" w:hAnsi="Palatino Linotype" w:cs="Palatino Linotype"/>
          <w:b/>
          <w:bCs/>
          <w:sz w:val="22"/>
          <w:szCs w:val="22"/>
        </w:rPr>
        <w:t>XXX XX</w:t>
      </w:r>
      <w:bookmarkStart w:id="1" w:name="_GoBack"/>
      <w:bookmarkEnd w:id="1"/>
      <w:r w:rsidRPr="00E506E6">
        <w:rPr>
          <w:rFonts w:ascii="Palatino Linotype" w:eastAsia="Palatino Linotype" w:hAnsi="Palatino Linotype" w:cs="Palatino Linotype"/>
          <w:b/>
          <w:bCs/>
          <w:sz w:val="22"/>
          <w:szCs w:val="22"/>
        </w:rPr>
        <w:t>,</w:t>
      </w:r>
      <w:r w:rsidRPr="00E506E6">
        <w:rPr>
          <w:rFonts w:ascii="Palatino Linotype" w:eastAsia="Palatino Linotype" w:hAnsi="Palatino Linotype" w:cs="Palatino Linotype"/>
          <w:sz w:val="22"/>
          <w:szCs w:val="22"/>
        </w:rPr>
        <w:t xml:space="preserve"> en lo sucesivo</w:t>
      </w:r>
      <w:r w:rsidRPr="00E506E6">
        <w:rPr>
          <w:rFonts w:ascii="Palatino Linotype" w:eastAsia="Palatino Linotype" w:hAnsi="Palatino Linotype" w:cs="Palatino Linotype"/>
          <w:b/>
          <w:bCs/>
          <w:sz w:val="22"/>
          <w:szCs w:val="22"/>
        </w:rPr>
        <w:t xml:space="preserve"> la parte</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b/>
          <w:bCs/>
          <w:sz w:val="22"/>
          <w:szCs w:val="22"/>
        </w:rPr>
        <w:t>Recurrente,</w:t>
      </w:r>
      <w:r w:rsidRPr="00E506E6">
        <w:rPr>
          <w:rFonts w:ascii="Palatino Linotype" w:eastAsia="Palatino Linotype" w:hAnsi="Palatino Linotype" w:cs="Palatino Linotype"/>
          <w:sz w:val="22"/>
          <w:szCs w:val="22"/>
        </w:rPr>
        <w:t xml:space="preserve"> en contra de la respuesta a su solicitud por parte del </w:t>
      </w:r>
      <w:r w:rsidRPr="00E506E6">
        <w:rPr>
          <w:rFonts w:ascii="Palatino Linotype" w:eastAsia="Palatino Linotype" w:hAnsi="Palatino Linotype" w:cs="Palatino Linotype"/>
          <w:b/>
          <w:bCs/>
          <w:sz w:val="22"/>
          <w:szCs w:val="22"/>
        </w:rPr>
        <w:t xml:space="preserve">Ayuntamiento de </w:t>
      </w:r>
      <w:proofErr w:type="spellStart"/>
      <w:r w:rsidRPr="00E506E6">
        <w:rPr>
          <w:rFonts w:ascii="Palatino Linotype" w:eastAsia="Palatino Linotype" w:hAnsi="Palatino Linotype" w:cs="Palatino Linotype"/>
          <w:b/>
          <w:bCs/>
          <w:sz w:val="22"/>
          <w:szCs w:val="22"/>
        </w:rPr>
        <w:t>Atlautla</w:t>
      </w:r>
      <w:proofErr w:type="spellEnd"/>
      <w:r w:rsidRPr="00E506E6">
        <w:rPr>
          <w:rFonts w:ascii="Palatino Linotype" w:eastAsia="Palatino Linotype" w:hAnsi="Palatino Linotype" w:cs="Palatino Linotype"/>
          <w:b/>
          <w:bCs/>
          <w:sz w:val="22"/>
          <w:szCs w:val="22"/>
        </w:rPr>
        <w:t xml:space="preserve">, </w:t>
      </w:r>
      <w:r w:rsidRPr="00E506E6">
        <w:rPr>
          <w:rFonts w:ascii="Palatino Linotype" w:eastAsia="Palatino Linotype" w:hAnsi="Palatino Linotype" w:cs="Palatino Linotype"/>
          <w:sz w:val="22"/>
          <w:szCs w:val="22"/>
        </w:rPr>
        <w:t xml:space="preserve">en lo sucesivo el </w:t>
      </w:r>
      <w:r w:rsidRPr="00E506E6">
        <w:rPr>
          <w:rFonts w:ascii="Palatino Linotype" w:eastAsia="Palatino Linotype" w:hAnsi="Palatino Linotype" w:cs="Palatino Linotype"/>
          <w:b/>
          <w:bCs/>
          <w:sz w:val="22"/>
          <w:szCs w:val="22"/>
        </w:rPr>
        <w:t xml:space="preserve">Sujeto Obligado, </w:t>
      </w:r>
      <w:r w:rsidRPr="00E506E6">
        <w:rPr>
          <w:rFonts w:ascii="Palatino Linotype" w:eastAsia="Palatino Linotype" w:hAnsi="Palatino Linotype" w:cs="Palatino Linotype"/>
          <w:sz w:val="22"/>
          <w:szCs w:val="22"/>
        </w:rPr>
        <w:t xml:space="preserve">se procede a dictar la presente resolución con base en los siguientes: </w:t>
      </w:r>
    </w:p>
    <w:p w:rsidR="00E06426" w:rsidRPr="00E506E6" w:rsidRDefault="004679EF">
      <w:pPr>
        <w:spacing w:before="240" w:after="240" w:line="360" w:lineRule="auto"/>
        <w:jc w:val="center"/>
        <w:rPr>
          <w:rFonts w:ascii="Palatino Linotype" w:eastAsia="Palatino Linotype" w:hAnsi="Palatino Linotype" w:cs="Palatino Linotype"/>
          <w:b/>
          <w:bCs/>
          <w:sz w:val="22"/>
          <w:szCs w:val="22"/>
        </w:rPr>
      </w:pPr>
      <w:r w:rsidRPr="00E506E6">
        <w:rPr>
          <w:rFonts w:ascii="Palatino Linotype" w:eastAsia="Palatino Linotype" w:hAnsi="Palatino Linotype" w:cs="Palatino Linotype"/>
          <w:b/>
          <w:bCs/>
          <w:sz w:val="22"/>
          <w:szCs w:val="22"/>
        </w:rPr>
        <w:t>I. A N T E C E D E N T E S</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sz w:val="22"/>
          <w:szCs w:val="22"/>
        </w:rPr>
        <w:t>1. Solicitud de acceso a la información.</w:t>
      </w:r>
      <w:r w:rsidRPr="00E506E6">
        <w:rPr>
          <w:rFonts w:ascii="Palatino Linotype" w:eastAsia="Palatino Linotype" w:hAnsi="Palatino Linotype" w:cs="Palatino Linotype"/>
          <w:sz w:val="22"/>
          <w:szCs w:val="22"/>
        </w:rPr>
        <w:t xml:space="preserve"> El </w:t>
      </w:r>
      <w:r w:rsidRPr="00E506E6">
        <w:rPr>
          <w:rFonts w:ascii="Palatino Linotype" w:eastAsia="Palatino Linotype" w:hAnsi="Palatino Linotype" w:cs="Palatino Linotype"/>
          <w:b/>
          <w:bCs/>
          <w:sz w:val="22"/>
          <w:szCs w:val="22"/>
        </w:rPr>
        <w:t>primero de julio de dos mil veinticinco,</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b/>
          <w:bCs/>
          <w:sz w:val="22"/>
          <w:szCs w:val="22"/>
        </w:rPr>
        <w:t>la parte</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b/>
          <w:bCs/>
          <w:sz w:val="22"/>
          <w:szCs w:val="22"/>
        </w:rPr>
        <w:t xml:space="preserve">Recurrente </w:t>
      </w:r>
      <w:r w:rsidRPr="00E506E6">
        <w:rPr>
          <w:rFonts w:ascii="Palatino Linotype" w:eastAsia="Palatino Linotype" w:hAnsi="Palatino Linotype" w:cs="Palatino Linotype"/>
          <w:sz w:val="22"/>
          <w:szCs w:val="22"/>
        </w:rPr>
        <w:t xml:space="preserve">a través del Sistema de Acceso a la Información Mexiquense, en lo subsecuente el SAIMEX, formuló ante el </w:t>
      </w:r>
      <w:r w:rsidRPr="00E506E6">
        <w:rPr>
          <w:rFonts w:ascii="Palatino Linotype" w:eastAsia="Palatino Linotype" w:hAnsi="Palatino Linotype" w:cs="Palatino Linotype"/>
          <w:b/>
          <w:bCs/>
          <w:sz w:val="22"/>
          <w:szCs w:val="22"/>
        </w:rPr>
        <w:t>Sujeto Obligado</w:t>
      </w:r>
      <w:r w:rsidRPr="00E506E6">
        <w:rPr>
          <w:rFonts w:ascii="Palatino Linotype" w:eastAsia="Palatino Linotype" w:hAnsi="Palatino Linotype" w:cs="Palatino Linotype"/>
          <w:sz w:val="22"/>
          <w:szCs w:val="22"/>
        </w:rPr>
        <w:t>, la solicitud de acceso a la información pública a la que se le asignó el número</w:t>
      </w:r>
      <w:r w:rsidRPr="00E506E6">
        <w:t xml:space="preserve"> </w:t>
      </w:r>
      <w:r w:rsidRPr="00E506E6">
        <w:rPr>
          <w:rFonts w:ascii="Palatino Linotype" w:eastAsia="Palatino Linotype" w:hAnsi="Palatino Linotype" w:cs="Palatino Linotype"/>
          <w:b/>
          <w:bCs/>
          <w:sz w:val="22"/>
          <w:szCs w:val="22"/>
        </w:rPr>
        <w:t>00077/ATLAUTLA/IP/2025;</w:t>
      </w:r>
      <w:r w:rsidRPr="00E506E6">
        <w:rPr>
          <w:rFonts w:ascii="Palatino Linotype" w:eastAsia="Palatino Linotype" w:hAnsi="Palatino Linotype" w:cs="Palatino Linotype"/>
          <w:sz w:val="22"/>
          <w:szCs w:val="22"/>
        </w:rPr>
        <w:t xml:space="preserve"> mediante la cual requirió la información siguiente: </w:t>
      </w:r>
    </w:p>
    <w:p w:rsidR="00E06426" w:rsidRPr="00E506E6" w:rsidRDefault="004679EF">
      <w:pPr>
        <w:spacing w:before="240" w:after="240"/>
        <w:ind w:left="567" w:right="474"/>
        <w:jc w:val="both"/>
        <w:rPr>
          <w:rFonts w:ascii="Palatino Linotype" w:eastAsia="Palatino Linotype" w:hAnsi="Palatino Linotype" w:cs="Palatino Linotype"/>
          <w:i/>
          <w:iCs/>
          <w:sz w:val="22"/>
          <w:szCs w:val="22"/>
        </w:rPr>
      </w:pPr>
      <w:bookmarkStart w:id="2" w:name="_heading=h.gjdgxs" w:colFirst="0" w:colLast="0"/>
      <w:bookmarkEnd w:id="2"/>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b/>
          <w:bCs/>
          <w:i/>
          <w:iCs/>
          <w:sz w:val="22"/>
          <w:szCs w:val="22"/>
        </w:rPr>
        <w:t xml:space="preserve">Evidencia documental (facturas, recibos, notas, comprobantes, autorizaciones, oficios de comisión, informes etc.) sobre los gastos de representación y viáticos de comisiones, así como el objeto e informe de las comisiones correspondientes de la totalidad de actividades realizadas </w:t>
      </w:r>
      <w:r w:rsidRPr="00E506E6">
        <w:rPr>
          <w:rFonts w:ascii="Palatino Linotype" w:eastAsia="Palatino Linotype" w:hAnsi="Palatino Linotype" w:cs="Palatino Linotype"/>
          <w:i/>
          <w:iCs/>
          <w:sz w:val="22"/>
          <w:szCs w:val="22"/>
        </w:rPr>
        <w:t xml:space="preserve">por la Dirección de Gobierno y Técnica de Gabinete, la Tesorería Municipal, la Dirección de Obras Públicas, la Dirección de Desarrollo Económico, la Dirección de Desarrollo Urbano, la Dirección de Ecología, la Dirección de Turismo, la Dirección de Desarrollo Social y Bienestar, la Dirección de las Mujeres, la Dirección del Campo, la Dirección de Servicios Públicos, la Dirección de Seguridad Pública Municipal, la Unidad de Información, Programación, Planeación Y Evaluación, la Unidad de Transparencia y Acceso a la Información, la Dirección de Cultura, la Dirección de Educación, la Secretaría Técnica del Consejo Municipal de Seguridad Pública Municipal, la Dirección Jurídica Municipal, la Dirección de Gobierno Digital.” (Sic) </w:t>
      </w:r>
    </w:p>
    <w:p w:rsidR="00E06426" w:rsidRPr="00E506E6" w:rsidRDefault="004679EF">
      <w:pPr>
        <w:spacing w:before="240" w:after="240"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sz w:val="22"/>
          <w:szCs w:val="22"/>
        </w:rPr>
        <w:lastRenderedPageBreak/>
        <w:t>Modalidad de Entrega:</w:t>
      </w:r>
      <w:r w:rsidRPr="00E506E6">
        <w:rPr>
          <w:rFonts w:ascii="Palatino Linotype" w:eastAsia="Palatino Linotype" w:hAnsi="Palatino Linotype" w:cs="Palatino Linotype"/>
          <w:sz w:val="22"/>
          <w:szCs w:val="22"/>
        </w:rPr>
        <w:t xml:space="preserve"> a través del Sistema de Acceso a la Información Mexiquense (SAIMEX).</w:t>
      </w:r>
    </w:p>
    <w:p w:rsidR="00E06426" w:rsidRPr="00E506E6" w:rsidRDefault="004679EF">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b/>
          <w:bCs/>
          <w:sz w:val="22"/>
          <w:szCs w:val="22"/>
        </w:rPr>
      </w:pPr>
      <w:bookmarkStart w:id="3" w:name="_heading=h.3dy6vkm" w:colFirst="0" w:colLast="0"/>
      <w:bookmarkEnd w:id="3"/>
      <w:r w:rsidRPr="00E506E6">
        <w:rPr>
          <w:rFonts w:ascii="Palatino Linotype" w:eastAsia="Palatino Linotype" w:hAnsi="Palatino Linotype" w:cs="Palatino Linotype"/>
          <w:b/>
          <w:bCs/>
          <w:sz w:val="22"/>
          <w:szCs w:val="22"/>
        </w:rPr>
        <w:t>2.</w:t>
      </w:r>
      <w:r w:rsidRPr="00E506E6">
        <w:rPr>
          <w:rFonts w:ascii="Palatino Linotype" w:eastAsia="Palatino Linotype" w:hAnsi="Palatino Linotype" w:cs="Palatino Linotype"/>
          <w:b/>
          <w:bCs/>
        </w:rPr>
        <w:t xml:space="preserve"> </w:t>
      </w:r>
      <w:r w:rsidRPr="00E506E6">
        <w:rPr>
          <w:rFonts w:ascii="Palatino Linotype" w:eastAsia="Palatino Linotype" w:hAnsi="Palatino Linotype" w:cs="Palatino Linotype"/>
          <w:b/>
          <w:bCs/>
          <w:sz w:val="22"/>
          <w:szCs w:val="22"/>
        </w:rPr>
        <w:t xml:space="preserve">Respuesta. </w:t>
      </w:r>
      <w:r w:rsidRPr="00E506E6">
        <w:rPr>
          <w:rFonts w:ascii="Palatino Linotype" w:eastAsia="Palatino Linotype" w:hAnsi="Palatino Linotype" w:cs="Palatino Linotype"/>
          <w:sz w:val="22"/>
          <w:szCs w:val="22"/>
        </w:rPr>
        <w:t xml:space="preserve">El </w:t>
      </w:r>
      <w:r w:rsidRPr="00E506E6">
        <w:rPr>
          <w:rFonts w:ascii="Palatino Linotype" w:eastAsia="Palatino Linotype" w:hAnsi="Palatino Linotype" w:cs="Palatino Linotype"/>
          <w:b/>
          <w:bCs/>
          <w:sz w:val="22"/>
          <w:szCs w:val="22"/>
        </w:rPr>
        <w:t>ocho de julio de dos mil veinticinco</w:t>
      </w:r>
      <w:r w:rsidRPr="00E506E6">
        <w:rPr>
          <w:rFonts w:ascii="Palatino Linotype" w:eastAsia="Palatino Linotype" w:hAnsi="Palatino Linotype" w:cs="Palatino Linotype"/>
          <w:sz w:val="22"/>
          <w:szCs w:val="22"/>
        </w:rPr>
        <w:t xml:space="preserve">, el </w:t>
      </w:r>
      <w:r w:rsidRPr="00E506E6">
        <w:rPr>
          <w:rFonts w:ascii="Palatino Linotype" w:eastAsia="Palatino Linotype" w:hAnsi="Palatino Linotype" w:cs="Palatino Linotype"/>
          <w:b/>
          <w:bCs/>
          <w:sz w:val="22"/>
          <w:szCs w:val="22"/>
        </w:rPr>
        <w:t xml:space="preserve">Sujeto Obligado </w:t>
      </w:r>
      <w:r w:rsidRPr="00E506E6">
        <w:rPr>
          <w:rFonts w:ascii="Palatino Linotype" w:eastAsia="Palatino Linotype" w:hAnsi="Palatino Linotype" w:cs="Palatino Linotype"/>
          <w:sz w:val="22"/>
          <w:szCs w:val="22"/>
        </w:rPr>
        <w:t>envió su respuesta a la solicitud de acceso a la información a través de SAIMEX, sustancialmente en los términos siguientes:</w:t>
      </w:r>
    </w:p>
    <w:p w:rsidR="00E06426" w:rsidRPr="00E506E6" w:rsidRDefault="004679EF">
      <w:pPr>
        <w:spacing w:before="240" w:after="240"/>
        <w:ind w:left="567" w:right="90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 xml:space="preserve">“En atención a su solicitud de información bajo el Número de Folio de la Solicitud 00077/ATLAUTLA/IP/2025 recibida por el Sistema de Acceso a la Información Mexiquense (SAIMEX), donde Solicita "(Evidencia documental (facturas, recibos, notas, comprobantes, autorizaciones, oficios de comisión, informes etc.) sobre los gastos de representación y viáticos de comisiones, así como el objeto e informe de las comisiones correspondientes de la totalidad de actividades realizadas por la Dirección de Gobierno y Técnica de Gabinete, la Tesorería Municipal, de la Dirección de Obras Públicas, la Dirección de desarrollo económico, la Dirección de desarrollo urbano, Dirección de Ecología, Dirección de Turismo, Dirección de Desarrollo Social y Bienestar, la Dirección de las Mujeres, la Dirección del Campo, la dirección de Servicios Públicos, la Dirección de Seguridad </w:t>
      </w:r>
      <w:proofErr w:type="spellStart"/>
      <w:r w:rsidRPr="00E506E6">
        <w:rPr>
          <w:rFonts w:ascii="Palatino Linotype" w:eastAsia="Palatino Linotype" w:hAnsi="Palatino Linotype" w:cs="Palatino Linotype"/>
          <w:i/>
          <w:iCs/>
          <w:sz w:val="22"/>
          <w:szCs w:val="22"/>
        </w:rPr>
        <w:t>Publica</w:t>
      </w:r>
      <w:proofErr w:type="spellEnd"/>
      <w:r w:rsidRPr="00E506E6">
        <w:rPr>
          <w:rFonts w:ascii="Palatino Linotype" w:eastAsia="Palatino Linotype" w:hAnsi="Palatino Linotype" w:cs="Palatino Linotype"/>
          <w:i/>
          <w:iCs/>
          <w:sz w:val="22"/>
          <w:szCs w:val="22"/>
        </w:rPr>
        <w:t xml:space="preserve"> Municipal, la Unidad de Información, programación, Planeación y Evaluación, la unidad de Transparencia y acceso a la Información, la dirección de cultura, la dirección de Educación, la Secretaria Técnica del consejo Municipal de Seguridad Pública Municipal, la Dirección de Gobierno Digital...)"</w:t>
      </w:r>
      <w:r w:rsidRPr="00E506E6">
        <w:rPr>
          <w:rFonts w:ascii="Palatino Linotype" w:eastAsia="Palatino Linotype" w:hAnsi="Palatino Linotype" w:cs="Palatino Linotype"/>
          <w:b/>
          <w:bCs/>
          <w:i/>
          <w:iCs/>
          <w:sz w:val="22"/>
          <w:szCs w:val="22"/>
        </w:rPr>
        <w:t xml:space="preserve"> En relación a su solicitud se anexa en formato digital la relación solicitada referente a cada una de las áreas del Ayuntamiento de </w:t>
      </w:r>
      <w:proofErr w:type="spellStart"/>
      <w:r w:rsidRPr="00E506E6">
        <w:rPr>
          <w:rFonts w:ascii="Palatino Linotype" w:eastAsia="Palatino Linotype" w:hAnsi="Palatino Linotype" w:cs="Palatino Linotype"/>
          <w:b/>
          <w:bCs/>
          <w:i/>
          <w:iCs/>
          <w:sz w:val="22"/>
          <w:szCs w:val="22"/>
        </w:rPr>
        <w:t>Atlautla</w:t>
      </w:r>
      <w:proofErr w:type="spellEnd"/>
      <w:r w:rsidRPr="00E506E6">
        <w:rPr>
          <w:rFonts w:ascii="Palatino Linotype" w:eastAsia="Palatino Linotype" w:hAnsi="Palatino Linotype" w:cs="Palatino Linotype"/>
          <w:b/>
          <w:bCs/>
          <w:i/>
          <w:iCs/>
          <w:sz w:val="22"/>
          <w:szCs w:val="22"/>
        </w:rPr>
        <w:t xml:space="preserve"> 2025-2027</w:t>
      </w:r>
      <w:r w:rsidRPr="00E506E6">
        <w:rPr>
          <w:rFonts w:ascii="Palatino Linotype" w:eastAsia="Palatino Linotype" w:hAnsi="Palatino Linotype" w:cs="Palatino Linotype"/>
          <w:i/>
          <w:iCs/>
          <w:sz w:val="22"/>
          <w:szCs w:val="22"/>
        </w:rPr>
        <w:t>.” (Sic)</w:t>
      </w:r>
    </w:p>
    <w:p w:rsidR="00E06426" w:rsidRPr="00E506E6" w:rsidRDefault="004679EF">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Adjunto a la respuesta, el </w:t>
      </w:r>
      <w:r w:rsidRPr="00E506E6">
        <w:rPr>
          <w:rFonts w:ascii="Palatino Linotype" w:eastAsia="Palatino Linotype" w:hAnsi="Palatino Linotype" w:cs="Palatino Linotype"/>
          <w:b/>
          <w:bCs/>
          <w:sz w:val="22"/>
          <w:szCs w:val="22"/>
        </w:rPr>
        <w:t xml:space="preserve">Sujeto Obligado </w:t>
      </w:r>
      <w:r w:rsidRPr="00E506E6">
        <w:rPr>
          <w:rFonts w:ascii="Palatino Linotype" w:eastAsia="Palatino Linotype" w:hAnsi="Palatino Linotype" w:cs="Palatino Linotype"/>
          <w:sz w:val="22"/>
          <w:szCs w:val="22"/>
        </w:rPr>
        <w:t>hizo entrega de la siguiente información:</w:t>
      </w:r>
    </w:p>
    <w:p w:rsidR="00E06426" w:rsidRPr="00E506E6" w:rsidRDefault="00E06426">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rsidR="00E06426" w:rsidRPr="00E506E6" w:rsidRDefault="004679EF">
      <w:pPr>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Oficio del 07 de julio de 2025, a través del cual el Tesorero Municipal refiere que anexa en formato digital la relación solicitada referente a cada una de las áreas del Ayuntamiento de </w:t>
      </w:r>
      <w:proofErr w:type="spellStart"/>
      <w:r w:rsidRPr="00E506E6">
        <w:rPr>
          <w:rFonts w:ascii="Palatino Linotype" w:eastAsia="Palatino Linotype" w:hAnsi="Palatino Linotype" w:cs="Palatino Linotype"/>
          <w:sz w:val="22"/>
          <w:szCs w:val="22"/>
        </w:rPr>
        <w:t>Atlautla</w:t>
      </w:r>
      <w:proofErr w:type="spellEnd"/>
      <w:r w:rsidRPr="00E506E6">
        <w:rPr>
          <w:rFonts w:ascii="Palatino Linotype" w:eastAsia="Palatino Linotype" w:hAnsi="Palatino Linotype" w:cs="Palatino Linotype"/>
          <w:sz w:val="22"/>
          <w:szCs w:val="22"/>
        </w:rPr>
        <w:t xml:space="preserve"> 2025-2027.</w:t>
      </w:r>
    </w:p>
    <w:p w:rsidR="00E06426" w:rsidRPr="00E506E6" w:rsidRDefault="004679EF">
      <w:pPr>
        <w:numPr>
          <w:ilvl w:val="0"/>
          <w:numId w:val="2"/>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Relación de viáticos por diversos montos y actividades realizadas por diversas áreas del Ayuntamiento de </w:t>
      </w:r>
      <w:proofErr w:type="spellStart"/>
      <w:r w:rsidRPr="00E506E6">
        <w:rPr>
          <w:rFonts w:ascii="Palatino Linotype" w:eastAsia="Palatino Linotype" w:hAnsi="Palatino Linotype" w:cs="Palatino Linotype"/>
          <w:sz w:val="22"/>
          <w:szCs w:val="22"/>
        </w:rPr>
        <w:t>Atlautla</w:t>
      </w:r>
      <w:proofErr w:type="spellEnd"/>
      <w:r w:rsidRPr="00E506E6">
        <w:rPr>
          <w:rFonts w:ascii="Palatino Linotype" w:eastAsia="Palatino Linotype" w:hAnsi="Palatino Linotype" w:cs="Palatino Linotype"/>
          <w:sz w:val="22"/>
          <w:szCs w:val="22"/>
        </w:rPr>
        <w:t>. Se inserta a manera de referencia la siguiente digitalización:</w:t>
      </w:r>
    </w:p>
    <w:p w:rsidR="00E06426" w:rsidRPr="00E506E6" w:rsidRDefault="00E0642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rsidR="00E06426" w:rsidRPr="00E506E6" w:rsidRDefault="004679EF">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noProof/>
          <w:sz w:val="22"/>
          <w:szCs w:val="22"/>
        </w:rPr>
        <w:lastRenderedPageBreak/>
        <w:drawing>
          <wp:inline distT="0" distB="0" distL="0" distR="0">
            <wp:extent cx="5381625" cy="2127885"/>
            <wp:effectExtent l="0" t="0" r="0" b="0"/>
            <wp:docPr id="4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381625" cy="2127885"/>
                    </a:xfrm>
                    <a:prstGeom prst="rect">
                      <a:avLst/>
                    </a:prstGeom>
                    <a:ln/>
                  </pic:spPr>
                </pic:pic>
              </a:graphicData>
            </a:graphic>
          </wp:inline>
        </w:drawing>
      </w:r>
    </w:p>
    <w:p w:rsidR="00E06426" w:rsidRPr="00E506E6" w:rsidRDefault="00E0642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rsidR="00E06426" w:rsidRPr="00E506E6" w:rsidRDefault="00E06426">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rsidR="00E06426" w:rsidRPr="00E506E6" w:rsidRDefault="004679EF">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r w:rsidRPr="00E506E6">
        <w:rPr>
          <w:rFonts w:ascii="Palatino Linotype" w:eastAsia="Palatino Linotype" w:hAnsi="Palatino Linotype" w:cs="Palatino Linotype"/>
          <w:b/>
          <w:bCs/>
          <w:sz w:val="22"/>
          <w:szCs w:val="22"/>
        </w:rPr>
        <w:t xml:space="preserve">3. Interposición del recurso de revisión. </w:t>
      </w:r>
      <w:r w:rsidRPr="00E506E6">
        <w:rPr>
          <w:rFonts w:ascii="Palatino Linotype" w:eastAsia="Palatino Linotype" w:hAnsi="Palatino Linotype" w:cs="Palatino Linotype"/>
          <w:sz w:val="22"/>
          <w:szCs w:val="22"/>
        </w:rPr>
        <w:t xml:space="preserve">Inconforme con los términos de la respuesta emitida por parte del </w:t>
      </w:r>
      <w:r w:rsidRPr="00E506E6">
        <w:rPr>
          <w:rFonts w:ascii="Palatino Linotype" w:eastAsia="Palatino Linotype" w:hAnsi="Palatino Linotype" w:cs="Palatino Linotype"/>
          <w:b/>
          <w:bCs/>
          <w:sz w:val="22"/>
          <w:szCs w:val="22"/>
        </w:rPr>
        <w:t>Sujeto Obligado</w:t>
      </w:r>
      <w:r w:rsidRPr="00E506E6">
        <w:rPr>
          <w:rFonts w:ascii="Palatino Linotype" w:eastAsia="Palatino Linotype" w:hAnsi="Palatino Linotype" w:cs="Palatino Linotype"/>
          <w:sz w:val="22"/>
          <w:szCs w:val="22"/>
        </w:rPr>
        <w:t>, el</w:t>
      </w:r>
      <w:r w:rsidRPr="00E506E6">
        <w:rPr>
          <w:rFonts w:ascii="Palatino Linotype" w:eastAsia="Palatino Linotype" w:hAnsi="Palatino Linotype" w:cs="Palatino Linotype"/>
          <w:b/>
          <w:bCs/>
          <w:sz w:val="22"/>
          <w:szCs w:val="22"/>
        </w:rPr>
        <w:t xml:space="preserve"> nueve de julio de dos mil veinticinco,</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b/>
          <w:bCs/>
          <w:sz w:val="22"/>
          <w:szCs w:val="22"/>
        </w:rPr>
        <w:t>la parte</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b/>
          <w:bCs/>
          <w:sz w:val="22"/>
          <w:szCs w:val="22"/>
        </w:rPr>
        <w:t>Recurrente</w:t>
      </w:r>
      <w:r w:rsidRPr="00E506E6">
        <w:rPr>
          <w:rFonts w:ascii="Palatino Linotype" w:eastAsia="Palatino Linotype" w:hAnsi="Palatino Linotype" w:cs="Palatino Linotype"/>
          <w:sz w:val="22"/>
          <w:szCs w:val="22"/>
        </w:rPr>
        <w:t xml:space="preserve"> interpuso el recurso de revisión a través de </w:t>
      </w:r>
      <w:r w:rsidRPr="00E506E6">
        <w:rPr>
          <w:rFonts w:ascii="Palatino Linotype" w:eastAsia="Palatino Linotype" w:hAnsi="Palatino Linotype" w:cs="Palatino Linotype"/>
          <w:b/>
          <w:bCs/>
          <w:sz w:val="22"/>
          <w:szCs w:val="22"/>
        </w:rPr>
        <w:t xml:space="preserve">SAIMEX, </w:t>
      </w:r>
      <w:r w:rsidRPr="00E506E6">
        <w:rPr>
          <w:rFonts w:ascii="Palatino Linotype" w:eastAsia="Palatino Linotype" w:hAnsi="Palatino Linotype" w:cs="Palatino Linotype"/>
          <w:sz w:val="22"/>
          <w:szCs w:val="22"/>
        </w:rPr>
        <w:t>en donde se manifestó de la siguiente manera:</w:t>
      </w:r>
    </w:p>
    <w:p w:rsidR="00E06426" w:rsidRPr="00E506E6" w:rsidRDefault="004679EF">
      <w:pPr>
        <w:tabs>
          <w:tab w:val="left" w:pos="2745"/>
        </w:tabs>
        <w:spacing w:before="240" w:after="240" w:line="276" w:lineRule="auto"/>
        <w:ind w:left="567" w:right="900"/>
        <w:jc w:val="both"/>
        <w:rPr>
          <w:rFonts w:ascii="Palatino Linotype" w:eastAsia="Palatino Linotype" w:hAnsi="Palatino Linotype" w:cs="Palatino Linotype"/>
          <w:b/>
          <w:bCs/>
          <w:sz w:val="22"/>
          <w:szCs w:val="22"/>
        </w:rPr>
      </w:pPr>
      <w:r w:rsidRPr="00E506E6">
        <w:rPr>
          <w:rFonts w:ascii="Palatino Linotype" w:eastAsia="Palatino Linotype" w:hAnsi="Palatino Linotype" w:cs="Palatino Linotype"/>
          <w:b/>
          <w:bCs/>
          <w:sz w:val="22"/>
          <w:szCs w:val="22"/>
        </w:rPr>
        <w:t>a) Acto impugnado: “</w:t>
      </w:r>
      <w:r w:rsidRPr="00E506E6">
        <w:rPr>
          <w:rFonts w:ascii="Palatino Linotype" w:eastAsia="Palatino Linotype" w:hAnsi="Palatino Linotype" w:cs="Palatino Linotype"/>
          <w:i/>
          <w:iCs/>
          <w:sz w:val="22"/>
          <w:szCs w:val="22"/>
        </w:rPr>
        <w:t>Negativa de información.” (Sic)</w:t>
      </w:r>
    </w:p>
    <w:p w:rsidR="00E06426" w:rsidRPr="00E506E6" w:rsidRDefault="004679EF">
      <w:pPr>
        <w:spacing w:line="276" w:lineRule="auto"/>
        <w:ind w:left="567" w:right="900"/>
        <w:jc w:val="both"/>
        <w:rPr>
          <w:rFonts w:ascii="Palatino Linotype" w:eastAsia="Palatino Linotype" w:hAnsi="Palatino Linotype" w:cs="Palatino Linotype"/>
          <w:i/>
          <w:iCs/>
          <w:sz w:val="22"/>
          <w:szCs w:val="22"/>
        </w:rPr>
      </w:pPr>
      <w:bookmarkStart w:id="4" w:name="_heading=h.30j0zll" w:colFirst="0" w:colLast="0"/>
      <w:bookmarkEnd w:id="4"/>
      <w:r w:rsidRPr="00E506E6">
        <w:rPr>
          <w:rFonts w:ascii="Palatino Linotype" w:eastAsia="Palatino Linotype" w:hAnsi="Palatino Linotype" w:cs="Palatino Linotype"/>
          <w:b/>
          <w:bCs/>
          <w:sz w:val="22"/>
          <w:szCs w:val="22"/>
        </w:rPr>
        <w:t>b) Razones o motivos de inconformidad</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i/>
          <w:iCs/>
          <w:sz w:val="22"/>
          <w:szCs w:val="22"/>
        </w:rPr>
        <w:t>“No se hace entrega de la información solicitada: Evidencia documental (facturas, recibos, notas, comprobantes, autorizaciones, oficios de comisión, informes etc.) sobre los gastos de representación y viáticos de comisiones, así como el objeto e informe de las comisiones correspondientes de la totalidad de actividades realizadas por la Dirección de Gobierno y Técnica de Gabinete, la Tesorería Municipal, la Dirección de Obras Públicas, la Dirección de Desarrollo Económico, la Dirección de Desarrollo Urbano, la Dirección de Ecología, la Dirección de Turismo, la Dirección de Desarrollo Social y Bienestar, la Dirección de las Mujeres, la Dirección del Campo, la Dirección de Servicios Públicos, la Dirección de Seguridad Pública Municipal, la Unidad de Información, Programación, Planeación Y Evaluación, la Unidad de Transparencia y Acceso a la Información, la Dirección de Cultura, la Dirección de Educación, la Secretaría Técnica del Consejo Municipal de Seguridad Pública Municipal, la Dirección Jurídica Municipal, la Dirección de Gobierno Digital.” (Sic)</w:t>
      </w:r>
    </w:p>
    <w:p w:rsidR="00E06426" w:rsidRPr="00E506E6" w:rsidRDefault="00E06426">
      <w:pPr>
        <w:spacing w:line="276" w:lineRule="auto"/>
        <w:ind w:left="567" w:right="900"/>
        <w:jc w:val="both"/>
        <w:rPr>
          <w:rFonts w:ascii="Palatino Linotype" w:eastAsia="Palatino Linotype" w:hAnsi="Palatino Linotype" w:cs="Palatino Linotype"/>
          <w:i/>
          <w:iCs/>
          <w:sz w:val="22"/>
          <w:szCs w:val="22"/>
        </w:rPr>
      </w:pPr>
    </w:p>
    <w:p w:rsidR="00E06426" w:rsidRPr="00E506E6" w:rsidRDefault="00E06426">
      <w:pPr>
        <w:spacing w:line="276" w:lineRule="auto"/>
        <w:ind w:right="900"/>
        <w:jc w:val="both"/>
        <w:rPr>
          <w:rFonts w:ascii="Palatino Linotype" w:eastAsia="Palatino Linotype" w:hAnsi="Palatino Linotype" w:cs="Palatino Linotype"/>
          <w:i/>
          <w:iCs/>
          <w:sz w:val="22"/>
          <w:szCs w:val="22"/>
        </w:rPr>
      </w:pPr>
    </w:p>
    <w:p w:rsidR="00E06426" w:rsidRPr="00E506E6" w:rsidRDefault="004679EF">
      <w:pPr>
        <w:spacing w:line="360" w:lineRule="auto"/>
        <w:ind w:right="51"/>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sz w:val="22"/>
          <w:szCs w:val="22"/>
        </w:rPr>
        <w:t xml:space="preserve">4. Turno. </w:t>
      </w:r>
      <w:r w:rsidRPr="00E506E6">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a la Comisionada </w:t>
      </w:r>
      <w:r w:rsidRPr="00E506E6">
        <w:rPr>
          <w:rFonts w:ascii="Palatino Linotype" w:eastAsia="Palatino Linotype" w:hAnsi="Palatino Linotype" w:cs="Palatino Linotype"/>
          <w:b/>
          <w:bCs/>
          <w:sz w:val="22"/>
          <w:szCs w:val="22"/>
        </w:rPr>
        <w:t xml:space="preserve">Guadalupe Ramírez Peña, </w:t>
      </w:r>
      <w:r w:rsidRPr="00E506E6">
        <w:rPr>
          <w:rFonts w:ascii="Palatino Linotype" w:eastAsia="Palatino Linotype" w:hAnsi="Palatino Linotype" w:cs="Palatino Linotype"/>
          <w:sz w:val="22"/>
          <w:szCs w:val="22"/>
        </w:rPr>
        <w:t xml:space="preserve">a efecto de que analizara sobre su admisión o su </w:t>
      </w:r>
      <w:proofErr w:type="spellStart"/>
      <w:r w:rsidRPr="00E506E6">
        <w:rPr>
          <w:rFonts w:ascii="Palatino Linotype" w:eastAsia="Palatino Linotype" w:hAnsi="Palatino Linotype" w:cs="Palatino Linotype"/>
          <w:sz w:val="22"/>
          <w:szCs w:val="22"/>
        </w:rPr>
        <w:t>desechamiento</w:t>
      </w:r>
      <w:proofErr w:type="spellEnd"/>
      <w:r w:rsidRPr="00E506E6">
        <w:rPr>
          <w:rFonts w:ascii="Palatino Linotype" w:eastAsia="Palatino Linotype" w:hAnsi="Palatino Linotype" w:cs="Palatino Linotype"/>
          <w:sz w:val="22"/>
          <w:szCs w:val="22"/>
        </w:rPr>
        <w:t>.</w:t>
      </w:r>
    </w:p>
    <w:p w:rsidR="00E06426" w:rsidRPr="00E506E6" w:rsidRDefault="00E06426">
      <w:pPr>
        <w:spacing w:line="360" w:lineRule="auto"/>
        <w:ind w:right="51"/>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sz w:val="22"/>
          <w:szCs w:val="22"/>
        </w:rPr>
        <w:t>5. Admisión del Recurso de revisión.</w:t>
      </w:r>
      <w:r w:rsidRPr="00E506E6">
        <w:rPr>
          <w:rFonts w:ascii="Palatino Linotype" w:eastAsia="Palatino Linotype" w:hAnsi="Palatino Linotype" w:cs="Palatino Linotype"/>
          <w:sz w:val="22"/>
          <w:szCs w:val="22"/>
        </w:rPr>
        <w:t xml:space="preserve"> El </w:t>
      </w:r>
      <w:r w:rsidRPr="00E506E6">
        <w:rPr>
          <w:rFonts w:ascii="Palatino Linotype" w:eastAsia="Palatino Linotype" w:hAnsi="Palatino Linotype" w:cs="Palatino Linotype"/>
          <w:b/>
          <w:bCs/>
          <w:sz w:val="22"/>
          <w:szCs w:val="22"/>
        </w:rPr>
        <w:t xml:space="preserve">catorce de julio de dos mil veinticinco, </w:t>
      </w:r>
      <w:r w:rsidRPr="00E506E6">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E506E6">
        <w:rPr>
          <w:rFonts w:ascii="Palatino Linotype" w:eastAsia="Palatino Linotype" w:hAnsi="Palatino Linotype" w:cs="Palatino Linotype"/>
          <w:b/>
          <w:bCs/>
          <w:sz w:val="22"/>
          <w:szCs w:val="22"/>
        </w:rPr>
        <w:t xml:space="preserve">Sujeto Obligado </w:t>
      </w:r>
      <w:r w:rsidRPr="00E506E6">
        <w:rPr>
          <w:rFonts w:ascii="Palatino Linotype" w:eastAsia="Palatino Linotype" w:hAnsi="Palatino Linotype" w:cs="Palatino Linotype"/>
          <w:sz w:val="22"/>
          <w:szCs w:val="22"/>
        </w:rPr>
        <w:t>presentara su informe justificado.</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5" w:name="_heading=h.2s8eyo1" w:colFirst="0" w:colLast="0"/>
      <w:bookmarkEnd w:id="5"/>
      <w:r w:rsidRPr="00E506E6">
        <w:rPr>
          <w:rFonts w:ascii="Palatino Linotype" w:eastAsia="Palatino Linotype" w:hAnsi="Palatino Linotype" w:cs="Palatino Linotype"/>
          <w:b/>
          <w:bCs/>
          <w:sz w:val="22"/>
          <w:szCs w:val="22"/>
        </w:rPr>
        <w:t>6. Manifestaciones</w:t>
      </w:r>
      <w:r w:rsidRPr="00E506E6">
        <w:rPr>
          <w:rFonts w:ascii="Palatino Linotype" w:eastAsia="Palatino Linotype" w:hAnsi="Palatino Linotype" w:cs="Palatino Linotype"/>
          <w:sz w:val="22"/>
          <w:szCs w:val="22"/>
        </w:rPr>
        <w:t xml:space="preserve">. De las constancias que integran el expediente en que se actúa se advierte que en fecha catorce de julio de dos mil veinticinco, la parte </w:t>
      </w:r>
      <w:r w:rsidRPr="00E506E6">
        <w:rPr>
          <w:rFonts w:ascii="Palatino Linotype" w:eastAsia="Palatino Linotype" w:hAnsi="Palatino Linotype" w:cs="Palatino Linotype"/>
          <w:b/>
          <w:bCs/>
          <w:sz w:val="22"/>
          <w:szCs w:val="22"/>
        </w:rPr>
        <w:t xml:space="preserve">Recurrente </w:t>
      </w:r>
      <w:r w:rsidRPr="00E506E6">
        <w:rPr>
          <w:rFonts w:ascii="Palatino Linotype" w:eastAsia="Palatino Linotype" w:hAnsi="Palatino Linotype" w:cs="Palatino Linotype"/>
          <w:sz w:val="22"/>
          <w:szCs w:val="22"/>
        </w:rPr>
        <w:t xml:space="preserve">rindió manifestaciones únicamente haciendo entrega del documento que contiene la relación de viáticos por diversos montos y actividades realizadas por diversas áreas del Ayuntamiento de </w:t>
      </w:r>
      <w:proofErr w:type="spellStart"/>
      <w:r w:rsidRPr="00E506E6">
        <w:rPr>
          <w:rFonts w:ascii="Palatino Linotype" w:eastAsia="Palatino Linotype" w:hAnsi="Palatino Linotype" w:cs="Palatino Linotype"/>
          <w:sz w:val="22"/>
          <w:szCs w:val="22"/>
        </w:rPr>
        <w:t>Atlautla</w:t>
      </w:r>
      <w:proofErr w:type="spellEnd"/>
      <w:r w:rsidRPr="00E506E6">
        <w:rPr>
          <w:rFonts w:ascii="Palatino Linotype" w:eastAsia="Palatino Linotype" w:hAnsi="Palatino Linotype" w:cs="Palatino Linotype"/>
          <w:sz w:val="22"/>
          <w:szCs w:val="22"/>
        </w:rPr>
        <w:t>, misma que fue entregada en respuesta.</w:t>
      </w:r>
    </w:p>
    <w:p w:rsidR="00E06426" w:rsidRPr="00E506E6" w:rsidRDefault="00E0642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rsidR="00E06426" w:rsidRPr="00E506E6" w:rsidRDefault="004679EF">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Por su lado, el </w:t>
      </w:r>
      <w:r w:rsidRPr="00E506E6">
        <w:rPr>
          <w:rFonts w:ascii="Palatino Linotype" w:eastAsia="Palatino Linotype" w:hAnsi="Palatino Linotype" w:cs="Palatino Linotype"/>
          <w:b/>
          <w:bCs/>
          <w:sz w:val="22"/>
          <w:szCs w:val="22"/>
        </w:rPr>
        <w:t>Sujeto Obligado</w:t>
      </w:r>
      <w:r w:rsidRPr="00E506E6">
        <w:rPr>
          <w:rFonts w:ascii="Palatino Linotype" w:eastAsia="Palatino Linotype" w:hAnsi="Palatino Linotype" w:cs="Palatino Linotype"/>
          <w:sz w:val="22"/>
          <w:szCs w:val="22"/>
        </w:rPr>
        <w:t xml:space="preserve"> en fecha </w:t>
      </w:r>
      <w:r w:rsidRPr="00E506E6">
        <w:rPr>
          <w:rFonts w:ascii="Palatino Linotype" w:eastAsia="Palatino Linotype" w:hAnsi="Palatino Linotype" w:cs="Palatino Linotype"/>
          <w:b/>
          <w:bCs/>
          <w:sz w:val="22"/>
          <w:szCs w:val="22"/>
        </w:rPr>
        <w:t xml:space="preserve">treinta y uno de julio de dos mil veinticinco, </w:t>
      </w:r>
      <w:r w:rsidRPr="00E506E6">
        <w:rPr>
          <w:rFonts w:ascii="Palatino Linotype" w:eastAsia="Palatino Linotype" w:hAnsi="Palatino Linotype" w:cs="Palatino Linotype"/>
          <w:sz w:val="22"/>
          <w:szCs w:val="22"/>
        </w:rPr>
        <w:t xml:space="preserve">rindió su informe justificado a través del archivo electrónico denominado </w:t>
      </w:r>
      <w:r w:rsidRPr="00E506E6">
        <w:rPr>
          <w:rFonts w:ascii="Palatino Linotype" w:eastAsia="Palatino Linotype" w:hAnsi="Palatino Linotype" w:cs="Palatino Linotype"/>
          <w:b/>
          <w:bCs/>
          <w:i/>
          <w:iCs/>
          <w:sz w:val="22"/>
          <w:szCs w:val="22"/>
        </w:rPr>
        <w:t>“77.pdf”</w:t>
      </w:r>
      <w:r w:rsidRPr="00E506E6">
        <w:rPr>
          <w:rFonts w:ascii="Palatino Linotype" w:eastAsia="Palatino Linotype" w:hAnsi="Palatino Linotype" w:cs="Palatino Linotype"/>
          <w:b/>
          <w:bCs/>
          <w:sz w:val="22"/>
          <w:szCs w:val="22"/>
        </w:rPr>
        <w:t xml:space="preserve">, </w:t>
      </w:r>
      <w:r w:rsidRPr="00E506E6">
        <w:rPr>
          <w:rFonts w:ascii="Palatino Linotype" w:eastAsia="Palatino Linotype" w:hAnsi="Palatino Linotype" w:cs="Palatino Linotype"/>
          <w:sz w:val="22"/>
          <w:szCs w:val="22"/>
        </w:rPr>
        <w:t>a través del cual se entregó un oficio de la misma fecha, en el que el Tesorero Municipal ratificó su respuesta inicial, señalando que dio contestación con la relación de los gastos que se realizaron, y que además anexó los recibos de gastos de traslado "VIÁTICOS".</w:t>
      </w:r>
    </w:p>
    <w:p w:rsidR="00E06426" w:rsidRPr="00E506E6" w:rsidRDefault="00E0642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rsidR="00E06426" w:rsidRPr="00E506E6" w:rsidRDefault="00E0642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rsidR="00E06426" w:rsidRPr="00E506E6" w:rsidRDefault="004679EF">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Asimismo, mediante dicho oficio se indicó que los gastos de traslado son el único gasto que se autoriza a las dependencias requeridas.</w:t>
      </w:r>
    </w:p>
    <w:p w:rsidR="00E06426" w:rsidRPr="00E506E6" w:rsidRDefault="00E0642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rsidR="00E06426" w:rsidRPr="00E506E6" w:rsidRDefault="004679EF">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Documento el anterior que fue puesto a la vista de la parte </w:t>
      </w:r>
      <w:r w:rsidRPr="00E506E6">
        <w:rPr>
          <w:rFonts w:ascii="Palatino Linotype" w:eastAsia="Palatino Linotype" w:hAnsi="Palatino Linotype" w:cs="Palatino Linotype"/>
          <w:b/>
          <w:bCs/>
          <w:sz w:val="22"/>
          <w:szCs w:val="22"/>
        </w:rPr>
        <w:t xml:space="preserve">Recurrente </w:t>
      </w:r>
      <w:r w:rsidRPr="00E506E6">
        <w:rPr>
          <w:rFonts w:ascii="Palatino Linotype" w:eastAsia="Palatino Linotype" w:hAnsi="Palatino Linotype" w:cs="Palatino Linotype"/>
          <w:sz w:val="22"/>
          <w:szCs w:val="22"/>
        </w:rPr>
        <w:t>a fin de que hiciera valer sus manifestaciones o rindiera alegatos que conforme a derecho resulten procedentes; no obstante, fue omisa en ejercer dicha prerrogativa.</w:t>
      </w:r>
    </w:p>
    <w:p w:rsidR="00E06426" w:rsidRPr="00E506E6" w:rsidRDefault="00E06426">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sz w:val="22"/>
          <w:szCs w:val="22"/>
        </w:rPr>
        <w:t>8.</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b/>
          <w:bCs/>
          <w:sz w:val="22"/>
          <w:szCs w:val="22"/>
        </w:rPr>
        <w:t>Ampliación del término para resolver</w:t>
      </w:r>
      <w:r w:rsidRPr="00E506E6">
        <w:rPr>
          <w:rFonts w:ascii="Palatino Linotype" w:eastAsia="Palatino Linotype" w:hAnsi="Palatino Linotype" w:cs="Palatino Linotype"/>
          <w:sz w:val="22"/>
          <w:szCs w:val="22"/>
        </w:rPr>
        <w:t xml:space="preserve">. Mediante acuerdo del </w:t>
      </w:r>
      <w:r w:rsidRPr="00E506E6">
        <w:rPr>
          <w:rFonts w:ascii="Palatino Linotype" w:eastAsia="Palatino Linotype" w:hAnsi="Palatino Linotype" w:cs="Palatino Linotype"/>
          <w:b/>
          <w:bCs/>
          <w:sz w:val="22"/>
          <w:szCs w:val="22"/>
        </w:rPr>
        <w:t>veinticinco de febrero de dos mil veintiséis</w:t>
      </w:r>
      <w:r w:rsidRPr="00E506E6">
        <w:rPr>
          <w:rFonts w:ascii="Palatino Linotype" w:eastAsia="Palatino Linotype" w:hAnsi="Palatino Linotype" w:cs="Palatino Linotype"/>
          <w:sz w:val="22"/>
          <w:szCs w:val="22"/>
        </w:rPr>
        <w:t>, se amplió el término para resolver los recursos de revisión en términos del artículo 181 párrafo tercero de la Ley de Transparencia y Acceso a la Información Pública del Estado de México y Municipios.</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Este organismo garante no pasa por alto justificar, que el plazo para emitir la resolución en el presente asunto encuentra justificación en el alto número de recursos de revisión recibidos, circunstancia atípica que ha rebasado las capacidades técnicas y humanas del personal encargado de la proyección de las resoluciones a dichos medios de impugnación.</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Por ello, es menester precisar </w:t>
      </w:r>
      <w:proofErr w:type="gramStart"/>
      <w:r w:rsidRPr="00E506E6">
        <w:rPr>
          <w:rFonts w:ascii="Palatino Linotype" w:eastAsia="Palatino Linotype" w:hAnsi="Palatino Linotype" w:cs="Palatino Linotype"/>
          <w:sz w:val="22"/>
          <w:szCs w:val="22"/>
        </w:rPr>
        <w:t>que</w:t>
      </w:r>
      <w:proofErr w:type="gramEnd"/>
      <w:r w:rsidRPr="00E506E6">
        <w:rPr>
          <w:rFonts w:ascii="Palatino Linotype" w:eastAsia="Palatino Linotype" w:hAnsi="Palatino Linotype" w:cs="Palatino Linotype"/>
          <w:sz w:val="22"/>
          <w:szCs w:val="22"/>
        </w:rPr>
        <w:t xml:space="preserve"> si bien se ha excedido el plazo para resolver el presente medio de impugnación, de conformidad con la ley de la materia, el plazo para emitir la resolución se encuentra justificada en los elementos para medir la razonabilidad de asuntos conforme a los parámetros establecidos por diversos órganos jurisdiccionales federales, aplicables también en procedimientos análogos, como el que nos ocupa.</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 </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Por ello, excepcionalmente, si un asunto es resuelto con posterioridad a los plazos señalados por la norma debe analizarse la razonabilidad del tiempo necesario para su resolución atentos a los siguientes criterios: </w:t>
      </w:r>
    </w:p>
    <w:p w:rsidR="00E06426" w:rsidRPr="00E506E6" w:rsidRDefault="00E06426">
      <w:pPr>
        <w:spacing w:line="360" w:lineRule="auto"/>
        <w:jc w:val="both"/>
        <w:rPr>
          <w:rFonts w:ascii="Palatino Linotype" w:eastAsia="Palatino Linotype" w:hAnsi="Palatino Linotype" w:cs="Palatino Linotype"/>
          <w:strike/>
          <w:sz w:val="22"/>
          <w:szCs w:val="22"/>
        </w:rPr>
      </w:pPr>
    </w:p>
    <w:p w:rsidR="00E06426" w:rsidRPr="00E506E6" w:rsidRDefault="004679EF">
      <w:pPr>
        <w:numPr>
          <w:ilvl w:val="0"/>
          <w:numId w:val="1"/>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sz w:val="22"/>
          <w:szCs w:val="22"/>
        </w:rPr>
        <w:t>Complejidad del Asunto:</w:t>
      </w:r>
      <w:r w:rsidRPr="00E506E6">
        <w:rPr>
          <w:rFonts w:ascii="Palatino Linotype" w:eastAsia="Palatino Linotype" w:hAnsi="Palatino Linotype" w:cs="Palatino Linotype"/>
          <w:sz w:val="22"/>
          <w:szCs w:val="22"/>
        </w:rPr>
        <w:t xml:space="preserve"> La complejidad de la prueba, la pluralidad de sujetos procesales, el tiempo transcurrido, las características y contexto del recurso. </w:t>
      </w:r>
    </w:p>
    <w:p w:rsidR="00E06426" w:rsidRPr="00E506E6" w:rsidRDefault="004679EF">
      <w:pPr>
        <w:numPr>
          <w:ilvl w:val="0"/>
          <w:numId w:val="1"/>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sz w:val="22"/>
          <w:szCs w:val="22"/>
        </w:rPr>
        <w:t>Actividad Procesal del interesado</w:t>
      </w:r>
      <w:r w:rsidRPr="00E506E6">
        <w:rPr>
          <w:rFonts w:ascii="Palatino Linotype" w:eastAsia="Palatino Linotype" w:hAnsi="Palatino Linotype" w:cs="Palatino Linotype"/>
          <w:sz w:val="22"/>
          <w:szCs w:val="22"/>
        </w:rPr>
        <w:t>. Acciones u omisiones del interesado.</w:t>
      </w:r>
    </w:p>
    <w:p w:rsidR="00E06426" w:rsidRPr="00E506E6" w:rsidRDefault="004679EF">
      <w:pPr>
        <w:numPr>
          <w:ilvl w:val="0"/>
          <w:numId w:val="1"/>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sz w:val="22"/>
          <w:szCs w:val="22"/>
        </w:rPr>
        <w:t>Conducta de la Autoridad:</w:t>
      </w:r>
      <w:r w:rsidRPr="00E506E6">
        <w:rPr>
          <w:rFonts w:ascii="Palatino Linotype" w:eastAsia="Palatino Linotype" w:hAnsi="Palatino Linotype" w:cs="Palatino Linotype"/>
          <w:sz w:val="22"/>
          <w:szCs w:val="22"/>
        </w:rPr>
        <w:t xml:space="preserve"> Las Acciones u omisiones realizadas en el procedimiento. Así como si la autoridad actuó con la debida diligencia.</w:t>
      </w:r>
    </w:p>
    <w:p w:rsidR="00E06426" w:rsidRPr="00E506E6" w:rsidRDefault="004679EF">
      <w:pPr>
        <w:numPr>
          <w:ilvl w:val="0"/>
          <w:numId w:val="1"/>
        </w:numPr>
        <w:tabs>
          <w:tab w:val="left" w:pos="993"/>
        </w:tabs>
        <w:spacing w:after="160" w:line="360" w:lineRule="auto"/>
        <w:ind w:left="567" w:right="900" w:firstLine="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sz w:val="22"/>
          <w:szCs w:val="22"/>
        </w:rPr>
        <w:t>La afectación generada en la situación jurídica de la persona involucrada en el proceso:</w:t>
      </w:r>
      <w:r w:rsidRPr="00E506E6">
        <w:rPr>
          <w:rFonts w:ascii="Palatino Linotype" w:eastAsia="Palatino Linotype" w:hAnsi="Palatino Linotype" w:cs="Palatino Linotype"/>
          <w:sz w:val="22"/>
          <w:szCs w:val="22"/>
        </w:rPr>
        <w:t xml:space="preserve"> Violación a sus derechos humanos.</w:t>
      </w:r>
    </w:p>
    <w:p w:rsidR="00E06426" w:rsidRPr="00E506E6" w:rsidRDefault="00E06426">
      <w:pPr>
        <w:tabs>
          <w:tab w:val="left" w:pos="993"/>
        </w:tabs>
        <w:spacing w:line="360" w:lineRule="auto"/>
        <w:ind w:left="567" w:right="900"/>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Argumento que encuentra sustento en la jurisprudencia P./J. 32/92 emitida por el Pleno de la Suprema Corte de Justicia de la Nación de rubro </w:t>
      </w:r>
      <w:r w:rsidRPr="00E506E6">
        <w:rPr>
          <w:rFonts w:ascii="Palatino Linotype" w:eastAsia="Palatino Linotype" w:hAnsi="Palatino Linotype" w:cs="Palatino Linotype"/>
          <w:i/>
          <w:iCs/>
          <w:sz w:val="22"/>
          <w:szCs w:val="22"/>
        </w:rPr>
        <w:t>“TÉRMINOS PROCESALES. PARA DETERMINAR SI UN FUNCIONARIO JUDICIAL ACTUÓ INDEBIDAMENTE POR NO RESPETARLOS SE DEBE ATENDER AL PRESUPUESTO QUE CONSIDERÓ EL LEGISLADOR AL FIJARLOS Y LAS CARACTERÍSTICAS DEL CASO.”</w:t>
      </w:r>
      <w:r w:rsidRPr="00E506E6">
        <w:rPr>
          <w:rFonts w:ascii="Palatino Linotype" w:eastAsia="Palatino Linotype" w:hAnsi="Palatino Linotype" w:cs="Palatino Linotype"/>
          <w:sz w:val="22"/>
          <w:szCs w:val="22"/>
        </w:rPr>
        <w:t>, visible en la Gaceta del Seminario Judicial de la Federación con el registro digital 205635.</w:t>
      </w:r>
    </w:p>
    <w:p w:rsidR="00E06426" w:rsidRPr="00E506E6" w:rsidRDefault="00E06426">
      <w:pPr>
        <w:spacing w:line="360" w:lineRule="auto"/>
        <w:jc w:val="both"/>
        <w:rPr>
          <w:rFonts w:ascii="Palatino Linotype" w:eastAsia="Palatino Linotype" w:hAnsi="Palatino Linotype" w:cs="Palatino Linotype"/>
          <w:b/>
          <w:bCs/>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Al respecto, también son de considerar los criterios sostenidos por el Cuarto Tribunal Colegiado en Materia Administrativa del Primer Circuito, cuyos rubros y datos de identificación son los siguientes:</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ind w:left="851" w:right="90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b/>
          <w:bCs/>
          <w:i/>
          <w:iCs/>
          <w:sz w:val="22"/>
          <w:szCs w:val="22"/>
        </w:rPr>
        <w:t>“PLAZO RAZONABLE PARA RESOLVER. DIMENSIÓN Y EFECTOS DE ESTE CONCEPTO CUANDO SE ADUCE EXCESIVA CARGA DE TRABAJO</w:t>
      </w:r>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sz w:val="22"/>
          <w:szCs w:val="22"/>
        </w:rPr>
        <w:t xml:space="preserve"> consultable en el Seminario Judicial de la Federación y su gaceta, con el registro digital 2002351.</w:t>
      </w:r>
    </w:p>
    <w:p w:rsidR="00E06426" w:rsidRPr="00E506E6" w:rsidRDefault="004679EF">
      <w:pPr>
        <w:spacing w:line="360" w:lineRule="auto"/>
        <w:ind w:left="851" w:right="90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i/>
          <w:iCs/>
          <w:sz w:val="22"/>
          <w:szCs w:val="22"/>
        </w:rPr>
        <w:t>“PLAZO RAZONABLE PARA RESOLVER. CONCEPTO Y ELEMENTOS QUE LO INTEGRAN A LA LUZ DEL DERECHO INTERNACIONAL DE LOS DERECHOS HUMANOS.”</w:t>
      </w:r>
      <w:r w:rsidRPr="00E506E6">
        <w:rPr>
          <w:rFonts w:ascii="Palatino Linotype" w:eastAsia="Palatino Linotype" w:hAnsi="Palatino Linotype" w:cs="Palatino Linotype"/>
          <w:sz w:val="22"/>
          <w:szCs w:val="22"/>
        </w:rPr>
        <w:t>, visible en el Seminario Judicial de la Federación y su gaceta, con el registro digital 2002350.</w:t>
      </w:r>
    </w:p>
    <w:p w:rsidR="00E06426" w:rsidRPr="00E506E6" w:rsidRDefault="00E06426">
      <w:pPr>
        <w:spacing w:line="360" w:lineRule="auto"/>
        <w:ind w:left="851" w:right="900"/>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Por ello, este organismo garante comprometido con la tutela de los derechos humanos confiados, señala que este exceso del plazo legal para resolver el presente asunto, resulta de carácter excepcional.</w:t>
      </w:r>
    </w:p>
    <w:p w:rsidR="00E06426" w:rsidRPr="00E506E6" w:rsidRDefault="00E0642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rsidR="00E06426" w:rsidRPr="00E506E6" w:rsidRDefault="004679EF">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sz w:val="22"/>
          <w:szCs w:val="22"/>
        </w:rPr>
        <w:t xml:space="preserve">9. Cierre de instrucción. </w:t>
      </w:r>
      <w:r w:rsidRPr="00E506E6">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E506E6">
        <w:rPr>
          <w:rFonts w:ascii="Palatino Linotype" w:eastAsia="Palatino Linotype" w:hAnsi="Palatino Linotype" w:cs="Palatino Linotype"/>
          <w:b/>
          <w:bCs/>
          <w:sz w:val="22"/>
          <w:szCs w:val="22"/>
        </w:rPr>
        <w:t>cuatro de marzo de dos mil veintiséis,</w:t>
      </w:r>
      <w:r w:rsidRPr="00E506E6">
        <w:rPr>
          <w:rFonts w:ascii="Palatino Linotype" w:eastAsia="Palatino Linotype" w:hAnsi="Palatino Linotype" w:cs="Palatino Linotype"/>
          <w:sz w:val="22"/>
          <w:szCs w:val="22"/>
        </w:rPr>
        <w:t xml:space="preserve"> la Comisionada Ponente determinó el cierre de instrucción en términos de la fracción VI del artículo 185 de la Ley de Transparencia y Acceso a la Información Pública del Estado de México y Municipios.</w:t>
      </w:r>
    </w:p>
    <w:p w:rsidR="00E06426" w:rsidRPr="00E506E6" w:rsidRDefault="00E06426">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rsidR="00E06426" w:rsidRPr="00E506E6" w:rsidRDefault="004679EF">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rsidR="00E06426" w:rsidRPr="00E506E6" w:rsidRDefault="004679EF">
      <w:pPr>
        <w:widowControl w:val="0"/>
        <w:spacing w:before="240" w:after="240" w:line="360" w:lineRule="auto"/>
        <w:jc w:val="center"/>
        <w:rPr>
          <w:rFonts w:ascii="Palatino Linotype" w:eastAsia="Palatino Linotype" w:hAnsi="Palatino Linotype" w:cs="Palatino Linotype"/>
          <w:b/>
          <w:bCs/>
          <w:sz w:val="22"/>
          <w:szCs w:val="22"/>
        </w:rPr>
      </w:pPr>
      <w:r w:rsidRPr="00E506E6">
        <w:rPr>
          <w:rFonts w:ascii="Palatino Linotype" w:eastAsia="Palatino Linotype" w:hAnsi="Palatino Linotype" w:cs="Palatino Linotype"/>
          <w:b/>
          <w:bCs/>
          <w:sz w:val="22"/>
          <w:szCs w:val="22"/>
        </w:rPr>
        <w:t>II. C O N S I D E R A N D O S</w:t>
      </w: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sz w:val="22"/>
          <w:szCs w:val="22"/>
        </w:rPr>
        <w:t>Primero. Competencia.</w:t>
      </w:r>
      <w:r w:rsidRPr="00E506E6">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bookmarkStart w:id="6" w:name="_heading=h.tyjcwt" w:colFirst="0" w:colLast="0"/>
      <w:bookmarkEnd w:id="6"/>
      <w:r w:rsidRPr="00E506E6">
        <w:rPr>
          <w:rFonts w:ascii="Palatino Linotype" w:eastAsia="Palatino Linotype" w:hAnsi="Palatino Linotype" w:cs="Palatino Linotype"/>
          <w:b/>
          <w:bCs/>
          <w:sz w:val="22"/>
          <w:szCs w:val="22"/>
        </w:rPr>
        <w:t xml:space="preserve">Segundo. Oportunidad y </w:t>
      </w:r>
      <w:proofErr w:type="spellStart"/>
      <w:r w:rsidRPr="00E506E6">
        <w:rPr>
          <w:rFonts w:ascii="Palatino Linotype" w:eastAsia="Palatino Linotype" w:hAnsi="Palatino Linotype" w:cs="Palatino Linotype"/>
          <w:b/>
          <w:bCs/>
          <w:sz w:val="22"/>
          <w:szCs w:val="22"/>
        </w:rPr>
        <w:t>Procedibilidad</w:t>
      </w:r>
      <w:proofErr w:type="spellEnd"/>
      <w:r w:rsidRPr="00E506E6">
        <w:rPr>
          <w:rFonts w:ascii="Palatino Linotype" w:eastAsia="Palatino Linotype" w:hAnsi="Palatino Linotype" w:cs="Palatino Linotype"/>
          <w:b/>
          <w:bCs/>
          <w:sz w:val="22"/>
          <w:szCs w:val="22"/>
        </w:rPr>
        <w:t xml:space="preserve"> del Recurso de Revisión</w:t>
      </w:r>
      <w:r w:rsidRPr="00E506E6">
        <w:rPr>
          <w:rFonts w:ascii="Palatino Linotype" w:eastAsia="Palatino Linotype" w:hAnsi="Palatino Linotype" w:cs="Palatino Linotype"/>
          <w:sz w:val="22"/>
          <w:szCs w:val="22"/>
        </w:rPr>
        <w:t xml:space="preserve">. Previo al estudio del fondo del asunto, se procede a analizar los requisitos de oportunidad y </w:t>
      </w:r>
      <w:proofErr w:type="spellStart"/>
      <w:r w:rsidRPr="00E506E6">
        <w:rPr>
          <w:rFonts w:ascii="Palatino Linotype" w:eastAsia="Palatino Linotype" w:hAnsi="Palatino Linotype" w:cs="Palatino Linotype"/>
          <w:sz w:val="22"/>
          <w:szCs w:val="22"/>
        </w:rPr>
        <w:t>procedibilidad</w:t>
      </w:r>
      <w:proofErr w:type="spellEnd"/>
      <w:r w:rsidRPr="00E506E6">
        <w:rPr>
          <w:rFonts w:ascii="Palatino Linotype" w:eastAsia="Palatino Linotype" w:hAnsi="Palatino Linotype" w:cs="Palatino Linotype"/>
          <w:sz w:val="22"/>
          <w:szCs w:val="22"/>
        </w:rPr>
        <w:t xml:space="preserve"> que debe reunir el recurso de revisión interpuesto, previstos en los artículos 178 y 180 de la Ley de Transparencia y Acceso a la Información Pública del Estado de México y Municipios.</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E506E6">
        <w:rPr>
          <w:rFonts w:ascii="Palatino Linotype" w:eastAsia="Palatino Linotype" w:hAnsi="Palatino Linotype" w:cs="Palatino Linotype"/>
          <w:b/>
          <w:bCs/>
          <w:sz w:val="22"/>
          <w:szCs w:val="22"/>
        </w:rPr>
        <w:t xml:space="preserve">Sujeto Obligado </w:t>
      </w:r>
      <w:r w:rsidRPr="00E506E6">
        <w:rPr>
          <w:rFonts w:ascii="Palatino Linotype" w:eastAsia="Palatino Linotype" w:hAnsi="Palatino Linotype" w:cs="Palatino Linotype"/>
          <w:sz w:val="22"/>
          <w:szCs w:val="22"/>
        </w:rPr>
        <w:t>remitió la respuesta a la solicitud de información el</w:t>
      </w:r>
      <w:r w:rsidRPr="00E506E6">
        <w:t xml:space="preserve"> </w:t>
      </w:r>
      <w:r w:rsidRPr="00E506E6">
        <w:rPr>
          <w:rFonts w:ascii="Palatino Linotype" w:eastAsia="Palatino Linotype" w:hAnsi="Palatino Linotype" w:cs="Palatino Linotype"/>
          <w:b/>
          <w:bCs/>
          <w:sz w:val="22"/>
          <w:szCs w:val="22"/>
        </w:rPr>
        <w:t xml:space="preserve">ocho de julio de dos mil veinticinco, </w:t>
      </w:r>
      <w:r w:rsidRPr="00E506E6">
        <w:rPr>
          <w:rFonts w:ascii="Palatino Linotype" w:eastAsia="Palatino Linotype" w:hAnsi="Palatino Linotype" w:cs="Palatino Linotype"/>
          <w:sz w:val="22"/>
          <w:szCs w:val="22"/>
        </w:rPr>
        <w:t xml:space="preserve">mientras que el recurso de revisión interpuesto por </w:t>
      </w:r>
      <w:r w:rsidRPr="00E506E6">
        <w:rPr>
          <w:rFonts w:ascii="Palatino Linotype" w:eastAsia="Palatino Linotype" w:hAnsi="Palatino Linotype" w:cs="Palatino Linotype"/>
          <w:b/>
          <w:bCs/>
          <w:sz w:val="22"/>
          <w:szCs w:val="22"/>
        </w:rPr>
        <w:t>la parte</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b/>
          <w:bCs/>
          <w:sz w:val="22"/>
          <w:szCs w:val="22"/>
        </w:rPr>
        <w:t>Recurrente</w:t>
      </w:r>
      <w:r w:rsidRPr="00E506E6">
        <w:rPr>
          <w:rFonts w:ascii="Palatino Linotype" w:eastAsia="Palatino Linotype" w:hAnsi="Palatino Linotype" w:cs="Palatino Linotype"/>
          <w:sz w:val="22"/>
          <w:szCs w:val="22"/>
        </w:rPr>
        <w:t xml:space="preserve">, se tuvo por presentado el </w:t>
      </w:r>
      <w:r w:rsidRPr="00E506E6">
        <w:rPr>
          <w:rFonts w:ascii="Palatino Linotype" w:eastAsia="Palatino Linotype" w:hAnsi="Palatino Linotype" w:cs="Palatino Linotype"/>
          <w:b/>
          <w:bCs/>
          <w:sz w:val="22"/>
          <w:szCs w:val="22"/>
        </w:rPr>
        <w:t>nueve de julio de dos mil veinticinco</w:t>
      </w:r>
      <w:r w:rsidRPr="00E506E6">
        <w:rPr>
          <w:rFonts w:ascii="Palatino Linotype" w:eastAsia="Palatino Linotype" w:hAnsi="Palatino Linotype" w:cs="Palatino Linotype"/>
          <w:sz w:val="22"/>
          <w:szCs w:val="22"/>
        </w:rPr>
        <w:t xml:space="preserve"> esto es, </w:t>
      </w:r>
      <w:r w:rsidRPr="00E506E6">
        <w:rPr>
          <w:rFonts w:ascii="Palatino Linotype" w:eastAsia="Palatino Linotype" w:hAnsi="Palatino Linotype" w:cs="Palatino Linotype"/>
          <w:b/>
          <w:bCs/>
          <w:sz w:val="22"/>
          <w:szCs w:val="22"/>
        </w:rPr>
        <w:t>al primer día hábil siguiente a aquel en que se tuvo conocimiento de la respuesta impugnada.</w:t>
      </w:r>
      <w:r w:rsidRPr="00E506E6">
        <w:rPr>
          <w:rFonts w:ascii="Palatino Linotype" w:eastAsia="Palatino Linotype" w:hAnsi="Palatino Linotype" w:cs="Palatino Linotype"/>
          <w:sz w:val="22"/>
          <w:szCs w:val="22"/>
        </w:rPr>
        <w:t xml:space="preserve"> </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En este sentido, se concluye que el presente recurso de revisión se encuentra dentro de los márgenes temporales previstos en las disposiciones legales referidas.</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tabs>
          <w:tab w:val="left" w:pos="7938"/>
        </w:tabs>
        <w:spacing w:line="360" w:lineRule="auto"/>
        <w:jc w:val="both"/>
        <w:rPr>
          <w:rFonts w:ascii="Palatino Linotype" w:eastAsia="Palatino Linotype" w:hAnsi="Palatino Linotype" w:cs="Palatino Linotype"/>
          <w:sz w:val="22"/>
          <w:szCs w:val="22"/>
        </w:rPr>
      </w:pPr>
      <w:bookmarkStart w:id="7" w:name="_heading=h.3znysh7" w:colFirst="0" w:colLast="0"/>
      <w:bookmarkEnd w:id="7"/>
      <w:r w:rsidRPr="00E506E6">
        <w:rPr>
          <w:rFonts w:ascii="Palatino Linotype" w:eastAsia="Palatino Linotype" w:hAnsi="Palatino Linotype" w:cs="Palatino Linotype"/>
          <w:sz w:val="22"/>
          <w:szCs w:val="22"/>
        </w:rPr>
        <w:t xml:space="preserve">Al mismo tiempo, por cuanto hace a la </w:t>
      </w:r>
      <w:proofErr w:type="spellStart"/>
      <w:r w:rsidRPr="00E506E6">
        <w:rPr>
          <w:rFonts w:ascii="Palatino Linotype" w:eastAsia="Palatino Linotype" w:hAnsi="Palatino Linotype" w:cs="Palatino Linotype"/>
          <w:sz w:val="22"/>
          <w:szCs w:val="22"/>
        </w:rPr>
        <w:t>procedibilidad</w:t>
      </w:r>
      <w:proofErr w:type="spellEnd"/>
      <w:r w:rsidRPr="00E506E6">
        <w:rPr>
          <w:rFonts w:ascii="Palatino Linotype" w:eastAsia="Palatino Linotype" w:hAnsi="Palatino Linotype" w:cs="Palatino Linotype"/>
          <w:sz w:val="22"/>
          <w:szCs w:val="22"/>
        </w:rPr>
        <w:t xml:space="preserve"> del recurso de revisión, una vez realizado el análisis del formato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rsidR="00E06426" w:rsidRPr="00E506E6" w:rsidRDefault="00E06426">
      <w:pPr>
        <w:tabs>
          <w:tab w:val="left" w:pos="7938"/>
        </w:tabs>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Por otro lado, es de suma importancia mencionar que, si bien la parte</w:t>
      </w:r>
      <w:r w:rsidRPr="00E506E6">
        <w:rPr>
          <w:rFonts w:ascii="Palatino Linotype" w:eastAsia="Palatino Linotype" w:hAnsi="Palatino Linotype" w:cs="Palatino Linotype"/>
          <w:b/>
          <w:bCs/>
          <w:sz w:val="22"/>
          <w:szCs w:val="22"/>
        </w:rPr>
        <w:t xml:space="preserve"> Recurrente</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b/>
          <w:bCs/>
          <w:sz w:val="22"/>
          <w:szCs w:val="22"/>
        </w:rPr>
        <w:t>no</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b/>
          <w:bCs/>
          <w:sz w:val="22"/>
          <w:szCs w:val="22"/>
        </w:rPr>
        <w:t>proporcionó nombre,</w:t>
      </w:r>
      <w:r w:rsidRPr="00E506E6">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276" w:lineRule="auto"/>
        <w:ind w:left="851" w:right="902"/>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b/>
          <w:bCs/>
          <w:i/>
          <w:iCs/>
          <w:sz w:val="22"/>
          <w:szCs w:val="22"/>
        </w:rPr>
        <w:t xml:space="preserve">Las solicitudes </w:t>
      </w:r>
      <w:r w:rsidRPr="00E506E6">
        <w:rPr>
          <w:rFonts w:ascii="Palatino Linotype" w:eastAsia="Palatino Linotype" w:hAnsi="Palatino Linotype" w:cs="Palatino Linotype"/>
          <w:b/>
          <w:bCs/>
          <w:i/>
          <w:iCs/>
          <w:sz w:val="22"/>
          <w:szCs w:val="22"/>
          <w:u w:val="single"/>
        </w:rPr>
        <w:t>anónimas</w:t>
      </w:r>
      <w:r w:rsidRPr="00E506E6">
        <w:rPr>
          <w:rFonts w:ascii="Palatino Linotype" w:eastAsia="Palatino Linotype" w:hAnsi="Palatino Linotype" w:cs="Palatino Linotype"/>
          <w:i/>
          <w:iCs/>
          <w:sz w:val="22"/>
          <w:szCs w:val="22"/>
        </w:rPr>
        <w:t>, con nombre incompleto o seudónimo </w:t>
      </w:r>
      <w:r w:rsidRPr="00E506E6">
        <w:rPr>
          <w:rFonts w:ascii="Palatino Linotype" w:eastAsia="Palatino Linotype" w:hAnsi="Palatino Linotype" w:cs="Palatino Linotype"/>
          <w:b/>
          <w:bCs/>
          <w:i/>
          <w:iCs/>
          <w:sz w:val="22"/>
          <w:szCs w:val="22"/>
        </w:rPr>
        <w:t>serán procedentes para su trámite por parte del sujeto obligado ante quien se presente</w:t>
      </w:r>
      <w:r w:rsidRPr="00E506E6">
        <w:rPr>
          <w:rFonts w:ascii="Palatino Linotype" w:eastAsia="Palatino Linotype" w:hAnsi="Palatino Linotype" w:cs="Palatino Linotype"/>
          <w:i/>
          <w:iCs/>
          <w:sz w:val="22"/>
          <w:szCs w:val="22"/>
        </w:rPr>
        <w:t>. No podrá requerirse información adicional con motivo del nombre proporcionado por el solicitante."</w:t>
      </w:r>
    </w:p>
    <w:p w:rsidR="00E06426" w:rsidRPr="00E506E6" w:rsidRDefault="00E06426">
      <w:pPr>
        <w:tabs>
          <w:tab w:val="left" w:pos="7938"/>
        </w:tabs>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Finalmente, se advierte que resulta procedente la interposición del recurso, según lo manifestado por </w:t>
      </w:r>
      <w:r w:rsidRPr="00E506E6">
        <w:rPr>
          <w:rFonts w:ascii="Palatino Linotype" w:eastAsia="Palatino Linotype" w:hAnsi="Palatino Linotype" w:cs="Palatino Linotype"/>
          <w:b/>
          <w:bCs/>
          <w:sz w:val="22"/>
          <w:szCs w:val="22"/>
        </w:rPr>
        <w:t>la parte</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b/>
          <w:bCs/>
          <w:sz w:val="22"/>
          <w:szCs w:val="22"/>
        </w:rPr>
        <w:t>Recurrente</w:t>
      </w:r>
      <w:r w:rsidRPr="00E506E6">
        <w:rPr>
          <w:rFonts w:ascii="Palatino Linotype" w:eastAsia="Palatino Linotype" w:hAnsi="Palatino Linotype" w:cs="Palatino Linotype"/>
          <w:sz w:val="22"/>
          <w:szCs w:val="22"/>
        </w:rPr>
        <w:t xml:space="preserve"> en sus motivos de inconformidad, de acuerdo al artículo 179, fracción I del ordenamiento legal citado, que a la letra dice: </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ind w:left="567" w:right="90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b/>
          <w:bCs/>
          <w:i/>
          <w:iCs/>
          <w:sz w:val="22"/>
          <w:szCs w:val="22"/>
        </w:rPr>
        <w:t>Artículo 179.</w:t>
      </w:r>
      <w:r w:rsidRPr="00E506E6">
        <w:rPr>
          <w:rFonts w:ascii="Palatino Linotype" w:eastAsia="Palatino Linotype" w:hAnsi="Palatino Linotype" w:cs="Palatino Linotype"/>
          <w:i/>
          <w:iCs/>
          <w:sz w:val="22"/>
          <w:szCs w:val="22"/>
        </w:rPr>
        <w:t xml:space="preserve"> El recurso de revisión es un medio de protección que la Ley otorga a los particulares, para hacer valer su derecho de acceso a la información pública, y procederá en contra de las siguientes causas:</w:t>
      </w:r>
    </w:p>
    <w:p w:rsidR="00E06426" w:rsidRPr="00E506E6" w:rsidRDefault="004679EF">
      <w:pPr>
        <w:ind w:left="567" w:right="902"/>
        <w:jc w:val="both"/>
        <w:rPr>
          <w:rFonts w:ascii="Palatino Linotype" w:eastAsia="Palatino Linotype" w:hAnsi="Palatino Linotype" w:cs="Palatino Linotype"/>
          <w:b/>
          <w:bCs/>
          <w:i/>
          <w:iCs/>
          <w:sz w:val="22"/>
          <w:szCs w:val="22"/>
        </w:rPr>
      </w:pPr>
      <w:r w:rsidRPr="00E506E6">
        <w:rPr>
          <w:rFonts w:ascii="Palatino Linotype" w:eastAsia="Palatino Linotype" w:hAnsi="Palatino Linotype" w:cs="Palatino Linotype"/>
          <w:b/>
          <w:bCs/>
          <w:i/>
          <w:iCs/>
          <w:sz w:val="22"/>
          <w:szCs w:val="22"/>
        </w:rPr>
        <w:t xml:space="preserve">I. La negativa a la información solicitada; </w:t>
      </w:r>
    </w:p>
    <w:p w:rsidR="00E06426" w:rsidRPr="00E506E6" w:rsidRDefault="004679EF">
      <w:pPr>
        <w:ind w:left="567" w:right="90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p>
    <w:p w:rsidR="00E06426" w:rsidRPr="00E506E6" w:rsidRDefault="00E06426">
      <w:pPr>
        <w:ind w:left="567"/>
        <w:rPr>
          <w:rFonts w:ascii="Palatino Linotype" w:eastAsia="Palatino Linotype" w:hAnsi="Palatino Linotype" w:cs="Palatino Linotype"/>
          <w:b/>
          <w:bCs/>
          <w:i/>
          <w:iCs/>
          <w:sz w:val="22"/>
          <w:szCs w:val="22"/>
        </w:rPr>
      </w:pPr>
    </w:p>
    <w:p w:rsidR="00E06426" w:rsidRPr="00E506E6" w:rsidRDefault="004679EF">
      <w:pPr>
        <w:ind w:left="567" w:right="900"/>
        <w:jc w:val="right"/>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 xml:space="preserve"> </w:t>
      </w:r>
      <w:r w:rsidRPr="00E506E6">
        <w:rPr>
          <w:rFonts w:ascii="Palatino Linotype" w:eastAsia="Palatino Linotype" w:hAnsi="Palatino Linotype" w:cs="Palatino Linotype"/>
          <w:i/>
          <w:iCs/>
          <w:sz w:val="22"/>
          <w:szCs w:val="22"/>
        </w:rPr>
        <w:t>(Énfasis añadido)</w:t>
      </w:r>
    </w:p>
    <w:p w:rsidR="00E06426" w:rsidRPr="00E506E6" w:rsidRDefault="00E06426">
      <w:pPr>
        <w:ind w:left="567" w:right="900"/>
        <w:jc w:val="right"/>
        <w:rPr>
          <w:rFonts w:ascii="Palatino Linotype" w:eastAsia="Palatino Linotype" w:hAnsi="Palatino Linotype" w:cs="Palatino Linotype"/>
          <w:b/>
          <w:bCs/>
          <w:i/>
          <w:iCs/>
          <w:sz w:val="22"/>
          <w:szCs w:val="22"/>
        </w:rPr>
      </w:pPr>
    </w:p>
    <w:p w:rsidR="00E06426" w:rsidRPr="00E506E6" w:rsidRDefault="004679EF">
      <w:pPr>
        <w:spacing w:line="360" w:lineRule="auto"/>
        <w:jc w:val="both"/>
        <w:rPr>
          <w:rFonts w:ascii="Palatino Linotype" w:eastAsia="Palatino Linotype" w:hAnsi="Palatino Linotype" w:cs="Palatino Linotype"/>
          <w:b/>
          <w:bCs/>
          <w:sz w:val="22"/>
          <w:szCs w:val="22"/>
        </w:rPr>
      </w:pPr>
      <w:r w:rsidRPr="00E506E6">
        <w:rPr>
          <w:rFonts w:ascii="Palatino Linotype" w:eastAsia="Palatino Linotype" w:hAnsi="Palatino Linotype" w:cs="Palatino Linotype"/>
          <w:b/>
          <w:bCs/>
          <w:sz w:val="22"/>
          <w:szCs w:val="22"/>
        </w:rPr>
        <w:t xml:space="preserve">Tercero. Materia de la revisión. </w:t>
      </w:r>
      <w:r w:rsidRPr="00E506E6">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E506E6">
        <w:rPr>
          <w:rFonts w:ascii="Palatino Linotype" w:eastAsia="Palatino Linotype" w:hAnsi="Palatino Linotype" w:cs="Palatino Linotype"/>
          <w:b/>
          <w:bCs/>
          <w:sz w:val="22"/>
          <w:szCs w:val="22"/>
        </w:rPr>
        <w:t>verificar si la información otorgada por el Sujeto Obligado es adecuada y suficiente para satisfacer el derecho de acceso a la información pública de la parte Recurrente,</w:t>
      </w:r>
      <w:r w:rsidRPr="00E506E6">
        <w:rPr>
          <w:rFonts w:ascii="Palatino Linotype" w:eastAsia="Palatino Linotype" w:hAnsi="Palatino Linotype" w:cs="Palatino Linotype"/>
          <w:sz w:val="22"/>
          <w:szCs w:val="22"/>
        </w:rPr>
        <w:t xml:space="preserve"> o en su defecto, en caso de ser procedente, ordenar la entrega de la información oportuna.</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sz w:val="22"/>
          <w:szCs w:val="22"/>
        </w:rPr>
        <w:t xml:space="preserve">Cuarto. Estudio del asunto. </w:t>
      </w:r>
      <w:r w:rsidRPr="00E506E6">
        <w:rPr>
          <w:rFonts w:ascii="Palatino Linotype" w:eastAsia="Palatino Linotype" w:hAnsi="Palatino Linotype" w:cs="Palatino Linotype"/>
          <w:sz w:val="22"/>
          <w:szCs w:val="22"/>
        </w:rPr>
        <w:t xml:space="preserve">Antes de entrar al análisis de los pronunciamientos del </w:t>
      </w:r>
      <w:r w:rsidRPr="00E506E6">
        <w:rPr>
          <w:rFonts w:ascii="Palatino Linotype" w:eastAsia="Palatino Linotype" w:hAnsi="Palatino Linotype" w:cs="Palatino Linotype"/>
          <w:b/>
          <w:bCs/>
          <w:sz w:val="22"/>
          <w:szCs w:val="22"/>
        </w:rPr>
        <w:t>Sujeto Obligado</w:t>
      </w:r>
      <w:r w:rsidRPr="00E506E6">
        <w:rPr>
          <w:rFonts w:ascii="Palatino Linotype" w:eastAsia="Palatino Linotype" w:hAnsi="Palatino Linotype" w:cs="Palatino Linotype"/>
          <w:sz w:val="22"/>
          <w:szCs w:val="22"/>
        </w:rPr>
        <w:t xml:space="preserve"> en la respuesta proporcionada, es necesario mencionar que el derecho de acceso a la información está consagrado en instrumentos internacionales de los cuales el Estado Mexicano se ha adherido, sin oponer reserva alguna sobre lo que nos interesa, adoptando dichas disposiciones al Derecho Interno, específicamente a nivel Constitucional, tal y como lo prevén los arábigos 1 párrafos primero, segundo y tercero y apartado A fracciones I, II, III, IV, V, VI y VII que a la letra señalan:</w:t>
      </w:r>
    </w:p>
    <w:p w:rsidR="00E06426" w:rsidRPr="00E506E6" w:rsidRDefault="00E0642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rsidR="00E06426" w:rsidRPr="00E506E6" w:rsidRDefault="004679EF">
      <w:pPr>
        <w:pBdr>
          <w:top w:val="nil"/>
          <w:left w:val="nil"/>
          <w:bottom w:val="nil"/>
          <w:right w:val="nil"/>
          <w:between w:val="nil"/>
        </w:pBdr>
        <w:spacing w:line="276" w:lineRule="auto"/>
        <w:ind w:left="851" w:right="8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i/>
          <w:iCs/>
          <w:sz w:val="22"/>
          <w:szCs w:val="22"/>
          <w:u w:val="single"/>
        </w:rPr>
        <w:t>Artículo 1o. En los Estados Unidos Mexicanos todas las personas gozarán de los derechos humanos reconocidos en esta Constitución y en los tratados internacionales de los que el Estado Mexicano sea parte</w:t>
      </w:r>
      <w:r w:rsidRPr="00E506E6">
        <w:rPr>
          <w:rFonts w:ascii="Palatino Linotype" w:eastAsia="Palatino Linotype" w:hAnsi="Palatino Linotype" w:cs="Palatino Linotype"/>
          <w:i/>
          <w:iCs/>
          <w:sz w:val="22"/>
          <w:szCs w:val="22"/>
        </w:rPr>
        <w:t>, así como de las garantías para su protección, cuyo ejercicio no podrá restringirse ni suspenderse, salvo en los casos y bajo las condiciones que esta Constitución establece.</w:t>
      </w:r>
    </w:p>
    <w:p w:rsidR="00E06426" w:rsidRPr="00E506E6" w:rsidRDefault="004679EF">
      <w:pPr>
        <w:pBdr>
          <w:top w:val="nil"/>
          <w:left w:val="nil"/>
          <w:bottom w:val="nil"/>
          <w:right w:val="nil"/>
          <w:between w:val="nil"/>
        </w:pBdr>
        <w:spacing w:line="276" w:lineRule="auto"/>
        <w:ind w:left="851" w:right="8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i/>
          <w:iCs/>
          <w:sz w:val="22"/>
          <w:szCs w:val="22"/>
        </w:rPr>
        <w:t>Las normas relativas a los derechos humanos se interpretarán de conformidad con esta Constitución y con los tratados internacionales de la materia favoreciendo en todo tiempo a las personas la protección más amplia.</w:t>
      </w:r>
    </w:p>
    <w:p w:rsidR="00E06426" w:rsidRPr="00E506E6" w:rsidRDefault="004679EF">
      <w:pPr>
        <w:pBdr>
          <w:top w:val="nil"/>
          <w:left w:val="nil"/>
          <w:bottom w:val="nil"/>
          <w:right w:val="nil"/>
          <w:between w:val="nil"/>
        </w:pBdr>
        <w:spacing w:line="276" w:lineRule="auto"/>
        <w:ind w:left="851" w:right="8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i/>
          <w:iCs/>
          <w:sz w:val="22"/>
          <w:szCs w:val="22"/>
          <w:u w:val="single"/>
        </w:rPr>
        <w:t>Todas las autoridades, en el ámbito de sus competencias, tienen la obligación de promover, respetar, proteger y garantizar los derechos humanos de conformidad con los principios de universalidad, interdependencia, indivisibilidad y progresividad.</w:t>
      </w:r>
      <w:r w:rsidRPr="00E506E6">
        <w:rPr>
          <w:rFonts w:ascii="Palatino Linotype" w:eastAsia="Palatino Linotype" w:hAnsi="Palatino Linotype" w:cs="Palatino Linotype"/>
          <w:i/>
          <w:iCs/>
          <w:sz w:val="22"/>
          <w:szCs w:val="22"/>
        </w:rPr>
        <w:t xml:space="preserve"> En consecuencia, el Estado deberá prevenir, investigar, sancionar y reparar las violaciones a los derechos humanos, en los términos que establezca la ley</w:t>
      </w:r>
    </w:p>
    <w:p w:rsidR="00E06426" w:rsidRPr="00E506E6" w:rsidRDefault="004679EF">
      <w:pPr>
        <w:pBdr>
          <w:top w:val="nil"/>
          <w:left w:val="nil"/>
          <w:bottom w:val="nil"/>
          <w:right w:val="nil"/>
          <w:between w:val="nil"/>
        </w:pBdr>
        <w:spacing w:line="276" w:lineRule="auto"/>
        <w:ind w:left="851" w:right="8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i/>
          <w:iCs/>
          <w:sz w:val="22"/>
          <w:szCs w:val="22"/>
        </w:rPr>
        <w:t>[…]</w:t>
      </w:r>
    </w:p>
    <w:p w:rsidR="00E06426" w:rsidRPr="00E506E6" w:rsidRDefault="004679EF">
      <w:pPr>
        <w:pBdr>
          <w:top w:val="nil"/>
          <w:left w:val="nil"/>
          <w:bottom w:val="nil"/>
          <w:right w:val="nil"/>
          <w:between w:val="nil"/>
        </w:pBdr>
        <w:spacing w:line="276" w:lineRule="auto"/>
        <w:ind w:left="851" w:right="901"/>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i/>
          <w:iCs/>
          <w:sz w:val="22"/>
          <w:szCs w:val="22"/>
        </w:rPr>
        <w:t>“Artículo 6o.</w:t>
      </w:r>
    </w:p>
    <w:p w:rsidR="00E06426" w:rsidRPr="00E506E6" w:rsidRDefault="004679EF">
      <w:pPr>
        <w:pBdr>
          <w:top w:val="nil"/>
          <w:left w:val="nil"/>
          <w:bottom w:val="nil"/>
          <w:right w:val="nil"/>
          <w:between w:val="nil"/>
        </w:pBdr>
        <w:spacing w:line="276" w:lineRule="auto"/>
        <w:ind w:left="851" w:right="901"/>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i/>
          <w:iCs/>
          <w:sz w:val="22"/>
          <w:szCs w:val="22"/>
        </w:rPr>
        <w:t>[...]</w:t>
      </w:r>
    </w:p>
    <w:p w:rsidR="00E06426" w:rsidRPr="00E506E6" w:rsidRDefault="004679EF">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i/>
          <w:iCs/>
          <w:sz w:val="22"/>
          <w:szCs w:val="22"/>
        </w:rPr>
        <w:t xml:space="preserve">A. Para el ejercicio del derecho de acceso a la información, la Federación y </w:t>
      </w:r>
      <w:r w:rsidRPr="00E506E6">
        <w:rPr>
          <w:rFonts w:ascii="Palatino Linotype" w:eastAsia="Palatino Linotype" w:hAnsi="Palatino Linotype" w:cs="Palatino Linotype"/>
          <w:b/>
          <w:bCs/>
          <w:i/>
          <w:iCs/>
          <w:sz w:val="22"/>
          <w:szCs w:val="22"/>
          <w:u w:val="single"/>
        </w:rPr>
        <w:t>las entidades federativas</w:t>
      </w:r>
      <w:r w:rsidRPr="00E506E6">
        <w:rPr>
          <w:rFonts w:ascii="Palatino Linotype" w:eastAsia="Palatino Linotype" w:hAnsi="Palatino Linotype" w:cs="Palatino Linotype"/>
          <w:b/>
          <w:bCs/>
          <w:i/>
          <w:iCs/>
          <w:sz w:val="22"/>
          <w:szCs w:val="22"/>
        </w:rPr>
        <w:t>,</w:t>
      </w:r>
      <w:r w:rsidRPr="00E506E6">
        <w:rPr>
          <w:rFonts w:ascii="Palatino Linotype" w:eastAsia="Palatino Linotype" w:hAnsi="Palatino Linotype" w:cs="Palatino Linotype"/>
          <w:i/>
          <w:iCs/>
          <w:sz w:val="22"/>
          <w:szCs w:val="22"/>
        </w:rPr>
        <w:t xml:space="preserve"> en el ámbito de sus respectivas competencias, se regirán por los siguientes principios y bases:</w:t>
      </w:r>
    </w:p>
    <w:p w:rsidR="00E06426" w:rsidRPr="00E506E6" w:rsidRDefault="004679EF">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i/>
          <w:iCs/>
          <w:sz w:val="22"/>
          <w:szCs w:val="22"/>
        </w:rPr>
        <w:t> </w:t>
      </w:r>
      <w:r w:rsidRPr="00E506E6">
        <w:rPr>
          <w:rFonts w:ascii="Palatino Linotype" w:eastAsia="Palatino Linotype" w:hAnsi="Palatino Linotype" w:cs="Palatino Linotype"/>
          <w:b/>
          <w:bCs/>
          <w:i/>
          <w:iCs/>
          <w:sz w:val="22"/>
          <w:szCs w:val="22"/>
        </w:rPr>
        <w:t xml:space="preserve">I. </w:t>
      </w:r>
      <w:r w:rsidRPr="00E506E6">
        <w:rPr>
          <w:rFonts w:ascii="Palatino Linotype" w:eastAsia="Palatino Linotype" w:hAnsi="Palatino Linotype" w:cs="Palatino Linotype"/>
          <w:b/>
          <w:bCs/>
          <w:i/>
          <w:iCs/>
          <w:sz w:val="22"/>
          <w:szCs w:val="22"/>
          <w:u w:val="single"/>
        </w:rPr>
        <w:t>Toda la información en posesión de cualquier autoridad, entidad, órgano y organismo de los Poderes</w:t>
      </w:r>
      <w:r w:rsidRPr="00E506E6">
        <w:rPr>
          <w:rFonts w:ascii="Palatino Linotype" w:eastAsia="Palatino Linotype" w:hAnsi="Palatino Linotype" w:cs="Palatino Linotype"/>
          <w:i/>
          <w:iCs/>
          <w:sz w:val="22"/>
          <w:szCs w:val="22"/>
        </w:rPr>
        <w:t xml:space="preserve"> Ejecutivo, Legislativo </w:t>
      </w:r>
      <w:r w:rsidRPr="00E506E6">
        <w:rPr>
          <w:rFonts w:ascii="Palatino Linotype" w:eastAsia="Palatino Linotype" w:hAnsi="Palatino Linotype" w:cs="Palatino Linotype"/>
          <w:b/>
          <w:bCs/>
          <w:i/>
          <w:iCs/>
          <w:sz w:val="22"/>
          <w:szCs w:val="22"/>
          <w:u w:val="single"/>
        </w:rPr>
        <w:t>y Judicial</w:t>
      </w:r>
      <w:r w:rsidRPr="00E506E6">
        <w:rPr>
          <w:rFonts w:ascii="Palatino Linotype" w:eastAsia="Palatino Linotype" w:hAnsi="Palatino Linotype" w:cs="Palatino Linotype"/>
          <w:i/>
          <w:iCs/>
          <w:sz w:val="22"/>
          <w:szCs w:val="22"/>
        </w:rPr>
        <w:t xml:space="preserve">, órganos autónomos, partidos políticos, fideicomisos y fondos públicos, así como de cualquier persona física, moral o sindicato que reciba y ejerza recursos públicos o realice actos de autoridad en el ámbito federal, estatal y municipal, </w:t>
      </w:r>
      <w:r w:rsidRPr="00E506E6">
        <w:rPr>
          <w:rFonts w:ascii="Palatino Linotype" w:eastAsia="Palatino Linotype" w:hAnsi="Palatino Linotype" w:cs="Palatino Linotype"/>
          <w:b/>
          <w:bCs/>
          <w:i/>
          <w:iCs/>
          <w:sz w:val="22"/>
          <w:szCs w:val="22"/>
        </w:rPr>
        <w:t>es pública y sólo podrá ser reservada temporalmente por razones de interés público y seguridad nacional,</w:t>
      </w:r>
      <w:r w:rsidRPr="00E506E6">
        <w:rPr>
          <w:rFonts w:ascii="Palatino Linotype" w:eastAsia="Palatino Linotype" w:hAnsi="Palatino Linotype" w:cs="Palatino Linotype"/>
          <w:i/>
          <w:iCs/>
          <w:sz w:val="22"/>
          <w:szCs w:val="22"/>
        </w:rPr>
        <w:t xml:space="preserve">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E06426" w:rsidRPr="00E506E6" w:rsidRDefault="004679EF">
      <w:pPr>
        <w:pBdr>
          <w:top w:val="nil"/>
          <w:left w:val="nil"/>
          <w:bottom w:val="nil"/>
          <w:right w:val="nil"/>
          <w:between w:val="nil"/>
        </w:pBdr>
        <w:spacing w:line="276" w:lineRule="auto"/>
        <w:ind w:left="851" w:right="851"/>
        <w:jc w:val="both"/>
        <w:rPr>
          <w:rFonts w:ascii="Palatino Linotype" w:eastAsia="Palatino Linotype" w:hAnsi="Palatino Linotype" w:cs="Palatino Linotype"/>
          <w:b/>
          <w:bCs/>
          <w:i/>
          <w:iCs/>
          <w:sz w:val="22"/>
          <w:szCs w:val="22"/>
        </w:rPr>
      </w:pPr>
      <w:r w:rsidRPr="00E506E6">
        <w:rPr>
          <w:rFonts w:ascii="Palatino Linotype" w:eastAsia="Palatino Linotype" w:hAnsi="Palatino Linotype" w:cs="Palatino Linotype"/>
          <w:i/>
          <w:iCs/>
          <w:sz w:val="22"/>
          <w:szCs w:val="22"/>
        </w:rPr>
        <w:t> </w:t>
      </w:r>
      <w:r w:rsidRPr="00E506E6">
        <w:rPr>
          <w:rFonts w:ascii="Palatino Linotype" w:eastAsia="Palatino Linotype" w:hAnsi="Palatino Linotype" w:cs="Palatino Linotype"/>
          <w:b/>
          <w:bCs/>
          <w:i/>
          <w:iCs/>
          <w:sz w:val="22"/>
          <w:szCs w:val="22"/>
        </w:rPr>
        <w:t>II. La información que se refiere a la vida privada y los datos personales será protegida en los términos y con las excepciones que fijen las leyes. Para tal efecto, los sujetos obligados contarán con las facultades suficientes para su atención.</w:t>
      </w:r>
    </w:p>
    <w:p w:rsidR="00E06426" w:rsidRPr="00E506E6" w:rsidRDefault="004679EF">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i/>
          <w:iCs/>
          <w:sz w:val="22"/>
          <w:szCs w:val="22"/>
        </w:rPr>
        <w:t>Por lo que hace a la información relacionada con los datos personales en posesión de particulares, la ley a la que se refiere el artículo 90 de esta Constitución determinará la competencia para conocer de los procedimientos relativos a su protección, verificación e imposición de sanciones.</w:t>
      </w:r>
    </w:p>
    <w:p w:rsidR="00E06426" w:rsidRPr="00E506E6" w:rsidRDefault="004679EF">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i/>
          <w:iCs/>
          <w:sz w:val="22"/>
          <w:szCs w:val="22"/>
        </w:rPr>
        <w:t> </w:t>
      </w:r>
      <w:r w:rsidRPr="00E506E6">
        <w:rPr>
          <w:rFonts w:ascii="Palatino Linotype" w:eastAsia="Palatino Linotype" w:hAnsi="Palatino Linotype" w:cs="Palatino Linotype"/>
          <w:b/>
          <w:bCs/>
          <w:i/>
          <w:iCs/>
          <w:sz w:val="22"/>
          <w:szCs w:val="22"/>
        </w:rPr>
        <w:t xml:space="preserve">III. </w:t>
      </w:r>
      <w:r w:rsidRPr="00E506E6">
        <w:rPr>
          <w:rFonts w:ascii="Palatino Linotype" w:eastAsia="Palatino Linotype" w:hAnsi="Palatino Linotype" w:cs="Palatino Linotype"/>
          <w:b/>
          <w:bCs/>
          <w:i/>
          <w:iCs/>
          <w:sz w:val="22"/>
          <w:szCs w:val="22"/>
          <w:u w:val="single"/>
        </w:rPr>
        <w:t>Toda persona, sin necesidad de acreditar interés alguno o justificar su utilización, tendrá acceso gratuito a la información pública,</w:t>
      </w:r>
      <w:r w:rsidRPr="00E506E6">
        <w:rPr>
          <w:rFonts w:ascii="Palatino Linotype" w:eastAsia="Palatino Linotype" w:hAnsi="Palatino Linotype" w:cs="Palatino Linotype"/>
          <w:i/>
          <w:iCs/>
          <w:sz w:val="22"/>
          <w:szCs w:val="22"/>
        </w:rPr>
        <w:t xml:space="preserve"> a sus datos personales o a la rectificación de éstos.</w:t>
      </w:r>
    </w:p>
    <w:p w:rsidR="00E06426" w:rsidRPr="00E506E6" w:rsidRDefault="004679EF">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i/>
          <w:iCs/>
          <w:sz w:val="22"/>
          <w:szCs w:val="22"/>
        </w:rPr>
        <w:t> </w:t>
      </w:r>
      <w:r w:rsidRPr="00E506E6">
        <w:rPr>
          <w:rFonts w:ascii="Palatino Linotype" w:eastAsia="Palatino Linotype" w:hAnsi="Palatino Linotype" w:cs="Palatino Linotype"/>
          <w:b/>
          <w:bCs/>
          <w:i/>
          <w:iCs/>
          <w:sz w:val="22"/>
          <w:szCs w:val="22"/>
        </w:rPr>
        <w:t xml:space="preserve">IV. </w:t>
      </w:r>
      <w:r w:rsidRPr="00E506E6">
        <w:rPr>
          <w:rFonts w:ascii="Palatino Linotype" w:eastAsia="Palatino Linotype" w:hAnsi="Palatino Linotype" w:cs="Palatino Linotype"/>
          <w:i/>
          <w:iCs/>
          <w:sz w:val="22"/>
          <w:szCs w:val="22"/>
        </w:rPr>
        <w:t>Se establecerán mecanismos de acceso a la información pública y procedimientos de revisión expeditos que se sustanciarán ante las instancias competentes en los términos que fija esta Constitución y las leyes.</w:t>
      </w:r>
    </w:p>
    <w:p w:rsidR="00E06426" w:rsidRPr="00E506E6" w:rsidRDefault="004679EF">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i/>
          <w:iCs/>
          <w:sz w:val="22"/>
          <w:szCs w:val="22"/>
        </w:rPr>
        <w:t xml:space="preserve">V. </w:t>
      </w:r>
      <w:r w:rsidRPr="00E506E6">
        <w:rPr>
          <w:rFonts w:ascii="Palatino Linotype" w:eastAsia="Palatino Linotype" w:hAnsi="Palatino Linotype" w:cs="Palatino Linotype"/>
          <w:i/>
          <w:iCs/>
          <w:sz w:val="22"/>
          <w:szCs w:val="22"/>
        </w:rPr>
        <w:t>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de los resultados obtenidos.</w:t>
      </w:r>
    </w:p>
    <w:p w:rsidR="00E06426" w:rsidRPr="00E506E6" w:rsidRDefault="004679EF">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i/>
          <w:iCs/>
          <w:sz w:val="22"/>
          <w:szCs w:val="22"/>
        </w:rPr>
        <w:t> </w:t>
      </w:r>
      <w:r w:rsidRPr="00E506E6">
        <w:rPr>
          <w:rFonts w:ascii="Palatino Linotype" w:eastAsia="Palatino Linotype" w:hAnsi="Palatino Linotype" w:cs="Palatino Linotype"/>
          <w:b/>
          <w:bCs/>
          <w:i/>
          <w:iCs/>
          <w:sz w:val="22"/>
          <w:szCs w:val="22"/>
        </w:rPr>
        <w:t xml:space="preserve">VI. </w:t>
      </w:r>
      <w:r w:rsidRPr="00E506E6">
        <w:rPr>
          <w:rFonts w:ascii="Palatino Linotype" w:eastAsia="Palatino Linotype" w:hAnsi="Palatino Linotype" w:cs="Palatino Linotype"/>
          <w:i/>
          <w:iCs/>
          <w:sz w:val="22"/>
          <w:szCs w:val="22"/>
        </w:rPr>
        <w:t>Las leyes determinarán la manera en que los sujetos obligados deberán hacer pública la información relativa a los recursos públicos que entreguen a personas físicas o morales.</w:t>
      </w:r>
    </w:p>
    <w:p w:rsidR="00E06426" w:rsidRPr="00E506E6" w:rsidRDefault="004679EF">
      <w:pPr>
        <w:pBdr>
          <w:top w:val="nil"/>
          <w:left w:val="nil"/>
          <w:bottom w:val="nil"/>
          <w:right w:val="nil"/>
          <w:between w:val="nil"/>
        </w:pBdr>
        <w:spacing w:line="276" w:lineRule="auto"/>
        <w:ind w:left="851" w:right="851"/>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 </w:t>
      </w:r>
      <w:r w:rsidRPr="00E506E6">
        <w:rPr>
          <w:rFonts w:ascii="Palatino Linotype" w:eastAsia="Palatino Linotype" w:hAnsi="Palatino Linotype" w:cs="Palatino Linotype"/>
          <w:b/>
          <w:bCs/>
          <w:i/>
          <w:iCs/>
          <w:sz w:val="22"/>
          <w:szCs w:val="22"/>
        </w:rPr>
        <w:t xml:space="preserve">VII. </w:t>
      </w:r>
      <w:r w:rsidRPr="00E506E6">
        <w:rPr>
          <w:rFonts w:ascii="Palatino Linotype" w:eastAsia="Palatino Linotype" w:hAnsi="Palatino Linotype" w:cs="Palatino Linotype"/>
          <w:i/>
          <w:iCs/>
          <w:sz w:val="22"/>
          <w:szCs w:val="22"/>
        </w:rPr>
        <w:t xml:space="preserve">La inobservancia a las disposiciones en materia de acceso a la información pública será sancionada en los términos que dispongan las leyes. [...]” </w:t>
      </w:r>
    </w:p>
    <w:p w:rsidR="00E06426" w:rsidRPr="00E506E6" w:rsidRDefault="00E06426">
      <w:pPr>
        <w:pBdr>
          <w:top w:val="nil"/>
          <w:left w:val="nil"/>
          <w:bottom w:val="nil"/>
          <w:right w:val="nil"/>
          <w:between w:val="nil"/>
        </w:pBdr>
        <w:spacing w:line="276" w:lineRule="auto"/>
        <w:ind w:left="851" w:right="851"/>
        <w:jc w:val="both"/>
        <w:rPr>
          <w:rFonts w:ascii="Palatino Linotype" w:eastAsia="Palatino Linotype" w:hAnsi="Palatino Linotype" w:cs="Palatino Linotype"/>
          <w:sz w:val="22"/>
          <w:szCs w:val="22"/>
        </w:rPr>
      </w:pPr>
    </w:p>
    <w:p w:rsidR="00E06426" w:rsidRPr="00E506E6" w:rsidRDefault="004679EF">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Esto es,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E06426" w:rsidRPr="00E506E6" w:rsidRDefault="00E06426">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rsidR="00E06426" w:rsidRPr="00E506E6" w:rsidRDefault="004679EF">
      <w:pPr>
        <w:spacing w:line="276" w:lineRule="auto"/>
        <w:ind w:left="851" w:right="843"/>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b/>
          <w:bCs/>
          <w:i/>
          <w:iCs/>
          <w:sz w:val="22"/>
          <w:szCs w:val="22"/>
        </w:rPr>
        <w:t>Artículo 4</w:t>
      </w:r>
      <w:r w:rsidRPr="00E506E6">
        <w:rPr>
          <w:rFonts w:ascii="Palatino Linotype" w:eastAsia="Palatino Linotype" w:hAnsi="Palatino Linotype" w:cs="Palatino Linotype"/>
          <w:i/>
          <w:iCs/>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rsidR="00E06426" w:rsidRPr="00E506E6" w:rsidRDefault="00E06426">
      <w:pPr>
        <w:spacing w:line="276" w:lineRule="auto"/>
        <w:ind w:left="851" w:right="843"/>
        <w:jc w:val="both"/>
        <w:rPr>
          <w:rFonts w:ascii="Palatino Linotype" w:eastAsia="Palatino Linotype" w:hAnsi="Palatino Linotype" w:cs="Palatino Linotype"/>
          <w:i/>
          <w:iCs/>
          <w:sz w:val="22"/>
          <w:szCs w:val="22"/>
        </w:rPr>
      </w:pPr>
    </w:p>
    <w:p w:rsidR="00E06426" w:rsidRPr="00E506E6" w:rsidRDefault="004679EF">
      <w:pPr>
        <w:spacing w:line="276" w:lineRule="auto"/>
        <w:ind w:left="851" w:right="843"/>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Toda la información generada, obtenida, adquirida, transformada, administrada o en posesión de los sujetos obligados es pública y accesible de manera permanente a cualquier persona</w:t>
      </w:r>
      <w:r w:rsidRPr="00E506E6">
        <w:rPr>
          <w:rFonts w:ascii="Palatino Linotype" w:eastAsia="Palatino Linotype" w:hAnsi="Palatino Linotype" w:cs="Palatino Linotype"/>
          <w:i/>
          <w:iCs/>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E06426" w:rsidRPr="00E506E6" w:rsidRDefault="00E06426">
      <w:pPr>
        <w:spacing w:line="276" w:lineRule="auto"/>
        <w:ind w:left="851" w:right="843"/>
        <w:jc w:val="both"/>
        <w:rPr>
          <w:rFonts w:ascii="Palatino Linotype" w:eastAsia="Palatino Linotype" w:hAnsi="Palatino Linotype" w:cs="Palatino Linotype"/>
          <w:i/>
          <w:iCs/>
          <w:sz w:val="22"/>
          <w:szCs w:val="22"/>
        </w:rPr>
      </w:pPr>
    </w:p>
    <w:p w:rsidR="00E06426" w:rsidRPr="00E506E6" w:rsidRDefault="004679EF">
      <w:pPr>
        <w:spacing w:line="276" w:lineRule="auto"/>
        <w:ind w:left="851" w:right="843"/>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Los sujetos obligados deben poner en práctica, políticas y programas de acceso a la información que se apeguen a criterios de publicidad, veracidad, oportunidad, precisión y suficiencia en beneficio de los solicitantes</w:t>
      </w:r>
      <w:r w:rsidRPr="00E506E6">
        <w:rPr>
          <w:rFonts w:ascii="Palatino Linotype" w:eastAsia="Palatino Linotype" w:hAnsi="Palatino Linotype" w:cs="Palatino Linotype"/>
          <w:i/>
          <w:iCs/>
          <w:sz w:val="22"/>
          <w:szCs w:val="22"/>
        </w:rPr>
        <w:t>.”</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ind w:left="851" w:right="843"/>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b/>
          <w:bCs/>
          <w:i/>
          <w:iCs/>
          <w:sz w:val="22"/>
          <w:szCs w:val="22"/>
        </w:rPr>
        <w:t>Artículo 12.-</w:t>
      </w:r>
      <w:r w:rsidRPr="00E506E6">
        <w:rPr>
          <w:rFonts w:ascii="Palatino Linotype" w:eastAsia="Palatino Linotype" w:hAnsi="Palatino Linotype" w:cs="Palatino Linotype"/>
          <w:i/>
          <w:iCs/>
          <w:sz w:val="22"/>
          <w:szCs w:val="22"/>
        </w:rPr>
        <w:t xml:space="preserve"> Quienes generen, recopilen, administren, manejen, procesen, archiven o conserven información pública serán responsables de la misma en los términos de las disposiciones jurídicas aplicables. </w:t>
      </w:r>
    </w:p>
    <w:p w:rsidR="00E06426" w:rsidRPr="00E506E6" w:rsidRDefault="00E06426">
      <w:pPr>
        <w:ind w:left="851" w:right="843"/>
        <w:jc w:val="both"/>
        <w:rPr>
          <w:rFonts w:ascii="Palatino Linotype" w:eastAsia="Palatino Linotype" w:hAnsi="Palatino Linotype" w:cs="Palatino Linotype"/>
          <w:i/>
          <w:iCs/>
          <w:sz w:val="22"/>
          <w:szCs w:val="22"/>
        </w:rPr>
      </w:pPr>
    </w:p>
    <w:p w:rsidR="00E06426" w:rsidRPr="00E506E6" w:rsidRDefault="004679EF">
      <w:pPr>
        <w:ind w:left="851" w:right="843"/>
        <w:jc w:val="both"/>
        <w:rPr>
          <w:rFonts w:ascii="Palatino Linotype" w:eastAsia="Palatino Linotype" w:hAnsi="Palatino Linotype" w:cs="Palatino Linotype"/>
          <w:b/>
          <w:bCs/>
          <w:i/>
          <w:iCs/>
          <w:sz w:val="22"/>
          <w:szCs w:val="22"/>
        </w:rPr>
      </w:pPr>
      <w:r w:rsidRPr="00E506E6">
        <w:rPr>
          <w:rFonts w:ascii="Palatino Linotype" w:eastAsia="Palatino Linotype" w:hAnsi="Palatino Linotype" w:cs="Palatino Linotype"/>
          <w:b/>
          <w:bCs/>
          <w:i/>
          <w:iCs/>
          <w:sz w:val="22"/>
          <w:szCs w:val="22"/>
        </w:rPr>
        <w:t>Los sujetos obligados sólo proporcionarán la información pública que se les requiera y que obre en sus archivos y en el estado en que ésta se encuentre</w:t>
      </w:r>
      <w:r w:rsidRPr="00E506E6">
        <w:rPr>
          <w:rFonts w:ascii="Palatino Linotype" w:eastAsia="Palatino Linotype" w:hAnsi="Palatino Linotype" w:cs="Palatino Linotype"/>
          <w:i/>
          <w:iCs/>
          <w:sz w:val="22"/>
          <w:szCs w:val="22"/>
        </w:rPr>
        <w:t xml:space="preserve">. </w:t>
      </w:r>
      <w:r w:rsidRPr="00E506E6">
        <w:rPr>
          <w:rFonts w:ascii="Palatino Linotype" w:eastAsia="Palatino Linotype" w:hAnsi="Palatino Linotype" w:cs="Palatino Linotype"/>
          <w:b/>
          <w:bCs/>
          <w:i/>
          <w:iCs/>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rsidR="00E06426" w:rsidRPr="00E506E6" w:rsidRDefault="00E06426">
      <w:pPr>
        <w:spacing w:line="360" w:lineRule="auto"/>
        <w:ind w:left="567" w:right="616"/>
        <w:jc w:val="both"/>
        <w:rPr>
          <w:rFonts w:ascii="Palatino Linotype" w:eastAsia="Palatino Linotype" w:hAnsi="Palatino Linotype" w:cs="Palatino Linotype"/>
          <w:i/>
          <w:iCs/>
          <w:sz w:val="22"/>
          <w:szCs w:val="22"/>
        </w:rPr>
      </w:pPr>
    </w:p>
    <w:p w:rsidR="00E06426" w:rsidRPr="00E506E6" w:rsidRDefault="004679EF">
      <w:pPr>
        <w:spacing w:line="360" w:lineRule="auto"/>
        <w:ind w:right="-93"/>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rsidR="00E06426" w:rsidRPr="00E506E6" w:rsidRDefault="00E06426">
      <w:pPr>
        <w:spacing w:line="360" w:lineRule="auto"/>
        <w:ind w:right="-93"/>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b/>
          <w:bCs/>
          <w:sz w:val="22"/>
          <w:szCs w:val="22"/>
        </w:rPr>
      </w:pPr>
      <w:r w:rsidRPr="00E506E6">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E506E6">
        <w:rPr>
          <w:rFonts w:ascii="Palatino Linotype" w:eastAsia="Palatino Linotype" w:hAnsi="Palatino Linotype" w:cs="Palatino Linotype"/>
          <w:b/>
          <w:bCs/>
          <w:sz w:val="22"/>
          <w:szCs w:val="22"/>
        </w:rPr>
        <w:t xml:space="preserve"> </w:t>
      </w:r>
    </w:p>
    <w:p w:rsidR="00E06426" w:rsidRPr="00E506E6" w:rsidRDefault="00E06426">
      <w:pPr>
        <w:spacing w:line="360" w:lineRule="auto"/>
        <w:jc w:val="both"/>
        <w:rPr>
          <w:rFonts w:ascii="Palatino Linotype" w:eastAsia="Palatino Linotype" w:hAnsi="Palatino Linotype" w:cs="Palatino Linotype"/>
          <w:b/>
          <w:bCs/>
          <w:sz w:val="22"/>
          <w:szCs w:val="22"/>
        </w:rPr>
      </w:pPr>
    </w:p>
    <w:p w:rsidR="00E06426" w:rsidRPr="00E506E6" w:rsidRDefault="004679EF">
      <w:pPr>
        <w:spacing w:line="276" w:lineRule="auto"/>
        <w:ind w:left="851" w:right="843"/>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b/>
          <w:bCs/>
          <w:i/>
          <w:iCs/>
          <w:sz w:val="22"/>
          <w:szCs w:val="22"/>
        </w:rPr>
        <w:t>No existe obligación de elaborar documentos ad hoc para atender las solicitudes de acceso a la información.</w:t>
      </w:r>
      <w:r w:rsidRPr="00E506E6">
        <w:rPr>
          <w:rFonts w:ascii="Palatino Linotype" w:eastAsia="Palatino Linotype" w:hAnsi="Palatino Linotype" w:cs="Palatino Linotype"/>
          <w:i/>
          <w:iCs/>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rsidR="00E06426" w:rsidRPr="00E506E6" w:rsidRDefault="00E06426">
      <w:pPr>
        <w:spacing w:line="360" w:lineRule="auto"/>
        <w:ind w:right="-93"/>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E06426" w:rsidRPr="00E506E6" w:rsidRDefault="00E06426">
      <w:pPr>
        <w:spacing w:line="360" w:lineRule="auto"/>
        <w:ind w:right="49"/>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276" w:lineRule="auto"/>
        <w:ind w:left="851" w:right="843"/>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b/>
          <w:bCs/>
          <w:i/>
          <w:iCs/>
          <w:sz w:val="22"/>
          <w:szCs w:val="22"/>
        </w:rPr>
        <w:t xml:space="preserve">Artículo 3. </w:t>
      </w:r>
      <w:r w:rsidRPr="00E506E6">
        <w:rPr>
          <w:rFonts w:ascii="Palatino Linotype" w:eastAsia="Palatino Linotype" w:hAnsi="Palatino Linotype" w:cs="Palatino Linotype"/>
          <w:i/>
          <w:iCs/>
          <w:sz w:val="22"/>
          <w:szCs w:val="22"/>
        </w:rPr>
        <w:t>Para los efectos de la presente Ley se entenderá por:</w:t>
      </w:r>
    </w:p>
    <w:p w:rsidR="00E06426" w:rsidRPr="00E506E6" w:rsidRDefault="004679EF">
      <w:pPr>
        <w:spacing w:line="276" w:lineRule="auto"/>
        <w:ind w:left="851" w:right="843"/>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p>
    <w:p w:rsidR="00E06426" w:rsidRPr="00E506E6" w:rsidRDefault="004679EF">
      <w:pPr>
        <w:spacing w:line="276" w:lineRule="auto"/>
        <w:ind w:left="851" w:right="843"/>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XI. Documento:</w:t>
      </w:r>
      <w:r w:rsidRPr="00E506E6">
        <w:rPr>
          <w:rFonts w:ascii="Palatino Linotype" w:eastAsia="Palatino Linotype" w:hAnsi="Palatino Linotype" w:cs="Palatino Linotype"/>
          <w:i/>
          <w:iCs/>
          <w:sz w:val="22"/>
          <w:szCs w:val="22"/>
        </w:rPr>
        <w:t xml:space="preserve"> Los expedientes, reportes, estudios, actas</w:t>
      </w:r>
      <w:r w:rsidRPr="00E506E6">
        <w:rPr>
          <w:rFonts w:ascii="Palatino Linotype" w:eastAsia="Palatino Linotype" w:hAnsi="Palatino Linotype" w:cs="Palatino Linotype"/>
          <w:b/>
          <w:bCs/>
          <w:i/>
          <w:iCs/>
          <w:sz w:val="22"/>
          <w:szCs w:val="22"/>
        </w:rPr>
        <w:t>,</w:t>
      </w:r>
      <w:r w:rsidRPr="00E506E6">
        <w:rPr>
          <w:rFonts w:ascii="Palatino Linotype" w:eastAsia="Palatino Linotype" w:hAnsi="Palatino Linotype" w:cs="Palatino Linotype"/>
          <w:i/>
          <w:iCs/>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rsidR="00E06426" w:rsidRPr="00E506E6" w:rsidRDefault="00E06426">
      <w:pPr>
        <w:spacing w:line="360" w:lineRule="auto"/>
        <w:ind w:left="851" w:right="899"/>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276" w:lineRule="auto"/>
        <w:ind w:left="851" w:right="843"/>
        <w:jc w:val="both"/>
        <w:rPr>
          <w:rFonts w:ascii="Palatino Linotype" w:eastAsia="Palatino Linotype" w:hAnsi="Palatino Linotype" w:cs="Palatino Linotype"/>
          <w:b/>
          <w:bCs/>
          <w:i/>
          <w:iCs/>
          <w:sz w:val="22"/>
          <w:szCs w:val="22"/>
        </w:rPr>
      </w:pPr>
      <w:r w:rsidRPr="00E506E6">
        <w:rPr>
          <w:rFonts w:ascii="Palatino Linotype" w:eastAsia="Palatino Linotype" w:hAnsi="Palatino Linotype" w:cs="Palatino Linotype"/>
          <w:b/>
          <w:bCs/>
          <w:sz w:val="22"/>
          <w:szCs w:val="22"/>
        </w:rPr>
        <w:t>“</w:t>
      </w:r>
      <w:r w:rsidRPr="00E506E6">
        <w:rPr>
          <w:rFonts w:ascii="Palatino Linotype" w:eastAsia="Palatino Linotype" w:hAnsi="Palatino Linotype" w:cs="Palatino Linotype"/>
          <w:b/>
          <w:bCs/>
          <w:i/>
          <w:iCs/>
          <w:sz w:val="22"/>
          <w:szCs w:val="22"/>
        </w:rPr>
        <w:t>CRITERIO 0002-11. INFORMACIÓN PÚBLICA, CONCEPTO DE, EN MATERIA DE TRANSPARENCIA. INTERPRETACIÓN SISTEMÁTICA DE LOS ARTÍCULOS 2°, FRACCIÓN V, XV, Y XVI, 3°, 4°, 11 Y 41.</w:t>
      </w:r>
      <w:r w:rsidRPr="00E506E6">
        <w:rPr>
          <w:rFonts w:ascii="Palatino Linotype" w:eastAsia="Palatino Linotype" w:hAnsi="Palatino Linotype" w:cs="Palatino Linotype"/>
          <w:i/>
          <w:iCs/>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E06426" w:rsidRPr="00E506E6" w:rsidRDefault="004679EF">
      <w:pPr>
        <w:spacing w:line="276" w:lineRule="auto"/>
        <w:ind w:left="851" w:right="843"/>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 xml:space="preserve">En </w:t>
      </w:r>
      <w:proofErr w:type="gramStart"/>
      <w:r w:rsidRPr="00E506E6">
        <w:rPr>
          <w:rFonts w:ascii="Palatino Linotype" w:eastAsia="Palatino Linotype" w:hAnsi="Palatino Linotype" w:cs="Palatino Linotype"/>
          <w:i/>
          <w:iCs/>
          <w:sz w:val="22"/>
          <w:szCs w:val="22"/>
        </w:rPr>
        <w:t>consecuencia</w:t>
      </w:r>
      <w:proofErr w:type="gramEnd"/>
      <w:r w:rsidRPr="00E506E6">
        <w:rPr>
          <w:rFonts w:ascii="Palatino Linotype" w:eastAsia="Palatino Linotype" w:hAnsi="Palatino Linotype" w:cs="Palatino Linotype"/>
          <w:i/>
          <w:iCs/>
          <w:sz w:val="22"/>
          <w:szCs w:val="22"/>
        </w:rPr>
        <w:t xml:space="preserve"> el acceso a la información se refiere a que se cumplan cualquiera de los siguientes tres supuestos:</w:t>
      </w:r>
    </w:p>
    <w:p w:rsidR="00E06426" w:rsidRPr="00E506E6" w:rsidRDefault="004679EF">
      <w:pPr>
        <w:spacing w:line="276" w:lineRule="auto"/>
        <w:ind w:left="851" w:right="843"/>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 xml:space="preserve">1) Que se trate de información registrada en cualquier soporte documental, </w:t>
      </w:r>
      <w:proofErr w:type="gramStart"/>
      <w:r w:rsidRPr="00E506E6">
        <w:rPr>
          <w:rFonts w:ascii="Palatino Linotype" w:eastAsia="Palatino Linotype" w:hAnsi="Palatino Linotype" w:cs="Palatino Linotype"/>
          <w:i/>
          <w:iCs/>
          <w:sz w:val="22"/>
          <w:szCs w:val="22"/>
        </w:rPr>
        <w:t>que</w:t>
      </w:r>
      <w:proofErr w:type="gramEnd"/>
      <w:r w:rsidRPr="00E506E6">
        <w:rPr>
          <w:rFonts w:ascii="Palatino Linotype" w:eastAsia="Palatino Linotype" w:hAnsi="Palatino Linotype" w:cs="Palatino Linotype"/>
          <w:i/>
          <w:iCs/>
          <w:sz w:val="22"/>
          <w:szCs w:val="22"/>
        </w:rPr>
        <w:t xml:space="preserve"> en ejercicio de las atribuciones conferidas, sea generada por los Sujetos Obligados;</w:t>
      </w:r>
    </w:p>
    <w:p w:rsidR="00E06426" w:rsidRPr="00E506E6" w:rsidRDefault="004679EF">
      <w:pPr>
        <w:spacing w:line="276" w:lineRule="auto"/>
        <w:ind w:left="851" w:right="843"/>
        <w:jc w:val="both"/>
        <w:rPr>
          <w:rFonts w:ascii="Palatino Linotype" w:eastAsia="Palatino Linotype" w:hAnsi="Palatino Linotype" w:cs="Palatino Linotype"/>
          <w:b/>
          <w:bCs/>
          <w:i/>
          <w:iCs/>
          <w:sz w:val="22"/>
          <w:szCs w:val="22"/>
        </w:rPr>
      </w:pPr>
      <w:r w:rsidRPr="00E506E6">
        <w:rPr>
          <w:rFonts w:ascii="Palatino Linotype" w:eastAsia="Palatino Linotype" w:hAnsi="Palatino Linotype" w:cs="Palatino Linotype"/>
          <w:b/>
          <w:bCs/>
          <w:i/>
          <w:iCs/>
          <w:sz w:val="22"/>
          <w:szCs w:val="22"/>
        </w:rPr>
        <w:t xml:space="preserve">2) Que se trate de información registrada en cualquier soporte documental, </w:t>
      </w:r>
      <w:proofErr w:type="gramStart"/>
      <w:r w:rsidRPr="00E506E6">
        <w:rPr>
          <w:rFonts w:ascii="Palatino Linotype" w:eastAsia="Palatino Linotype" w:hAnsi="Palatino Linotype" w:cs="Palatino Linotype"/>
          <w:b/>
          <w:bCs/>
          <w:i/>
          <w:iCs/>
          <w:sz w:val="22"/>
          <w:szCs w:val="22"/>
        </w:rPr>
        <w:t>que</w:t>
      </w:r>
      <w:proofErr w:type="gramEnd"/>
      <w:r w:rsidRPr="00E506E6">
        <w:rPr>
          <w:rFonts w:ascii="Palatino Linotype" w:eastAsia="Palatino Linotype" w:hAnsi="Palatino Linotype" w:cs="Palatino Linotype"/>
          <w:b/>
          <w:bCs/>
          <w:i/>
          <w:iCs/>
          <w:sz w:val="22"/>
          <w:szCs w:val="22"/>
        </w:rPr>
        <w:t xml:space="preserve"> en ejercicio de las atribuciones conferidas, sea administrada por los Sujetos Obligados, y</w:t>
      </w:r>
    </w:p>
    <w:p w:rsidR="00E06426" w:rsidRPr="00E506E6" w:rsidRDefault="004679EF">
      <w:pPr>
        <w:spacing w:line="276" w:lineRule="auto"/>
        <w:ind w:left="851" w:right="843"/>
        <w:jc w:val="both"/>
        <w:rPr>
          <w:rFonts w:ascii="Palatino Linotype" w:eastAsia="Palatino Linotype" w:hAnsi="Palatino Linotype" w:cs="Palatino Linotype"/>
          <w:b/>
          <w:bCs/>
          <w:i/>
          <w:iCs/>
          <w:sz w:val="22"/>
          <w:szCs w:val="22"/>
        </w:rPr>
      </w:pPr>
      <w:r w:rsidRPr="00E506E6">
        <w:rPr>
          <w:rFonts w:ascii="Palatino Linotype" w:eastAsia="Palatino Linotype" w:hAnsi="Palatino Linotype" w:cs="Palatino Linotype"/>
          <w:b/>
          <w:bCs/>
          <w:i/>
          <w:iCs/>
          <w:sz w:val="22"/>
          <w:szCs w:val="22"/>
        </w:rPr>
        <w:t xml:space="preserve">3) Que se trate de información registrada en cualquier soporte documental, </w:t>
      </w:r>
      <w:proofErr w:type="gramStart"/>
      <w:r w:rsidRPr="00E506E6">
        <w:rPr>
          <w:rFonts w:ascii="Palatino Linotype" w:eastAsia="Palatino Linotype" w:hAnsi="Palatino Linotype" w:cs="Palatino Linotype"/>
          <w:b/>
          <w:bCs/>
          <w:i/>
          <w:iCs/>
          <w:sz w:val="22"/>
          <w:szCs w:val="22"/>
        </w:rPr>
        <w:t>que</w:t>
      </w:r>
      <w:proofErr w:type="gramEnd"/>
      <w:r w:rsidRPr="00E506E6">
        <w:rPr>
          <w:rFonts w:ascii="Palatino Linotype" w:eastAsia="Palatino Linotype" w:hAnsi="Palatino Linotype" w:cs="Palatino Linotype"/>
          <w:b/>
          <w:bCs/>
          <w:i/>
          <w:iCs/>
          <w:sz w:val="22"/>
          <w:szCs w:val="22"/>
        </w:rPr>
        <w:t xml:space="preserve"> en ejercicio de las atribuciones conferidas, se encuentre en posesión de los Sujetos Obligados.” </w:t>
      </w:r>
    </w:p>
    <w:p w:rsidR="00E06426" w:rsidRPr="00E506E6" w:rsidRDefault="00E06426">
      <w:pPr>
        <w:spacing w:line="276" w:lineRule="auto"/>
        <w:ind w:left="567" w:right="616"/>
        <w:jc w:val="both"/>
        <w:rPr>
          <w:rFonts w:ascii="Palatino Linotype" w:eastAsia="Palatino Linotype" w:hAnsi="Palatino Linotype" w:cs="Palatino Linotype"/>
          <w:b/>
          <w:bCs/>
          <w:i/>
          <w:iCs/>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De ahí que el </w:t>
      </w:r>
      <w:r w:rsidRPr="00E506E6">
        <w:rPr>
          <w:rFonts w:ascii="Palatino Linotype" w:eastAsia="Palatino Linotype" w:hAnsi="Palatino Linotype" w:cs="Palatino Linotype"/>
          <w:b/>
          <w:bCs/>
          <w:sz w:val="22"/>
          <w:szCs w:val="22"/>
        </w:rPr>
        <w:t>Sujeto Obligado</w:t>
      </w:r>
      <w:r w:rsidRPr="00E506E6">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E506E6">
        <w:rPr>
          <w:rFonts w:ascii="Palatino Linotype" w:eastAsia="Palatino Linotype" w:hAnsi="Palatino Linotype" w:cs="Palatino Linotype"/>
          <w:sz w:val="22"/>
          <w:szCs w:val="22"/>
          <w:vertAlign w:val="superscript"/>
        </w:rPr>
        <w:footnoteReference w:id="1"/>
      </w:r>
      <w:r w:rsidRPr="00E506E6">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E506E6">
        <w:rPr>
          <w:rFonts w:ascii="Palatino Linotype" w:eastAsia="Palatino Linotype" w:hAnsi="Palatino Linotype" w:cs="Palatino Linotype"/>
          <w:sz w:val="22"/>
          <w:szCs w:val="22"/>
          <w:vertAlign w:val="superscript"/>
        </w:rPr>
        <w:footnoteReference w:id="2"/>
      </w:r>
      <w:r w:rsidRPr="00E506E6">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rsidR="00E06426" w:rsidRPr="00E506E6" w:rsidRDefault="00E0642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rsidR="00E06426" w:rsidRPr="00E506E6" w:rsidRDefault="004679EF">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Dicho lo anterior, en el caso se analizará el agravio hecho valer por la parte </w:t>
      </w:r>
      <w:r w:rsidRPr="00E506E6">
        <w:rPr>
          <w:rFonts w:ascii="Palatino Linotype" w:eastAsia="Palatino Linotype" w:hAnsi="Palatino Linotype" w:cs="Palatino Linotype"/>
          <w:b/>
          <w:bCs/>
          <w:sz w:val="22"/>
          <w:szCs w:val="22"/>
        </w:rPr>
        <w:t>Recurrente</w:t>
      </w:r>
      <w:r w:rsidRPr="00E506E6">
        <w:rPr>
          <w:rFonts w:ascii="Palatino Linotype" w:eastAsia="Palatino Linotype" w:hAnsi="Palatino Linotype" w:cs="Palatino Linotype"/>
          <w:sz w:val="22"/>
          <w:szCs w:val="22"/>
        </w:rPr>
        <w:t xml:space="preserve"> que actualiza la causal de procedencia prevista en la fracción I del artículo 179 de la Ley de Transparencia y Acceso a la Información del Estado de México y Municipios, relativa a </w:t>
      </w:r>
      <w:r w:rsidRPr="00E506E6">
        <w:rPr>
          <w:rFonts w:ascii="Palatino Linotype" w:eastAsia="Palatino Linotype" w:hAnsi="Palatino Linotype" w:cs="Palatino Linotype"/>
          <w:b/>
          <w:bCs/>
          <w:sz w:val="22"/>
          <w:szCs w:val="22"/>
          <w:u w:val="single"/>
        </w:rPr>
        <w:t>la negativa a la información solicitada.</w:t>
      </w:r>
    </w:p>
    <w:p w:rsidR="00E06426" w:rsidRPr="00E506E6" w:rsidRDefault="00E0642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rsidR="00E06426" w:rsidRPr="00E506E6" w:rsidRDefault="004679EF">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Para ello, conviene iniciar el presente estudio señalando que la persona solicitante requirió del </w:t>
      </w:r>
      <w:r w:rsidRPr="00E506E6">
        <w:rPr>
          <w:rFonts w:ascii="Palatino Linotype" w:eastAsia="Palatino Linotype" w:hAnsi="Palatino Linotype" w:cs="Palatino Linotype"/>
          <w:b/>
          <w:bCs/>
          <w:sz w:val="22"/>
          <w:szCs w:val="22"/>
        </w:rPr>
        <w:t>Sujeto Obligado</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b/>
          <w:bCs/>
          <w:sz w:val="22"/>
          <w:szCs w:val="22"/>
        </w:rPr>
        <w:t>respecto de las unidades administrativas siguientes:</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i/>
          <w:iCs/>
          <w:sz w:val="22"/>
          <w:szCs w:val="22"/>
        </w:rPr>
        <w:t xml:space="preserve">Dirección de Gobierno y Técnica de Gabinete, la Tesorería Municipal, la Dirección de Obras Públicas, la Dirección de Desarrollo Económico, la Dirección de Desarrollo Urbano, la Dirección de Ecología, la Dirección de Turismo, la Dirección de Desarrollo Social y Bienestar, la Dirección de las Mujeres, la Dirección del Campo, la Dirección de Servicios Públicos, la Dirección de Seguridad Pública Municipal, la Unidad de Información, Programación, Planeación Y Evaluación, la Unidad de Transparencia y Acceso a la Información, la Dirección de Cultura, la Dirección de Educación, la Secretaría Técnica del Consejo Municipal de Seguridad Pública Municipal, la Dirección Jurídica Municipal, la Dirección de Gobierno Digital, </w:t>
      </w:r>
      <w:r w:rsidRPr="00E506E6">
        <w:rPr>
          <w:rFonts w:ascii="Palatino Linotype" w:eastAsia="Palatino Linotype" w:hAnsi="Palatino Linotype" w:cs="Palatino Linotype"/>
          <w:sz w:val="22"/>
          <w:szCs w:val="22"/>
        </w:rPr>
        <w:t>medularmente lo siguiente:</w:t>
      </w:r>
    </w:p>
    <w:p w:rsidR="00E06426" w:rsidRPr="00E506E6" w:rsidRDefault="00E0642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rsidR="00E06426" w:rsidRPr="00E506E6" w:rsidRDefault="004679EF">
      <w:pPr>
        <w:numPr>
          <w:ilvl w:val="2"/>
          <w:numId w:val="1"/>
        </w:numPr>
        <w:pBdr>
          <w:top w:val="nil"/>
          <w:left w:val="nil"/>
          <w:bottom w:val="nil"/>
          <w:right w:val="nil"/>
          <w:between w:val="nil"/>
        </w:pBdr>
        <w:spacing w:line="360" w:lineRule="auto"/>
        <w:ind w:left="142" w:right="-1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Evidencia documental de los gastos de representación y viáticos por comisiones (</w:t>
      </w:r>
      <w:r w:rsidRPr="00E506E6">
        <w:rPr>
          <w:rFonts w:ascii="Palatino Linotype" w:eastAsia="Palatino Linotype" w:hAnsi="Palatino Linotype" w:cs="Palatino Linotype"/>
          <w:b/>
          <w:bCs/>
          <w:i/>
          <w:iCs/>
          <w:sz w:val="22"/>
          <w:szCs w:val="22"/>
        </w:rPr>
        <w:t>facturas, recibos, notas, comprobantes, autorizaciones, oficios de comisión, informes, entre otros</w:t>
      </w:r>
      <w:r w:rsidRPr="00E506E6">
        <w:rPr>
          <w:rFonts w:ascii="Palatino Linotype" w:eastAsia="Palatino Linotype" w:hAnsi="Palatino Linotype" w:cs="Palatino Linotype"/>
          <w:sz w:val="22"/>
          <w:szCs w:val="22"/>
        </w:rPr>
        <w:t>), derivado de las actividades realizadas por dichas áreas.</w:t>
      </w:r>
    </w:p>
    <w:p w:rsidR="00E06426" w:rsidRPr="00E506E6" w:rsidRDefault="00E0642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8" w:name="_heading=h.1y810tw" w:colFirst="0" w:colLast="0"/>
      <w:bookmarkEnd w:id="8"/>
    </w:p>
    <w:p w:rsidR="00E06426" w:rsidRPr="00E506E6" w:rsidRDefault="004679EF">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Como puede advertirse, la parte solicitante fue omisa en señalar el periodo sobre el cual requería la información, siendo aplicable el criterio orientador 03/19 emitido por el entonces Instituto Nacional de Transparencia Acceso a la Información y Protección de Datos Personales, INAI, en el cual es del tenor literal siguiente:</w:t>
      </w:r>
    </w:p>
    <w:p w:rsidR="00E06426" w:rsidRPr="00E506E6" w:rsidRDefault="00E06426">
      <w:pPr>
        <w:pBdr>
          <w:top w:val="nil"/>
          <w:left w:val="nil"/>
          <w:bottom w:val="nil"/>
          <w:right w:val="nil"/>
          <w:between w:val="nil"/>
        </w:pBdr>
        <w:spacing w:line="360" w:lineRule="auto"/>
        <w:jc w:val="both"/>
        <w:rPr>
          <w:sz w:val="22"/>
          <w:szCs w:val="22"/>
        </w:rPr>
      </w:pPr>
    </w:p>
    <w:p w:rsidR="00E06426" w:rsidRPr="00E506E6" w:rsidRDefault="004679EF">
      <w:pPr>
        <w:pBdr>
          <w:top w:val="nil"/>
          <w:left w:val="nil"/>
          <w:bottom w:val="nil"/>
          <w:right w:val="nil"/>
          <w:between w:val="nil"/>
        </w:pBdr>
        <w:spacing w:line="360" w:lineRule="auto"/>
        <w:ind w:left="851" w:right="900"/>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b/>
          <w:bCs/>
          <w:i/>
          <w:iCs/>
          <w:sz w:val="22"/>
          <w:szCs w:val="22"/>
        </w:rPr>
        <w:t>Periodo de búsqueda de la información</w:t>
      </w:r>
      <w:r w:rsidRPr="00E506E6">
        <w:rPr>
          <w:rFonts w:ascii="Palatino Linotype" w:eastAsia="Palatino Linotype" w:hAnsi="Palatino Linotype" w:cs="Palatino Linotype"/>
          <w:i/>
          <w:iCs/>
          <w:sz w:val="22"/>
          <w:szCs w:val="22"/>
        </w:rPr>
        <w:t>. En el supuesto de que el particular no haya señalado el periodo respecto del cual requiere la información, o bien, de la solicitud presentada no se adviertan elementos que permitan identificarlo, deberá considerarse, para efectos de la búsqueda de la información, que el requerimiento se refiere al año inmediato anterior, contado a partir de la fecha en que se presentó la solicitud.”  </w:t>
      </w:r>
    </w:p>
    <w:p w:rsidR="00E06426" w:rsidRPr="00E506E6" w:rsidRDefault="00E06426">
      <w:pPr>
        <w:pBdr>
          <w:top w:val="nil"/>
          <w:left w:val="nil"/>
          <w:bottom w:val="nil"/>
          <w:right w:val="nil"/>
          <w:between w:val="nil"/>
        </w:pBdr>
        <w:spacing w:line="360" w:lineRule="auto"/>
        <w:ind w:left="851" w:right="900"/>
        <w:jc w:val="both"/>
        <w:rPr>
          <w:sz w:val="22"/>
          <w:szCs w:val="22"/>
        </w:rPr>
      </w:pPr>
    </w:p>
    <w:p w:rsidR="00E06426" w:rsidRPr="00E506E6" w:rsidRDefault="004679EF">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De manera que, ante la omisión por parte de la solicitante, la información que es susceptible de entrega, en su caso, corresponde a la que el </w:t>
      </w:r>
      <w:r w:rsidRPr="00E506E6">
        <w:rPr>
          <w:rFonts w:ascii="Palatino Linotype" w:eastAsia="Palatino Linotype" w:hAnsi="Palatino Linotype" w:cs="Palatino Linotype"/>
          <w:b/>
          <w:bCs/>
          <w:sz w:val="22"/>
          <w:szCs w:val="22"/>
        </w:rPr>
        <w:t xml:space="preserve">Sujeto </w:t>
      </w:r>
      <w:proofErr w:type="gramStart"/>
      <w:r w:rsidRPr="00E506E6">
        <w:rPr>
          <w:rFonts w:ascii="Palatino Linotype" w:eastAsia="Palatino Linotype" w:hAnsi="Palatino Linotype" w:cs="Palatino Linotype"/>
          <w:b/>
          <w:bCs/>
          <w:sz w:val="22"/>
          <w:szCs w:val="22"/>
        </w:rPr>
        <w:t xml:space="preserve">Obligado </w:t>
      </w:r>
      <w:r w:rsidRPr="00E506E6">
        <w:rPr>
          <w:rFonts w:ascii="Palatino Linotype" w:eastAsia="Palatino Linotype" w:hAnsi="Palatino Linotype" w:cs="Palatino Linotype"/>
          <w:sz w:val="22"/>
          <w:szCs w:val="22"/>
        </w:rPr>
        <w:t> hubiera</w:t>
      </w:r>
      <w:proofErr w:type="gramEnd"/>
      <w:r w:rsidRPr="00E506E6">
        <w:rPr>
          <w:rFonts w:ascii="Palatino Linotype" w:eastAsia="Palatino Linotype" w:hAnsi="Palatino Linotype" w:cs="Palatino Linotype"/>
          <w:sz w:val="22"/>
          <w:szCs w:val="22"/>
        </w:rPr>
        <w:t xml:space="preserve"> generado, administrado o poseído en el año inmediato anterior contado a partir de la fecha de presentación de la solicitud, es decir, del </w:t>
      </w:r>
      <w:r w:rsidRPr="00E506E6">
        <w:rPr>
          <w:rFonts w:ascii="Palatino Linotype" w:eastAsia="Palatino Linotype" w:hAnsi="Palatino Linotype" w:cs="Palatino Linotype"/>
          <w:b/>
          <w:bCs/>
          <w:sz w:val="22"/>
          <w:szCs w:val="22"/>
        </w:rPr>
        <w:t>primero de julio de dos mil veinticuatro al primero de julio de dos mil veinticinco</w:t>
      </w:r>
      <w:r w:rsidRPr="00E506E6">
        <w:rPr>
          <w:rFonts w:ascii="Palatino Linotype" w:eastAsia="Palatino Linotype" w:hAnsi="Palatino Linotype" w:cs="Palatino Linotype"/>
          <w:sz w:val="22"/>
          <w:szCs w:val="22"/>
        </w:rPr>
        <w:t>.</w:t>
      </w:r>
    </w:p>
    <w:p w:rsidR="00E06426" w:rsidRPr="00E506E6" w:rsidRDefault="00E0642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rsidR="00E06426" w:rsidRPr="00E506E6" w:rsidRDefault="004679EF">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Ahora bien, en respuesta, </w:t>
      </w:r>
      <w:r w:rsidRPr="00E506E6">
        <w:rPr>
          <w:rFonts w:ascii="Palatino Linotype" w:eastAsia="Palatino Linotype" w:hAnsi="Palatino Linotype" w:cs="Palatino Linotype"/>
          <w:b/>
          <w:bCs/>
          <w:sz w:val="22"/>
          <w:szCs w:val="22"/>
        </w:rPr>
        <w:t xml:space="preserve">el Sujeto Obligado </w:t>
      </w:r>
      <w:r w:rsidRPr="00E506E6">
        <w:rPr>
          <w:rFonts w:ascii="Palatino Linotype" w:eastAsia="Palatino Linotype" w:hAnsi="Palatino Linotype" w:cs="Palatino Linotype"/>
          <w:sz w:val="22"/>
          <w:szCs w:val="22"/>
        </w:rPr>
        <w:t xml:space="preserve">se pronunció por conducto del Tesorero Municipal quien anexó la relación de viáticos por diversos montos y actividades realizadas por diversas áreas del Ayuntamiento de </w:t>
      </w:r>
      <w:proofErr w:type="spellStart"/>
      <w:r w:rsidRPr="00E506E6">
        <w:rPr>
          <w:rFonts w:ascii="Palatino Linotype" w:eastAsia="Palatino Linotype" w:hAnsi="Palatino Linotype" w:cs="Palatino Linotype"/>
          <w:sz w:val="22"/>
          <w:szCs w:val="22"/>
        </w:rPr>
        <w:t>Atlautla</w:t>
      </w:r>
      <w:proofErr w:type="spellEnd"/>
      <w:r w:rsidRPr="00E506E6">
        <w:rPr>
          <w:rFonts w:ascii="Palatino Linotype" w:eastAsia="Palatino Linotype" w:hAnsi="Palatino Linotype" w:cs="Palatino Linotype"/>
          <w:sz w:val="22"/>
          <w:szCs w:val="22"/>
        </w:rPr>
        <w:t>.</w:t>
      </w:r>
    </w:p>
    <w:p w:rsidR="00E06426" w:rsidRPr="00E506E6" w:rsidRDefault="00E0642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rsidR="00E06426" w:rsidRPr="00E506E6" w:rsidRDefault="004679EF">
      <w:pPr>
        <w:spacing w:line="360" w:lineRule="auto"/>
        <w:ind w:right="49"/>
        <w:jc w:val="both"/>
        <w:rPr>
          <w:rFonts w:ascii="Palatino Linotype" w:eastAsia="Palatino Linotype" w:hAnsi="Palatino Linotype" w:cs="Palatino Linotype"/>
          <w:b/>
          <w:bCs/>
          <w:sz w:val="22"/>
          <w:szCs w:val="22"/>
        </w:rPr>
      </w:pPr>
      <w:r w:rsidRPr="00E506E6">
        <w:rPr>
          <w:rFonts w:ascii="Palatino Linotype" w:eastAsia="Palatino Linotype" w:hAnsi="Palatino Linotype" w:cs="Palatino Linotype"/>
          <w:sz w:val="22"/>
          <w:szCs w:val="22"/>
        </w:rPr>
        <w:t xml:space="preserve">Inconforme con la respuesta, la parte </w:t>
      </w:r>
      <w:r w:rsidRPr="00E506E6">
        <w:rPr>
          <w:rFonts w:ascii="Palatino Linotype" w:eastAsia="Palatino Linotype" w:hAnsi="Palatino Linotype" w:cs="Palatino Linotype"/>
          <w:b/>
          <w:bCs/>
          <w:sz w:val="22"/>
          <w:szCs w:val="22"/>
        </w:rPr>
        <w:t xml:space="preserve">Recurrente </w:t>
      </w:r>
      <w:r w:rsidRPr="00E506E6">
        <w:rPr>
          <w:rFonts w:ascii="Palatino Linotype" w:eastAsia="Palatino Linotype" w:hAnsi="Palatino Linotype" w:cs="Palatino Linotype"/>
          <w:sz w:val="22"/>
          <w:szCs w:val="22"/>
        </w:rPr>
        <w:t xml:space="preserve">promovió el presente recurso de revisión en el que a manera de motivos de inconformidad </w:t>
      </w:r>
      <w:r w:rsidRPr="00E506E6">
        <w:rPr>
          <w:rFonts w:ascii="Palatino Linotype" w:eastAsia="Palatino Linotype" w:hAnsi="Palatino Linotype" w:cs="Palatino Linotype"/>
          <w:b/>
          <w:bCs/>
          <w:sz w:val="22"/>
          <w:szCs w:val="22"/>
        </w:rPr>
        <w:t>se adolece medularmente de la negativa a la entrega de la información.</w:t>
      </w:r>
    </w:p>
    <w:p w:rsidR="00E06426" w:rsidRPr="00E506E6" w:rsidRDefault="00E06426">
      <w:pPr>
        <w:spacing w:line="360" w:lineRule="auto"/>
        <w:ind w:right="49"/>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Admitido el presente recurso de revisión, en términos del artículo 185 fracción II</w:t>
      </w:r>
      <w:r w:rsidRPr="00E506E6">
        <w:rPr>
          <w:rFonts w:ascii="Palatino Linotype" w:eastAsia="Palatino Linotype" w:hAnsi="Palatino Linotype" w:cs="Palatino Linotype"/>
          <w:sz w:val="22"/>
          <w:szCs w:val="22"/>
          <w:vertAlign w:val="superscript"/>
        </w:rPr>
        <w:footnoteReference w:id="3"/>
      </w:r>
      <w:r w:rsidRPr="00E506E6">
        <w:rPr>
          <w:rFonts w:ascii="Palatino Linotype" w:eastAsia="Palatino Linotype" w:hAnsi="Palatino Linotype" w:cs="Palatino Linotype"/>
          <w:sz w:val="22"/>
          <w:szCs w:val="22"/>
        </w:rPr>
        <w:t xml:space="preserve"> de la Ley de Transparencia y Acceso a la Información Pública del Estado de México y Municipios, se integró el expediente y se puso a disposición de las partes para que, en un plazo máximo de siete días hábiles, manifestaran lo que a su derecho resultara conveniente.</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De las constancias que integran el expediente en que se actúa se advierte que el </w:t>
      </w:r>
      <w:r w:rsidRPr="00E506E6">
        <w:rPr>
          <w:rFonts w:ascii="Palatino Linotype" w:eastAsia="Palatino Linotype" w:hAnsi="Palatino Linotype" w:cs="Palatino Linotype"/>
          <w:b/>
          <w:bCs/>
          <w:sz w:val="22"/>
          <w:szCs w:val="22"/>
        </w:rPr>
        <w:t xml:space="preserve">Sujeto Obligado </w:t>
      </w:r>
      <w:r w:rsidRPr="00E506E6">
        <w:rPr>
          <w:rFonts w:ascii="Palatino Linotype" w:eastAsia="Palatino Linotype" w:hAnsi="Palatino Linotype" w:cs="Palatino Linotype"/>
          <w:sz w:val="22"/>
          <w:szCs w:val="22"/>
        </w:rPr>
        <w:t xml:space="preserve">rindió su informe justificado, ratificando su respuesta inicial, ya que refiere </w:t>
      </w:r>
      <w:proofErr w:type="gramStart"/>
      <w:r w:rsidRPr="00E506E6">
        <w:rPr>
          <w:rFonts w:ascii="Palatino Linotype" w:eastAsia="Palatino Linotype" w:hAnsi="Palatino Linotype" w:cs="Palatino Linotype"/>
          <w:sz w:val="22"/>
          <w:szCs w:val="22"/>
        </w:rPr>
        <w:t>que  dio</w:t>
      </w:r>
      <w:proofErr w:type="gramEnd"/>
      <w:r w:rsidRPr="00E506E6">
        <w:rPr>
          <w:rFonts w:ascii="Palatino Linotype" w:eastAsia="Palatino Linotype" w:hAnsi="Palatino Linotype" w:cs="Palatino Linotype"/>
          <w:sz w:val="22"/>
          <w:szCs w:val="22"/>
        </w:rPr>
        <w:t xml:space="preserve"> contestación con la relación de los gastos que se realizaron, y que además anexó los recibos de gastos de traslado "VIÁTICOS", sin que de la respuesta se advierta esta última cuestión.</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Asimismo, mediante informe justificado también </w:t>
      </w:r>
      <w:r w:rsidRPr="00E506E6">
        <w:rPr>
          <w:rFonts w:ascii="Palatino Linotype" w:eastAsia="Palatino Linotype" w:hAnsi="Palatino Linotype" w:cs="Palatino Linotype"/>
          <w:b/>
          <w:bCs/>
          <w:sz w:val="22"/>
          <w:szCs w:val="22"/>
        </w:rPr>
        <w:t>se indicó que los gastos de traslado son el único gasto que se autoriza a las dependencias requeridas.</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Por su lado, la parte </w:t>
      </w:r>
      <w:r w:rsidRPr="00E506E6">
        <w:rPr>
          <w:rFonts w:ascii="Palatino Linotype" w:eastAsia="Palatino Linotype" w:hAnsi="Palatino Linotype" w:cs="Palatino Linotype"/>
          <w:b/>
          <w:bCs/>
          <w:sz w:val="22"/>
          <w:szCs w:val="22"/>
        </w:rPr>
        <w:t xml:space="preserve">Recurrente </w:t>
      </w:r>
      <w:r w:rsidRPr="00E506E6">
        <w:rPr>
          <w:rFonts w:ascii="Palatino Linotype" w:eastAsia="Palatino Linotype" w:hAnsi="Palatino Linotype" w:cs="Palatino Linotype"/>
          <w:sz w:val="22"/>
          <w:szCs w:val="22"/>
        </w:rPr>
        <w:t xml:space="preserve">rindió manifestaciones únicamente haciendo entrega del documento que contiene la relación de viáticos por diversos montos y actividades realizadas por diversas áreas del Ayuntamiento de </w:t>
      </w:r>
      <w:proofErr w:type="spellStart"/>
      <w:r w:rsidRPr="00E506E6">
        <w:rPr>
          <w:rFonts w:ascii="Palatino Linotype" w:eastAsia="Palatino Linotype" w:hAnsi="Palatino Linotype" w:cs="Palatino Linotype"/>
          <w:sz w:val="22"/>
          <w:szCs w:val="22"/>
        </w:rPr>
        <w:t>Atlautla</w:t>
      </w:r>
      <w:proofErr w:type="spellEnd"/>
      <w:r w:rsidRPr="00E506E6">
        <w:rPr>
          <w:rFonts w:ascii="Palatino Linotype" w:eastAsia="Palatino Linotype" w:hAnsi="Palatino Linotype" w:cs="Palatino Linotype"/>
          <w:sz w:val="22"/>
          <w:szCs w:val="22"/>
        </w:rPr>
        <w:t>, misma que fue entregada en respuesta por el ente obligado.</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Expuestas las posturas de las partes, se procede al análisis del requerimiento de información, y para ello, se señala lo siguiente:</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ind w:right="-7"/>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Conforme el Manual Único de Contabilidad Gubernamental para las Dependencias y Entidades Públicas del Gobierno y Municipios del Estado de México, se entiende como gastos de representación y viáticos:</w:t>
      </w:r>
    </w:p>
    <w:p w:rsidR="00E06426" w:rsidRPr="00E506E6" w:rsidRDefault="00E06426">
      <w:pPr>
        <w:spacing w:line="360" w:lineRule="auto"/>
        <w:ind w:right="-7"/>
        <w:jc w:val="both"/>
        <w:rPr>
          <w:rFonts w:ascii="Palatino Linotype" w:eastAsia="Palatino Linotype" w:hAnsi="Palatino Linotype" w:cs="Palatino Linotype"/>
          <w:sz w:val="22"/>
          <w:szCs w:val="22"/>
        </w:rPr>
      </w:pPr>
    </w:p>
    <w:p w:rsidR="00E06426" w:rsidRPr="00E506E6" w:rsidRDefault="004679EF">
      <w:pPr>
        <w:numPr>
          <w:ilvl w:val="2"/>
          <w:numId w:val="1"/>
        </w:numPr>
        <w:pBdr>
          <w:top w:val="nil"/>
          <w:left w:val="nil"/>
          <w:bottom w:val="nil"/>
          <w:right w:val="nil"/>
          <w:between w:val="nil"/>
        </w:pBdr>
        <w:spacing w:line="360" w:lineRule="auto"/>
        <w:ind w:left="142" w:right="-7"/>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sz w:val="22"/>
          <w:szCs w:val="22"/>
          <w:u w:val="single"/>
        </w:rPr>
        <w:t>Gastos de representación:</w:t>
      </w:r>
      <w:r w:rsidRPr="00E506E6">
        <w:rPr>
          <w:rFonts w:ascii="Palatino Linotype" w:eastAsia="Palatino Linotype" w:hAnsi="Palatino Linotype" w:cs="Palatino Linotype"/>
          <w:sz w:val="22"/>
          <w:szCs w:val="22"/>
        </w:rPr>
        <w:t xml:space="preserve"> A las asignaciones destinadas a cubrir gastos autorizados a los servidores públicos de mandos medios y superiores por concepto de atención a actividades institucionales originadas por el desempeño de las funciones encomendadas para la consecución de los objetivos de los entes públicos a las que estén adscritos.</w:t>
      </w:r>
    </w:p>
    <w:p w:rsidR="00E06426" w:rsidRPr="00E506E6" w:rsidRDefault="00E06426">
      <w:pPr>
        <w:pBdr>
          <w:top w:val="nil"/>
          <w:left w:val="nil"/>
          <w:bottom w:val="nil"/>
          <w:right w:val="nil"/>
          <w:between w:val="nil"/>
        </w:pBdr>
        <w:spacing w:line="360" w:lineRule="auto"/>
        <w:ind w:left="142" w:right="-7"/>
        <w:jc w:val="both"/>
        <w:rPr>
          <w:rFonts w:ascii="Palatino Linotype" w:eastAsia="Palatino Linotype" w:hAnsi="Palatino Linotype" w:cs="Palatino Linotype"/>
          <w:sz w:val="22"/>
          <w:szCs w:val="22"/>
        </w:rPr>
      </w:pPr>
    </w:p>
    <w:p w:rsidR="00E06426" w:rsidRPr="00E506E6" w:rsidRDefault="004679EF">
      <w:pPr>
        <w:numPr>
          <w:ilvl w:val="2"/>
          <w:numId w:val="1"/>
        </w:numPr>
        <w:pBdr>
          <w:top w:val="nil"/>
          <w:left w:val="nil"/>
          <w:bottom w:val="nil"/>
          <w:right w:val="nil"/>
          <w:between w:val="nil"/>
        </w:pBdr>
        <w:spacing w:line="360" w:lineRule="auto"/>
        <w:ind w:left="142" w:right="-7"/>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sz w:val="22"/>
          <w:szCs w:val="22"/>
          <w:u w:val="single"/>
        </w:rPr>
        <w:t>Viáticos:</w:t>
      </w:r>
      <w:r w:rsidRPr="00E506E6">
        <w:rPr>
          <w:rFonts w:ascii="Palatino Linotype" w:eastAsia="Palatino Linotype" w:hAnsi="Palatino Linotype" w:cs="Palatino Linotype"/>
          <w:sz w:val="22"/>
          <w:szCs w:val="22"/>
        </w:rPr>
        <w:t xml:space="preserve"> A la asignación a servidores públicos que desarrollan funciones inherentes a su puesto fuera de su lugar permanente de trabajo, con fundamento en el análisis del tipo, frecuencia, distancia y características de los desplazamientos que realice el servidor público, así como los apoyos que se le brinden, tales como vehículo o pago de casetas, entre otros. No podrán asignarse viáticos fijos a servidores públicos de mandos medios y superiores, ni a los de puestos de enlace y apoyo técnico.</w:t>
      </w:r>
    </w:p>
    <w:p w:rsidR="00E06426" w:rsidRPr="00E506E6" w:rsidRDefault="00E06426">
      <w:pPr>
        <w:spacing w:line="360" w:lineRule="auto"/>
        <w:ind w:right="-7"/>
        <w:jc w:val="both"/>
        <w:rPr>
          <w:rFonts w:ascii="Palatino Linotype" w:eastAsia="Palatino Linotype" w:hAnsi="Palatino Linotype" w:cs="Palatino Linotype"/>
          <w:sz w:val="22"/>
          <w:szCs w:val="22"/>
        </w:rPr>
      </w:pPr>
    </w:p>
    <w:p w:rsidR="00E06426" w:rsidRPr="00E506E6" w:rsidRDefault="004679EF">
      <w:pPr>
        <w:spacing w:line="360" w:lineRule="auto"/>
        <w:ind w:right="-7"/>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De esta manera, los gastos de representación y los viáticos están considerados como erogaciones a cargo del erario público, ubicados dentro del Clasificador por Objeto de Gasto Estatal Municipal vigente.</w:t>
      </w:r>
    </w:p>
    <w:p w:rsidR="00E06426" w:rsidRPr="00E506E6" w:rsidRDefault="00E06426">
      <w:pPr>
        <w:spacing w:line="360" w:lineRule="auto"/>
        <w:ind w:right="-7"/>
        <w:jc w:val="both"/>
        <w:rPr>
          <w:rFonts w:ascii="Palatino Linotype" w:eastAsia="Palatino Linotype" w:hAnsi="Palatino Linotype" w:cs="Palatino Linotype"/>
          <w:sz w:val="22"/>
          <w:szCs w:val="22"/>
        </w:rPr>
      </w:pPr>
    </w:p>
    <w:p w:rsidR="00E06426" w:rsidRPr="00E506E6" w:rsidRDefault="004679EF">
      <w:pPr>
        <w:spacing w:line="360" w:lineRule="auto"/>
        <w:ind w:right="-7"/>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Asimismo, debe agregarse que conforme el referido Manual Único de Contabilidad Gubernamental, los viáticos se encuentran dentro del </w:t>
      </w:r>
      <w:r w:rsidRPr="00E506E6">
        <w:rPr>
          <w:rFonts w:ascii="Palatino Linotype" w:eastAsia="Palatino Linotype" w:hAnsi="Palatino Linotype" w:cs="Palatino Linotype"/>
          <w:b/>
          <w:bCs/>
          <w:sz w:val="22"/>
          <w:szCs w:val="22"/>
        </w:rPr>
        <w:t>Capítulo del Gasto 3000 Servicios Generales</w:t>
      </w:r>
      <w:r w:rsidRPr="00E506E6">
        <w:rPr>
          <w:rFonts w:ascii="Palatino Linotype" w:eastAsia="Palatino Linotype" w:hAnsi="Palatino Linotype" w:cs="Palatino Linotype"/>
          <w:sz w:val="22"/>
          <w:szCs w:val="22"/>
        </w:rPr>
        <w:t xml:space="preserve">, en el </w:t>
      </w:r>
      <w:r w:rsidRPr="00E506E6">
        <w:rPr>
          <w:rFonts w:ascii="Palatino Linotype" w:eastAsia="Palatino Linotype" w:hAnsi="Palatino Linotype" w:cs="Palatino Linotype"/>
          <w:b/>
          <w:bCs/>
          <w:sz w:val="22"/>
          <w:szCs w:val="22"/>
        </w:rPr>
        <w:t>Concepto 3700 Servicios de Traslado y Viáticos</w:t>
      </w:r>
      <w:r w:rsidRPr="00E506E6">
        <w:rPr>
          <w:rFonts w:ascii="Palatino Linotype" w:eastAsia="Palatino Linotype" w:hAnsi="Palatino Linotype" w:cs="Palatino Linotype"/>
          <w:sz w:val="22"/>
          <w:szCs w:val="22"/>
        </w:rPr>
        <w:t>.</w:t>
      </w:r>
    </w:p>
    <w:p w:rsidR="00E06426" w:rsidRPr="00E506E6" w:rsidRDefault="00E06426">
      <w:pPr>
        <w:spacing w:line="360" w:lineRule="auto"/>
        <w:ind w:right="-7"/>
        <w:jc w:val="both"/>
        <w:rPr>
          <w:rFonts w:ascii="Palatino Linotype" w:eastAsia="Palatino Linotype" w:hAnsi="Palatino Linotype" w:cs="Palatino Linotype"/>
          <w:sz w:val="22"/>
          <w:szCs w:val="22"/>
        </w:rPr>
      </w:pPr>
    </w:p>
    <w:p w:rsidR="00E06426" w:rsidRPr="00E506E6" w:rsidRDefault="004679EF">
      <w:pPr>
        <w:spacing w:line="360" w:lineRule="auto"/>
        <w:ind w:right="-7"/>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Por su lado, los gastos de representación también se localizan dentro del </w:t>
      </w:r>
      <w:r w:rsidRPr="00E506E6">
        <w:rPr>
          <w:rFonts w:ascii="Palatino Linotype" w:eastAsia="Palatino Linotype" w:hAnsi="Palatino Linotype" w:cs="Palatino Linotype"/>
          <w:b/>
          <w:bCs/>
          <w:sz w:val="22"/>
          <w:szCs w:val="22"/>
        </w:rPr>
        <w:t xml:space="preserve">Capítulo del Gasto 3000 Servicios Generales, </w:t>
      </w:r>
      <w:r w:rsidRPr="00E506E6">
        <w:rPr>
          <w:rFonts w:ascii="Palatino Linotype" w:eastAsia="Palatino Linotype" w:hAnsi="Palatino Linotype" w:cs="Palatino Linotype"/>
          <w:sz w:val="22"/>
          <w:szCs w:val="22"/>
        </w:rPr>
        <w:t xml:space="preserve">pero a diferencia de los viáticos, estos se ubican bajo el </w:t>
      </w:r>
      <w:r w:rsidRPr="00E506E6">
        <w:rPr>
          <w:rFonts w:ascii="Palatino Linotype" w:eastAsia="Palatino Linotype" w:hAnsi="Palatino Linotype" w:cs="Palatino Linotype"/>
          <w:b/>
          <w:bCs/>
          <w:sz w:val="22"/>
          <w:szCs w:val="22"/>
        </w:rPr>
        <w:t>Concepto 3800 Servicios Oficiales</w:t>
      </w:r>
      <w:r w:rsidRPr="00E506E6">
        <w:rPr>
          <w:rFonts w:ascii="Palatino Linotype" w:eastAsia="Palatino Linotype" w:hAnsi="Palatino Linotype" w:cs="Palatino Linotype"/>
          <w:sz w:val="22"/>
          <w:szCs w:val="22"/>
        </w:rPr>
        <w:t xml:space="preserve">, bajo la Partida Genérica </w:t>
      </w:r>
      <w:r w:rsidRPr="00E506E6">
        <w:rPr>
          <w:rFonts w:ascii="Palatino Linotype" w:eastAsia="Palatino Linotype" w:hAnsi="Palatino Linotype" w:cs="Palatino Linotype"/>
          <w:b/>
          <w:bCs/>
          <w:sz w:val="22"/>
          <w:szCs w:val="22"/>
        </w:rPr>
        <w:t>“Gastos de Representación”.</w:t>
      </w:r>
    </w:p>
    <w:p w:rsidR="00E06426" w:rsidRPr="00E506E6" w:rsidRDefault="00E06426">
      <w:pPr>
        <w:spacing w:line="360" w:lineRule="auto"/>
        <w:ind w:right="-7"/>
        <w:jc w:val="both"/>
        <w:rPr>
          <w:rFonts w:ascii="Palatino Linotype" w:eastAsia="Palatino Linotype" w:hAnsi="Palatino Linotype" w:cs="Palatino Linotype"/>
          <w:sz w:val="22"/>
          <w:szCs w:val="22"/>
        </w:rPr>
      </w:pPr>
    </w:p>
    <w:p w:rsidR="00E06426" w:rsidRPr="00E506E6" w:rsidRDefault="004679EF">
      <w:pPr>
        <w:spacing w:line="360" w:lineRule="auto"/>
        <w:ind w:right="-7"/>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Ahora, recordemos que en el caso la persona solicitante requirió la </w:t>
      </w:r>
      <w:r w:rsidRPr="00E506E6">
        <w:rPr>
          <w:rFonts w:ascii="Palatino Linotype" w:eastAsia="Palatino Linotype" w:hAnsi="Palatino Linotype" w:cs="Palatino Linotype"/>
          <w:b/>
          <w:bCs/>
          <w:sz w:val="22"/>
          <w:szCs w:val="22"/>
        </w:rPr>
        <w:t>evidencia documental de los gastos de representación y viáticos por comisiones</w:t>
      </w:r>
      <w:r w:rsidRPr="00E506E6">
        <w:rPr>
          <w:rFonts w:ascii="Palatino Linotype" w:eastAsia="Palatino Linotype" w:hAnsi="Palatino Linotype" w:cs="Palatino Linotype"/>
          <w:sz w:val="22"/>
          <w:szCs w:val="22"/>
        </w:rPr>
        <w:t xml:space="preserve">, derivado de las actividades realizadas por las diversas unidades administrativas del Ayuntamiento de </w:t>
      </w:r>
      <w:proofErr w:type="spellStart"/>
      <w:r w:rsidRPr="00E506E6">
        <w:rPr>
          <w:rFonts w:ascii="Palatino Linotype" w:eastAsia="Palatino Linotype" w:hAnsi="Palatino Linotype" w:cs="Palatino Linotype"/>
          <w:sz w:val="22"/>
          <w:szCs w:val="22"/>
        </w:rPr>
        <w:t>Atlautla</w:t>
      </w:r>
      <w:proofErr w:type="spellEnd"/>
      <w:r w:rsidRPr="00E506E6">
        <w:rPr>
          <w:rFonts w:ascii="Palatino Linotype" w:eastAsia="Palatino Linotype" w:hAnsi="Palatino Linotype" w:cs="Palatino Linotype"/>
          <w:sz w:val="22"/>
          <w:szCs w:val="22"/>
        </w:rPr>
        <w:t xml:space="preserve"> señaladas en la solicitud, como: </w:t>
      </w:r>
      <w:r w:rsidRPr="00E506E6">
        <w:rPr>
          <w:rFonts w:ascii="Palatino Linotype" w:eastAsia="Palatino Linotype" w:hAnsi="Palatino Linotype" w:cs="Palatino Linotype"/>
          <w:b/>
          <w:bCs/>
          <w:sz w:val="22"/>
          <w:szCs w:val="22"/>
        </w:rPr>
        <w:t>facturas, recibos, notas, comprobantes, autorizaciones, oficios de comisión, informes, entre otros</w:t>
      </w:r>
      <w:r w:rsidRPr="00E506E6">
        <w:rPr>
          <w:rFonts w:ascii="Palatino Linotype" w:eastAsia="Palatino Linotype" w:hAnsi="Palatino Linotype" w:cs="Palatino Linotype"/>
          <w:sz w:val="22"/>
          <w:szCs w:val="22"/>
        </w:rPr>
        <w:t>.</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Por lo que, debemos considerar que evidencia documental corresponde a cualquier tipo de información registrada en un soporte material o digital que certifica acciones, hechos o desempeños funcionales, como en el caso de los gastos de representación o viáticos por comisiones. </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De esta manera, la pretensión del particular es obtener cualquier documentación que rinda cuentas sobre los gastos de representación y los viáticos generados por las actividades realizadas por las unidades administrativas señaladas en su solicitud, como oficios o informes de comisión donde se aprecie el objeto, las facturas por los gastos de representación o los viáticos, recibos, comprobantes, entre otros.</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Así, en lo relativo a los oficios de comisión, conviene traer a contexto los artículos 56, fracción I, 86, fracción VIII, y 88, fracción III de la Ley del Trabajo de los Servidores Públicos del Estado y Municipios, que establecen:</w:t>
      </w:r>
    </w:p>
    <w:p w:rsidR="00E06426" w:rsidRPr="00E506E6" w:rsidRDefault="00E06426">
      <w:pPr>
        <w:spacing w:line="360" w:lineRule="auto"/>
        <w:ind w:right="49"/>
        <w:jc w:val="both"/>
        <w:rPr>
          <w:rFonts w:ascii="Palatino Linotype" w:eastAsia="Palatino Linotype" w:hAnsi="Palatino Linotype" w:cs="Palatino Linotype"/>
          <w:sz w:val="22"/>
          <w:szCs w:val="22"/>
        </w:rPr>
      </w:pPr>
    </w:p>
    <w:p w:rsidR="00E06426" w:rsidRPr="00E506E6" w:rsidRDefault="004679EF">
      <w:pPr>
        <w:spacing w:line="360" w:lineRule="auto"/>
        <w:ind w:left="567" w:right="49"/>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 xml:space="preserve"> “ARTÍCULO 56. Las condiciones generales de trabajo, establecerán como mínimo:</w:t>
      </w:r>
    </w:p>
    <w:p w:rsidR="00E06426" w:rsidRPr="00E506E6" w:rsidRDefault="004679EF">
      <w:pPr>
        <w:ind w:left="567"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p>
    <w:p w:rsidR="00E06426" w:rsidRPr="00E506E6" w:rsidRDefault="004679EF">
      <w:pPr>
        <w:ind w:left="567" w:right="616"/>
        <w:jc w:val="both"/>
        <w:rPr>
          <w:rFonts w:ascii="Palatino Linotype" w:eastAsia="Palatino Linotype" w:hAnsi="Palatino Linotype" w:cs="Palatino Linotype"/>
          <w:b/>
          <w:bCs/>
          <w:i/>
          <w:iCs/>
          <w:sz w:val="22"/>
          <w:szCs w:val="22"/>
        </w:rPr>
      </w:pPr>
      <w:r w:rsidRPr="00E506E6">
        <w:rPr>
          <w:rFonts w:ascii="Palatino Linotype" w:eastAsia="Palatino Linotype" w:hAnsi="Palatino Linotype" w:cs="Palatino Linotype"/>
          <w:b/>
          <w:bCs/>
          <w:i/>
          <w:iCs/>
          <w:sz w:val="22"/>
          <w:szCs w:val="22"/>
        </w:rPr>
        <w:t>IV. Regímenes de licencias, descansos y vacaciones;</w:t>
      </w:r>
    </w:p>
    <w:p w:rsidR="00E06426" w:rsidRPr="00E506E6" w:rsidRDefault="004679EF">
      <w:pPr>
        <w:ind w:left="567"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p>
    <w:p w:rsidR="00E06426" w:rsidRPr="00E506E6" w:rsidRDefault="004679EF">
      <w:pPr>
        <w:ind w:left="567" w:right="616"/>
        <w:jc w:val="both"/>
        <w:rPr>
          <w:rFonts w:ascii="Palatino Linotype" w:eastAsia="Palatino Linotype" w:hAnsi="Palatino Linotype" w:cs="Palatino Linotype"/>
          <w:b/>
          <w:bCs/>
          <w:i/>
          <w:iCs/>
          <w:sz w:val="22"/>
          <w:szCs w:val="22"/>
        </w:rPr>
      </w:pPr>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b/>
          <w:bCs/>
          <w:i/>
          <w:iCs/>
          <w:sz w:val="22"/>
          <w:szCs w:val="22"/>
        </w:rPr>
        <w:t>ARTÍCULO 86. Los servidores públicos tendrán los siguientes derechos:</w:t>
      </w:r>
    </w:p>
    <w:p w:rsidR="00E06426" w:rsidRPr="00E506E6" w:rsidRDefault="004679EF">
      <w:pPr>
        <w:ind w:left="567"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p>
    <w:p w:rsidR="00E06426" w:rsidRPr="00E506E6" w:rsidRDefault="004679EF">
      <w:pPr>
        <w:ind w:left="567"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VIII. Disfrutar de licencias o permisos para desempeñar una comisión accidental o permanente del Estado, de carácter sindical</w:t>
      </w:r>
      <w:r w:rsidRPr="00E506E6">
        <w:rPr>
          <w:rFonts w:ascii="Palatino Linotype" w:eastAsia="Palatino Linotype" w:hAnsi="Palatino Linotype" w:cs="Palatino Linotype"/>
          <w:i/>
          <w:iCs/>
          <w:sz w:val="22"/>
          <w:szCs w:val="22"/>
        </w:rPr>
        <w:t xml:space="preserve"> </w:t>
      </w:r>
      <w:r w:rsidRPr="00E506E6">
        <w:rPr>
          <w:rFonts w:ascii="Palatino Linotype" w:eastAsia="Palatino Linotype" w:hAnsi="Palatino Linotype" w:cs="Palatino Linotype"/>
          <w:b/>
          <w:bCs/>
          <w:i/>
          <w:iCs/>
          <w:sz w:val="22"/>
          <w:szCs w:val="22"/>
        </w:rPr>
        <w:t>o por motivos particulares,</w:t>
      </w:r>
      <w:r w:rsidRPr="00E506E6">
        <w:rPr>
          <w:rFonts w:ascii="Palatino Linotype" w:eastAsia="Palatino Linotype" w:hAnsi="Palatino Linotype" w:cs="Palatino Linotype"/>
          <w:i/>
          <w:iCs/>
          <w:sz w:val="22"/>
          <w:szCs w:val="22"/>
        </w:rPr>
        <w:t xml:space="preserve"> siempre que se soliciten con la anticipación debida y que el número de trabajadores no sea tal que perjudique la buena marcha de la dependencia o entidad.</w:t>
      </w:r>
    </w:p>
    <w:p w:rsidR="00E06426" w:rsidRPr="00E506E6" w:rsidRDefault="004679EF">
      <w:pPr>
        <w:ind w:left="567"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p>
    <w:p w:rsidR="00E06426" w:rsidRPr="00E506E6" w:rsidRDefault="004679EF">
      <w:pPr>
        <w:ind w:left="567"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 xml:space="preserve">“ARTÍCULO 88. </w:t>
      </w:r>
      <w:r w:rsidRPr="00E506E6">
        <w:rPr>
          <w:rFonts w:ascii="Palatino Linotype" w:eastAsia="Palatino Linotype" w:hAnsi="Palatino Linotype" w:cs="Palatino Linotype"/>
          <w:b/>
          <w:bCs/>
          <w:i/>
          <w:iCs/>
          <w:sz w:val="22"/>
          <w:szCs w:val="22"/>
        </w:rPr>
        <w:t>Son obligaciones de los servidores públicos:</w:t>
      </w:r>
    </w:p>
    <w:p w:rsidR="00E06426" w:rsidRPr="00E506E6" w:rsidRDefault="004679EF">
      <w:pPr>
        <w:ind w:left="567"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p>
    <w:p w:rsidR="00E06426" w:rsidRPr="00E506E6" w:rsidRDefault="004679EF">
      <w:pPr>
        <w:ind w:left="567"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III. Asistir puntualmente a sus labores y no faltar sin causa justificada o sin permiso.</w:t>
      </w:r>
      <w:r w:rsidRPr="00E506E6">
        <w:rPr>
          <w:rFonts w:ascii="Palatino Linotype" w:eastAsia="Palatino Linotype" w:hAnsi="Palatino Linotype" w:cs="Palatino Linotype"/>
          <w:i/>
          <w:iCs/>
          <w:sz w:val="22"/>
          <w:szCs w:val="22"/>
        </w:rPr>
        <w:t xml:space="preserve"> En caso de inasistencia, el servidor público deberá comunicar a la institución pública o dependencia en que presta sus servicios, por los medios posibles a su alcance, la causa de la misma dentro de las 24 horas siguientes al momento en que debió haberse presentado a trabajar. No dar aviso, hará presumir que la falta fue injustificada…”</w:t>
      </w:r>
    </w:p>
    <w:p w:rsidR="00E06426" w:rsidRPr="00E506E6" w:rsidRDefault="00E06426">
      <w:pPr>
        <w:ind w:left="567" w:right="616"/>
        <w:jc w:val="both"/>
        <w:rPr>
          <w:rFonts w:ascii="Palatino Linotype" w:eastAsia="Palatino Linotype" w:hAnsi="Palatino Linotype" w:cs="Palatino Linotype"/>
          <w:i/>
          <w:iCs/>
          <w:sz w:val="22"/>
          <w:szCs w:val="22"/>
        </w:rPr>
      </w:pPr>
    </w:p>
    <w:p w:rsidR="00E06426" w:rsidRPr="00E506E6" w:rsidRDefault="004679EF">
      <w:pPr>
        <w:ind w:left="567" w:right="616"/>
        <w:jc w:val="right"/>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(Énfasis añadido)</w:t>
      </w:r>
    </w:p>
    <w:p w:rsidR="00E06426" w:rsidRPr="00E506E6" w:rsidRDefault="00E06426">
      <w:pPr>
        <w:spacing w:line="360" w:lineRule="auto"/>
        <w:ind w:right="49"/>
        <w:jc w:val="both"/>
        <w:rPr>
          <w:rFonts w:ascii="Palatino Linotype" w:eastAsia="Palatino Linotype" w:hAnsi="Palatino Linotype" w:cs="Palatino Linotype"/>
          <w:sz w:val="22"/>
          <w:szCs w:val="22"/>
        </w:rPr>
      </w:pPr>
    </w:p>
    <w:p w:rsidR="00E06426" w:rsidRPr="00E506E6" w:rsidRDefault="004679EF">
      <w:pPr>
        <w:spacing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De dichos preceptos legales, se desprende que los servidores públicos tienen derecho a disfrutar, entre otros, licencias o permisos para desempeñar una comisión accidental o permanente con motivo de los servicios que presta para la institución pública, de carácter sindical o por motivos particulares, siempre y cuando se solicite con la anticipación debida.</w:t>
      </w:r>
    </w:p>
    <w:p w:rsidR="00E06426" w:rsidRPr="00E506E6" w:rsidRDefault="00E06426">
      <w:pPr>
        <w:spacing w:line="360" w:lineRule="auto"/>
        <w:ind w:right="49"/>
        <w:jc w:val="both"/>
        <w:rPr>
          <w:rFonts w:ascii="Palatino Linotype" w:eastAsia="Palatino Linotype" w:hAnsi="Palatino Linotype" w:cs="Palatino Linotype"/>
          <w:sz w:val="22"/>
          <w:szCs w:val="22"/>
        </w:rPr>
      </w:pPr>
    </w:p>
    <w:p w:rsidR="00E06426" w:rsidRPr="00E506E6" w:rsidRDefault="004679EF">
      <w:pPr>
        <w:spacing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Asimismo, se establece que es una obligación de los servidores públicos el asistir puntualmente a sus labores y no faltar sin causa justificada o sin permiso. </w:t>
      </w:r>
    </w:p>
    <w:p w:rsidR="00E06426" w:rsidRPr="00E506E6" w:rsidRDefault="00E06426">
      <w:pPr>
        <w:spacing w:line="360" w:lineRule="auto"/>
        <w:ind w:right="49"/>
        <w:jc w:val="both"/>
        <w:rPr>
          <w:rFonts w:ascii="Palatino Linotype" w:eastAsia="Palatino Linotype" w:hAnsi="Palatino Linotype" w:cs="Palatino Linotype"/>
          <w:sz w:val="22"/>
          <w:szCs w:val="22"/>
        </w:rPr>
      </w:pPr>
    </w:p>
    <w:p w:rsidR="00E06426" w:rsidRPr="00E506E6" w:rsidRDefault="004679EF">
      <w:pPr>
        <w:spacing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Por lo que, en caso de inasistencia, el servidor público deberá comunicar a la institución pública o dependencia en que presta sus servicios, por los medios posibles a su alcance, la causa de la misma dentro de las 24 horas siguientes al momento en que debió haberse presentado a trabajar; y, de no dar aviso, hará presumir que la falta fue injustificada.</w:t>
      </w:r>
    </w:p>
    <w:p w:rsidR="00E06426" w:rsidRPr="00E506E6" w:rsidRDefault="00E06426">
      <w:pPr>
        <w:spacing w:line="360" w:lineRule="auto"/>
        <w:ind w:right="49"/>
        <w:jc w:val="both"/>
        <w:rPr>
          <w:rFonts w:ascii="Palatino Linotype" w:eastAsia="Palatino Linotype" w:hAnsi="Palatino Linotype" w:cs="Palatino Linotype"/>
          <w:sz w:val="22"/>
          <w:szCs w:val="22"/>
        </w:rPr>
      </w:pPr>
    </w:p>
    <w:p w:rsidR="00E06426" w:rsidRPr="00E506E6" w:rsidRDefault="004679EF">
      <w:pPr>
        <w:spacing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Así las cosas, se advierte que los servidores públicos como parte de sus obligaciones deben cumplir con las normas y procedimientos de trabajo, y en el caso de licencias o permisos de carácter sindical o por motivos particulares, se tiene la obligación de comunicar a la fuente de trabajo la causa de la misma dentro del plazo de veinticuatro horas siguientes.</w:t>
      </w:r>
    </w:p>
    <w:p w:rsidR="00E06426" w:rsidRPr="00E506E6" w:rsidRDefault="00E06426">
      <w:pPr>
        <w:spacing w:line="360" w:lineRule="auto"/>
        <w:ind w:right="49"/>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Advirtiéndose de lo anterior, que es una obligación de los servidores públicos de presentar justificantes en caso de no asistir a laborar ya sea porque se otorgó una licencia, permiso, o bien, como en el caso, un oficio de comisión, el cual es un documento oficial a través del cual la autoridad o institución designa formalmente a una persona para realizar una tarea específica fuera de sus funciones habituales o fuera de su lugar de trabajo.</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Por lo que, en efecto, constituye evidencia gastos de representación o viáticos que pudieron ser asignados a servidores públicos para cumplir con las actividades encomendadas.</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Asimismo, un </w:t>
      </w:r>
      <w:r w:rsidRPr="00E506E6">
        <w:rPr>
          <w:rFonts w:ascii="Palatino Linotype" w:eastAsia="Palatino Linotype" w:hAnsi="Palatino Linotype" w:cs="Palatino Linotype"/>
          <w:b/>
          <w:bCs/>
          <w:sz w:val="22"/>
          <w:szCs w:val="22"/>
        </w:rPr>
        <w:t xml:space="preserve">informe de comisión </w:t>
      </w:r>
      <w:r w:rsidRPr="00E506E6">
        <w:rPr>
          <w:rFonts w:ascii="Palatino Linotype" w:eastAsia="Palatino Linotype" w:hAnsi="Palatino Linotype" w:cs="Palatino Linotype"/>
          <w:sz w:val="22"/>
          <w:szCs w:val="22"/>
        </w:rPr>
        <w:t xml:space="preserve">puede dar cuenta como evidencia de los gastos de representación o viáticos ejercidos, dado que se constituye como un </w:t>
      </w:r>
      <w:r w:rsidRPr="00E506E6">
        <w:rPr>
          <w:rFonts w:ascii="Palatino Linotype" w:eastAsia="Palatino Linotype" w:hAnsi="Palatino Linotype" w:cs="Palatino Linotype"/>
          <w:b/>
          <w:bCs/>
          <w:sz w:val="22"/>
          <w:szCs w:val="22"/>
        </w:rPr>
        <w:t>documento formal</w:t>
      </w:r>
      <w:r w:rsidRPr="00E506E6">
        <w:rPr>
          <w:rFonts w:ascii="Palatino Linotype" w:eastAsia="Palatino Linotype" w:hAnsi="Palatino Linotype" w:cs="Palatino Linotype"/>
          <w:sz w:val="22"/>
          <w:szCs w:val="22"/>
        </w:rPr>
        <w:t xml:space="preserve"> que presenta el servidor público, después de haber cumplido una comisión o encargo oficial, para explicar qué hizo, cómo lo hizo y cuáles fueron los resultados, como parte de </w:t>
      </w:r>
      <w:proofErr w:type="gramStart"/>
      <w:r w:rsidRPr="00E506E6">
        <w:rPr>
          <w:rFonts w:ascii="Palatino Linotype" w:eastAsia="Palatino Linotype" w:hAnsi="Palatino Linotype" w:cs="Palatino Linotype"/>
          <w:sz w:val="22"/>
          <w:szCs w:val="22"/>
        </w:rPr>
        <w:t xml:space="preserve">una  </w:t>
      </w:r>
      <w:r w:rsidRPr="00E506E6">
        <w:rPr>
          <w:rFonts w:ascii="Palatino Linotype" w:eastAsia="Palatino Linotype" w:hAnsi="Palatino Linotype" w:cs="Palatino Linotype"/>
          <w:b/>
          <w:bCs/>
          <w:sz w:val="22"/>
          <w:szCs w:val="22"/>
        </w:rPr>
        <w:t>rendición</w:t>
      </w:r>
      <w:proofErr w:type="gramEnd"/>
      <w:r w:rsidRPr="00E506E6">
        <w:rPr>
          <w:rFonts w:ascii="Palatino Linotype" w:eastAsia="Palatino Linotype" w:hAnsi="Palatino Linotype" w:cs="Palatino Linotype"/>
          <w:b/>
          <w:bCs/>
          <w:sz w:val="22"/>
          <w:szCs w:val="22"/>
        </w:rPr>
        <w:t xml:space="preserve"> de cuentas</w:t>
      </w:r>
      <w:r w:rsidRPr="00E506E6">
        <w:rPr>
          <w:rFonts w:ascii="Palatino Linotype" w:eastAsia="Palatino Linotype" w:hAnsi="Palatino Linotype" w:cs="Palatino Linotype"/>
          <w:sz w:val="22"/>
          <w:szCs w:val="22"/>
        </w:rPr>
        <w:t xml:space="preserve"> de una actividad asignada mediante un oficio de comisión.</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Por otro lado, </w:t>
      </w:r>
      <w:r w:rsidRPr="00E506E6">
        <w:rPr>
          <w:rFonts w:ascii="Palatino Linotype" w:eastAsia="Palatino Linotype" w:hAnsi="Palatino Linotype" w:cs="Palatino Linotype"/>
          <w:b/>
          <w:bCs/>
          <w:sz w:val="22"/>
          <w:szCs w:val="22"/>
        </w:rPr>
        <w:t>por lo que corresponde a las facturas, comprantes o recibos por gastos de representación y viáticos</w:t>
      </w:r>
      <w:r w:rsidRPr="00E506E6">
        <w:rPr>
          <w:rFonts w:ascii="Palatino Linotype" w:eastAsia="Palatino Linotype" w:hAnsi="Palatino Linotype" w:cs="Palatino Linotype"/>
          <w:sz w:val="22"/>
          <w:szCs w:val="22"/>
        </w:rPr>
        <w:t>, resulta conveniente traer a contexto el contenido de los artículos 342, 343, 344 y 345 del Código Financiero del Estado de México y Municipios mismos que disponen el sistema y las políticas que deben seguirse para llevar el registro contable y presupuestal de las operaciones financieras, en los siguientes términos:</w:t>
      </w:r>
    </w:p>
    <w:p w:rsidR="00E06426" w:rsidRPr="00E506E6" w:rsidRDefault="00E06426">
      <w:pPr>
        <w:widowControl w:val="0"/>
        <w:spacing w:line="360" w:lineRule="auto"/>
        <w:jc w:val="both"/>
        <w:rPr>
          <w:rFonts w:ascii="Palatino Linotype" w:eastAsia="Palatino Linotype" w:hAnsi="Palatino Linotype" w:cs="Palatino Linotype"/>
          <w:sz w:val="22"/>
          <w:szCs w:val="22"/>
        </w:rPr>
      </w:pPr>
    </w:p>
    <w:p w:rsidR="00E06426" w:rsidRPr="00E506E6" w:rsidRDefault="004679EF">
      <w:pPr>
        <w:spacing w:before="120" w:after="120"/>
        <w:ind w:left="862" w:right="86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b/>
          <w:bCs/>
          <w:i/>
          <w:iCs/>
          <w:sz w:val="22"/>
          <w:szCs w:val="22"/>
        </w:rPr>
        <w:t>Artículo 342</w:t>
      </w:r>
      <w:r w:rsidRPr="00E506E6">
        <w:rPr>
          <w:rFonts w:ascii="Palatino Linotype" w:eastAsia="Palatino Linotype" w:hAnsi="Palatino Linotype" w:cs="Palatino Linotype"/>
          <w:i/>
          <w:iCs/>
          <w:sz w:val="22"/>
          <w:szCs w:val="22"/>
        </w:rPr>
        <w:t xml:space="preserve">.- El registro contable del efecto patrimonial y presupuestal de las operaciones financieras, se realizará conforme al sistema y a las disposiciones que se aprueben en materia de planeación, programación, </w:t>
      </w:r>
      <w:proofErr w:type="spellStart"/>
      <w:r w:rsidRPr="00E506E6">
        <w:rPr>
          <w:rFonts w:ascii="Palatino Linotype" w:eastAsia="Palatino Linotype" w:hAnsi="Palatino Linotype" w:cs="Palatino Linotype"/>
          <w:i/>
          <w:iCs/>
          <w:sz w:val="22"/>
          <w:szCs w:val="22"/>
        </w:rPr>
        <w:t>presupuestación</w:t>
      </w:r>
      <w:proofErr w:type="spellEnd"/>
      <w:r w:rsidRPr="00E506E6">
        <w:rPr>
          <w:rFonts w:ascii="Palatino Linotype" w:eastAsia="Palatino Linotype" w:hAnsi="Palatino Linotype" w:cs="Palatino Linotype"/>
          <w:i/>
          <w:iCs/>
          <w:sz w:val="22"/>
          <w:szCs w:val="22"/>
        </w:rPr>
        <w:t xml:space="preserve">, evaluación y contabilidad gubernamental. </w:t>
      </w:r>
    </w:p>
    <w:p w:rsidR="00E06426" w:rsidRPr="00E506E6" w:rsidRDefault="004679EF">
      <w:pPr>
        <w:spacing w:before="120" w:after="120"/>
        <w:ind w:left="862" w:right="862"/>
        <w:jc w:val="both"/>
        <w:rPr>
          <w:rFonts w:ascii="Palatino Linotype" w:eastAsia="Palatino Linotype" w:hAnsi="Palatino Linotype" w:cs="Palatino Linotype"/>
          <w:b/>
          <w:bCs/>
          <w:i/>
          <w:iCs/>
          <w:sz w:val="22"/>
          <w:szCs w:val="22"/>
        </w:rPr>
      </w:pPr>
      <w:r w:rsidRPr="00E506E6">
        <w:rPr>
          <w:rFonts w:ascii="Palatino Linotype" w:eastAsia="Palatino Linotype" w:hAnsi="Palatino Linotype" w:cs="Palatino Linotype"/>
          <w:b/>
          <w:bCs/>
          <w:i/>
          <w:iCs/>
          <w:sz w:val="22"/>
          <w:szCs w:val="22"/>
        </w:rPr>
        <w:t>En el caso de los municipios,</w:t>
      </w:r>
      <w:r w:rsidRPr="00E506E6">
        <w:rPr>
          <w:rFonts w:ascii="Palatino Linotype" w:eastAsia="Palatino Linotype" w:hAnsi="Palatino Linotype" w:cs="Palatino Linotype"/>
          <w:i/>
          <w:iCs/>
          <w:sz w:val="22"/>
          <w:szCs w:val="22"/>
        </w:rPr>
        <w:t xml:space="preserve"> el registro a que se refiere el párrafo anterior, se realizará conforme al sistema y a las disposiciones en materia de </w:t>
      </w:r>
      <w:r w:rsidRPr="00E506E6">
        <w:rPr>
          <w:rFonts w:ascii="Palatino Linotype" w:eastAsia="Palatino Linotype" w:hAnsi="Palatino Linotype" w:cs="Palatino Linotype"/>
          <w:b/>
          <w:bCs/>
          <w:i/>
          <w:iCs/>
          <w:sz w:val="22"/>
          <w:szCs w:val="22"/>
        </w:rPr>
        <w:t xml:space="preserve">planeación, programación, </w:t>
      </w:r>
      <w:proofErr w:type="spellStart"/>
      <w:r w:rsidRPr="00E506E6">
        <w:rPr>
          <w:rFonts w:ascii="Palatino Linotype" w:eastAsia="Palatino Linotype" w:hAnsi="Palatino Linotype" w:cs="Palatino Linotype"/>
          <w:b/>
          <w:bCs/>
          <w:i/>
          <w:iCs/>
          <w:sz w:val="22"/>
          <w:szCs w:val="22"/>
        </w:rPr>
        <w:t>presupuestación</w:t>
      </w:r>
      <w:proofErr w:type="spellEnd"/>
      <w:r w:rsidRPr="00E506E6">
        <w:rPr>
          <w:rFonts w:ascii="Palatino Linotype" w:eastAsia="Palatino Linotype" w:hAnsi="Palatino Linotype" w:cs="Palatino Linotype"/>
          <w:b/>
          <w:bCs/>
          <w:i/>
          <w:iCs/>
          <w:sz w:val="22"/>
          <w:szCs w:val="22"/>
        </w:rPr>
        <w:t>, evaluación y contabilidad gubernamental</w:t>
      </w:r>
      <w:r w:rsidRPr="00E506E6">
        <w:rPr>
          <w:rFonts w:ascii="Palatino Linotype" w:eastAsia="Palatino Linotype" w:hAnsi="Palatino Linotype" w:cs="Palatino Linotype"/>
          <w:i/>
          <w:iCs/>
          <w:sz w:val="22"/>
          <w:szCs w:val="22"/>
        </w:rPr>
        <w:t>, que se aprueben en el marco del Sistema de Coordinación Hacendaria del Estado de México</w:t>
      </w:r>
      <w:r w:rsidRPr="00E506E6">
        <w:rPr>
          <w:rFonts w:ascii="Palatino Linotype" w:eastAsia="Palatino Linotype" w:hAnsi="Palatino Linotype" w:cs="Palatino Linotype"/>
          <w:b/>
          <w:bCs/>
          <w:i/>
          <w:iCs/>
          <w:sz w:val="22"/>
          <w:szCs w:val="22"/>
        </w:rPr>
        <w:t xml:space="preserve"> </w:t>
      </w:r>
    </w:p>
    <w:p w:rsidR="00E06426" w:rsidRPr="00E506E6" w:rsidRDefault="004679EF">
      <w:pPr>
        <w:spacing w:before="120" w:after="120"/>
        <w:ind w:left="862" w:right="86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Artículo 343.-</w:t>
      </w:r>
      <w:r w:rsidRPr="00E506E6">
        <w:rPr>
          <w:rFonts w:ascii="Palatino Linotype" w:eastAsia="Palatino Linotype" w:hAnsi="Palatino Linotype" w:cs="Palatino Linotype"/>
          <w:i/>
          <w:iCs/>
          <w:sz w:val="22"/>
          <w:szCs w:val="22"/>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w:t>
      </w:r>
    </w:p>
    <w:p w:rsidR="00E06426" w:rsidRPr="00E506E6" w:rsidRDefault="004679EF">
      <w:pPr>
        <w:spacing w:before="120" w:after="120"/>
        <w:ind w:left="862" w:right="862"/>
        <w:jc w:val="both"/>
        <w:rPr>
          <w:rFonts w:ascii="Palatino Linotype" w:eastAsia="Palatino Linotype" w:hAnsi="Palatino Linotype" w:cs="Palatino Linotype"/>
          <w:b/>
          <w:bCs/>
          <w:i/>
          <w:iCs/>
          <w:sz w:val="22"/>
          <w:szCs w:val="22"/>
        </w:rPr>
      </w:pPr>
      <w:r w:rsidRPr="00E506E6">
        <w:rPr>
          <w:rFonts w:ascii="Palatino Linotype" w:eastAsia="Palatino Linotype" w:hAnsi="Palatino Linotype" w:cs="Palatino Linotype"/>
          <w:i/>
          <w:iCs/>
          <w:sz w:val="22"/>
          <w:szCs w:val="22"/>
        </w:rPr>
        <w:t>El sistema de contabilidad sobre base acumulativa total, se sustentará en las normas emitidas por el Consejo Nacional de Armonización Contable.</w:t>
      </w:r>
    </w:p>
    <w:p w:rsidR="00E06426" w:rsidRPr="00E506E6" w:rsidRDefault="004679EF">
      <w:pPr>
        <w:spacing w:before="120" w:after="120"/>
        <w:ind w:left="862" w:right="86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Artículo 344</w:t>
      </w:r>
      <w:r w:rsidRPr="00E506E6">
        <w:rPr>
          <w:rFonts w:ascii="Palatino Linotype" w:eastAsia="Palatino Linotype" w:hAnsi="Palatino Linotype" w:cs="Palatino Linotype"/>
          <w:i/>
          <w:iCs/>
          <w:sz w:val="22"/>
          <w:szCs w:val="22"/>
        </w:rPr>
        <w:t xml:space="preserve">.- </w:t>
      </w:r>
      <w:r w:rsidRPr="00E506E6">
        <w:rPr>
          <w:rFonts w:ascii="Palatino Linotype" w:eastAsia="Palatino Linotype" w:hAnsi="Palatino Linotype" w:cs="Palatino Linotype"/>
          <w:b/>
          <w:bCs/>
          <w:i/>
          <w:iCs/>
          <w:sz w:val="22"/>
          <w:szCs w:val="22"/>
          <w:u w:val="single"/>
        </w:rPr>
        <w:t>Los Entes Públicos</w:t>
      </w:r>
      <w:r w:rsidRPr="00E506E6">
        <w:rPr>
          <w:rFonts w:ascii="Palatino Linotype" w:eastAsia="Palatino Linotype" w:hAnsi="Palatino Linotype" w:cs="Palatino Linotype"/>
          <w:i/>
          <w:iCs/>
          <w:sz w:val="22"/>
          <w:szCs w:val="22"/>
        </w:rPr>
        <w:t xml:space="preserve">, a través de cualquiera de sus unidades administrativas, de acuerdo con su naturaleza jurídica y según corresponda, </w:t>
      </w:r>
      <w:r w:rsidRPr="00E506E6">
        <w:rPr>
          <w:rFonts w:ascii="Palatino Linotype" w:eastAsia="Palatino Linotype" w:hAnsi="Palatino Linotype" w:cs="Palatino Linotype"/>
          <w:b/>
          <w:bCs/>
          <w:i/>
          <w:iCs/>
          <w:sz w:val="22"/>
          <w:szCs w:val="22"/>
          <w:u w:val="single"/>
        </w:rPr>
        <w:t>registrarán contablemente el efecto patrimonial y presupuestal de las operaciones financieras que realicen, en el momento en que ocurran, con base en el sistema y políticas de registro establecidas, en el caso de los Municipios, se hará por la Tesorería.</w:t>
      </w:r>
    </w:p>
    <w:p w:rsidR="00E06426" w:rsidRPr="00E506E6" w:rsidRDefault="004679EF">
      <w:pPr>
        <w:spacing w:before="120" w:after="120"/>
        <w:ind w:left="862" w:right="86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Todo registro contable y presupuestal deberá estar soportado con los documentos comprobatorios originales o en medios electrónicos, los que deberán permanecer en custodia y conservación de los Entes Públicos a través de las unidades administrativas que ejercieron el gasto y a disposición de los Órganos de Fiscalización locales y federales</w:t>
      </w:r>
      <w:r w:rsidRPr="00E506E6">
        <w:rPr>
          <w:rFonts w:ascii="Palatino Linotype" w:eastAsia="Palatino Linotype" w:hAnsi="Palatino Linotype" w:cs="Palatino Linotype"/>
          <w:i/>
          <w:iCs/>
          <w:sz w:val="22"/>
          <w:szCs w:val="22"/>
        </w:rPr>
        <w:t xml:space="preserve">, según corresponda, así como de los órganos internos de control, </w:t>
      </w:r>
      <w:r w:rsidRPr="00E506E6">
        <w:rPr>
          <w:rFonts w:ascii="Palatino Linotype" w:eastAsia="Palatino Linotype" w:hAnsi="Palatino Linotype" w:cs="Palatino Linotype"/>
          <w:b/>
          <w:bCs/>
          <w:i/>
          <w:iCs/>
          <w:sz w:val="22"/>
          <w:szCs w:val="22"/>
          <w:u w:val="single"/>
        </w:rPr>
        <w:t>por un término de cinco años,</w:t>
      </w:r>
      <w:r w:rsidRPr="00E506E6">
        <w:rPr>
          <w:rFonts w:ascii="Palatino Linotype" w:eastAsia="Palatino Linotype" w:hAnsi="Palatino Linotype" w:cs="Palatino Linotype"/>
          <w:i/>
          <w:iCs/>
          <w:sz w:val="22"/>
          <w:szCs w:val="22"/>
        </w:rPr>
        <w:t xml:space="preserve"> contados a partir del ejercicio presupuestal siguiente al que corresponda, </w:t>
      </w:r>
      <w:r w:rsidRPr="00E506E6">
        <w:rPr>
          <w:rFonts w:ascii="Palatino Linotype" w:eastAsia="Palatino Linotype" w:hAnsi="Palatino Linotype" w:cs="Palatino Linotype"/>
          <w:b/>
          <w:bCs/>
          <w:i/>
          <w:iCs/>
          <w:sz w:val="22"/>
          <w:szCs w:val="22"/>
        </w:rPr>
        <w:t xml:space="preserve">en el caso de los Municipios, dicha obligación </w:t>
      </w:r>
      <w:r w:rsidRPr="00E506E6">
        <w:rPr>
          <w:rFonts w:ascii="Palatino Linotype" w:eastAsia="Palatino Linotype" w:hAnsi="Palatino Linotype" w:cs="Palatino Linotype"/>
          <w:b/>
          <w:bCs/>
          <w:i/>
          <w:iCs/>
          <w:sz w:val="22"/>
          <w:szCs w:val="22"/>
          <w:u w:val="single"/>
        </w:rPr>
        <w:t>corresponderá a la Tesorería</w:t>
      </w:r>
      <w:r w:rsidRPr="00E506E6">
        <w:rPr>
          <w:rFonts w:ascii="Palatino Linotype" w:eastAsia="Palatino Linotype" w:hAnsi="Palatino Linotype" w:cs="Palatino Linotype"/>
          <w:i/>
          <w:iCs/>
          <w:sz w:val="22"/>
          <w:szCs w:val="22"/>
          <w:u w:val="single"/>
        </w:rPr>
        <w:t xml:space="preserve">. </w:t>
      </w:r>
    </w:p>
    <w:p w:rsidR="00E06426" w:rsidRPr="00E506E6" w:rsidRDefault="004679EF">
      <w:pPr>
        <w:spacing w:before="120" w:after="120"/>
        <w:ind w:left="862" w:right="86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Tratándose de documentos de carácter histórico, se estará a lo dispuesto por la legislación de la materia.</w:t>
      </w:r>
    </w:p>
    <w:p w:rsidR="00E06426" w:rsidRPr="00E506E6" w:rsidRDefault="004679EF">
      <w:pPr>
        <w:spacing w:before="120" w:after="120"/>
        <w:ind w:left="862" w:right="862"/>
        <w:jc w:val="both"/>
        <w:rPr>
          <w:rFonts w:ascii="Palatino Linotype" w:eastAsia="Palatino Linotype" w:hAnsi="Palatino Linotype" w:cs="Palatino Linotype"/>
          <w:b/>
          <w:bCs/>
          <w:i/>
          <w:iCs/>
          <w:sz w:val="22"/>
          <w:szCs w:val="22"/>
          <w:u w:val="single"/>
        </w:rPr>
      </w:pPr>
      <w:r w:rsidRPr="00E506E6">
        <w:rPr>
          <w:rFonts w:ascii="Palatino Linotype" w:eastAsia="Palatino Linotype" w:hAnsi="Palatino Linotype" w:cs="Palatino Linotype"/>
          <w:b/>
          <w:bCs/>
          <w:i/>
          <w:iCs/>
          <w:sz w:val="22"/>
          <w:szCs w:val="22"/>
        </w:rPr>
        <w:t xml:space="preserve">Artículo 345.- Las Dependencias y sus unidades administrativas; deberán conservar la documentación contable del año en curso y la de ejercicios anteriores, cuyas cuentas públicas hayan sido revisadas y fiscalizadas y la remitirán al Archivo Contable Gubernamental en un plazo que no excederá de seis meses. </w:t>
      </w:r>
      <w:r w:rsidRPr="00E506E6">
        <w:rPr>
          <w:rFonts w:ascii="Palatino Linotype" w:eastAsia="Palatino Linotype" w:hAnsi="Palatino Linotype" w:cs="Palatino Linotype"/>
          <w:b/>
          <w:bCs/>
          <w:i/>
          <w:iCs/>
          <w:sz w:val="22"/>
          <w:szCs w:val="22"/>
          <w:u w:val="single"/>
        </w:rPr>
        <w:t xml:space="preserve">Tratándose de los comprobantes fiscales digitales, estos deberán estar agregados en forma electrónica a cada póliza de registro contable. </w:t>
      </w:r>
    </w:p>
    <w:p w:rsidR="00E06426" w:rsidRPr="00E506E6" w:rsidRDefault="004679EF">
      <w:pPr>
        <w:spacing w:before="120" w:after="120"/>
        <w:ind w:left="862" w:right="86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 xml:space="preserve">Los poderes Legislativo y Judicial, los Organismos Autónomos y las Entidades Públicas, de acuerdo con su naturaleza jurídica y según corresponda, deberán conservar la documentación contable del año en curso y la de ejercicios anteriores, cuyas cuentas públicas hayan sido revisadas y fiscalizadas, en sus propios Archivos Contables. Tratándose de los comprobantes fiscales digitales, estos </w:t>
      </w:r>
      <w:r w:rsidRPr="00E506E6">
        <w:rPr>
          <w:rFonts w:ascii="Palatino Linotype" w:eastAsia="Palatino Linotype" w:hAnsi="Palatino Linotype" w:cs="Palatino Linotype"/>
          <w:b/>
          <w:bCs/>
          <w:i/>
          <w:iCs/>
          <w:sz w:val="22"/>
          <w:szCs w:val="22"/>
        </w:rPr>
        <w:t>deberán estar agregados en forma electrónica a cada póliza de registro contable</w:t>
      </w:r>
      <w:r w:rsidRPr="00E506E6">
        <w:rPr>
          <w:rFonts w:ascii="Palatino Linotype" w:eastAsia="Palatino Linotype" w:hAnsi="Palatino Linotype" w:cs="Palatino Linotype"/>
          <w:i/>
          <w:iCs/>
          <w:sz w:val="22"/>
          <w:szCs w:val="22"/>
        </w:rPr>
        <w:t xml:space="preserve">. </w:t>
      </w:r>
    </w:p>
    <w:p w:rsidR="00E06426" w:rsidRPr="00E506E6" w:rsidRDefault="004679EF">
      <w:pPr>
        <w:spacing w:before="120" w:after="120"/>
        <w:ind w:left="851" w:right="850"/>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El plazo señalado en este artículo empezará a contar a partir de la publicación en el Periódico Oficial, del decreto correspondiente.”</w:t>
      </w:r>
    </w:p>
    <w:p w:rsidR="00E06426" w:rsidRPr="00E506E6" w:rsidRDefault="00E06426">
      <w:pPr>
        <w:spacing w:before="120" w:after="120"/>
        <w:ind w:left="851" w:right="850"/>
        <w:jc w:val="both"/>
        <w:rPr>
          <w:rFonts w:ascii="Palatino Linotype" w:eastAsia="Palatino Linotype" w:hAnsi="Palatino Linotype" w:cs="Palatino Linotype"/>
          <w:i/>
          <w:iCs/>
          <w:sz w:val="22"/>
          <w:szCs w:val="22"/>
        </w:rPr>
      </w:pPr>
    </w:p>
    <w:p w:rsidR="00E06426" w:rsidRPr="00E506E6" w:rsidRDefault="004679EF">
      <w:pPr>
        <w:spacing w:before="12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De una interpretación sistemática de los artículos transcritos, se desprende primeramente que el registro contable del efecto patrimonial y presupuestal de las operaciones financieras se realizará conforme al sistema y a las disposiciones que se aprueben en materia de planeación, programación, </w:t>
      </w:r>
      <w:proofErr w:type="spellStart"/>
      <w:r w:rsidRPr="00E506E6">
        <w:rPr>
          <w:rFonts w:ascii="Palatino Linotype" w:eastAsia="Palatino Linotype" w:hAnsi="Palatino Linotype" w:cs="Palatino Linotype"/>
          <w:sz w:val="22"/>
          <w:szCs w:val="22"/>
        </w:rPr>
        <w:t>presupuestación</w:t>
      </w:r>
      <w:proofErr w:type="spellEnd"/>
      <w:r w:rsidRPr="00E506E6">
        <w:rPr>
          <w:rFonts w:ascii="Palatino Linotype" w:eastAsia="Palatino Linotype" w:hAnsi="Palatino Linotype" w:cs="Palatino Linotype"/>
          <w:sz w:val="22"/>
          <w:szCs w:val="22"/>
        </w:rPr>
        <w:t>, evaluación y contabilidad gubernamental.</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Al respecto, si bien es cierto que el Código Financiero del Estado de México y Municipios establece la obligación de los organismos para llevar los registros contables y presupuestales; también lo es que, dicho ordenamiento jurídico no establece que debemos entender por registro contable y presupuestal; sin embargo, el “Glosario de Términos Administrativos”, emitido por el Instituto Nacional de Administración Pública, A.C. y el “Glosario de Términos para el Proceso de Planeación, Programación, </w:t>
      </w:r>
      <w:proofErr w:type="spellStart"/>
      <w:r w:rsidRPr="00E506E6">
        <w:rPr>
          <w:rFonts w:ascii="Palatino Linotype" w:eastAsia="Palatino Linotype" w:hAnsi="Palatino Linotype" w:cs="Palatino Linotype"/>
          <w:sz w:val="22"/>
          <w:szCs w:val="22"/>
        </w:rPr>
        <w:t>Presupuestación</w:t>
      </w:r>
      <w:proofErr w:type="spellEnd"/>
      <w:r w:rsidRPr="00E506E6">
        <w:rPr>
          <w:rFonts w:ascii="Palatino Linotype" w:eastAsia="Palatino Linotype" w:hAnsi="Palatino Linotype" w:cs="Palatino Linotype"/>
          <w:sz w:val="22"/>
          <w:szCs w:val="22"/>
        </w:rPr>
        <w:t xml:space="preserve"> y Evaluación en la Administración Pública”, elaborado por el Grupo de Trabajo de Sistemas de Información Financiera, Contable y Presupuestal de la Comisión Permanente de Funcionarios Fiscales del Instituto para el Desarrollo Técnico de las Haciendas Públicas (INDETEC) señalan las siguientes definiciones de las palabras registro contable y registro presupuestario: </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ind w:left="851" w:right="851"/>
        <w:jc w:val="both"/>
        <w:rPr>
          <w:rFonts w:ascii="Palatino Linotype" w:eastAsia="Palatino Linotype" w:hAnsi="Palatino Linotype" w:cs="Palatino Linotype"/>
          <w:b/>
          <w:bCs/>
          <w:i/>
          <w:iCs/>
          <w:sz w:val="22"/>
          <w:szCs w:val="22"/>
        </w:rPr>
      </w:pPr>
      <w:r w:rsidRPr="00E506E6">
        <w:rPr>
          <w:rFonts w:ascii="Palatino Linotype" w:eastAsia="Palatino Linotype" w:hAnsi="Palatino Linotype" w:cs="Palatino Linotype"/>
          <w:b/>
          <w:bCs/>
          <w:i/>
          <w:iCs/>
          <w:sz w:val="22"/>
          <w:szCs w:val="22"/>
        </w:rPr>
        <w:t xml:space="preserve">“REGISTRO CONTABLE </w:t>
      </w:r>
    </w:p>
    <w:p w:rsidR="00E06426" w:rsidRPr="00E506E6" w:rsidRDefault="004679EF">
      <w:pPr>
        <w:ind w:left="851" w:right="851"/>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Asiento que se realiza en los libros de contabilidad de las actividades relacionadas con el ingreso y egresos de un ente económico.” (Sic)</w:t>
      </w:r>
    </w:p>
    <w:p w:rsidR="00E06426" w:rsidRPr="00E506E6" w:rsidRDefault="00E06426">
      <w:pPr>
        <w:ind w:left="851" w:right="851"/>
        <w:jc w:val="both"/>
        <w:rPr>
          <w:rFonts w:ascii="Palatino Linotype" w:eastAsia="Palatino Linotype" w:hAnsi="Palatino Linotype" w:cs="Palatino Linotype"/>
          <w:b/>
          <w:bCs/>
          <w:i/>
          <w:iCs/>
          <w:sz w:val="22"/>
          <w:szCs w:val="22"/>
        </w:rPr>
      </w:pPr>
    </w:p>
    <w:p w:rsidR="00E06426" w:rsidRPr="00E506E6" w:rsidRDefault="004679EF">
      <w:pPr>
        <w:ind w:left="851" w:right="851"/>
        <w:jc w:val="both"/>
        <w:rPr>
          <w:rFonts w:ascii="Palatino Linotype" w:eastAsia="Palatino Linotype" w:hAnsi="Palatino Linotype" w:cs="Palatino Linotype"/>
          <w:b/>
          <w:bCs/>
          <w:i/>
          <w:iCs/>
          <w:sz w:val="22"/>
          <w:szCs w:val="22"/>
        </w:rPr>
      </w:pPr>
      <w:r w:rsidRPr="00E506E6">
        <w:rPr>
          <w:rFonts w:ascii="Palatino Linotype" w:eastAsia="Palatino Linotype" w:hAnsi="Palatino Linotype" w:cs="Palatino Linotype"/>
          <w:b/>
          <w:bCs/>
          <w:i/>
          <w:iCs/>
          <w:sz w:val="22"/>
          <w:szCs w:val="22"/>
        </w:rPr>
        <w:t>“REGISTRO PRESUPUESTARIO</w:t>
      </w:r>
    </w:p>
    <w:p w:rsidR="00E06426" w:rsidRPr="00E506E6" w:rsidRDefault="004679EF">
      <w:pPr>
        <w:ind w:left="851" w:right="851"/>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Asiento contable de las erogaciones realizadas por las dependencias y entidades con relación a la asignación, modificación y ejercicio de los recursos presupuestarios que se les hayan autorizado.” (Sic)</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Por otra parte, se establece que el sistema de contabilidad sobre base acumulativa total se sustentará en los principios de contabilidad gubernamental.</w:t>
      </w: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Correlativo a lo anterior, es preciso referir una definición de </w:t>
      </w:r>
      <w:r w:rsidRPr="00E506E6">
        <w:rPr>
          <w:rFonts w:ascii="Palatino Linotype" w:eastAsia="Palatino Linotype" w:hAnsi="Palatino Linotype" w:cs="Palatino Linotype"/>
          <w:i/>
          <w:iCs/>
          <w:sz w:val="22"/>
          <w:szCs w:val="22"/>
        </w:rPr>
        <w:t>póliza contable</w:t>
      </w:r>
      <w:r w:rsidRPr="00E506E6">
        <w:rPr>
          <w:rFonts w:ascii="Palatino Linotype" w:eastAsia="Palatino Linotype" w:hAnsi="Palatino Linotype" w:cs="Palatino Linotype"/>
          <w:sz w:val="22"/>
          <w:szCs w:val="22"/>
        </w:rPr>
        <w:t xml:space="preserve">, la cual, primeramente, no está definida en el Código Financiero del Estado de México y Municipios; no obstante, los ya mencionados Glosarios la definen como: </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ind w:left="851" w:right="851"/>
        <w:jc w:val="both"/>
        <w:rPr>
          <w:rFonts w:ascii="Palatino Linotype" w:eastAsia="Palatino Linotype" w:hAnsi="Palatino Linotype" w:cs="Palatino Linotype"/>
          <w:b/>
          <w:bCs/>
          <w:i/>
          <w:iCs/>
          <w:sz w:val="22"/>
          <w:szCs w:val="22"/>
        </w:rPr>
      </w:pPr>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b/>
          <w:bCs/>
          <w:i/>
          <w:iCs/>
          <w:sz w:val="22"/>
          <w:szCs w:val="22"/>
        </w:rPr>
        <w:t>PÓLIZA CONTABLE</w:t>
      </w:r>
    </w:p>
    <w:p w:rsidR="00E06426" w:rsidRPr="00E506E6" w:rsidRDefault="004679EF">
      <w:pPr>
        <w:ind w:left="851" w:right="851"/>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Documento en el cual se asientan en forma individual todas y cada una de las operaciones desarrolladas por una institución, así como la información necesaria para la identificación de dichas operaciones.” (sic)</w:t>
      </w:r>
    </w:p>
    <w:p w:rsidR="00E06426" w:rsidRPr="00E506E6" w:rsidRDefault="00E06426">
      <w:pPr>
        <w:ind w:left="851" w:right="851"/>
        <w:jc w:val="both"/>
        <w:rPr>
          <w:rFonts w:ascii="Palatino Linotype" w:eastAsia="Palatino Linotype" w:hAnsi="Palatino Linotype" w:cs="Palatino Linotype"/>
          <w:i/>
          <w:iCs/>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Así, se advierte que la </w:t>
      </w:r>
      <w:r w:rsidRPr="00E506E6">
        <w:rPr>
          <w:rFonts w:ascii="Palatino Linotype" w:eastAsia="Palatino Linotype" w:hAnsi="Palatino Linotype" w:cs="Palatino Linotype"/>
          <w:i/>
          <w:iCs/>
          <w:sz w:val="22"/>
          <w:szCs w:val="22"/>
        </w:rPr>
        <w:t>póliza contable</w:t>
      </w:r>
      <w:r w:rsidRPr="00E506E6">
        <w:rPr>
          <w:rFonts w:ascii="Palatino Linotype" w:eastAsia="Palatino Linotype" w:hAnsi="Palatino Linotype" w:cs="Palatino Linotype"/>
          <w:sz w:val="22"/>
          <w:szCs w:val="22"/>
        </w:rPr>
        <w:t xml:space="preserve"> constituye un registro contable y presupuestal con el que cuentan los Municipios para el registro de sus operaciones relacionadas con sus </w:t>
      </w:r>
      <w:r w:rsidRPr="00E506E6">
        <w:rPr>
          <w:rFonts w:ascii="Palatino Linotype" w:eastAsia="Palatino Linotype" w:hAnsi="Palatino Linotype" w:cs="Palatino Linotype"/>
          <w:sz w:val="22"/>
          <w:szCs w:val="22"/>
          <w:u w:val="single"/>
        </w:rPr>
        <w:t>ingresos y egresos</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b/>
          <w:bCs/>
          <w:sz w:val="22"/>
          <w:szCs w:val="22"/>
        </w:rPr>
        <w:t>y se anexan los documentos o comprobantes que justifiquen las anotaciones y cantidades en ellas registradas</w:t>
      </w:r>
      <w:r w:rsidRPr="00E506E6">
        <w:rPr>
          <w:rFonts w:ascii="Palatino Linotype" w:eastAsia="Palatino Linotype" w:hAnsi="Palatino Linotype" w:cs="Palatino Linotype"/>
          <w:sz w:val="22"/>
          <w:szCs w:val="22"/>
        </w:rPr>
        <w:t>, lo que permite la identificación plena de dichas operaciones.</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En este sentido, existen diversos tipos de pólizas contables de acuerdo a las operaciones realizadas, dentro de las cuales, encontramos las </w:t>
      </w:r>
      <w:r w:rsidRPr="00E506E6">
        <w:rPr>
          <w:rFonts w:ascii="Palatino Linotype" w:eastAsia="Palatino Linotype" w:hAnsi="Palatino Linotype" w:cs="Palatino Linotype"/>
          <w:i/>
          <w:iCs/>
          <w:sz w:val="22"/>
          <w:szCs w:val="22"/>
        </w:rPr>
        <w:t>pólizas de egresos e ingresos</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b/>
          <w:bCs/>
          <w:sz w:val="22"/>
          <w:szCs w:val="22"/>
        </w:rPr>
        <w:t>las primeras son aquellas en las cuales se anotan diariamente las operaciones que representan gastos, es decir, salidas de dinero para el Sujeto Obligado,</w:t>
      </w:r>
      <w:r w:rsidRPr="00E506E6">
        <w:rPr>
          <w:rFonts w:ascii="Palatino Linotype" w:eastAsia="Palatino Linotype" w:hAnsi="Palatino Linotype" w:cs="Palatino Linotype"/>
          <w:sz w:val="22"/>
          <w:szCs w:val="22"/>
        </w:rPr>
        <w:t xml:space="preserve"> las que además, deben encontrarse acompañadas de las documentales que sirven de soporte de dicho movimiento, y las segundas, registran todas la entradas de dinero independientemente de la modalidad, ya sea en efectivo, transferencia, cheque o pagaré.</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ind w:right="51"/>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Atento a lo anterior, como ya ha sido mencionado en la normatividad antes citada, </w:t>
      </w:r>
      <w:r w:rsidRPr="00E506E6">
        <w:rPr>
          <w:rFonts w:ascii="Palatino Linotype" w:eastAsia="Palatino Linotype" w:hAnsi="Palatino Linotype" w:cs="Palatino Linotype"/>
          <w:b/>
          <w:bCs/>
          <w:sz w:val="22"/>
          <w:szCs w:val="22"/>
        </w:rPr>
        <w:t>todo registro contable y presupuestal deberá estar soportado con los documentos comprobatorios originales,</w:t>
      </w:r>
      <w:r w:rsidRPr="00E506E6">
        <w:rPr>
          <w:rFonts w:ascii="Palatino Linotype" w:eastAsia="Palatino Linotype" w:hAnsi="Palatino Linotype" w:cs="Palatino Linotype"/>
          <w:sz w:val="22"/>
          <w:szCs w:val="22"/>
        </w:rPr>
        <w:t xml:space="preserve"> mismos que deberán permanecer en custodia y conservación de la Unidad Administrativa correspondiente y a disposición del Órgano Superior de Fiscalización del Estado de México; por un término de cinco años contados a partir del ejercicio presupuestal siguiente al que corresponda, tal y como se establece en el Código Financiero del Estado de México. </w:t>
      </w:r>
    </w:p>
    <w:p w:rsidR="00E06426" w:rsidRPr="00E506E6" w:rsidRDefault="00E06426">
      <w:pPr>
        <w:spacing w:line="360" w:lineRule="auto"/>
        <w:ind w:right="49"/>
        <w:jc w:val="both"/>
        <w:rPr>
          <w:rFonts w:ascii="Palatino Linotype" w:eastAsia="Palatino Linotype" w:hAnsi="Palatino Linotype" w:cs="Palatino Linotype"/>
          <w:sz w:val="22"/>
          <w:szCs w:val="22"/>
          <w:u w:val="single"/>
        </w:rPr>
      </w:pPr>
    </w:p>
    <w:p w:rsidR="00E06426" w:rsidRPr="00E506E6" w:rsidRDefault="004679EF">
      <w:pPr>
        <w:spacing w:line="360" w:lineRule="auto"/>
        <w:jc w:val="both"/>
        <w:rPr>
          <w:rFonts w:ascii="Palatino Linotype" w:eastAsia="Palatino Linotype" w:hAnsi="Palatino Linotype" w:cs="Palatino Linotype"/>
          <w:b/>
          <w:bCs/>
          <w:sz w:val="22"/>
          <w:szCs w:val="22"/>
        </w:rPr>
      </w:pPr>
      <w:r w:rsidRPr="00E506E6">
        <w:rPr>
          <w:rFonts w:ascii="Palatino Linotype" w:eastAsia="Palatino Linotype" w:hAnsi="Palatino Linotype" w:cs="Palatino Linotype"/>
          <w:sz w:val="22"/>
          <w:szCs w:val="22"/>
        </w:rPr>
        <w:t xml:space="preserve">Así, se puede advertir que, los documentos que pueden satisfacer el requerimiento de la persona solicitante serían precisamente </w:t>
      </w:r>
      <w:r w:rsidRPr="00E506E6">
        <w:rPr>
          <w:rFonts w:ascii="Palatino Linotype" w:eastAsia="Palatino Linotype" w:hAnsi="Palatino Linotype" w:cs="Palatino Linotype"/>
          <w:b/>
          <w:bCs/>
          <w:sz w:val="22"/>
          <w:szCs w:val="22"/>
        </w:rPr>
        <w:t>las facturas, comprobantes o recibos, como documentación comprobatoria que soporta las erogaciones del ente obligado, por gastos de representación o viáticos.</w:t>
      </w:r>
    </w:p>
    <w:p w:rsidR="00E06426" w:rsidRPr="00E506E6" w:rsidRDefault="00E06426">
      <w:pPr>
        <w:spacing w:line="360" w:lineRule="auto"/>
        <w:jc w:val="both"/>
        <w:rPr>
          <w:rFonts w:ascii="Palatino Linotype" w:eastAsia="Palatino Linotype" w:hAnsi="Palatino Linotype" w:cs="Palatino Linotype"/>
          <w:b/>
          <w:bCs/>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Asimismo, debe decirse que la información relacionada con los gastos de representación y viáticos, así como el objeto e informe de comisión correspondiente, se relaciona con la obligación de transparencia común prevista en la fracción IX del artículo 92 de la Ley de Transparencia Local, a saber:</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276" w:lineRule="auto"/>
        <w:ind w:left="567"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b/>
          <w:bCs/>
          <w:i/>
          <w:iCs/>
          <w:sz w:val="22"/>
          <w:szCs w:val="22"/>
        </w:rPr>
        <w:t>Artículo 92.</w:t>
      </w:r>
      <w:r w:rsidRPr="00E506E6">
        <w:rPr>
          <w:rFonts w:ascii="Palatino Linotype" w:eastAsia="Palatino Linotype" w:hAnsi="Palatino Linotype" w:cs="Palatino Linotype"/>
          <w:i/>
          <w:iCs/>
          <w:sz w:val="22"/>
          <w:szCs w:val="22"/>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E06426" w:rsidRPr="00E506E6" w:rsidRDefault="004679EF">
      <w:pPr>
        <w:spacing w:line="276" w:lineRule="auto"/>
        <w:ind w:left="567"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p>
    <w:p w:rsidR="00E06426" w:rsidRPr="00E506E6" w:rsidRDefault="004679EF">
      <w:pPr>
        <w:spacing w:line="276" w:lineRule="auto"/>
        <w:ind w:left="567" w:right="616"/>
        <w:jc w:val="both"/>
        <w:rPr>
          <w:rFonts w:ascii="Palatino Linotype" w:eastAsia="Palatino Linotype" w:hAnsi="Palatino Linotype" w:cs="Palatino Linotype"/>
          <w:b/>
          <w:bCs/>
          <w:i/>
          <w:iCs/>
          <w:sz w:val="22"/>
          <w:szCs w:val="22"/>
        </w:rPr>
      </w:pPr>
      <w:r w:rsidRPr="00E506E6">
        <w:rPr>
          <w:rFonts w:ascii="Palatino Linotype" w:eastAsia="Palatino Linotype" w:hAnsi="Palatino Linotype" w:cs="Palatino Linotype"/>
          <w:b/>
          <w:bCs/>
          <w:i/>
          <w:iCs/>
          <w:sz w:val="22"/>
          <w:szCs w:val="22"/>
        </w:rPr>
        <w:t>IX. Los gastos de representación y viáticos, así como el objeto e informe de comisión correspondiente;</w:t>
      </w:r>
    </w:p>
    <w:p w:rsidR="00E06426" w:rsidRPr="00E506E6" w:rsidRDefault="004679EF">
      <w:pPr>
        <w:spacing w:line="276" w:lineRule="auto"/>
        <w:ind w:left="567"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p>
    <w:p w:rsidR="00E06426" w:rsidRPr="00E506E6" w:rsidRDefault="00E06426">
      <w:pPr>
        <w:spacing w:line="276" w:lineRule="auto"/>
        <w:ind w:left="567" w:right="616"/>
        <w:jc w:val="both"/>
        <w:rPr>
          <w:rFonts w:ascii="Palatino Linotype" w:eastAsia="Palatino Linotype" w:hAnsi="Palatino Linotype" w:cs="Palatino Linotype"/>
          <w:i/>
          <w:iCs/>
          <w:sz w:val="22"/>
          <w:szCs w:val="22"/>
        </w:rPr>
      </w:pPr>
    </w:p>
    <w:p w:rsidR="00E06426" w:rsidRPr="00E506E6" w:rsidRDefault="004679EF">
      <w:pPr>
        <w:spacing w:line="276" w:lineRule="auto"/>
        <w:ind w:left="567" w:right="616"/>
        <w:jc w:val="right"/>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(Énfasis añadido)</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b/>
          <w:bCs/>
          <w:sz w:val="22"/>
          <w:szCs w:val="22"/>
        </w:rPr>
      </w:pPr>
      <w:r w:rsidRPr="00E506E6">
        <w:rPr>
          <w:rFonts w:ascii="Palatino Linotype" w:eastAsia="Palatino Linotype" w:hAnsi="Palatino Linotype" w:cs="Palatino Linotype"/>
          <w:sz w:val="22"/>
          <w:szCs w:val="22"/>
        </w:rPr>
        <w:t>De ahí que el ente obligado tiene atribuciones para conocer el tipo de información al que pretende acceder la persona solicitante.</w:t>
      </w:r>
    </w:p>
    <w:p w:rsidR="00E06426" w:rsidRPr="00E506E6" w:rsidRDefault="00E06426">
      <w:pPr>
        <w:spacing w:line="360" w:lineRule="auto"/>
        <w:jc w:val="both"/>
        <w:rPr>
          <w:rFonts w:ascii="Palatino Linotype" w:eastAsia="Palatino Linotype" w:hAnsi="Palatino Linotype" w:cs="Palatino Linotype"/>
          <w:b/>
          <w:bCs/>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Precisado lo anterior, en el caso es de recordar que quien se pronunció fue la Tesorería Municipal, misma que es la encargada de administrar la hacienda pública municipal, de conformidad con las disposiciones legales aplicables; así como,</w:t>
      </w:r>
      <w:r w:rsidRPr="00E506E6">
        <w:t xml:space="preserve"> </w:t>
      </w:r>
      <w:r w:rsidRPr="00E506E6">
        <w:rPr>
          <w:rFonts w:ascii="Palatino Linotype" w:eastAsia="Palatino Linotype" w:hAnsi="Palatino Linotype" w:cs="Palatino Linotype"/>
          <w:sz w:val="22"/>
          <w:szCs w:val="22"/>
        </w:rPr>
        <w:t>llevar los registros contables, financieros y administrativos de los ingresos, egresos, e inventarios, de conformidad con la Ley Orgánica Municipal del Estado de México.</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Asimismo, la Tesorería Municipal cuenta bajo su estructura, de una Coordinación de Recursos Humanos, misma que se encarga de analizar y vigilar que se cumplan las disposiciones en materia del trabajo, seguridad e higiene, así como las demás normas vigentes; y, aplicar las disposiciones legales laborales que rigen al personal del ayuntamiento.</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Por tanto, en el caso se dio cumplimiento al procedimiento establecido por el artículo 162 de la Ley de Transparencia y Acceso a la Información Pública del Estado de México y Municipios, ya que la Unidad de Transparencia turnó la solicitud al área en la que podría obrar la información de conformidad con la fracción XXXIX del artículo tercero de la legislación local vigente en materia de transparencia: </w:t>
      </w:r>
    </w:p>
    <w:p w:rsidR="00E06426" w:rsidRPr="00E506E6" w:rsidRDefault="00E06426"/>
    <w:p w:rsidR="00E06426" w:rsidRPr="00E506E6" w:rsidRDefault="004679EF">
      <w:pPr>
        <w:pBdr>
          <w:top w:val="nil"/>
          <w:left w:val="nil"/>
          <w:bottom w:val="nil"/>
          <w:right w:val="nil"/>
          <w:between w:val="nil"/>
        </w:pBdr>
        <w:ind w:left="864" w:right="864"/>
        <w:jc w:val="both"/>
      </w:pPr>
      <w:r w:rsidRPr="00E506E6">
        <w:rPr>
          <w:rFonts w:ascii="Palatino Linotype" w:eastAsia="Palatino Linotype" w:hAnsi="Palatino Linotype" w:cs="Palatino Linotype"/>
          <w:i/>
          <w:iCs/>
          <w:sz w:val="22"/>
          <w:szCs w:val="22"/>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rsidR="00E06426" w:rsidRPr="00E506E6" w:rsidRDefault="00E06426"/>
    <w:p w:rsidR="00E06426" w:rsidRPr="00E506E6" w:rsidRDefault="004679EF">
      <w:pPr>
        <w:pBdr>
          <w:top w:val="nil"/>
          <w:left w:val="nil"/>
          <w:bottom w:val="nil"/>
          <w:right w:val="nil"/>
          <w:between w:val="nil"/>
        </w:pBdr>
        <w:shd w:val="clear" w:color="auto" w:fill="FFFFFF"/>
        <w:spacing w:line="360" w:lineRule="auto"/>
        <w:jc w:val="both"/>
        <w:rPr>
          <w:sz w:val="22"/>
          <w:szCs w:val="22"/>
        </w:rPr>
      </w:pPr>
      <w:r w:rsidRPr="00E506E6">
        <w:rPr>
          <w:rFonts w:ascii="Palatino Linotype" w:eastAsia="Palatino Linotype" w:hAnsi="Palatino Linotype" w:cs="Palatino Linotype"/>
          <w:sz w:val="22"/>
          <w:szCs w:val="22"/>
        </w:rPr>
        <w:t>En este orden de ideas, se advierte que efectivamente la Unidad de Transparencia cumplió con lo expresado en el artículo 162 de la Ley de Transparencia y Acceso a la Información Pública del Estado de México y Municipios, el cual menciona lo siguiente:</w:t>
      </w:r>
    </w:p>
    <w:p w:rsidR="00E06426" w:rsidRPr="00E506E6" w:rsidRDefault="00E06426"/>
    <w:p w:rsidR="00E06426" w:rsidRPr="00E506E6" w:rsidRDefault="004679EF">
      <w:pPr>
        <w:pBdr>
          <w:top w:val="nil"/>
          <w:left w:val="nil"/>
          <w:bottom w:val="nil"/>
          <w:right w:val="nil"/>
          <w:between w:val="nil"/>
        </w:pBdr>
        <w:ind w:left="864" w:right="864"/>
        <w:jc w:val="both"/>
      </w:pPr>
      <w:r w:rsidRPr="00E506E6">
        <w:rPr>
          <w:rFonts w:ascii="Palatino Linotype" w:eastAsia="Palatino Linotype" w:hAnsi="Palatino Linotype" w:cs="Palatino Linotype"/>
          <w:i/>
          <w:iCs/>
          <w:sz w:val="22"/>
          <w:szCs w:val="22"/>
        </w:rPr>
        <w:t xml:space="preserve">“Artículo 162. Las unidades de transparencia deberán garantizar que las solicitudes </w:t>
      </w:r>
      <w:r w:rsidRPr="00E506E6">
        <w:rPr>
          <w:rFonts w:ascii="Palatino Linotype" w:eastAsia="Palatino Linotype" w:hAnsi="Palatino Linotype" w:cs="Palatino Linotype"/>
          <w:b/>
          <w:bCs/>
          <w:i/>
          <w:iCs/>
          <w:sz w:val="22"/>
          <w:szCs w:val="22"/>
        </w:rPr>
        <w:t xml:space="preserve">se turnen a todas las Áreas competentes </w:t>
      </w:r>
      <w:r w:rsidRPr="00E506E6">
        <w:rPr>
          <w:rFonts w:ascii="Palatino Linotype" w:eastAsia="Palatino Linotype" w:hAnsi="Palatino Linotype" w:cs="Palatino Linotype"/>
          <w:i/>
          <w:iCs/>
          <w:sz w:val="22"/>
          <w:szCs w:val="22"/>
        </w:rPr>
        <w:t>que cuenten con la información o deban tenerla de acuerdo a sus facultades, competencias y funciones, con el objeto de que realicen una búsqueda exhaustiva y razonable de la información solicitada.”</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Sin embargo, a pesar de que en el caso se pronunció el servidor público habilitado competente, a criterio de este Órgano Garante no se garantizó el derecho de acceso a la información pública, por las siguientes consideraciones:</w:t>
      </w:r>
    </w:p>
    <w:p w:rsidR="00E06426" w:rsidRPr="00E506E6" w:rsidRDefault="00E06426">
      <w:pPr>
        <w:spacing w:line="360" w:lineRule="auto"/>
        <w:jc w:val="both"/>
        <w:rPr>
          <w:rFonts w:ascii="Palatino Linotype" w:eastAsia="Palatino Linotype" w:hAnsi="Palatino Linotype" w:cs="Palatino Linotype"/>
          <w:b/>
          <w:bCs/>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En primer lugar, porque del análisis a la respuesta se advierte que el Tesorero Municipal proporcionó una relación de viáticos por diversos montos y actividades realizadas por diversas áreas del Ayuntamiento de </w:t>
      </w:r>
      <w:proofErr w:type="spellStart"/>
      <w:r w:rsidRPr="00E506E6">
        <w:rPr>
          <w:rFonts w:ascii="Palatino Linotype" w:eastAsia="Palatino Linotype" w:hAnsi="Palatino Linotype" w:cs="Palatino Linotype"/>
          <w:sz w:val="22"/>
          <w:szCs w:val="22"/>
        </w:rPr>
        <w:t>Atlautla</w:t>
      </w:r>
      <w:proofErr w:type="spellEnd"/>
      <w:r w:rsidRPr="00E506E6">
        <w:rPr>
          <w:rFonts w:ascii="Palatino Linotype" w:eastAsia="Palatino Linotype" w:hAnsi="Palatino Linotype" w:cs="Palatino Linotype"/>
          <w:sz w:val="22"/>
          <w:szCs w:val="22"/>
        </w:rPr>
        <w:t xml:space="preserve"> de la actual administración 2025-2027, sin embargo, el particular solicitó la evidencia documental, como los oficios de comisión, informes de comisión, facturas, recibos o comprobantes de dichos gastos; de ahí que la relación entregada no colma lo requerido.</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Asimismo, si bien en informe justificado se precisó que en respuesta se anexaron los recibos de gastos de traslado "VIÁTICOS", de las constancias que obran en el SAIMEX, no se advierte que se hayan adjuntado los recibos que refiere el servidor público habilitado competente.</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Aunado a </w:t>
      </w:r>
      <w:proofErr w:type="gramStart"/>
      <w:r w:rsidRPr="00E506E6">
        <w:rPr>
          <w:rFonts w:ascii="Palatino Linotype" w:eastAsia="Palatino Linotype" w:hAnsi="Palatino Linotype" w:cs="Palatino Linotype"/>
          <w:sz w:val="22"/>
          <w:szCs w:val="22"/>
        </w:rPr>
        <w:t>que</w:t>
      </w:r>
      <w:proofErr w:type="gramEnd"/>
      <w:r w:rsidRPr="00E506E6">
        <w:rPr>
          <w:rFonts w:ascii="Palatino Linotype" w:eastAsia="Palatino Linotype" w:hAnsi="Palatino Linotype" w:cs="Palatino Linotype"/>
          <w:sz w:val="22"/>
          <w:szCs w:val="22"/>
        </w:rPr>
        <w:t xml:space="preserve"> en relación al pronunciamiento vertido en informe justificado, consistente en que los gastos de traslado son el único gasto que se autoriza a las dependencias requeridas, resulta insuficiente para demostrar que no se generaron gastos de representación.</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Lo anterior, ya que dicho pronunciamiento no fue claro respecto de los gastos de </w:t>
      </w:r>
      <w:proofErr w:type="gramStart"/>
      <w:r w:rsidRPr="00E506E6">
        <w:rPr>
          <w:rFonts w:ascii="Palatino Linotype" w:eastAsia="Palatino Linotype" w:hAnsi="Palatino Linotype" w:cs="Palatino Linotype"/>
          <w:sz w:val="22"/>
          <w:szCs w:val="22"/>
        </w:rPr>
        <w:t>representación,  pues</w:t>
      </w:r>
      <w:proofErr w:type="gramEnd"/>
      <w:r w:rsidRPr="00E506E6">
        <w:rPr>
          <w:rFonts w:ascii="Palatino Linotype" w:eastAsia="Palatino Linotype" w:hAnsi="Palatino Linotype" w:cs="Palatino Linotype"/>
          <w:sz w:val="22"/>
          <w:szCs w:val="22"/>
        </w:rPr>
        <w:t xml:space="preserve"> si bien se indicó que los gastos de traslado son los únicos que se autorizan a las dependencias, estos fueron considerados bajo el rubro de viáticos no de gastos de representación.</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Por lo que, no hay certeza de que se haya realizado erogación bajo dicho rubro, dado que el servidor público habilitado competente fue omiso en pronunciarse al respecto.</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Además, conforme lo previsto en el Manual Único de Contabilidad Gubernamental para las Dependencias y Entidades Públicas del Gobierno y Municipios del Estado de México, los gastos de representación, </w:t>
      </w:r>
      <w:r w:rsidRPr="00E506E6">
        <w:rPr>
          <w:rFonts w:ascii="Palatino Linotype" w:eastAsia="Palatino Linotype" w:hAnsi="Palatino Linotype" w:cs="Palatino Linotype"/>
          <w:b/>
          <w:bCs/>
          <w:sz w:val="22"/>
          <w:szCs w:val="22"/>
          <w:u w:val="single"/>
        </w:rPr>
        <w:t xml:space="preserve">son asignaciones destinadas a cubrir gastos autorizados a los servidores públicos de mandos medios y superiores por concepto de atención a actividades institucionales originadas por el desempeño de las funciones encomendadas, </w:t>
      </w:r>
      <w:r w:rsidRPr="00E506E6">
        <w:rPr>
          <w:rFonts w:ascii="Palatino Linotype" w:eastAsia="Palatino Linotype" w:hAnsi="Palatino Linotype" w:cs="Palatino Linotype"/>
          <w:sz w:val="22"/>
          <w:szCs w:val="22"/>
        </w:rPr>
        <w:t>por lo que al preverse en el clasificador del gasto estatal municipal dicha asignación, existe la posibilidad de que mandos medios y superiores pudieran haber realizado erogaciones bajo dicho concepto.</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Aunado a que conforme el Estado Analítico del Ejercicio del Presupuesto de Egresos, Clasificación por objeto del gasto (Capítulo y Concepto), del 01 de enero al 30 de junio de 2025, que tiene publicado el </w:t>
      </w:r>
      <w:r w:rsidRPr="00E506E6">
        <w:rPr>
          <w:rFonts w:ascii="Palatino Linotype" w:eastAsia="Palatino Linotype" w:hAnsi="Palatino Linotype" w:cs="Palatino Linotype"/>
          <w:b/>
          <w:bCs/>
          <w:sz w:val="22"/>
          <w:szCs w:val="22"/>
        </w:rPr>
        <w:t xml:space="preserve">Sujeto Obligado </w:t>
      </w:r>
      <w:r w:rsidRPr="00E506E6">
        <w:rPr>
          <w:rFonts w:ascii="Palatino Linotype" w:eastAsia="Palatino Linotype" w:hAnsi="Palatino Linotype" w:cs="Palatino Linotype"/>
          <w:sz w:val="22"/>
          <w:szCs w:val="22"/>
        </w:rPr>
        <w:t xml:space="preserve">en su página oficial, </w:t>
      </w:r>
      <w:r w:rsidRPr="00E506E6">
        <w:rPr>
          <w:rFonts w:ascii="Palatino Linotype" w:eastAsia="Palatino Linotype" w:hAnsi="Palatino Linotype" w:cs="Palatino Linotype"/>
          <w:b/>
          <w:bCs/>
          <w:sz w:val="22"/>
          <w:szCs w:val="22"/>
        </w:rPr>
        <w:t xml:space="preserve">se advierte que bajo el Capítulo del Gasto “Servicios Generales” en el concepto “Servicios oficiales”, que contempla la partida genérica relativa a los </w:t>
      </w:r>
      <w:r w:rsidRPr="00E506E6">
        <w:rPr>
          <w:rFonts w:ascii="Palatino Linotype" w:eastAsia="Palatino Linotype" w:hAnsi="Palatino Linotype" w:cs="Palatino Linotype"/>
          <w:b/>
          <w:bCs/>
          <w:sz w:val="22"/>
          <w:szCs w:val="22"/>
          <w:u w:val="single"/>
        </w:rPr>
        <w:t>gastos de representación</w:t>
      </w:r>
      <w:r w:rsidRPr="00E506E6">
        <w:rPr>
          <w:rFonts w:ascii="Palatino Linotype" w:eastAsia="Palatino Linotype" w:hAnsi="Palatino Linotype" w:cs="Palatino Linotype"/>
          <w:sz w:val="22"/>
          <w:szCs w:val="22"/>
        </w:rPr>
        <w:t>, fue aprobado presupuesto para el ejercicio 2025, a saber:</w:t>
      </w: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noProof/>
          <w:sz w:val="22"/>
          <w:szCs w:val="22"/>
        </w:rPr>
        <w:drawing>
          <wp:inline distT="0" distB="0" distL="0" distR="0">
            <wp:extent cx="5610225" cy="3362325"/>
            <wp:effectExtent l="0" t="0" r="0" b="0"/>
            <wp:docPr id="4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610225" cy="3362325"/>
                    </a:xfrm>
                    <a:prstGeom prst="rect">
                      <a:avLst/>
                    </a:prstGeom>
                    <a:ln/>
                  </pic:spPr>
                </pic:pic>
              </a:graphicData>
            </a:graphic>
          </wp:inline>
        </w:drawing>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Por lo tanto, al haberse autorizado presupuesto para un rubro del capítulo del gasto que prevé los gastos de representación, existe la posibilidad de que se hayan realizado erogaciones por dicho concepto.</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De ahí que tanto la respuesta como el informe justificado carecen de los principios de congruencia y exhaustividad.</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Sirve de aplicación a lo anterior, el Criterio orientador, con clave de control SO/002/2017, emitido por el entonces Instituto Nacional de Transparencia, Acceso a la Información y Protección de Datos Personales, que a la letra dispone lo siguiente:</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pBdr>
          <w:top w:val="nil"/>
          <w:left w:val="nil"/>
          <w:bottom w:val="nil"/>
          <w:right w:val="nil"/>
          <w:between w:val="nil"/>
        </w:pBdr>
        <w:ind w:left="851" w:right="851"/>
        <w:jc w:val="both"/>
      </w:pPr>
      <w:r w:rsidRPr="00E506E6">
        <w:rPr>
          <w:rFonts w:ascii="Palatino Linotype" w:eastAsia="Palatino Linotype" w:hAnsi="Palatino Linotype" w:cs="Palatino Linotype"/>
          <w:b/>
          <w:bCs/>
          <w:i/>
          <w:iCs/>
          <w:sz w:val="22"/>
          <w:szCs w:val="22"/>
        </w:rPr>
        <w:t xml:space="preserve">“Congruencia y exhaustividad. Sus alcances para garantizar el derecho de acceso a la información. </w:t>
      </w:r>
      <w:r w:rsidRPr="00E506E6">
        <w:rPr>
          <w:rFonts w:ascii="Palatino Linotype" w:eastAsia="Palatino Linotype" w:hAnsi="Palatino Linotype" w:cs="Palatino Linotype"/>
          <w:i/>
          <w:iCs/>
          <w:sz w:val="22"/>
          <w:szCs w:val="22"/>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E506E6">
        <w:rPr>
          <w:rFonts w:ascii="Palatino Linotype" w:eastAsia="Palatino Linotype" w:hAnsi="Palatino Linotype" w:cs="Palatino Linotype"/>
          <w:b/>
          <w:bCs/>
          <w:i/>
          <w:iCs/>
          <w:sz w:val="22"/>
          <w:szCs w:val="22"/>
        </w:rPr>
        <w:t>la congruencia implica que exista concordancia entre el requerimiento formulado por el particular y la respuesta proporcionada por el sujeto obligado</w:t>
      </w:r>
      <w:r w:rsidRPr="00E506E6">
        <w:rPr>
          <w:rFonts w:ascii="Palatino Linotype" w:eastAsia="Palatino Linotype" w:hAnsi="Palatino Linotype" w:cs="Palatino Linotype"/>
          <w:i/>
          <w:iCs/>
          <w:sz w:val="22"/>
          <w:szCs w:val="22"/>
        </w:rPr>
        <w:t xml:space="preserve">; mientras que </w:t>
      </w:r>
      <w:r w:rsidRPr="00E506E6">
        <w:rPr>
          <w:rFonts w:ascii="Palatino Linotype" w:eastAsia="Palatino Linotype" w:hAnsi="Palatino Linotype" w:cs="Palatino Linotype"/>
          <w:b/>
          <w:bCs/>
          <w:i/>
          <w:iCs/>
          <w:sz w:val="22"/>
          <w:szCs w:val="22"/>
        </w:rPr>
        <w:t>la exhaustividad significa que dicha respuesta se refiera expresamente a cada uno de los puntos solicitados</w:t>
      </w:r>
      <w:r w:rsidRPr="00E506E6">
        <w:rPr>
          <w:rFonts w:ascii="Palatino Linotype" w:eastAsia="Palatino Linotype" w:hAnsi="Palatino Linotype" w:cs="Palatino Linotype"/>
          <w:i/>
          <w:iCs/>
          <w:sz w:val="22"/>
          <w:szCs w:val="22"/>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Por tanto, los motivos de inconformidad devienen fundados, siendo procedente </w:t>
      </w:r>
      <w:r w:rsidRPr="00E506E6">
        <w:rPr>
          <w:rFonts w:ascii="Palatino Linotype" w:eastAsia="Palatino Linotype" w:hAnsi="Palatino Linotype" w:cs="Palatino Linotype"/>
          <w:b/>
          <w:bCs/>
          <w:sz w:val="22"/>
          <w:szCs w:val="22"/>
        </w:rPr>
        <w:t xml:space="preserve">Modificar </w:t>
      </w:r>
      <w:r w:rsidRPr="00E506E6">
        <w:rPr>
          <w:rFonts w:ascii="Palatino Linotype" w:eastAsia="Palatino Linotype" w:hAnsi="Palatino Linotype" w:cs="Palatino Linotype"/>
          <w:sz w:val="22"/>
          <w:szCs w:val="22"/>
        </w:rPr>
        <w:t xml:space="preserve">la respuesta del </w:t>
      </w:r>
      <w:r w:rsidRPr="00E506E6">
        <w:rPr>
          <w:rFonts w:ascii="Palatino Linotype" w:eastAsia="Palatino Linotype" w:hAnsi="Palatino Linotype" w:cs="Palatino Linotype"/>
          <w:b/>
          <w:bCs/>
          <w:sz w:val="22"/>
          <w:szCs w:val="22"/>
        </w:rPr>
        <w:t xml:space="preserve">Sujeto Obligado </w:t>
      </w:r>
      <w:r w:rsidRPr="00E506E6">
        <w:rPr>
          <w:rFonts w:ascii="Palatino Linotype" w:eastAsia="Palatino Linotype" w:hAnsi="Palatino Linotype" w:cs="Palatino Linotype"/>
          <w:sz w:val="22"/>
          <w:szCs w:val="22"/>
        </w:rPr>
        <w:t xml:space="preserve">y ordenar, previa búsqueda exhaustiva y razonable, de ser procedente en versión pública, </w:t>
      </w:r>
      <w:r w:rsidRPr="00E506E6">
        <w:rPr>
          <w:rFonts w:ascii="Palatino Linotype" w:eastAsia="Palatino Linotype" w:hAnsi="Palatino Linotype" w:cs="Palatino Linotype"/>
          <w:b/>
          <w:bCs/>
          <w:sz w:val="22"/>
          <w:szCs w:val="22"/>
        </w:rPr>
        <w:t>respecto de las unidades administrativas siguientes:</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i/>
          <w:iCs/>
          <w:sz w:val="22"/>
          <w:szCs w:val="22"/>
        </w:rPr>
        <w:t xml:space="preserve">Dirección de Gobierno y Técnica de Gabinete, Tesorería Municipal, Dirección de Obras Públicas, la Dirección de Desarrollo Económico, la Dirección de Desarrollo Urbano, la Dirección de Ecología, la Dirección de Turismo, la Dirección de Desarrollo Social y Bienestar, la Dirección de las Mujeres, la Dirección del Campo, la Dirección de Servicios Públicos, la Dirección de Seguridad Pública Municipal, la Unidad de Información, Programación, Planeación Y Evaluación, la Unidad de Transparencia y Acceso a la Información, la Dirección de Cultura, la Dirección de Educación, la Secretaría Técnica del Consejo Municipal de Seguridad Pública Municipal, la Dirección Jurídica Municipal, la Dirección de Gobierno Digital, </w:t>
      </w:r>
      <w:r w:rsidRPr="00E506E6">
        <w:rPr>
          <w:rFonts w:ascii="Palatino Linotype" w:eastAsia="Palatino Linotype" w:hAnsi="Palatino Linotype" w:cs="Palatino Linotype"/>
          <w:sz w:val="22"/>
          <w:szCs w:val="22"/>
        </w:rPr>
        <w:t>lo siguiente:</w:t>
      </w:r>
    </w:p>
    <w:p w:rsidR="00E06426" w:rsidRPr="00E506E6" w:rsidRDefault="00E0642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rsidR="00E06426" w:rsidRPr="00E506E6" w:rsidRDefault="004679EF">
      <w:pPr>
        <w:numPr>
          <w:ilvl w:val="2"/>
          <w:numId w:val="1"/>
        </w:numPr>
        <w:pBdr>
          <w:top w:val="nil"/>
          <w:left w:val="nil"/>
          <w:bottom w:val="nil"/>
          <w:right w:val="nil"/>
          <w:between w:val="nil"/>
        </w:pBdr>
        <w:spacing w:line="360" w:lineRule="auto"/>
        <w:ind w:left="142" w:right="-1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Evidencia documental de los gastos de representación y/o viáticos derivado de las actividades realizadas por dichas áreas (</w:t>
      </w:r>
      <w:r w:rsidRPr="00E506E6">
        <w:rPr>
          <w:rFonts w:ascii="Palatino Linotype" w:eastAsia="Palatino Linotype" w:hAnsi="Palatino Linotype" w:cs="Palatino Linotype"/>
          <w:b/>
          <w:bCs/>
          <w:i/>
          <w:iCs/>
          <w:sz w:val="22"/>
          <w:szCs w:val="22"/>
        </w:rPr>
        <w:t>facturas, recibos, notas, comprobantes, autorizaciones, oficios de comisión, informes, entre otros</w:t>
      </w:r>
      <w:r w:rsidRPr="00E506E6">
        <w:rPr>
          <w:rFonts w:ascii="Palatino Linotype" w:eastAsia="Palatino Linotype" w:hAnsi="Palatino Linotype" w:cs="Palatino Linotype"/>
          <w:sz w:val="22"/>
          <w:szCs w:val="22"/>
        </w:rPr>
        <w:t xml:space="preserve">), generadas en el periodo comprendido del </w:t>
      </w:r>
      <w:r w:rsidRPr="00E506E6">
        <w:rPr>
          <w:rFonts w:ascii="Palatino Linotype" w:eastAsia="Palatino Linotype" w:hAnsi="Palatino Linotype" w:cs="Palatino Linotype"/>
          <w:b/>
          <w:bCs/>
          <w:sz w:val="22"/>
          <w:szCs w:val="22"/>
        </w:rPr>
        <w:t>primero de julio de dos mil veinticuatro al primero de julio de dos mil veinticinco.</w:t>
      </w:r>
      <w:r w:rsidRPr="00E506E6">
        <w:rPr>
          <w:rFonts w:ascii="Palatino Linotype" w:eastAsia="Palatino Linotype" w:hAnsi="Palatino Linotype" w:cs="Palatino Linotype"/>
          <w:sz w:val="22"/>
          <w:szCs w:val="22"/>
        </w:rPr>
        <w:t xml:space="preserve"> </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bookmarkStart w:id="9" w:name="_heading=h.eky6ser3y3th" w:colFirst="0" w:colLast="0"/>
      <w:bookmarkEnd w:id="9"/>
      <w:r w:rsidRPr="00E506E6">
        <w:rPr>
          <w:rFonts w:ascii="Palatino Linotype" w:eastAsia="Palatino Linotype" w:hAnsi="Palatino Linotype" w:cs="Palatino Linotype"/>
          <w:sz w:val="22"/>
          <w:szCs w:val="22"/>
        </w:rPr>
        <w:t>En el supuesto que no se llegara a localizar la información que se ordena</w:t>
      </w:r>
      <w:r w:rsidRPr="00E506E6">
        <w:rPr>
          <w:rFonts w:ascii="Palatino Linotype" w:eastAsia="Palatino Linotype" w:hAnsi="Palatino Linotype" w:cs="Palatino Linotype"/>
          <w:b/>
          <w:bCs/>
          <w:sz w:val="22"/>
          <w:szCs w:val="22"/>
        </w:rPr>
        <w:t>, relativa a la evidencia documental de los gastos de representación, porque en el periodo ordenado no se realizó erogación por dicho concepto,</w:t>
      </w:r>
      <w:r w:rsidRPr="00E506E6">
        <w:rPr>
          <w:rFonts w:ascii="Palatino Linotype" w:eastAsia="Palatino Linotype" w:hAnsi="Palatino Linotype" w:cs="Palatino Linotype"/>
          <w:sz w:val="22"/>
          <w:szCs w:val="22"/>
        </w:rPr>
        <w:t xml:space="preserve"> bastará con que así se haga del conocimiento de la parte Recurrente en términos del artículo 19, párrafo segundo de la Ley de Transparencia y Acceso a la Información Pública del Estado de México y Municipios, para tener por colmados los requerimientos de información.</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before="240" w:after="240" w:line="360" w:lineRule="auto"/>
        <w:ind w:right="51"/>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sz w:val="22"/>
          <w:szCs w:val="22"/>
        </w:rPr>
        <w:t xml:space="preserve">Quinto. Versión Pública. </w:t>
      </w:r>
      <w:r w:rsidRPr="00E506E6">
        <w:rPr>
          <w:rFonts w:ascii="Palatino Linotype" w:eastAsia="Palatino Linotype" w:hAnsi="Palatino Linotype" w:cs="Palatino Linotype"/>
          <w:sz w:val="22"/>
          <w:szCs w:val="22"/>
        </w:rPr>
        <w:t>Como fue debidamente apuntado, el </w:t>
      </w:r>
      <w:r w:rsidRPr="00E506E6">
        <w:rPr>
          <w:rFonts w:ascii="Palatino Linotype" w:eastAsia="Palatino Linotype" w:hAnsi="Palatino Linotype" w:cs="Palatino Linotype"/>
          <w:b/>
          <w:bCs/>
          <w:sz w:val="22"/>
          <w:szCs w:val="22"/>
        </w:rPr>
        <w:t>Sujeto Obligado</w:t>
      </w:r>
      <w:r w:rsidRPr="00E506E6">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rsidR="00E06426" w:rsidRPr="00E506E6" w:rsidRDefault="004679EF">
      <w:pPr>
        <w:spacing w:before="240" w:after="240"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rsidR="00E06426" w:rsidRPr="00E506E6" w:rsidRDefault="004679EF">
      <w:pPr>
        <w:spacing w:before="240" w:after="240"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rsidR="00E06426" w:rsidRPr="00E506E6" w:rsidRDefault="004679EF">
      <w:pPr>
        <w:spacing w:before="240" w:after="240"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vigente establecen:</w:t>
      </w:r>
    </w:p>
    <w:p w:rsidR="00E06426" w:rsidRPr="00E506E6" w:rsidRDefault="004679EF">
      <w:pPr>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sz w:val="22"/>
          <w:szCs w:val="22"/>
        </w:rPr>
        <w:t> </w:t>
      </w:r>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b/>
          <w:bCs/>
          <w:i/>
          <w:iCs/>
          <w:sz w:val="22"/>
          <w:szCs w:val="22"/>
        </w:rPr>
        <w:t>Artículo 3.</w:t>
      </w:r>
      <w:r w:rsidRPr="00E506E6">
        <w:rPr>
          <w:rFonts w:ascii="Palatino Linotype" w:eastAsia="Palatino Linotype" w:hAnsi="Palatino Linotype" w:cs="Palatino Linotype"/>
          <w:i/>
          <w:iCs/>
          <w:sz w:val="22"/>
          <w:szCs w:val="22"/>
        </w:rPr>
        <w:t xml:space="preserve"> Para los efectos de la presente Ley se entenderá por:</w:t>
      </w:r>
    </w:p>
    <w:p w:rsidR="00E06426" w:rsidRPr="00E506E6" w:rsidRDefault="004679EF">
      <w:pPr>
        <w:tabs>
          <w:tab w:val="left" w:pos="1276"/>
        </w:tabs>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p>
    <w:p w:rsidR="00E06426" w:rsidRPr="00E506E6" w:rsidRDefault="004679EF">
      <w:pPr>
        <w:tabs>
          <w:tab w:val="left" w:pos="1276"/>
        </w:tabs>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IX. Datos personales</w:t>
      </w:r>
      <w:r w:rsidRPr="00E506E6">
        <w:rPr>
          <w:rFonts w:ascii="Palatino Linotype" w:eastAsia="Palatino Linotype" w:hAnsi="Palatino Linotype" w:cs="Palatino Linotype"/>
          <w:i/>
          <w:iCs/>
          <w:sz w:val="22"/>
          <w:szCs w:val="22"/>
        </w:rPr>
        <w:t>: La información concerniente a una persona, identificada o identificable según lo dispuesto por la Ley de Protección de Datos Personales del Estado de México;</w:t>
      </w:r>
    </w:p>
    <w:p w:rsidR="00E06426" w:rsidRPr="00E506E6" w:rsidRDefault="004679EF">
      <w:pPr>
        <w:tabs>
          <w:tab w:val="left" w:pos="1276"/>
        </w:tabs>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p>
    <w:p w:rsidR="00E06426" w:rsidRPr="00E506E6" w:rsidRDefault="004679EF">
      <w:pPr>
        <w:tabs>
          <w:tab w:val="left" w:pos="1276"/>
        </w:tabs>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XX. Información clasificada</w:t>
      </w:r>
      <w:r w:rsidRPr="00E506E6">
        <w:rPr>
          <w:rFonts w:ascii="Palatino Linotype" w:eastAsia="Palatino Linotype" w:hAnsi="Palatino Linotype" w:cs="Palatino Linotype"/>
          <w:i/>
          <w:iCs/>
          <w:sz w:val="22"/>
          <w:szCs w:val="22"/>
        </w:rPr>
        <w:t>: Aquella considerada por la presente Ley como reservada o confidencial;</w:t>
      </w:r>
    </w:p>
    <w:p w:rsidR="00E06426" w:rsidRPr="00E506E6" w:rsidRDefault="004679EF">
      <w:pPr>
        <w:tabs>
          <w:tab w:val="left" w:pos="1276"/>
        </w:tabs>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XXI. Información confidencial</w:t>
      </w:r>
      <w:r w:rsidRPr="00E506E6">
        <w:rPr>
          <w:rFonts w:ascii="Palatino Linotype" w:eastAsia="Palatino Linotype" w:hAnsi="Palatino Linotype" w:cs="Palatino Linotype"/>
          <w:i/>
          <w:iCs/>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rsidR="00E06426" w:rsidRPr="00E506E6" w:rsidRDefault="004679EF">
      <w:pPr>
        <w:tabs>
          <w:tab w:val="left" w:pos="1276"/>
        </w:tabs>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p>
    <w:p w:rsidR="00E06426" w:rsidRPr="00E506E6" w:rsidRDefault="004679EF">
      <w:pPr>
        <w:tabs>
          <w:tab w:val="left" w:pos="1276"/>
        </w:tabs>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XXXII. Protección de Datos Personales</w:t>
      </w:r>
      <w:r w:rsidRPr="00E506E6">
        <w:rPr>
          <w:rFonts w:ascii="Palatino Linotype" w:eastAsia="Palatino Linotype" w:hAnsi="Palatino Linotype" w:cs="Palatino Linotype"/>
          <w:i/>
          <w:iCs/>
          <w:sz w:val="22"/>
          <w:szCs w:val="22"/>
        </w:rPr>
        <w:t>: Derecho humano que tutela la privacidad de datos personales en poder de los sujetos obligados y sujetos particulares;</w:t>
      </w:r>
    </w:p>
    <w:p w:rsidR="00E06426" w:rsidRPr="00E506E6" w:rsidRDefault="004679EF">
      <w:pPr>
        <w:tabs>
          <w:tab w:val="left" w:pos="1276"/>
        </w:tabs>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p>
    <w:p w:rsidR="00E06426" w:rsidRPr="00E506E6" w:rsidRDefault="004679EF">
      <w:pPr>
        <w:tabs>
          <w:tab w:val="left" w:pos="1276"/>
        </w:tabs>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XLV. Versión pública</w:t>
      </w:r>
      <w:r w:rsidRPr="00E506E6">
        <w:rPr>
          <w:rFonts w:ascii="Palatino Linotype" w:eastAsia="Palatino Linotype" w:hAnsi="Palatino Linotype" w:cs="Palatino Linotype"/>
          <w:i/>
          <w:iCs/>
          <w:sz w:val="22"/>
          <w:szCs w:val="22"/>
        </w:rPr>
        <w:t>: Documento en el que se elimine, suprime o borra la información clasificada como reservada o confidencial para permitir su acceso.</w:t>
      </w:r>
    </w:p>
    <w:p w:rsidR="00E06426" w:rsidRPr="00E506E6" w:rsidRDefault="004679EF">
      <w:pPr>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 Artículo 6</w:t>
      </w:r>
      <w:r w:rsidRPr="00E506E6">
        <w:rPr>
          <w:rFonts w:ascii="Palatino Linotype" w:eastAsia="Palatino Linotype" w:hAnsi="Palatino Linotype" w:cs="Palatino Linotype"/>
          <w:i/>
          <w:iCs/>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rsidR="00E06426" w:rsidRPr="00E506E6" w:rsidRDefault="004679EF">
      <w:pPr>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p>
    <w:p w:rsidR="00E06426" w:rsidRPr="00E506E6" w:rsidRDefault="004679EF">
      <w:pPr>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Artículo 91.</w:t>
      </w:r>
      <w:r w:rsidRPr="00E506E6">
        <w:rPr>
          <w:rFonts w:ascii="Palatino Linotype" w:eastAsia="Palatino Linotype" w:hAnsi="Palatino Linotype" w:cs="Palatino Linotype"/>
          <w:i/>
          <w:iCs/>
          <w:sz w:val="22"/>
          <w:szCs w:val="22"/>
        </w:rPr>
        <w:t xml:space="preserve"> El acceso a la información pública será restringido excepcionalmente, cuando ésta sea clasificada como reservada o confidencial.</w:t>
      </w:r>
      <w:r w:rsidRPr="00E506E6">
        <w:rPr>
          <w:rFonts w:ascii="Palatino Linotype" w:eastAsia="Palatino Linotype" w:hAnsi="Palatino Linotype" w:cs="Palatino Linotype"/>
          <w:i/>
          <w:iCs/>
          <w:sz w:val="22"/>
          <w:szCs w:val="22"/>
        </w:rPr>
        <w:br/>
        <w:t>…</w:t>
      </w:r>
    </w:p>
    <w:p w:rsidR="00E06426" w:rsidRPr="00E506E6" w:rsidRDefault="004679EF">
      <w:pPr>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Artículo 132.</w:t>
      </w:r>
      <w:r w:rsidRPr="00E506E6">
        <w:rPr>
          <w:rFonts w:ascii="Palatino Linotype" w:eastAsia="Palatino Linotype" w:hAnsi="Palatino Linotype" w:cs="Palatino Linotype"/>
          <w:i/>
          <w:iCs/>
          <w:sz w:val="22"/>
          <w:szCs w:val="22"/>
        </w:rPr>
        <w:t xml:space="preserve"> La clasificación de la información se llevará a cabo en el momento en que:</w:t>
      </w:r>
    </w:p>
    <w:p w:rsidR="00E06426" w:rsidRPr="00E506E6" w:rsidRDefault="004679EF">
      <w:pPr>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w:t>
      </w:r>
      <w:r w:rsidRPr="00E506E6">
        <w:rPr>
          <w:rFonts w:ascii="Palatino Linotype" w:eastAsia="Palatino Linotype" w:hAnsi="Palatino Linotype" w:cs="Palatino Linotype"/>
          <w:i/>
          <w:iCs/>
          <w:sz w:val="22"/>
          <w:szCs w:val="22"/>
        </w:rPr>
        <w:t>. Se reciba una solicitud de acceso a la información;</w:t>
      </w:r>
    </w:p>
    <w:p w:rsidR="00E06426" w:rsidRPr="00E506E6" w:rsidRDefault="004679EF">
      <w:pPr>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II.</w:t>
      </w:r>
      <w:r w:rsidRPr="00E506E6">
        <w:rPr>
          <w:rFonts w:ascii="Palatino Linotype" w:eastAsia="Palatino Linotype" w:hAnsi="Palatino Linotype" w:cs="Palatino Linotype"/>
          <w:i/>
          <w:iCs/>
          <w:sz w:val="22"/>
          <w:szCs w:val="22"/>
        </w:rPr>
        <w:t xml:space="preserve"> Se determine mediante resolución de autoridad competente; o</w:t>
      </w:r>
    </w:p>
    <w:p w:rsidR="00E06426" w:rsidRPr="00E506E6" w:rsidRDefault="004679EF">
      <w:pPr>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III.</w:t>
      </w:r>
      <w:r w:rsidRPr="00E506E6">
        <w:rPr>
          <w:rFonts w:ascii="Palatino Linotype" w:eastAsia="Palatino Linotype" w:hAnsi="Palatino Linotype" w:cs="Palatino Linotype"/>
          <w:i/>
          <w:iCs/>
          <w:sz w:val="22"/>
          <w:szCs w:val="22"/>
        </w:rPr>
        <w:t xml:space="preserve"> Se generen versiones públicas para dar cumplimiento a las obligaciones de transparencia previstas en esta Ley.</w:t>
      </w:r>
    </w:p>
    <w:p w:rsidR="00E06426" w:rsidRPr="00E506E6" w:rsidRDefault="004679EF">
      <w:pPr>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w:t>
      </w:r>
    </w:p>
    <w:p w:rsidR="00E06426" w:rsidRPr="00E506E6" w:rsidRDefault="004679EF">
      <w:pPr>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Artículo 137.</w:t>
      </w:r>
      <w:r w:rsidRPr="00E506E6">
        <w:rPr>
          <w:rFonts w:ascii="Palatino Linotype" w:eastAsia="Palatino Linotype" w:hAnsi="Palatino Linotype" w:cs="Palatino Linotype"/>
          <w:i/>
          <w:iCs/>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rsidR="00E06426" w:rsidRPr="00E506E6" w:rsidRDefault="004679EF">
      <w:pPr>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 Artículo 143.</w:t>
      </w:r>
      <w:r w:rsidRPr="00E506E6">
        <w:rPr>
          <w:rFonts w:ascii="Palatino Linotype" w:eastAsia="Palatino Linotype" w:hAnsi="Palatino Linotype" w:cs="Palatino Linotype"/>
          <w:i/>
          <w:iCs/>
          <w:sz w:val="22"/>
          <w:szCs w:val="22"/>
        </w:rPr>
        <w:t xml:space="preserve"> Para los efectos de esta Ley se considera información confidencial, la clasificada como tal, de manera permanente, por su naturaleza, cuando:</w:t>
      </w:r>
    </w:p>
    <w:p w:rsidR="00E06426" w:rsidRPr="00E506E6" w:rsidRDefault="004679EF">
      <w:pPr>
        <w:spacing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w:t>
      </w:r>
      <w:r w:rsidRPr="00E506E6">
        <w:rPr>
          <w:rFonts w:ascii="Palatino Linotype" w:eastAsia="Palatino Linotype" w:hAnsi="Palatino Linotype" w:cs="Palatino Linotype"/>
          <w:i/>
          <w:iCs/>
          <w:sz w:val="22"/>
          <w:szCs w:val="22"/>
        </w:rPr>
        <w:t xml:space="preserve"> Se refiera a la información privada y los datos personales concernientes a una persona física o jurídico colectiva identificada o identificable...”</w:t>
      </w:r>
    </w:p>
    <w:p w:rsidR="00E06426" w:rsidRPr="00E506E6" w:rsidRDefault="004679EF">
      <w:pPr>
        <w:spacing w:before="240" w:after="240" w:line="360" w:lineRule="auto"/>
        <w:ind w:right="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E506E6">
        <w:rPr>
          <w:rFonts w:ascii="Palatino Linotype" w:eastAsia="Palatino Linotype" w:hAnsi="Palatino Linotype" w:cs="Palatino Linotype"/>
          <w:b/>
          <w:bCs/>
          <w:sz w:val="22"/>
          <w:szCs w:val="22"/>
        </w:rPr>
        <w:t>Sujeto Obligado</w:t>
      </w:r>
      <w:r w:rsidRPr="00E506E6">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rsidR="00E06426" w:rsidRPr="00E506E6" w:rsidRDefault="004679EF">
      <w:pPr>
        <w:spacing w:before="240" w:after="240" w:line="360" w:lineRule="auto"/>
        <w:ind w:right="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En el caso específico, la información que se ordena si bien tiene el carácter información pública en razón de que se trata de documentos que se encuentran en posesión del </w:t>
      </w:r>
      <w:r w:rsidRPr="00E506E6">
        <w:rPr>
          <w:rFonts w:ascii="Palatino Linotype" w:eastAsia="Palatino Linotype" w:hAnsi="Palatino Linotype" w:cs="Palatino Linotype"/>
          <w:b/>
          <w:bCs/>
          <w:sz w:val="22"/>
          <w:szCs w:val="22"/>
        </w:rPr>
        <w:t>Sujeto Obligado</w:t>
      </w:r>
      <w:r w:rsidRPr="00E506E6">
        <w:rPr>
          <w:rFonts w:ascii="Palatino Linotype" w:eastAsia="Palatino Linotype" w:hAnsi="Palatino Linotype" w:cs="Palatino Linotype"/>
          <w:sz w:val="22"/>
          <w:szCs w:val="22"/>
        </w:rPr>
        <w:t xml:space="preserve"> derivado del ejercicio de sus atribuciones, tal como quedo acotado en el cuerpo de la presente Resolución, también contienen los datos personales de servidores públicos, que de hacerse públicos afectarían su intimidad y vida privada; es por ello que es criterio reiterado en las resoluciones de este Pleno que, además de los datos especificados en la Ley de Transparencia y Acceso a la Información Pública del Estado de México y Municipios, se consideran confidenciales y por tanto deben testarse al momento de la elaboración de versiones públicas el </w:t>
      </w:r>
      <w:r w:rsidRPr="00E506E6">
        <w:rPr>
          <w:rFonts w:ascii="Palatino Linotype" w:eastAsia="Palatino Linotype" w:hAnsi="Palatino Linotype" w:cs="Palatino Linotype"/>
          <w:b/>
          <w:bCs/>
          <w:sz w:val="22"/>
          <w:szCs w:val="22"/>
        </w:rPr>
        <w:t>Registro Federal de Contribuyentes</w:t>
      </w:r>
      <w:r w:rsidRPr="00E506E6">
        <w:rPr>
          <w:rFonts w:ascii="Palatino Linotype" w:eastAsia="Palatino Linotype" w:hAnsi="Palatino Linotype" w:cs="Palatino Linotype"/>
          <w:sz w:val="22"/>
          <w:szCs w:val="22"/>
        </w:rPr>
        <w:t xml:space="preserve"> (RFC), la </w:t>
      </w:r>
      <w:r w:rsidRPr="00E506E6">
        <w:rPr>
          <w:rFonts w:ascii="Palatino Linotype" w:eastAsia="Palatino Linotype" w:hAnsi="Palatino Linotype" w:cs="Palatino Linotype"/>
          <w:b/>
          <w:bCs/>
          <w:sz w:val="22"/>
          <w:szCs w:val="22"/>
        </w:rPr>
        <w:t>Clave Única de Registro de Población</w:t>
      </w:r>
      <w:r w:rsidRPr="00E506E6">
        <w:rPr>
          <w:rFonts w:ascii="Palatino Linotype" w:eastAsia="Palatino Linotype" w:hAnsi="Palatino Linotype" w:cs="Palatino Linotype"/>
          <w:sz w:val="22"/>
          <w:szCs w:val="22"/>
        </w:rPr>
        <w:t xml:space="preserve"> (CURP), la </w:t>
      </w:r>
      <w:r w:rsidRPr="00E506E6">
        <w:rPr>
          <w:rFonts w:ascii="Palatino Linotype" w:eastAsia="Palatino Linotype" w:hAnsi="Palatino Linotype" w:cs="Palatino Linotype"/>
          <w:b/>
          <w:bCs/>
          <w:sz w:val="22"/>
          <w:szCs w:val="22"/>
        </w:rPr>
        <w:t>Clave de cualquier tipo de seguridad social</w:t>
      </w:r>
      <w:r w:rsidRPr="00E506E6">
        <w:rPr>
          <w:rFonts w:ascii="Palatino Linotype" w:eastAsia="Palatino Linotype" w:hAnsi="Palatino Linotype" w:cs="Palatino Linotype"/>
          <w:sz w:val="22"/>
          <w:szCs w:val="22"/>
        </w:rPr>
        <w:t xml:space="preserve"> (ISSEMYM, u otros), los </w:t>
      </w:r>
      <w:r w:rsidRPr="00E506E6">
        <w:rPr>
          <w:rFonts w:ascii="Palatino Linotype" w:eastAsia="Palatino Linotype" w:hAnsi="Palatino Linotype" w:cs="Palatino Linotype"/>
          <w:b/>
          <w:bCs/>
          <w:sz w:val="22"/>
          <w:szCs w:val="22"/>
        </w:rPr>
        <w:t>números de cuentas bancarias</w:t>
      </w:r>
      <w:r w:rsidRPr="00E506E6">
        <w:rPr>
          <w:rFonts w:ascii="Palatino Linotype" w:eastAsia="Palatino Linotype" w:hAnsi="Palatino Linotype" w:cs="Palatino Linotype"/>
          <w:sz w:val="22"/>
          <w:szCs w:val="22"/>
        </w:rPr>
        <w:t xml:space="preserve">, claves estandarizadas – interbancarias - (CLABES) y de tarjetas, los </w:t>
      </w:r>
      <w:r w:rsidRPr="00E506E6">
        <w:rPr>
          <w:rFonts w:ascii="Palatino Linotype" w:eastAsia="Palatino Linotype" w:hAnsi="Palatino Linotype" w:cs="Palatino Linotype"/>
          <w:b/>
          <w:bCs/>
          <w:sz w:val="22"/>
          <w:szCs w:val="22"/>
        </w:rPr>
        <w:t>préstamos o descuentos</w:t>
      </w:r>
      <w:r w:rsidRPr="00E506E6">
        <w:rPr>
          <w:rFonts w:ascii="Palatino Linotype" w:eastAsia="Palatino Linotype" w:hAnsi="Palatino Linotype" w:cs="Palatino Linotype"/>
          <w:sz w:val="22"/>
          <w:szCs w:val="22"/>
        </w:rPr>
        <w:t xml:space="preserve"> que se le hagan a la persona y que no tengan relación con los impuestos o la cuota por seguridad social, el</w:t>
      </w:r>
      <w:r w:rsidRPr="00E506E6">
        <w:rPr>
          <w:rFonts w:ascii="Palatino Linotype" w:eastAsia="Palatino Linotype" w:hAnsi="Palatino Linotype" w:cs="Palatino Linotype"/>
          <w:b/>
          <w:bCs/>
          <w:sz w:val="22"/>
          <w:szCs w:val="22"/>
        </w:rPr>
        <w:t xml:space="preserve"> número de empleado, </w:t>
      </w:r>
      <w:r w:rsidRPr="00E506E6">
        <w:rPr>
          <w:rFonts w:ascii="Palatino Linotype" w:eastAsia="Palatino Linotype" w:hAnsi="Palatino Linotype" w:cs="Palatino Linotype"/>
          <w:sz w:val="22"/>
          <w:szCs w:val="22"/>
        </w:rPr>
        <w:t xml:space="preserve">y, de ser el caso, el </w:t>
      </w:r>
      <w:r w:rsidRPr="00E506E6">
        <w:rPr>
          <w:rFonts w:ascii="Palatino Linotype" w:eastAsia="Palatino Linotype" w:hAnsi="Palatino Linotype" w:cs="Palatino Linotype"/>
          <w:b/>
          <w:bCs/>
          <w:sz w:val="22"/>
          <w:szCs w:val="22"/>
        </w:rPr>
        <w:t>folio fiscal</w:t>
      </w:r>
      <w:r w:rsidRPr="00E506E6">
        <w:rPr>
          <w:rFonts w:ascii="Palatino Linotype" w:eastAsia="Palatino Linotype" w:hAnsi="Palatino Linotype" w:cs="Palatino Linotype"/>
          <w:sz w:val="22"/>
          <w:szCs w:val="22"/>
        </w:rPr>
        <w:t xml:space="preserve">, la </w:t>
      </w:r>
      <w:r w:rsidRPr="00E506E6">
        <w:rPr>
          <w:rFonts w:ascii="Palatino Linotype" w:eastAsia="Palatino Linotype" w:hAnsi="Palatino Linotype" w:cs="Palatino Linotype"/>
          <w:b/>
          <w:bCs/>
          <w:sz w:val="22"/>
          <w:szCs w:val="22"/>
        </w:rPr>
        <w:t xml:space="preserve">cadena original, </w:t>
      </w:r>
      <w:r w:rsidRPr="00E506E6">
        <w:rPr>
          <w:rFonts w:ascii="Palatino Linotype" w:eastAsia="Palatino Linotype" w:hAnsi="Palatino Linotype" w:cs="Palatino Linotype"/>
          <w:sz w:val="22"/>
          <w:szCs w:val="22"/>
        </w:rPr>
        <w:t>los</w:t>
      </w:r>
      <w:r w:rsidRPr="00E506E6">
        <w:rPr>
          <w:rFonts w:ascii="Palatino Linotype" w:eastAsia="Palatino Linotype" w:hAnsi="Palatino Linotype" w:cs="Palatino Linotype"/>
          <w:b/>
          <w:bCs/>
          <w:sz w:val="22"/>
          <w:szCs w:val="22"/>
        </w:rPr>
        <w:t xml:space="preserve"> códigos bidimensionales o códigos QR,</w:t>
      </w:r>
      <w:r w:rsidRPr="00E506E6">
        <w:rPr>
          <w:rFonts w:ascii="Palatino Linotype" w:eastAsia="Palatino Linotype" w:hAnsi="Palatino Linotype" w:cs="Palatino Linotype"/>
          <w:sz w:val="22"/>
          <w:szCs w:val="22"/>
        </w:rPr>
        <w:t xml:space="preserve"> y cualquier información de carácter fiscal.</w:t>
      </w:r>
    </w:p>
    <w:p w:rsidR="00E06426" w:rsidRPr="00E506E6" w:rsidRDefault="004679EF">
      <w:pPr>
        <w:spacing w:before="240" w:after="240" w:line="360" w:lineRule="auto"/>
        <w:ind w:right="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Por cuanto hace al </w:t>
      </w:r>
      <w:r w:rsidRPr="00E506E6">
        <w:rPr>
          <w:rFonts w:ascii="Palatino Linotype" w:eastAsia="Palatino Linotype" w:hAnsi="Palatino Linotype" w:cs="Palatino Linotype"/>
          <w:b/>
          <w:bCs/>
          <w:sz w:val="22"/>
          <w:szCs w:val="22"/>
        </w:rPr>
        <w:t>Registro Federal de Contribuyentes, RFC,</w:t>
      </w:r>
      <w:r w:rsidRPr="00E506E6">
        <w:rPr>
          <w:rFonts w:ascii="Palatino Linotype" w:eastAsia="Palatino Linotype" w:hAnsi="Palatino Linotype" w:cs="Palatino Linotype"/>
          <w:sz w:val="22"/>
          <w:szCs w:val="22"/>
        </w:rPr>
        <w:t xml:space="preserve"> de las personas físicas, constituye un dato personal, pues se genera con caracteres alfanuméricos a partir del nombre y la fecha de nacimiento de cada persona, y finalmente la </w:t>
      </w:r>
      <w:proofErr w:type="spellStart"/>
      <w:r w:rsidRPr="00E506E6">
        <w:rPr>
          <w:rFonts w:ascii="Palatino Linotype" w:eastAsia="Palatino Linotype" w:hAnsi="Palatino Linotype" w:cs="Palatino Linotype"/>
          <w:sz w:val="22"/>
          <w:szCs w:val="22"/>
        </w:rPr>
        <w:t>homoclave</w:t>
      </w:r>
      <w:proofErr w:type="spellEnd"/>
      <w:r w:rsidRPr="00E506E6">
        <w:rPr>
          <w:rFonts w:ascii="Palatino Linotype" w:eastAsia="Palatino Linotype" w:hAnsi="Palatino Linotype" w:cs="Palatino Linotype"/>
          <w:sz w:val="22"/>
          <w:szCs w:val="22"/>
        </w:rPr>
        <w:t>, por lo que para su obtención es necesario acreditar ante la autoridad fiscal previamente la identidad de la persona, su fecha de nacimiento, entre otros aspectos.</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Ahora bien, las personas físicas tramitan su inscripción en el registro con el propósito de realizar —mediante esa clave de identificación— operaciones o actividades de naturaleza fiscal, la cual, les permite hacerse identificables respecto de una situación fiscal determinada.</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Lo anterior fue compartido por el entonces Instituto Nacional de Transparencia, Acceso a la Información y Protección de Datos Personales, INAI, a través del Criterio orientador con clave de control SO/019/2017, el cual es del tenor literal siguiente:</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b/>
          <w:bCs/>
          <w:i/>
          <w:iCs/>
          <w:sz w:val="22"/>
          <w:szCs w:val="22"/>
        </w:rPr>
        <w:t>Registro Federal de Contribuyentes (RFC) de personas físicas</w:t>
      </w:r>
      <w:r w:rsidRPr="00E506E6">
        <w:rPr>
          <w:rFonts w:ascii="Palatino Linotype" w:eastAsia="Palatino Linotype" w:hAnsi="Palatino Linotype" w:cs="Palatino Linotype"/>
          <w:i/>
          <w:iCs/>
          <w:sz w:val="22"/>
          <w:szCs w:val="22"/>
        </w:rPr>
        <w:t>. El RFC es una clave de carácter fiscal, única e irrepetible, que permite identificar al titular, su edad y fecha de nacimiento, por lo que es un dato personal de carácter confidencial.”</w:t>
      </w:r>
    </w:p>
    <w:p w:rsidR="00E06426" w:rsidRPr="00E506E6" w:rsidRDefault="004679EF">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Así, el Registro Federal de Contribuyentes, RFC, se vincula al nombre de su titular y permite identificar la edad de la persona, su fecha de nacimiento, así como su </w:t>
      </w:r>
      <w:proofErr w:type="spellStart"/>
      <w:r w:rsidRPr="00E506E6">
        <w:rPr>
          <w:rFonts w:ascii="Palatino Linotype" w:eastAsia="Palatino Linotype" w:hAnsi="Palatino Linotype" w:cs="Palatino Linotype"/>
          <w:sz w:val="22"/>
          <w:szCs w:val="22"/>
        </w:rPr>
        <w:t>homoclave</w:t>
      </w:r>
      <w:proofErr w:type="spellEnd"/>
      <w:r w:rsidRPr="00E506E6">
        <w:rPr>
          <w:rFonts w:ascii="Palatino Linotype" w:eastAsia="Palatino Linotype" w:hAnsi="Palatino Linotype" w:cs="Palatino Linotype"/>
          <w:sz w:val="22"/>
          <w:szCs w:val="22"/>
        </w:rPr>
        <w:t>, la cual es única e irrepetible y determina la identificación de dicha persona para efectos fiscales, por lo que constituye un dato personal que concierne a una persona física identificada e identificable en términos de los artículos 3, fracción IX de la Ley de Transparencia y Acceso a la Información Pública del Estado de México y Municipios, y  4 fracciones XI y XII de la Ley de Protección de Datos Personales en Posesión de los Sujetos Obligados del Estado de México y Municipios.</w:t>
      </w:r>
    </w:p>
    <w:p w:rsidR="00E06426" w:rsidRPr="00E506E6" w:rsidRDefault="004679EF">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bookmarkStart w:id="10" w:name="_heading=h.44sinio" w:colFirst="0" w:colLast="0"/>
      <w:bookmarkEnd w:id="10"/>
      <w:r w:rsidRPr="00E506E6">
        <w:rPr>
          <w:rFonts w:ascii="Palatino Linotype" w:eastAsia="Palatino Linotype" w:hAnsi="Palatino Linotype" w:cs="Palatino Linotype"/>
          <w:sz w:val="22"/>
          <w:szCs w:val="22"/>
        </w:rPr>
        <w:t xml:space="preserve">De igual manera la </w:t>
      </w:r>
      <w:r w:rsidRPr="00E506E6">
        <w:rPr>
          <w:rFonts w:ascii="Palatino Linotype" w:eastAsia="Palatino Linotype" w:hAnsi="Palatino Linotype" w:cs="Palatino Linotype"/>
          <w:b/>
          <w:bCs/>
          <w:sz w:val="22"/>
          <w:szCs w:val="22"/>
        </w:rPr>
        <w:t>Clave Única de Registro de Población</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b/>
          <w:bCs/>
          <w:sz w:val="22"/>
          <w:szCs w:val="22"/>
        </w:rPr>
        <w:t>CURP,</w:t>
      </w:r>
      <w:r w:rsidRPr="00E506E6">
        <w:rPr>
          <w:rFonts w:ascii="Palatino Linotype" w:eastAsia="Palatino Linotype" w:hAnsi="Palatino Linotype" w:cs="Palatino Linotype"/>
          <w:sz w:val="22"/>
          <w:szCs w:val="22"/>
        </w:rPr>
        <w:t xml:space="preserve">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distinguirlo del resto de los habitantes, por tal motivo, se considera que es de carácter confidencial.</w:t>
      </w:r>
    </w:p>
    <w:p w:rsidR="00E06426" w:rsidRPr="00E506E6" w:rsidRDefault="004679EF">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Argumento que era compartido por el entonces Instituto Nacional de Transparencia, Acceso a la Información y Protección de Datos Personales, INAI, conforme al Criterio de orientador con Clave de control SO/018/2017, el cual refiere:</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 xml:space="preserve"> “Clave Única de Registro de Población (CURP). </w:t>
      </w:r>
      <w:r w:rsidRPr="00E506E6">
        <w:rPr>
          <w:rFonts w:ascii="Palatino Linotype" w:eastAsia="Palatino Linotype" w:hAnsi="Palatino Linotype" w:cs="Palatino Linotype"/>
          <w:i/>
          <w:iCs/>
          <w:sz w:val="22"/>
          <w:szCs w:val="22"/>
        </w:rPr>
        <w:t>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Por lo que respecta a la </w:t>
      </w:r>
      <w:r w:rsidRPr="00E506E6">
        <w:rPr>
          <w:rFonts w:ascii="Palatino Linotype" w:eastAsia="Palatino Linotype" w:hAnsi="Palatino Linotype" w:cs="Palatino Linotype"/>
          <w:b/>
          <w:bCs/>
          <w:sz w:val="22"/>
          <w:szCs w:val="22"/>
        </w:rPr>
        <w:t>clave de seguridad social</w:t>
      </w:r>
      <w:r w:rsidRPr="00E506E6">
        <w:rPr>
          <w:rFonts w:ascii="Palatino Linotype" w:eastAsia="Palatino Linotype" w:hAnsi="Palatino Linotype" w:cs="Palatino Linotype"/>
          <w:sz w:val="22"/>
          <w:szCs w:val="22"/>
        </w:rPr>
        <w:t>, en virtud de que su divulgación no aporta a la transparencia o a la rendición de cuentas y sí provoca una transgresión a la vida privada e intimidad de la persona, esta información también resulta ser de carácter confidencial.</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Respecto de los </w:t>
      </w:r>
      <w:r w:rsidRPr="00E506E6">
        <w:rPr>
          <w:rFonts w:ascii="Palatino Linotype" w:eastAsia="Palatino Linotype" w:hAnsi="Palatino Linotype" w:cs="Palatino Linotype"/>
          <w:b/>
          <w:bCs/>
          <w:sz w:val="22"/>
          <w:szCs w:val="22"/>
        </w:rPr>
        <w:t>números de cuentas bancari</w:t>
      </w:r>
      <w:r w:rsidRPr="00E506E6">
        <w:rPr>
          <w:rFonts w:ascii="Palatino Linotype" w:eastAsia="Palatino Linotype" w:hAnsi="Palatino Linotype" w:cs="Palatino Linotype"/>
          <w:sz w:val="22"/>
          <w:szCs w:val="22"/>
        </w:rPr>
        <w:t xml:space="preserve">as, </w:t>
      </w:r>
      <w:r w:rsidRPr="00E506E6">
        <w:rPr>
          <w:rFonts w:ascii="Palatino Linotype" w:eastAsia="Palatino Linotype" w:hAnsi="Palatino Linotype" w:cs="Palatino Linotype"/>
          <w:b/>
          <w:bCs/>
          <w:sz w:val="22"/>
          <w:szCs w:val="22"/>
        </w:rPr>
        <w:t>claves estandarizadas –interbancarias- (CLABES) y de tarjetas</w:t>
      </w:r>
      <w:r w:rsidRPr="00E506E6">
        <w:rPr>
          <w:rFonts w:ascii="Palatino Linotype" w:eastAsia="Palatino Linotype" w:hAnsi="Palatino Linotype" w:cs="Palatino Linotype"/>
          <w:sz w:val="22"/>
          <w:szCs w:val="22"/>
        </w:rPr>
        <w:t>, el Pleno de este Instituto ha determinado que esa información debe clasificarse como confidencial, y elaborarse una versión pública en la que se teste la misma.</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Igualmente, resulta importante destacar que el número de cuenta bancaria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Por lo anterior, el número de cuenta bancaria debe ser clasificado como confidencial con fundamento en las fracciones I y II del artículo 143 de la Ley de la Materia vigente en la Entidad; en razón de que con su difusión se estaría poniendo en riesgo la seguridad de su titular.</w:t>
      </w:r>
    </w:p>
    <w:p w:rsidR="00E06426" w:rsidRPr="00E506E6" w:rsidRDefault="004679EF">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En esa virtud, este Pleno determina que dicha información no puede ser del dominio público, toda vez que se podría dar un uso inadecuado a la misma o cometer algún ilícito o fraude como ya ha sido expuesto. </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Lo anterior no es así tratándose de las cuentas bancarias o claves interbancarias de los Sujetos Obligados ya que su publicidad cede a la rendición de cuentas al transparentar la forma en que son administrados los recursos públicos.</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Lo argumentado encuentra sustento en los Criterios orientadores con Clave de control SO/010/2017 y SO/011/2017, emitidos por el entonces Instituto Nacional de Transparencia, Acceso a la Información y Protección de Datos Personales, que llevan por rubro y texto los siguientes:</w:t>
      </w:r>
    </w:p>
    <w:p w:rsidR="00E06426" w:rsidRPr="00E506E6" w:rsidRDefault="004679EF">
      <w:pPr>
        <w:spacing w:before="240" w:after="24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b/>
          <w:bCs/>
          <w:i/>
          <w:iCs/>
          <w:sz w:val="22"/>
          <w:szCs w:val="22"/>
        </w:rPr>
        <w:t>Cuentas bancarias y/o CLABE interbancaria de personas físicas y morales privadas.</w:t>
      </w:r>
      <w:r w:rsidRPr="00E506E6">
        <w:rPr>
          <w:rFonts w:ascii="Palatino Linotype" w:eastAsia="Palatino Linotype" w:hAnsi="Palatino Linotype" w:cs="Palatino Linotype"/>
          <w:i/>
          <w:iCs/>
          <w:sz w:val="22"/>
          <w:szCs w:val="22"/>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rsidR="00E06426" w:rsidRPr="00E506E6" w:rsidRDefault="004679EF">
      <w:pPr>
        <w:spacing w:before="240" w:after="24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“Cuentas bancarias y/o CLABE interbancaria de sujetos obligados que reciben y/o transfieren recursos públicos, son información pública.</w:t>
      </w:r>
      <w:r w:rsidRPr="00E506E6">
        <w:rPr>
          <w:rFonts w:ascii="Palatino Linotype" w:eastAsia="Palatino Linotype" w:hAnsi="Palatino Linotype" w:cs="Palatino Linotype"/>
          <w:i/>
          <w:iCs/>
          <w:sz w:val="22"/>
          <w:szCs w:val="22"/>
        </w:rPr>
        <w:t xml:space="preserve">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bookmarkStart w:id="11" w:name="_heading=h.z337ya" w:colFirst="0" w:colLast="0"/>
      <w:bookmarkEnd w:id="11"/>
      <w:r w:rsidRPr="00E506E6">
        <w:rPr>
          <w:rFonts w:ascii="Palatino Linotype" w:eastAsia="Palatino Linotype" w:hAnsi="Palatino Linotype" w:cs="Palatino Linotype"/>
          <w:sz w:val="22"/>
          <w:szCs w:val="22"/>
        </w:rPr>
        <w:t xml:space="preserve">Por cuanto hace a los </w:t>
      </w:r>
      <w:r w:rsidRPr="00E506E6">
        <w:rPr>
          <w:rFonts w:ascii="Palatino Linotype" w:eastAsia="Palatino Linotype" w:hAnsi="Palatino Linotype" w:cs="Palatino Linotype"/>
          <w:b/>
          <w:bCs/>
          <w:sz w:val="22"/>
          <w:szCs w:val="22"/>
        </w:rPr>
        <w:t>préstamos o descuentos de carácter personal</w:t>
      </w:r>
      <w:r w:rsidRPr="00E506E6">
        <w:rPr>
          <w:rFonts w:ascii="Palatino Linotype" w:eastAsia="Palatino Linotype" w:hAnsi="Palatino Linotype" w:cs="Palatino Linotype"/>
          <w:sz w:val="22"/>
          <w:szCs w:val="22"/>
        </w:rPr>
        <w:t>, en virtud de no tener relación con la prestación del servicio y al no involucrar instituciones públicas, se consideran datos confidenciales.</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Para entender los límites y alcances de esta restricción, es oportuno recurrir al artículo 84 de la Ley del Trabajo de los Servidores Públicos del Estado y Municipios:</w:t>
      </w:r>
    </w:p>
    <w:p w:rsidR="00E06426" w:rsidRPr="00E506E6" w:rsidRDefault="004679EF">
      <w:pPr>
        <w:spacing w:after="200" w:line="276" w:lineRule="auto"/>
        <w:ind w:left="851" w:right="616"/>
        <w:jc w:val="both"/>
        <w:rPr>
          <w:rFonts w:ascii="Palatino Linotype" w:eastAsia="Palatino Linotype" w:hAnsi="Palatino Linotype" w:cs="Palatino Linotype"/>
          <w:b/>
          <w:bCs/>
          <w:i/>
          <w:iCs/>
          <w:sz w:val="22"/>
          <w:szCs w:val="22"/>
        </w:rPr>
      </w:pPr>
      <w:r w:rsidRPr="00E506E6">
        <w:rPr>
          <w:rFonts w:ascii="Palatino Linotype" w:eastAsia="Palatino Linotype" w:hAnsi="Palatino Linotype" w:cs="Palatino Linotype"/>
          <w:b/>
          <w:bCs/>
          <w:i/>
          <w:iCs/>
          <w:sz w:val="22"/>
          <w:szCs w:val="22"/>
        </w:rPr>
        <w:t xml:space="preserve">“ARTÍCULO 84. </w:t>
      </w:r>
      <w:r w:rsidRPr="00E506E6">
        <w:rPr>
          <w:rFonts w:ascii="Palatino Linotype" w:eastAsia="Palatino Linotype" w:hAnsi="Palatino Linotype" w:cs="Palatino Linotype"/>
          <w:i/>
          <w:iCs/>
          <w:sz w:val="22"/>
          <w:szCs w:val="22"/>
        </w:rPr>
        <w:t>Sólo podrán hacerse retenciones, descuentos o deducciones al sueldo de los servidores públicos por concepto de:</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w:t>
      </w:r>
      <w:r w:rsidRPr="00E506E6">
        <w:rPr>
          <w:rFonts w:ascii="Palatino Linotype" w:eastAsia="Palatino Linotype" w:hAnsi="Palatino Linotype" w:cs="Palatino Linotype"/>
          <w:i/>
          <w:iCs/>
          <w:sz w:val="22"/>
          <w:szCs w:val="22"/>
        </w:rPr>
        <w:t xml:space="preserve"> Gravámenes fiscales relacionados con el sueldo;</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II.</w:t>
      </w:r>
      <w:r w:rsidRPr="00E506E6">
        <w:rPr>
          <w:rFonts w:ascii="Palatino Linotype" w:eastAsia="Palatino Linotype" w:hAnsi="Palatino Linotype" w:cs="Palatino Linotype"/>
          <w:i/>
          <w:iCs/>
          <w:sz w:val="22"/>
          <w:szCs w:val="22"/>
        </w:rPr>
        <w:t xml:space="preserve"> Deudas contraídas con las instituciones públicas o dependencias por concepto de anticipos de sueldo, pagos hechos con exceso, errores o pérdidas debidamente comprobados;</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III.</w:t>
      </w:r>
      <w:r w:rsidRPr="00E506E6">
        <w:rPr>
          <w:rFonts w:ascii="Palatino Linotype" w:eastAsia="Palatino Linotype" w:hAnsi="Palatino Linotype" w:cs="Palatino Linotype"/>
          <w:i/>
          <w:iCs/>
          <w:sz w:val="22"/>
          <w:szCs w:val="22"/>
        </w:rPr>
        <w:t xml:space="preserve"> </w:t>
      </w:r>
      <w:r w:rsidRPr="00E506E6">
        <w:rPr>
          <w:rFonts w:ascii="Palatino Linotype" w:eastAsia="Palatino Linotype" w:hAnsi="Palatino Linotype" w:cs="Palatino Linotype"/>
          <w:b/>
          <w:bCs/>
          <w:i/>
          <w:iCs/>
          <w:sz w:val="22"/>
          <w:szCs w:val="22"/>
        </w:rPr>
        <w:t>Cuotas sindicales</w:t>
      </w:r>
      <w:r w:rsidRPr="00E506E6">
        <w:rPr>
          <w:rFonts w:ascii="Palatino Linotype" w:eastAsia="Palatino Linotype" w:hAnsi="Palatino Linotype" w:cs="Palatino Linotype"/>
          <w:i/>
          <w:iCs/>
          <w:sz w:val="22"/>
          <w:szCs w:val="22"/>
        </w:rPr>
        <w:t>;</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IV.</w:t>
      </w:r>
      <w:r w:rsidRPr="00E506E6">
        <w:rPr>
          <w:rFonts w:ascii="Palatino Linotype" w:eastAsia="Palatino Linotype" w:hAnsi="Palatino Linotype" w:cs="Palatino Linotype"/>
          <w:i/>
          <w:iCs/>
          <w:sz w:val="22"/>
          <w:szCs w:val="22"/>
        </w:rPr>
        <w:t xml:space="preserve"> Cuotas de aportación a fondos para la constitución de cooperativas y de cajas de ahorro, siempre que el servidor público hubiese manifestado previamente, de manera expresa, su conformidad;</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V.</w:t>
      </w:r>
      <w:r w:rsidRPr="00E506E6">
        <w:rPr>
          <w:rFonts w:ascii="Palatino Linotype" w:eastAsia="Palatino Linotype" w:hAnsi="Palatino Linotype" w:cs="Palatino Linotype"/>
          <w:i/>
          <w:iCs/>
          <w:sz w:val="22"/>
          <w:szCs w:val="22"/>
        </w:rPr>
        <w:t xml:space="preserve"> Descuentos ordenados por el Instituto de Seguridad Social del Estado de México y Municipios, con motivo de cuotas y obligaciones contraídas con éste por los servidores públicos;</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VI.</w:t>
      </w:r>
      <w:r w:rsidRPr="00E506E6">
        <w:rPr>
          <w:rFonts w:ascii="Palatino Linotype" w:eastAsia="Palatino Linotype" w:hAnsi="Palatino Linotype" w:cs="Palatino Linotype"/>
          <w:i/>
          <w:iCs/>
          <w:sz w:val="22"/>
          <w:szCs w:val="22"/>
        </w:rPr>
        <w:t xml:space="preserve"> Obligaciones a cargo del servidor público con las que haya consentido, derivadas de la adquisición o del uso de habitaciones consideradas como de interés social;</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VII.</w:t>
      </w:r>
      <w:r w:rsidRPr="00E506E6">
        <w:rPr>
          <w:rFonts w:ascii="Palatino Linotype" w:eastAsia="Palatino Linotype" w:hAnsi="Palatino Linotype" w:cs="Palatino Linotype"/>
          <w:i/>
          <w:iCs/>
          <w:sz w:val="22"/>
          <w:szCs w:val="22"/>
        </w:rPr>
        <w:t xml:space="preserve"> Faltas de puntualidad o de asistencia injustificadas;</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VIII. Pensiones alimenticias ordenadas por la autoridad judicial;</w:t>
      </w:r>
      <w:r w:rsidRPr="00E506E6">
        <w:rPr>
          <w:rFonts w:ascii="Palatino Linotype" w:eastAsia="Palatino Linotype" w:hAnsi="Palatino Linotype" w:cs="Palatino Linotype"/>
          <w:i/>
          <w:iCs/>
          <w:sz w:val="22"/>
          <w:szCs w:val="22"/>
        </w:rPr>
        <w:t xml:space="preserve"> o</w:t>
      </w:r>
    </w:p>
    <w:p w:rsidR="00E06426" w:rsidRPr="00E506E6" w:rsidRDefault="004679EF">
      <w:pPr>
        <w:spacing w:after="200" w:line="276" w:lineRule="auto"/>
        <w:ind w:left="851" w:right="616"/>
        <w:jc w:val="both"/>
        <w:rPr>
          <w:rFonts w:ascii="Palatino Linotype" w:eastAsia="Palatino Linotype" w:hAnsi="Palatino Linotype" w:cs="Palatino Linotype"/>
          <w:b/>
          <w:bCs/>
          <w:i/>
          <w:iCs/>
          <w:sz w:val="22"/>
          <w:szCs w:val="22"/>
        </w:rPr>
      </w:pPr>
      <w:r w:rsidRPr="00E506E6">
        <w:rPr>
          <w:rFonts w:ascii="Palatino Linotype" w:eastAsia="Palatino Linotype" w:hAnsi="Palatino Linotype" w:cs="Palatino Linotype"/>
          <w:b/>
          <w:bCs/>
          <w:i/>
          <w:iCs/>
          <w:sz w:val="22"/>
          <w:szCs w:val="22"/>
        </w:rPr>
        <w:t>IX. Cualquier otro convenido con instituciones de servicios y aceptado por el servidor público.</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 xml:space="preserve">El monto total de las retenciones, descuentos o deducciones no podrá exceder del 30% de la remuneración total, excepto en los casos a que se refieren las fracciones IV, V y VI de este artículo, en que podrán ser de hasta el 50%, salvo en los casos en que se demuestre que el crédito se concedió con base en los ingresos familiares para hacer posible el derecho constitucional a una vivienda digna, o se refieran a lo establecido en la fracción VIII de este artículo, en que se ajustará a lo determinado por la autoridad judicial.” </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Como se puede observar, el precepto citado establece claramente cuáles son esos descuentos o gravámenes que directamente se relacionan con las obligaciones adquiridas como servidores públicos y aquéllos que únicamente inciden en su vida privada. </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De este modo, los </w:t>
      </w:r>
      <w:r w:rsidRPr="00E506E6">
        <w:rPr>
          <w:rFonts w:ascii="Palatino Linotype" w:eastAsia="Palatino Linotype" w:hAnsi="Palatino Linotype" w:cs="Palatino Linotype"/>
          <w:b/>
          <w:bCs/>
          <w:sz w:val="22"/>
          <w:szCs w:val="22"/>
        </w:rPr>
        <w:t>descuentos o deducciones por cuotas sindicales</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b/>
          <w:bCs/>
          <w:sz w:val="22"/>
          <w:szCs w:val="22"/>
        </w:rPr>
        <w:t>pensiones alimenticias</w:t>
      </w:r>
      <w:r w:rsidRPr="00E506E6">
        <w:rPr>
          <w:rFonts w:ascii="Palatino Linotype" w:eastAsia="Palatino Linotype" w:hAnsi="Palatino Linotype" w:cs="Palatino Linotype"/>
          <w:sz w:val="22"/>
          <w:szCs w:val="22"/>
        </w:rPr>
        <w:t xml:space="preserve"> o </w:t>
      </w:r>
      <w:r w:rsidRPr="00E506E6">
        <w:rPr>
          <w:rFonts w:ascii="Palatino Linotype" w:eastAsia="Palatino Linotype" w:hAnsi="Palatino Linotype" w:cs="Palatino Linotype"/>
          <w:b/>
          <w:bCs/>
          <w:sz w:val="22"/>
          <w:szCs w:val="22"/>
        </w:rPr>
        <w:t>créditos adquiridos con instituciones privadas</w:t>
      </w:r>
      <w:r w:rsidRPr="00E506E6">
        <w:rPr>
          <w:rFonts w:ascii="Palatino Linotype" w:eastAsia="Palatino Linotype" w:hAnsi="Palatino Linotype" w:cs="Palatino Linotype"/>
          <w:sz w:val="22"/>
          <w:szCs w:val="22"/>
        </w:rPr>
        <w:t xml:space="preserve">, entre otros que no se relacionen con el gasto público, al revelar parte de las decisiones que adopta una persona respecto del uso y destino de su remuneración salarial, lo cual incide en la manera en que se integra su patrimonio, </w:t>
      </w:r>
      <w:r w:rsidRPr="00E506E6">
        <w:rPr>
          <w:rFonts w:ascii="Palatino Linotype" w:eastAsia="Palatino Linotype" w:hAnsi="Palatino Linotype" w:cs="Palatino Linotype"/>
          <w:b/>
          <w:bCs/>
          <w:sz w:val="22"/>
          <w:szCs w:val="22"/>
        </w:rPr>
        <w:t>es información que no es de carácter público, sino que constituye información confidencial</w:t>
      </w:r>
      <w:r w:rsidRPr="00E506E6">
        <w:rPr>
          <w:rFonts w:ascii="Palatino Linotype" w:eastAsia="Palatino Linotype" w:hAnsi="Palatino Linotype" w:cs="Palatino Linotype"/>
          <w:sz w:val="22"/>
          <w:szCs w:val="22"/>
        </w:rPr>
        <w:t xml:space="preserve"> en virtud de que corresponde con decisiones personales, y por tanto, se debe clasificar.</w:t>
      </w:r>
    </w:p>
    <w:p w:rsidR="00E06426" w:rsidRPr="00E506E6" w:rsidRDefault="004679EF">
      <w:pPr>
        <w:pBdr>
          <w:top w:val="nil"/>
          <w:left w:val="nil"/>
          <w:bottom w:val="nil"/>
          <w:right w:val="nil"/>
          <w:between w:val="nil"/>
        </w:pBdr>
        <w:spacing w:after="20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Las claves y conceptos de los descuentos personales guardan también la misma naturaleza que los importes, </w:t>
      </w:r>
      <w:proofErr w:type="gramStart"/>
      <w:r w:rsidRPr="00E506E6">
        <w:rPr>
          <w:rFonts w:ascii="Palatino Linotype" w:eastAsia="Palatino Linotype" w:hAnsi="Palatino Linotype" w:cs="Palatino Linotype"/>
          <w:sz w:val="22"/>
          <w:szCs w:val="22"/>
        </w:rPr>
        <w:t>ya que</w:t>
      </w:r>
      <w:proofErr w:type="gramEnd"/>
      <w:r w:rsidRPr="00E506E6">
        <w:rPr>
          <w:rFonts w:ascii="Palatino Linotype" w:eastAsia="Palatino Linotype" w:hAnsi="Palatino Linotype" w:cs="Palatino Linotype"/>
          <w:sz w:val="22"/>
          <w:szCs w:val="22"/>
        </w:rPr>
        <w:t xml:space="preserve"> al hacerse públicas, es posible inferir que cierto servidor público tiene determinada deducción personal, misma que se relaciona con su esfera más íntima de privacidad, asimismo, en aquellos casos en los que sólo se tenga una deducción, inclusive es posible deducir el importe de la misma, derivado de los cálculos que se hagan respecto al sueldo bruto y sueldo neto.</w:t>
      </w:r>
    </w:p>
    <w:p w:rsidR="00E06426" w:rsidRPr="00E506E6" w:rsidRDefault="004679EF">
      <w:pPr>
        <w:pBdr>
          <w:top w:val="nil"/>
          <w:left w:val="nil"/>
          <w:bottom w:val="nil"/>
          <w:right w:val="nil"/>
          <w:between w:val="nil"/>
        </w:pBd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En conclusión, la información relacionada con los préstamos o descuentos de carácter personal, en virtud de no tener relación con la prestación del servicio y al no involucrar instituciones públicas, se consideran datos confidenciales.</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bookmarkStart w:id="12" w:name="_heading=h.3j2qqm3" w:colFirst="0" w:colLast="0"/>
      <w:bookmarkEnd w:id="12"/>
      <w:r w:rsidRPr="00E506E6">
        <w:rPr>
          <w:rFonts w:ascii="Palatino Linotype" w:eastAsia="Palatino Linotype" w:hAnsi="Palatino Linotype" w:cs="Palatino Linotype"/>
          <w:sz w:val="22"/>
          <w:szCs w:val="22"/>
        </w:rPr>
        <w:t xml:space="preserve">Con relación al </w:t>
      </w:r>
      <w:r w:rsidRPr="00E506E6">
        <w:rPr>
          <w:rFonts w:ascii="Palatino Linotype" w:eastAsia="Palatino Linotype" w:hAnsi="Palatino Linotype" w:cs="Palatino Linotype"/>
          <w:b/>
          <w:bCs/>
          <w:sz w:val="22"/>
          <w:szCs w:val="22"/>
        </w:rPr>
        <w:t>número de empleado</w:t>
      </w:r>
      <w:r w:rsidRPr="00E506E6">
        <w:rPr>
          <w:rFonts w:ascii="Palatino Linotype" w:eastAsia="Palatino Linotype" w:hAnsi="Palatino Linotype" w:cs="Palatino Linotype"/>
          <w:sz w:val="22"/>
          <w:szCs w:val="22"/>
        </w:rPr>
        <w:t xml:space="preserve"> debe precisarse que este constituye un código, en virtud del cual, los trabajadores pueden acceder a un sistema de datos o información de la dependencia o entidad a la que pertenecen, a fin de presentar consultas relacionadas con su situación laboral particular, siendo un número único, permanente e intransferible que se asigna para llevar un registro de los trabajadores</w:t>
      </w:r>
      <w:r w:rsidRPr="00E506E6">
        <w:rPr>
          <w:rFonts w:ascii="Palatino Linotype" w:eastAsia="Palatino Linotype" w:hAnsi="Palatino Linotype" w:cs="Palatino Linotype"/>
          <w:sz w:val="22"/>
          <w:szCs w:val="22"/>
          <w:vertAlign w:val="superscript"/>
        </w:rPr>
        <w:footnoteReference w:id="4"/>
      </w:r>
      <w:r w:rsidRPr="00E506E6">
        <w:rPr>
          <w:rFonts w:ascii="Palatino Linotype" w:eastAsia="Palatino Linotype" w:hAnsi="Palatino Linotype" w:cs="Palatino Linotype"/>
          <w:sz w:val="22"/>
          <w:szCs w:val="22"/>
        </w:rPr>
        <w:t>.</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Bajo esos argumentos, se entendería que la información relativa al número de empleado constituye información confidencial al tratarse de un número de identificación personal a través del cual se puede consultar la situación laboral personal, empero el Pleno del entonces Instituto Nacional de Transparencia, Acceso a la Información, y Protección de Datos Personales, se ha pronunciado sobre su publicidad, a través del Criterio orientador con Clave de control SO/006/2019, que indica lo siguiente:</w:t>
      </w:r>
    </w:p>
    <w:p w:rsidR="00E06426" w:rsidRPr="00E506E6" w:rsidRDefault="004679EF">
      <w:pPr>
        <w:tabs>
          <w:tab w:val="left" w:pos="7655"/>
        </w:tabs>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b/>
          <w:bCs/>
          <w:i/>
          <w:iCs/>
          <w:sz w:val="22"/>
          <w:szCs w:val="22"/>
        </w:rPr>
        <w:t xml:space="preserve">Número de empleado. </w:t>
      </w:r>
      <w:r w:rsidRPr="00E506E6">
        <w:rPr>
          <w:rFonts w:ascii="Palatino Linotype" w:eastAsia="Palatino Linotype" w:hAnsi="Palatino Linotype" w:cs="Palatino Linotype"/>
          <w:i/>
          <w:iCs/>
          <w:sz w:val="22"/>
          <w:szCs w:val="22"/>
        </w:rPr>
        <w:t>Cuando el número de empleado o su equivalente, se integra con datos personales de los trabajadores o funciona como una clave de acceso que no requiere adicionalmente de una contraseña para ingresar a sistemas o bases de datos personales, procede su clasificación como información confidencial.”</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En atención al criterio de interpretación, se advierten dos supuestos para catalogar la información concerniente al número de empleado o equivalente, el primero es considerar la información como confidencial, siempre y cuando se integre con datos personales o que permita acceder a ellos sin necesidad de alguna contraseña, y el segundo supuesto es considerar que la información es susceptible de entregarse siempre que requiera una contraseña para acceder a los datos personales o cuando su conformación no revele los mismos, por consiguiente, en el caso concreto, el </w:t>
      </w:r>
      <w:r w:rsidRPr="00E506E6">
        <w:rPr>
          <w:rFonts w:ascii="Palatino Linotype" w:eastAsia="Palatino Linotype" w:hAnsi="Palatino Linotype" w:cs="Palatino Linotype"/>
          <w:b/>
          <w:bCs/>
          <w:sz w:val="22"/>
          <w:szCs w:val="22"/>
        </w:rPr>
        <w:t>Sujeto Obligado</w:t>
      </w:r>
      <w:r w:rsidRPr="00E506E6">
        <w:rPr>
          <w:rFonts w:ascii="Palatino Linotype" w:eastAsia="Palatino Linotype" w:hAnsi="Palatino Linotype" w:cs="Palatino Linotype"/>
          <w:sz w:val="22"/>
          <w:szCs w:val="22"/>
        </w:rPr>
        <w:t xml:space="preserve"> deberá acatar lo establecido y de ser procedente, entregará el número de empleado o equivalente de los servidores públicos materia de la solicitud, o en su caso, los clasificará como información confidencial, a través del Acuerdo emitido por su Comité de Transparencia conforme a la Ley de la Materia.</w:t>
      </w:r>
    </w:p>
    <w:p w:rsidR="00E06426" w:rsidRPr="00E506E6" w:rsidRDefault="00E06426">
      <w:pPr>
        <w:spacing w:before="240" w:after="240" w:line="360" w:lineRule="auto"/>
        <w:jc w:val="both"/>
        <w:rPr>
          <w:rFonts w:ascii="Palatino Linotype" w:eastAsia="Palatino Linotype" w:hAnsi="Palatino Linotype" w:cs="Palatino Linotype"/>
          <w:sz w:val="22"/>
          <w:szCs w:val="22"/>
        </w:rPr>
      </w:pPr>
    </w:p>
    <w:p w:rsidR="00E06426" w:rsidRPr="00E506E6" w:rsidRDefault="004679EF">
      <w:pPr>
        <w:spacing w:before="240" w:after="240" w:line="360" w:lineRule="auto"/>
        <w:ind w:right="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Por cuanto hace al </w:t>
      </w:r>
      <w:r w:rsidRPr="00E506E6">
        <w:rPr>
          <w:rFonts w:ascii="Palatino Linotype" w:eastAsia="Palatino Linotype" w:hAnsi="Palatino Linotype" w:cs="Palatino Linotype"/>
          <w:b/>
          <w:bCs/>
          <w:sz w:val="22"/>
          <w:szCs w:val="22"/>
        </w:rPr>
        <w:t xml:space="preserve">Registro Federal de Contribuyentes (RFC) </w:t>
      </w:r>
      <w:r w:rsidRPr="00E506E6">
        <w:rPr>
          <w:rFonts w:ascii="Palatino Linotype" w:eastAsia="Palatino Linotype" w:hAnsi="Palatino Linotype" w:cs="Palatino Linotype"/>
          <w:sz w:val="22"/>
          <w:szCs w:val="22"/>
        </w:rPr>
        <w:t>y</w:t>
      </w:r>
      <w:r w:rsidRPr="00E506E6">
        <w:rPr>
          <w:rFonts w:ascii="Palatino Linotype" w:eastAsia="Palatino Linotype" w:hAnsi="Palatino Linotype" w:cs="Palatino Linotype"/>
          <w:b/>
          <w:bCs/>
          <w:sz w:val="22"/>
          <w:szCs w:val="22"/>
        </w:rPr>
        <w:t xml:space="preserve"> el domicilio fiscal </w:t>
      </w:r>
      <w:r w:rsidRPr="00E506E6">
        <w:rPr>
          <w:rFonts w:ascii="Palatino Linotype" w:eastAsia="Palatino Linotype" w:hAnsi="Palatino Linotype" w:cs="Palatino Linotype"/>
          <w:sz w:val="22"/>
          <w:szCs w:val="22"/>
        </w:rPr>
        <w:t>si bien este Instituto ha sostenido que el RFC y domicilio de las personas físicas debe ser testado por los Sujetos Obligados, en las versiones públicas de los documentos que elaboren para atender las solicitudes de información pública, lo cierto es que, tratándose de proveedores, prestadores de servicios o contratistas, dichos datos no deben ser suprimidos de las facturas y contratos que vayan a ser entregados.</w:t>
      </w:r>
    </w:p>
    <w:p w:rsidR="00E06426" w:rsidRPr="00E506E6" w:rsidRDefault="004679EF">
      <w:pPr>
        <w:spacing w:before="240" w:after="240" w:line="360" w:lineRule="auto"/>
        <w:ind w:right="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rsidR="00E06426" w:rsidRPr="00E506E6" w:rsidRDefault="004679EF">
      <w:pPr>
        <w:spacing w:before="240" w:after="240" w:line="360" w:lineRule="auto"/>
        <w:ind w:right="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Además, las personas físicas que realicen las actividades contratadas por las instituciones, renuncian implícitamente a una parte de su derecho a la intimidad al obtener beneficios y lucros de los recursos públicos por dicha contratación, por lo que </w:t>
      </w:r>
      <w:r w:rsidRPr="00E506E6">
        <w:rPr>
          <w:rFonts w:ascii="Palatino Linotype" w:eastAsia="Palatino Linotype" w:hAnsi="Palatino Linotype" w:cs="Palatino Linotype"/>
          <w:b/>
          <w:bCs/>
          <w:sz w:val="22"/>
          <w:szCs w:val="22"/>
        </w:rPr>
        <w:t>no puede considerarse como información clasificada lo relativo a su nombre, registro federal de contribuyentes y domicilio fiscal</w:t>
      </w:r>
      <w:r w:rsidRPr="00E506E6">
        <w:rPr>
          <w:rFonts w:ascii="Palatino Linotype" w:eastAsia="Palatino Linotype" w:hAnsi="Palatino Linotype" w:cs="Palatino Linotype"/>
          <w:sz w:val="22"/>
          <w:szCs w:val="22"/>
        </w:rPr>
        <w:t>, atento a que dicha información es la que puede generar certeza en los gobernados en que se está ejerciendo debidamente el presupuesto.</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Robustece lo anterior el criterio orientador 04/21 emitido por el entonces Instituto Nacional de Transparencia, Acceso a la Información y Protección de Datos Personales, INAI, el cual refiere:</w:t>
      </w:r>
    </w:p>
    <w:p w:rsidR="00E06426" w:rsidRPr="00E506E6" w:rsidRDefault="004679EF">
      <w:pPr>
        <w:spacing w:before="120" w:after="120"/>
        <w:ind w:left="851" w:right="90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 xml:space="preserve">“Registro Federal de Contribuyentes (RFC) de personas físicas proveedoras o contratistas. </w:t>
      </w:r>
      <w:r w:rsidRPr="00E506E6">
        <w:rPr>
          <w:rFonts w:ascii="Palatino Linotype" w:eastAsia="Palatino Linotype" w:hAnsi="Palatino Linotype" w:cs="Palatino Linotype"/>
          <w:i/>
          <w:iCs/>
          <w:sz w:val="22"/>
          <w:szCs w:val="22"/>
        </w:rPr>
        <w:t xml:space="preserve">El RFC de contratistas o proveedores de los sujetos obligados debe ser público, </w:t>
      </w:r>
      <w:proofErr w:type="gramStart"/>
      <w:r w:rsidRPr="00E506E6">
        <w:rPr>
          <w:rFonts w:ascii="Palatino Linotype" w:eastAsia="Palatino Linotype" w:hAnsi="Palatino Linotype" w:cs="Palatino Linotype"/>
          <w:i/>
          <w:iCs/>
          <w:sz w:val="22"/>
          <w:szCs w:val="22"/>
        </w:rPr>
        <w:t>ya que</w:t>
      </w:r>
      <w:proofErr w:type="gramEnd"/>
      <w:r w:rsidRPr="00E506E6">
        <w:rPr>
          <w:rFonts w:ascii="Palatino Linotype" w:eastAsia="Palatino Linotype" w:hAnsi="Palatino Linotype" w:cs="Palatino Linotype"/>
          <w:i/>
          <w:iCs/>
          <w:sz w:val="22"/>
          <w:szCs w:val="22"/>
        </w:rPr>
        <w:t xml:space="preserve"> al tratarse de personas con contrataciones públicas, su difusión favorece la transparencia con la que deben administrarse los recursos públicos, en términos del artículo 134 de la Constitución Política de los Estados Unidos Mexicanos.”</w:t>
      </w:r>
    </w:p>
    <w:p w:rsidR="00E06426" w:rsidRPr="00E506E6" w:rsidRDefault="004679EF">
      <w:pPr>
        <w:spacing w:before="240" w:after="240" w:line="360" w:lineRule="auto"/>
        <w:ind w:right="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Relacionado con lo anterior, el </w:t>
      </w:r>
      <w:r w:rsidRPr="00E506E6">
        <w:rPr>
          <w:rFonts w:ascii="Palatino Linotype" w:eastAsia="Palatino Linotype" w:hAnsi="Palatino Linotype" w:cs="Palatino Linotype"/>
          <w:b/>
          <w:bCs/>
          <w:sz w:val="22"/>
          <w:szCs w:val="22"/>
        </w:rPr>
        <w:t>nombre de las personas físicas</w:t>
      </w:r>
      <w:r w:rsidRPr="00E506E6">
        <w:rPr>
          <w:rFonts w:ascii="Palatino Linotype" w:eastAsia="Palatino Linotype" w:hAnsi="Palatino Linotype" w:cs="Palatino Linotype"/>
          <w:sz w:val="22"/>
          <w:szCs w:val="22"/>
        </w:rPr>
        <w:t xml:space="preserve"> o los </w:t>
      </w:r>
      <w:r w:rsidRPr="00E506E6">
        <w:rPr>
          <w:rFonts w:ascii="Palatino Linotype" w:eastAsia="Palatino Linotype" w:hAnsi="Palatino Linotype" w:cs="Palatino Linotype"/>
          <w:b/>
          <w:bCs/>
          <w:sz w:val="22"/>
          <w:szCs w:val="22"/>
        </w:rPr>
        <w:t>representantes legales de las personas morales</w:t>
      </w:r>
      <w:r w:rsidRPr="00E506E6">
        <w:rPr>
          <w:rFonts w:ascii="Palatino Linotype" w:eastAsia="Palatino Linotype" w:hAnsi="Palatino Linotype" w:cs="Palatino Linotype"/>
          <w:sz w:val="22"/>
          <w:szCs w:val="22"/>
        </w:rPr>
        <w:t>,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rsidR="00E06426" w:rsidRPr="00E506E6" w:rsidRDefault="004679EF">
      <w:pPr>
        <w:spacing w:before="240" w:after="240" w:line="360" w:lineRule="auto"/>
        <w:ind w:right="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Argumentación que guarda sustento en lo estipulado por el artículo 23 de la Ley de Transparencia y Acceso a la Información Pública del Estado de México y Municipios en su penúltimo párrafo, mismo que es del tenor literal siguiente:</w:t>
      </w:r>
    </w:p>
    <w:p w:rsidR="00E06426" w:rsidRPr="00E506E6" w:rsidRDefault="004679EF">
      <w:pPr>
        <w:spacing w:before="120" w:after="120"/>
        <w:ind w:left="851" w:right="90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b/>
          <w:bCs/>
          <w:i/>
          <w:iCs/>
          <w:sz w:val="22"/>
          <w:szCs w:val="22"/>
        </w:rPr>
        <w:t>Artículo 23.</w:t>
      </w:r>
      <w:r w:rsidRPr="00E506E6">
        <w:rPr>
          <w:rFonts w:ascii="Palatino Linotype" w:eastAsia="Palatino Linotype" w:hAnsi="Palatino Linotype" w:cs="Palatino Linotype"/>
          <w:i/>
          <w:iCs/>
          <w:sz w:val="22"/>
          <w:szCs w:val="22"/>
        </w:rPr>
        <w:t xml:space="preserve"> (…)</w:t>
      </w:r>
    </w:p>
    <w:p w:rsidR="00E06426" w:rsidRPr="00E506E6" w:rsidRDefault="004679EF">
      <w:pPr>
        <w:spacing w:before="120" w:after="120"/>
        <w:ind w:left="851" w:right="90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rsidR="00E06426" w:rsidRPr="00E506E6" w:rsidRDefault="004679EF">
      <w:pPr>
        <w:spacing w:before="280" w:after="28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Asimismo, resulta aplicable el contenido del criterio orientador 01/19 emitido por el entonces Instituto Nacional de Transparencia, Acceso a la Información, y Protección de Datos Personales, INAI, que lleva por rubro y texto los siguientes;</w:t>
      </w:r>
    </w:p>
    <w:p w:rsidR="00E06426" w:rsidRPr="00E506E6" w:rsidRDefault="004679EF">
      <w:pPr>
        <w:spacing w:before="120" w:after="120"/>
        <w:ind w:left="851" w:right="90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“Datos de identificación del representante o apoderado legal.</w:t>
      </w:r>
      <w:r w:rsidRPr="00E506E6">
        <w:rPr>
          <w:rFonts w:ascii="Palatino Linotype" w:eastAsia="Palatino Linotype" w:hAnsi="Palatino Linotype" w:cs="Palatino Linotype"/>
          <w:i/>
          <w:iCs/>
          <w:sz w:val="22"/>
          <w:szCs w:val="22"/>
        </w:rPr>
        <w:t xml:space="preserve"> </w:t>
      </w:r>
      <w:r w:rsidRPr="00E506E6">
        <w:rPr>
          <w:rFonts w:ascii="Palatino Linotype" w:eastAsia="Palatino Linotype" w:hAnsi="Palatino Linotype" w:cs="Palatino Linotype"/>
          <w:b/>
          <w:bCs/>
          <w:i/>
          <w:iCs/>
          <w:sz w:val="22"/>
          <w:szCs w:val="22"/>
        </w:rPr>
        <w:t xml:space="preserve">Naturaleza jurídica. </w:t>
      </w:r>
      <w:r w:rsidRPr="00E506E6">
        <w:rPr>
          <w:rFonts w:ascii="Palatino Linotype" w:eastAsia="Palatino Linotype" w:hAnsi="Palatino Linotype" w:cs="Palatino Linotype"/>
          <w:i/>
          <w:iCs/>
          <w:sz w:val="22"/>
          <w:szCs w:val="22"/>
        </w:rPr>
        <w:t xml:space="preserve">El nombre, la firma y la rúbrica de una persona física, que actúe como representante o apoderado legal de un tercero que haya celebrado un acto jurídico, con algún sujeto obligado, </w:t>
      </w:r>
      <w:r w:rsidRPr="00E506E6">
        <w:rPr>
          <w:rFonts w:ascii="Palatino Linotype" w:eastAsia="Palatino Linotype" w:hAnsi="Palatino Linotype" w:cs="Palatino Linotype"/>
          <w:b/>
          <w:bCs/>
          <w:i/>
          <w:iCs/>
          <w:sz w:val="22"/>
          <w:szCs w:val="22"/>
        </w:rPr>
        <w:t>es información pública, en razón de que tales datos fueron proporcionados con el objeto de expresar el consentimiento obligacional del tercero y otorgar validez a dicho instrumento jurídico</w:t>
      </w:r>
      <w:r w:rsidRPr="00E506E6">
        <w:rPr>
          <w:rFonts w:ascii="Palatino Linotype" w:eastAsia="Palatino Linotype" w:hAnsi="Palatino Linotype" w:cs="Palatino Linotype"/>
          <w:i/>
          <w:iCs/>
          <w:sz w:val="22"/>
          <w:szCs w:val="22"/>
        </w:rPr>
        <w:t>.”</w:t>
      </w:r>
    </w:p>
    <w:p w:rsidR="00E06426" w:rsidRPr="00E506E6" w:rsidRDefault="004679EF">
      <w:pPr>
        <w:spacing w:before="240" w:after="240" w:line="360" w:lineRule="auto"/>
        <w:ind w:right="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“Artículo 49.</w:t>
      </w:r>
      <w:r w:rsidRPr="00E506E6">
        <w:rPr>
          <w:rFonts w:ascii="Palatino Linotype" w:eastAsia="Palatino Linotype" w:hAnsi="Palatino Linotype" w:cs="Palatino Linotype"/>
          <w:i/>
          <w:iCs/>
          <w:sz w:val="22"/>
          <w:szCs w:val="22"/>
        </w:rPr>
        <w:t xml:space="preserve"> </w:t>
      </w:r>
      <w:r w:rsidRPr="00E506E6">
        <w:rPr>
          <w:rFonts w:ascii="Palatino Linotype" w:eastAsia="Palatino Linotype" w:hAnsi="Palatino Linotype" w:cs="Palatino Linotype"/>
          <w:b/>
          <w:bCs/>
          <w:i/>
          <w:iCs/>
          <w:sz w:val="22"/>
          <w:szCs w:val="22"/>
        </w:rPr>
        <w:t>Los Comités de Transparencia</w:t>
      </w:r>
      <w:r w:rsidRPr="00E506E6">
        <w:rPr>
          <w:rFonts w:ascii="Palatino Linotype" w:eastAsia="Palatino Linotype" w:hAnsi="Palatino Linotype" w:cs="Palatino Linotype"/>
          <w:i/>
          <w:iCs/>
          <w:sz w:val="22"/>
          <w:szCs w:val="22"/>
        </w:rPr>
        <w:t xml:space="preserve"> tendrán las siguientes atribuciones:</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VIII. Aprobar, modificar o revocar la clasificación de la información</w:t>
      </w:r>
      <w:r w:rsidRPr="00E506E6">
        <w:rPr>
          <w:rFonts w:ascii="Palatino Linotype" w:eastAsia="Palatino Linotype" w:hAnsi="Palatino Linotype" w:cs="Palatino Linotype"/>
          <w:i/>
          <w:iCs/>
          <w:sz w:val="22"/>
          <w:szCs w:val="22"/>
        </w:rPr>
        <w:t>…”</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b/>
          <w:bCs/>
          <w:i/>
          <w:iCs/>
          <w:sz w:val="22"/>
          <w:szCs w:val="22"/>
        </w:rPr>
        <w:t>Artículo 53.</w:t>
      </w:r>
      <w:r w:rsidRPr="00E506E6">
        <w:rPr>
          <w:rFonts w:ascii="Palatino Linotype" w:eastAsia="Palatino Linotype" w:hAnsi="Palatino Linotype" w:cs="Palatino Linotype"/>
          <w:i/>
          <w:iCs/>
          <w:sz w:val="22"/>
          <w:szCs w:val="22"/>
        </w:rPr>
        <w:t xml:space="preserve"> Las </w:t>
      </w:r>
      <w:r w:rsidRPr="00E506E6">
        <w:rPr>
          <w:rFonts w:ascii="Palatino Linotype" w:eastAsia="Palatino Linotype" w:hAnsi="Palatino Linotype" w:cs="Palatino Linotype"/>
          <w:b/>
          <w:bCs/>
          <w:i/>
          <w:iCs/>
          <w:sz w:val="22"/>
          <w:szCs w:val="22"/>
        </w:rPr>
        <w:t>Unidades de Transparencia</w:t>
      </w:r>
      <w:r w:rsidRPr="00E506E6">
        <w:rPr>
          <w:rFonts w:ascii="Palatino Linotype" w:eastAsia="Palatino Linotype" w:hAnsi="Palatino Linotype" w:cs="Palatino Linotype"/>
          <w:i/>
          <w:iCs/>
          <w:sz w:val="22"/>
          <w:szCs w:val="22"/>
        </w:rPr>
        <w:t xml:space="preserve"> tendrán las siguientes </w:t>
      </w:r>
      <w:r w:rsidRPr="00E506E6">
        <w:rPr>
          <w:rFonts w:ascii="Palatino Linotype" w:eastAsia="Palatino Linotype" w:hAnsi="Palatino Linotype" w:cs="Palatino Linotype"/>
          <w:b/>
          <w:bCs/>
          <w:i/>
          <w:iCs/>
          <w:sz w:val="22"/>
          <w:szCs w:val="22"/>
        </w:rPr>
        <w:t>funciones</w:t>
      </w:r>
      <w:r w:rsidRPr="00E506E6">
        <w:rPr>
          <w:rFonts w:ascii="Palatino Linotype" w:eastAsia="Palatino Linotype" w:hAnsi="Palatino Linotype" w:cs="Palatino Linotype"/>
          <w:i/>
          <w:iCs/>
          <w:sz w:val="22"/>
          <w:szCs w:val="22"/>
        </w:rPr>
        <w:t>:</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X. Presentar ante el Comité, el proyecto de clasificación de información</w:t>
      </w:r>
      <w:r w:rsidRPr="00E506E6">
        <w:rPr>
          <w:rFonts w:ascii="Palatino Linotype" w:eastAsia="Palatino Linotype" w:hAnsi="Palatino Linotype" w:cs="Palatino Linotype"/>
          <w:i/>
          <w:iCs/>
          <w:sz w:val="22"/>
          <w:szCs w:val="22"/>
        </w:rPr>
        <w:t xml:space="preserve">…” </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“Artículo 59.</w:t>
      </w:r>
      <w:r w:rsidRPr="00E506E6">
        <w:rPr>
          <w:rFonts w:ascii="Palatino Linotype" w:eastAsia="Palatino Linotype" w:hAnsi="Palatino Linotype" w:cs="Palatino Linotype"/>
          <w:i/>
          <w:iCs/>
          <w:sz w:val="22"/>
          <w:szCs w:val="22"/>
        </w:rPr>
        <w:t xml:space="preserve"> Los </w:t>
      </w:r>
      <w:r w:rsidRPr="00E506E6">
        <w:rPr>
          <w:rFonts w:ascii="Palatino Linotype" w:eastAsia="Palatino Linotype" w:hAnsi="Palatino Linotype" w:cs="Palatino Linotype"/>
          <w:b/>
          <w:bCs/>
          <w:i/>
          <w:iCs/>
          <w:sz w:val="22"/>
          <w:szCs w:val="22"/>
        </w:rPr>
        <w:t>servidores públicos habilitados</w:t>
      </w:r>
      <w:r w:rsidRPr="00E506E6">
        <w:rPr>
          <w:rFonts w:ascii="Palatino Linotype" w:eastAsia="Palatino Linotype" w:hAnsi="Palatino Linotype" w:cs="Palatino Linotype"/>
          <w:i/>
          <w:iCs/>
          <w:sz w:val="22"/>
          <w:szCs w:val="22"/>
        </w:rPr>
        <w:t xml:space="preserve"> tendrán las </w:t>
      </w:r>
      <w:r w:rsidRPr="00E506E6">
        <w:rPr>
          <w:rFonts w:ascii="Palatino Linotype" w:eastAsia="Palatino Linotype" w:hAnsi="Palatino Linotype" w:cs="Palatino Linotype"/>
          <w:b/>
          <w:bCs/>
          <w:i/>
          <w:iCs/>
          <w:sz w:val="22"/>
          <w:szCs w:val="22"/>
        </w:rPr>
        <w:t>funciones</w:t>
      </w:r>
      <w:r w:rsidRPr="00E506E6">
        <w:rPr>
          <w:rFonts w:ascii="Palatino Linotype" w:eastAsia="Palatino Linotype" w:hAnsi="Palatino Linotype" w:cs="Palatino Linotype"/>
          <w:i/>
          <w:iCs/>
          <w:sz w:val="22"/>
          <w:szCs w:val="22"/>
        </w:rPr>
        <w:t xml:space="preserve"> siguientes:</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E506E6">
        <w:rPr>
          <w:rFonts w:ascii="Palatino Linotype" w:eastAsia="Palatino Linotype" w:hAnsi="Palatino Linotype" w:cs="Palatino Linotype"/>
          <w:i/>
          <w:iCs/>
          <w:sz w:val="22"/>
          <w:szCs w:val="22"/>
        </w:rPr>
        <w:t>, la cual tendrá los fundamentos y argumentos en que se basa dicha propuesta…”</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b/>
          <w:bCs/>
          <w:i/>
          <w:iCs/>
          <w:sz w:val="22"/>
          <w:szCs w:val="22"/>
        </w:rPr>
        <w:t>Artículo 149.</w:t>
      </w:r>
      <w:r w:rsidRPr="00E506E6">
        <w:rPr>
          <w:rFonts w:ascii="Palatino Linotype" w:eastAsia="Palatino Linotype" w:hAnsi="Palatino Linotype" w:cs="Palatino Linotype"/>
          <w:i/>
          <w:iCs/>
          <w:sz w:val="22"/>
          <w:szCs w:val="22"/>
        </w:rPr>
        <w:t xml:space="preserve"> El </w:t>
      </w:r>
      <w:r w:rsidRPr="00E506E6">
        <w:rPr>
          <w:rFonts w:ascii="Palatino Linotype" w:eastAsia="Palatino Linotype" w:hAnsi="Palatino Linotype" w:cs="Palatino Linotype"/>
          <w:b/>
          <w:bCs/>
          <w:i/>
          <w:iCs/>
          <w:sz w:val="22"/>
          <w:szCs w:val="22"/>
        </w:rPr>
        <w:t>acuerdo que clasifique la información como confidencial</w:t>
      </w:r>
      <w:r w:rsidRPr="00E506E6">
        <w:rPr>
          <w:rFonts w:ascii="Palatino Linotype" w:eastAsia="Palatino Linotype" w:hAnsi="Palatino Linotype" w:cs="Palatino Linotype"/>
          <w:i/>
          <w:iCs/>
          <w:sz w:val="22"/>
          <w:szCs w:val="22"/>
        </w:rPr>
        <w:t xml:space="preserve"> deberá contener un razonamiento lógico en el que demuestre que la información se encuentra en alguna o algunas de las hipótesis previstas en la presente Ley.” </w:t>
      </w:r>
    </w:p>
    <w:p w:rsidR="00E06426" w:rsidRPr="00E506E6" w:rsidRDefault="004679EF">
      <w:pPr>
        <w:spacing w:before="240" w:after="240" w:line="360" w:lineRule="auto"/>
        <w:ind w:right="51"/>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Es decir, el </w:t>
      </w:r>
      <w:r w:rsidRPr="00E506E6">
        <w:rPr>
          <w:rFonts w:ascii="Palatino Linotype" w:eastAsia="Palatino Linotype" w:hAnsi="Palatino Linotype" w:cs="Palatino Linotype"/>
          <w:b/>
          <w:bCs/>
          <w:sz w:val="22"/>
          <w:szCs w:val="22"/>
        </w:rPr>
        <w:t>Sujeto Obligado</w:t>
      </w:r>
      <w:r w:rsidRPr="00E506E6">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rsidR="00E06426" w:rsidRPr="00E506E6" w:rsidRDefault="004679EF">
      <w:pPr>
        <w:spacing w:before="240" w:after="240"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Atento a lo anterior, cabe señalar que el Comité de Transparencia del </w:t>
      </w:r>
      <w:r w:rsidRPr="00E506E6">
        <w:rPr>
          <w:rFonts w:ascii="Palatino Linotype" w:eastAsia="Palatino Linotype" w:hAnsi="Palatino Linotype" w:cs="Palatino Linotype"/>
          <w:b/>
          <w:bCs/>
          <w:sz w:val="22"/>
          <w:szCs w:val="22"/>
        </w:rPr>
        <w:t>Sujeto Obligado</w:t>
      </w:r>
      <w:r w:rsidRPr="00E506E6">
        <w:rPr>
          <w:rFonts w:ascii="Palatino Linotype" w:eastAsia="Palatino Linotype" w:hAnsi="Palatino Linotype" w:cs="Palatino Linotype"/>
          <w:sz w:val="22"/>
          <w:szCs w:val="22"/>
        </w:rPr>
        <w:t>, deberá emitir el acuerdo de clasificación de información debidamente fundado y motivado, en términos de los Lineamientos Segundo, fracción XVIII, y del Cuarto al Décimo Primero de los “Lineamientos Generales en materia de Clasificación y Desclasificación de la Información, así como para la elaboración de Versiones Públicas”, vigentes a la fecha de la solicitud que literalmente expresan:</w:t>
      </w:r>
    </w:p>
    <w:p w:rsidR="00E06426" w:rsidRPr="00E506E6" w:rsidRDefault="004679E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 xml:space="preserve"> “</w:t>
      </w:r>
      <w:proofErr w:type="gramStart"/>
      <w:r w:rsidRPr="00E506E6">
        <w:rPr>
          <w:rFonts w:ascii="Palatino Linotype" w:eastAsia="Palatino Linotype" w:hAnsi="Palatino Linotype" w:cs="Palatino Linotype"/>
          <w:b/>
          <w:bCs/>
          <w:i/>
          <w:iCs/>
          <w:sz w:val="22"/>
          <w:szCs w:val="22"/>
        </w:rPr>
        <w:t>Segundo.-</w:t>
      </w:r>
      <w:proofErr w:type="gramEnd"/>
      <w:r w:rsidRPr="00E506E6">
        <w:rPr>
          <w:rFonts w:ascii="Palatino Linotype" w:eastAsia="Palatino Linotype" w:hAnsi="Palatino Linotype" w:cs="Palatino Linotype"/>
          <w:i/>
          <w:iCs/>
          <w:sz w:val="22"/>
          <w:szCs w:val="22"/>
        </w:rPr>
        <w:t xml:space="preserve"> Para efectos de los presentes Lineamientos Generales, se entenderá por:</w:t>
      </w:r>
    </w:p>
    <w:p w:rsidR="00E06426" w:rsidRPr="00E506E6" w:rsidRDefault="004679E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XVIII.</w:t>
      </w:r>
      <w:r w:rsidRPr="00E506E6">
        <w:rPr>
          <w:rFonts w:ascii="Palatino Linotype" w:eastAsia="Palatino Linotype" w:hAnsi="Palatino Linotype" w:cs="Palatino Linotype"/>
          <w:i/>
          <w:iCs/>
          <w:sz w:val="22"/>
          <w:szCs w:val="22"/>
        </w:rPr>
        <w:t xml:space="preserve"> </w:t>
      </w:r>
      <w:r w:rsidRPr="00E506E6">
        <w:rPr>
          <w:rFonts w:ascii="Palatino Linotype" w:eastAsia="Palatino Linotype" w:hAnsi="Palatino Linotype" w:cs="Palatino Linotype"/>
          <w:b/>
          <w:bCs/>
          <w:i/>
          <w:iCs/>
          <w:sz w:val="22"/>
          <w:szCs w:val="22"/>
        </w:rPr>
        <w:t>Versión pública:</w:t>
      </w:r>
      <w:r w:rsidRPr="00E506E6">
        <w:rPr>
          <w:rFonts w:ascii="Palatino Linotype" w:eastAsia="Palatino Linotype" w:hAnsi="Palatino Linotype" w:cs="Palatino Linotype"/>
          <w:i/>
          <w:iCs/>
          <w:sz w:val="22"/>
          <w:szCs w:val="22"/>
        </w:rPr>
        <w:t xml:space="preserve"> El documento a partir del que se otorga acceso a la información, en el que se testan partes o secciones clasificadas, indicando el contenido de éstas de manera genérica, </w:t>
      </w:r>
      <w:r w:rsidRPr="00E506E6">
        <w:rPr>
          <w:rFonts w:ascii="Palatino Linotype" w:eastAsia="Palatino Linotype" w:hAnsi="Palatino Linotype" w:cs="Palatino Linotype"/>
          <w:b/>
          <w:bCs/>
          <w:i/>
          <w:iCs/>
          <w:sz w:val="22"/>
          <w:szCs w:val="22"/>
        </w:rPr>
        <w:t>fundando y motivando la</w:t>
      </w:r>
      <w:r w:rsidRPr="00E506E6">
        <w:rPr>
          <w:rFonts w:ascii="Palatino Linotype" w:eastAsia="Palatino Linotype" w:hAnsi="Palatino Linotype" w:cs="Palatino Linotype"/>
          <w:i/>
          <w:iCs/>
          <w:sz w:val="22"/>
          <w:szCs w:val="22"/>
        </w:rPr>
        <w:t xml:space="preserve"> </w:t>
      </w:r>
      <w:r w:rsidRPr="00E506E6">
        <w:rPr>
          <w:rFonts w:ascii="Palatino Linotype" w:eastAsia="Palatino Linotype" w:hAnsi="Palatino Linotype" w:cs="Palatino Linotype"/>
          <w:b/>
          <w:bCs/>
          <w:i/>
          <w:iCs/>
          <w:sz w:val="22"/>
          <w:szCs w:val="22"/>
        </w:rPr>
        <w:t>reserva o confidencialidad</w:t>
      </w:r>
      <w:r w:rsidRPr="00E506E6">
        <w:rPr>
          <w:rFonts w:ascii="Palatino Linotype" w:eastAsia="Palatino Linotype" w:hAnsi="Palatino Linotype" w:cs="Palatino Linotype"/>
          <w:i/>
          <w:iCs/>
          <w:sz w:val="22"/>
          <w:szCs w:val="22"/>
        </w:rPr>
        <w:t>, a través de la resolución que para tal efecto emita el Comité de Transparencia.</w:t>
      </w:r>
    </w:p>
    <w:p w:rsidR="00E06426" w:rsidRPr="00E506E6" w:rsidRDefault="004679EF">
      <w:pPr>
        <w:tabs>
          <w:tab w:val="left" w:pos="8222"/>
        </w:tabs>
        <w:spacing w:after="200" w:line="276" w:lineRule="auto"/>
        <w:ind w:left="851" w:right="616"/>
        <w:jc w:val="both"/>
        <w:rPr>
          <w:rFonts w:ascii="Palatino Linotype" w:eastAsia="Palatino Linotype" w:hAnsi="Palatino Linotype" w:cs="Palatino Linotype"/>
          <w:b/>
          <w:bCs/>
          <w:i/>
          <w:iCs/>
          <w:sz w:val="22"/>
          <w:szCs w:val="22"/>
        </w:rPr>
      </w:pPr>
      <w:r w:rsidRPr="00E506E6">
        <w:rPr>
          <w:rFonts w:ascii="Palatino Linotype" w:eastAsia="Palatino Linotype" w:hAnsi="Palatino Linotype" w:cs="Palatino Linotype"/>
          <w:b/>
          <w:bCs/>
          <w:i/>
          <w:iCs/>
          <w:sz w:val="22"/>
          <w:szCs w:val="22"/>
        </w:rPr>
        <w:t>...</w:t>
      </w:r>
    </w:p>
    <w:p w:rsidR="00E06426" w:rsidRPr="00E506E6" w:rsidRDefault="004679E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Cuarto.</w:t>
      </w:r>
      <w:r w:rsidRPr="00E506E6">
        <w:rPr>
          <w:rFonts w:ascii="Palatino Linotype" w:eastAsia="Palatino Linotype" w:hAnsi="Palatino Linotype" w:cs="Palatino Linotype"/>
          <w:i/>
          <w:iCs/>
          <w:sz w:val="22"/>
          <w:szCs w:val="22"/>
        </w:rPr>
        <w:t xml:space="preserve"> </w:t>
      </w:r>
      <w:r w:rsidRPr="00E506E6">
        <w:rPr>
          <w:rFonts w:ascii="Palatino Linotype" w:eastAsia="Palatino Linotype" w:hAnsi="Palatino Linotype" w:cs="Palatino Linotype"/>
          <w:b/>
          <w:bCs/>
          <w:i/>
          <w:iCs/>
          <w:sz w:val="22"/>
          <w:szCs w:val="22"/>
        </w:rPr>
        <w:t>Para clasificar la información como</w:t>
      </w:r>
      <w:r w:rsidRPr="00E506E6">
        <w:rPr>
          <w:rFonts w:ascii="Palatino Linotype" w:eastAsia="Palatino Linotype" w:hAnsi="Palatino Linotype" w:cs="Palatino Linotype"/>
          <w:i/>
          <w:iCs/>
          <w:sz w:val="22"/>
          <w:szCs w:val="22"/>
        </w:rPr>
        <w:t xml:space="preserve"> </w:t>
      </w:r>
      <w:r w:rsidRPr="00E506E6">
        <w:rPr>
          <w:rFonts w:ascii="Palatino Linotype" w:eastAsia="Palatino Linotype" w:hAnsi="Palatino Linotype" w:cs="Palatino Linotype"/>
          <w:b/>
          <w:bCs/>
          <w:i/>
          <w:iCs/>
          <w:sz w:val="22"/>
          <w:szCs w:val="22"/>
        </w:rPr>
        <w:t>reservada o</w:t>
      </w:r>
      <w:r w:rsidRPr="00E506E6">
        <w:rPr>
          <w:rFonts w:ascii="Palatino Linotype" w:eastAsia="Palatino Linotype" w:hAnsi="Palatino Linotype" w:cs="Palatino Linotype"/>
          <w:i/>
          <w:iCs/>
          <w:sz w:val="22"/>
          <w:szCs w:val="22"/>
        </w:rPr>
        <w:t xml:space="preserve"> </w:t>
      </w:r>
      <w:r w:rsidRPr="00E506E6">
        <w:rPr>
          <w:rFonts w:ascii="Palatino Linotype" w:eastAsia="Palatino Linotype" w:hAnsi="Palatino Linotype" w:cs="Palatino Linotype"/>
          <w:b/>
          <w:bCs/>
          <w:i/>
          <w:iCs/>
          <w:sz w:val="22"/>
          <w:szCs w:val="22"/>
        </w:rPr>
        <w:t>confidencial, de manera total o parcial, el titular del área del sujeto obligado deberá atender lo dispuesto por el Título Sexto de la Ley General</w:t>
      </w:r>
      <w:r w:rsidRPr="00E506E6">
        <w:rPr>
          <w:rFonts w:ascii="Palatino Linotype" w:eastAsia="Palatino Linotype" w:hAnsi="Palatino Linotype" w:cs="Palatino Linotype"/>
          <w:i/>
          <w:iCs/>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rsidR="00E06426" w:rsidRPr="00E506E6" w:rsidRDefault="004679E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Los sujetos obligados deberán aplicar, de manera estricta, las excepciones al derecho de acceso a la información y sólo podrán invocarlas cuando acrediten su procedencia.</w:t>
      </w:r>
    </w:p>
    <w:p w:rsidR="00E06426" w:rsidRPr="00E506E6" w:rsidRDefault="004679E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Quinto.</w:t>
      </w:r>
      <w:r w:rsidRPr="00E506E6">
        <w:rPr>
          <w:rFonts w:ascii="Palatino Linotype" w:eastAsia="Palatino Linotype" w:hAnsi="Palatino Linotype" w:cs="Palatino Linotype"/>
          <w:i/>
          <w:iCs/>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rsidR="00E06426" w:rsidRPr="00E506E6" w:rsidRDefault="004679E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Sexto.</w:t>
      </w:r>
      <w:r w:rsidRPr="00E506E6">
        <w:rPr>
          <w:rFonts w:ascii="Palatino Linotype" w:eastAsia="Palatino Linotype" w:hAnsi="Palatino Linotype" w:cs="Palatino Linotype"/>
          <w:i/>
          <w:iCs/>
          <w:sz w:val="22"/>
          <w:szCs w:val="22"/>
        </w:rPr>
        <w:t xml:space="preserve"> Se deroga.</w:t>
      </w:r>
    </w:p>
    <w:p w:rsidR="00E06426" w:rsidRPr="00E506E6" w:rsidRDefault="004679E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Séptimo.</w:t>
      </w:r>
      <w:r w:rsidRPr="00E506E6">
        <w:rPr>
          <w:rFonts w:ascii="Palatino Linotype" w:eastAsia="Palatino Linotype" w:hAnsi="Palatino Linotype" w:cs="Palatino Linotype"/>
          <w:i/>
          <w:iCs/>
          <w:sz w:val="22"/>
          <w:szCs w:val="22"/>
        </w:rPr>
        <w:t xml:space="preserve"> La clasificación de la información se llevará a cabo en el momento en que:</w:t>
      </w:r>
    </w:p>
    <w:p w:rsidR="00E06426" w:rsidRPr="00E506E6" w:rsidRDefault="004679E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w:t>
      </w:r>
      <w:r w:rsidRPr="00E506E6">
        <w:rPr>
          <w:rFonts w:ascii="Palatino Linotype" w:eastAsia="Palatino Linotype" w:hAnsi="Palatino Linotype" w:cs="Palatino Linotype"/>
          <w:i/>
          <w:iCs/>
          <w:sz w:val="22"/>
          <w:szCs w:val="22"/>
        </w:rPr>
        <w:t xml:space="preserve"> Se reciba una solicitud de acceso a la información;</w:t>
      </w:r>
    </w:p>
    <w:p w:rsidR="00E06426" w:rsidRPr="00E506E6" w:rsidRDefault="004679E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II.</w:t>
      </w:r>
      <w:r w:rsidRPr="00E506E6">
        <w:rPr>
          <w:rFonts w:ascii="Palatino Linotype" w:eastAsia="Palatino Linotype" w:hAnsi="Palatino Linotype" w:cs="Palatino Linotype"/>
          <w:i/>
          <w:iCs/>
          <w:sz w:val="22"/>
          <w:szCs w:val="22"/>
        </w:rPr>
        <w:t xml:space="preserve"> Se determine mediante resolución del Comité de Transparencia, el órgano garante competente, o en cumplimiento a una sentencia del Poder Judicial; o</w:t>
      </w:r>
    </w:p>
    <w:p w:rsidR="00E06426" w:rsidRPr="00E506E6" w:rsidRDefault="004679E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III.</w:t>
      </w:r>
      <w:r w:rsidRPr="00E506E6">
        <w:rPr>
          <w:rFonts w:ascii="Palatino Linotype" w:eastAsia="Palatino Linotype" w:hAnsi="Palatino Linotype" w:cs="Palatino Linotype"/>
          <w:i/>
          <w:iCs/>
          <w:sz w:val="22"/>
          <w:szCs w:val="22"/>
        </w:rPr>
        <w:t xml:space="preserve"> Se generen versiones públicas para dar cumplimiento a las obligaciones de transparencia previstas en la Ley General, la Ley Federal y las correspondientes de las entidades federativas.</w:t>
      </w:r>
    </w:p>
    <w:p w:rsidR="00E06426" w:rsidRPr="00E506E6" w:rsidRDefault="004679E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Los titulares de las áreas deberán revisar la clasificación al momento de la recepción de una solicitud de acceso, para verificar</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i/>
          <w:iCs/>
          <w:sz w:val="22"/>
          <w:szCs w:val="22"/>
        </w:rPr>
        <w:t>conforme a su naturaleza, si encuadra en una causal de reserva o de confidencialidad.</w:t>
      </w:r>
    </w:p>
    <w:p w:rsidR="00E06426" w:rsidRPr="00E506E6" w:rsidRDefault="004679E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Octavo.</w:t>
      </w:r>
      <w:r w:rsidRPr="00E506E6">
        <w:rPr>
          <w:rFonts w:ascii="Palatino Linotype" w:eastAsia="Palatino Linotype" w:hAnsi="Palatino Linotype" w:cs="Palatino Linotype"/>
          <w:i/>
          <w:iCs/>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rsidR="00E06426" w:rsidRPr="00E506E6" w:rsidRDefault="004679E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Para motivar la clasificación se deberán señalar las razones o circunstancias especiales que lo llevaron a concluir que el caso particular se ajusta al supuesto previsto por la norma legal invocada como fundamento.</w:t>
      </w:r>
    </w:p>
    <w:p w:rsidR="00E06426" w:rsidRPr="00E506E6" w:rsidRDefault="004679E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rsidR="00E06426" w:rsidRPr="00E506E6" w:rsidRDefault="004679E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Noveno.</w:t>
      </w:r>
      <w:r w:rsidRPr="00E506E6">
        <w:rPr>
          <w:rFonts w:ascii="Palatino Linotype" w:eastAsia="Palatino Linotype" w:hAnsi="Palatino Linotype" w:cs="Palatino Linotype"/>
          <w:i/>
          <w:iCs/>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rsidR="00E06426" w:rsidRPr="00E506E6" w:rsidRDefault="004679E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Décimo.</w:t>
      </w:r>
      <w:r w:rsidRPr="00E506E6">
        <w:rPr>
          <w:rFonts w:ascii="Palatino Linotype" w:eastAsia="Palatino Linotype" w:hAnsi="Palatino Linotype" w:cs="Palatino Linotype"/>
          <w:i/>
          <w:iCs/>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rsidR="00E06426" w:rsidRPr="00E506E6" w:rsidRDefault="004679E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En ausencia de los titulares de las áreas, la información será clasificada o desclasificada por la persona que lo supla, en términos de la normativa que rija la actuación del sujeto obligado.</w:t>
      </w:r>
    </w:p>
    <w:p w:rsidR="00E06426" w:rsidRPr="00E506E6" w:rsidRDefault="004679E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Décimo primero.</w:t>
      </w:r>
      <w:r w:rsidRPr="00E506E6">
        <w:rPr>
          <w:rFonts w:ascii="Palatino Linotype" w:eastAsia="Palatino Linotype" w:hAnsi="Palatino Linotype" w:cs="Palatino Linotype"/>
          <w:i/>
          <w:iCs/>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rsidR="00E06426" w:rsidRPr="00E506E6" w:rsidRDefault="004679EF">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E506E6">
        <w:rPr>
          <w:rFonts w:ascii="Palatino Linotype" w:eastAsia="Palatino Linotype" w:hAnsi="Palatino Linotype" w:cs="Palatino Linotype"/>
          <w:b/>
          <w:bCs/>
          <w:sz w:val="22"/>
          <w:szCs w:val="22"/>
        </w:rPr>
        <w:t>Sujeto Obligado</w:t>
      </w:r>
      <w:r w:rsidRPr="00E506E6">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vigentes a la fecha de la solicitud, señalan lo siguiente:</w:t>
      </w:r>
    </w:p>
    <w:p w:rsidR="00E06426" w:rsidRPr="00E506E6" w:rsidRDefault="004679EF">
      <w:pPr>
        <w:spacing w:after="200" w:line="276" w:lineRule="auto"/>
        <w:ind w:left="851" w:right="90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 xml:space="preserve">“Quincuagésimo. </w:t>
      </w:r>
      <w:r w:rsidRPr="00E506E6">
        <w:rPr>
          <w:rFonts w:ascii="Palatino Linotype" w:eastAsia="Palatino Linotype" w:hAnsi="Palatino Linotype" w:cs="Palatino Linotype"/>
          <w:i/>
          <w:iCs/>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rsidR="00E06426" w:rsidRPr="00E506E6" w:rsidRDefault="004679EF">
      <w:pPr>
        <w:pBdr>
          <w:top w:val="nil"/>
          <w:left w:val="nil"/>
          <w:bottom w:val="nil"/>
          <w:right w:val="nil"/>
          <w:between w:val="nil"/>
        </w:pBdr>
        <w:spacing w:after="200" w:line="276" w:lineRule="auto"/>
        <w:ind w:left="851" w:right="90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 xml:space="preserve">Quincuagésimo primero. </w:t>
      </w:r>
      <w:r w:rsidRPr="00E506E6">
        <w:rPr>
          <w:rFonts w:ascii="Palatino Linotype" w:eastAsia="Palatino Linotype" w:hAnsi="Palatino Linotype" w:cs="Palatino Linotype"/>
          <w:i/>
          <w:iCs/>
          <w:sz w:val="22"/>
          <w:szCs w:val="22"/>
        </w:rPr>
        <w:t xml:space="preserve">Toda acta del Comité de Transparencia deberá contener: </w:t>
      </w:r>
    </w:p>
    <w:p w:rsidR="00E06426" w:rsidRPr="00E506E6" w:rsidRDefault="004679EF">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w:t>
      </w:r>
      <w:r w:rsidRPr="00E506E6">
        <w:rPr>
          <w:rFonts w:ascii="Palatino Linotype" w:eastAsia="Palatino Linotype" w:hAnsi="Palatino Linotype" w:cs="Palatino Linotype"/>
          <w:i/>
          <w:iCs/>
          <w:sz w:val="22"/>
          <w:szCs w:val="22"/>
        </w:rPr>
        <w:t xml:space="preserve"> El número de sesión y fecha; </w:t>
      </w:r>
    </w:p>
    <w:p w:rsidR="00E06426" w:rsidRPr="00E506E6" w:rsidRDefault="004679EF">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II</w:t>
      </w:r>
      <w:r w:rsidRPr="00E506E6">
        <w:rPr>
          <w:rFonts w:ascii="Palatino Linotype" w:eastAsia="Palatino Linotype" w:hAnsi="Palatino Linotype" w:cs="Palatino Linotype"/>
          <w:i/>
          <w:iCs/>
          <w:sz w:val="22"/>
          <w:szCs w:val="22"/>
        </w:rPr>
        <w:t xml:space="preserve">. El nombre del área que solicitó la clasificación de información; </w:t>
      </w:r>
    </w:p>
    <w:p w:rsidR="00E06426" w:rsidRPr="00E506E6" w:rsidRDefault="004679EF">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III</w:t>
      </w:r>
      <w:r w:rsidRPr="00E506E6">
        <w:rPr>
          <w:rFonts w:ascii="Palatino Linotype" w:eastAsia="Palatino Linotype" w:hAnsi="Palatino Linotype" w:cs="Palatino Linotype"/>
          <w:i/>
          <w:iCs/>
          <w:sz w:val="22"/>
          <w:szCs w:val="22"/>
        </w:rPr>
        <w:t xml:space="preserve">. La fundamentación legal y motivación correspondiente; </w:t>
      </w:r>
    </w:p>
    <w:p w:rsidR="00E06426" w:rsidRPr="00E506E6" w:rsidRDefault="004679EF">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IV</w:t>
      </w:r>
      <w:r w:rsidRPr="00E506E6">
        <w:rPr>
          <w:rFonts w:ascii="Palatino Linotype" w:eastAsia="Palatino Linotype" w:hAnsi="Palatino Linotype" w:cs="Palatino Linotype"/>
          <w:i/>
          <w:iCs/>
          <w:sz w:val="22"/>
          <w:szCs w:val="22"/>
        </w:rPr>
        <w:t xml:space="preserve">. La resolución o resoluciones aprobadas; y </w:t>
      </w:r>
    </w:p>
    <w:p w:rsidR="00E06426" w:rsidRPr="00E506E6" w:rsidRDefault="004679EF">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V</w:t>
      </w:r>
      <w:r w:rsidRPr="00E506E6">
        <w:rPr>
          <w:rFonts w:ascii="Palatino Linotype" w:eastAsia="Palatino Linotype" w:hAnsi="Palatino Linotype" w:cs="Palatino Linotype"/>
          <w:i/>
          <w:iCs/>
          <w:sz w:val="22"/>
          <w:szCs w:val="22"/>
        </w:rPr>
        <w:t xml:space="preserve">. La rúbrica o firma digital de cada integrante del Comité de Transparencia. </w:t>
      </w:r>
    </w:p>
    <w:p w:rsidR="00E06426" w:rsidRPr="00E506E6" w:rsidRDefault="004679EF">
      <w:pPr>
        <w:pBdr>
          <w:top w:val="nil"/>
          <w:left w:val="nil"/>
          <w:bottom w:val="nil"/>
          <w:right w:val="nil"/>
          <w:between w:val="nil"/>
        </w:pBdr>
        <w:spacing w:after="200" w:line="276" w:lineRule="auto"/>
        <w:ind w:left="851" w:right="90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 xml:space="preserve">Las resoluciones del Comité en las que se haya determinado confirmar o modificar la clasificación de información pública como reservada, deberán incluir, cuando menos: </w:t>
      </w:r>
    </w:p>
    <w:p w:rsidR="00E06426" w:rsidRPr="00E506E6" w:rsidRDefault="004679EF">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w:t>
      </w:r>
      <w:r w:rsidRPr="00E506E6">
        <w:rPr>
          <w:rFonts w:ascii="Palatino Linotype" w:eastAsia="Palatino Linotype" w:hAnsi="Palatino Linotype" w:cs="Palatino Linotype"/>
          <w:i/>
          <w:iCs/>
          <w:sz w:val="22"/>
          <w:szCs w:val="22"/>
        </w:rPr>
        <w:t xml:space="preserve"> Los motivos y razonamientos que sustenten la confirmación o modificación de la prueba de daño;</w:t>
      </w:r>
    </w:p>
    <w:p w:rsidR="00E06426" w:rsidRPr="00E506E6" w:rsidRDefault="004679EF">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b/>
          <w:bCs/>
          <w:i/>
          <w:iCs/>
          <w:sz w:val="22"/>
          <w:szCs w:val="22"/>
        </w:rPr>
      </w:pPr>
      <w:r w:rsidRPr="00E506E6">
        <w:rPr>
          <w:rFonts w:ascii="Palatino Linotype" w:eastAsia="Palatino Linotype" w:hAnsi="Palatino Linotype" w:cs="Palatino Linotype"/>
          <w:b/>
          <w:bCs/>
          <w:i/>
          <w:iCs/>
          <w:sz w:val="22"/>
          <w:szCs w:val="22"/>
        </w:rPr>
        <w:t>II</w:t>
      </w:r>
      <w:r w:rsidRPr="00E506E6">
        <w:rPr>
          <w:rFonts w:ascii="Palatino Linotype" w:eastAsia="Palatino Linotype" w:hAnsi="Palatino Linotype" w:cs="Palatino Linotype"/>
          <w:i/>
          <w:iCs/>
          <w:sz w:val="22"/>
          <w:szCs w:val="22"/>
        </w:rPr>
        <w:t>. Descripción de las partes o secciones reservadas, en caso de clasificación parcial</w:t>
      </w:r>
      <w:r w:rsidRPr="00E506E6">
        <w:rPr>
          <w:rFonts w:ascii="Palatino Linotype" w:eastAsia="Palatino Linotype" w:hAnsi="Palatino Linotype" w:cs="Palatino Linotype"/>
          <w:b/>
          <w:bCs/>
          <w:i/>
          <w:iCs/>
          <w:sz w:val="22"/>
          <w:szCs w:val="22"/>
        </w:rPr>
        <w:t xml:space="preserve">; </w:t>
      </w:r>
    </w:p>
    <w:p w:rsidR="00E06426" w:rsidRPr="00E506E6" w:rsidRDefault="004679EF">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III.</w:t>
      </w:r>
      <w:r w:rsidRPr="00E506E6">
        <w:rPr>
          <w:rFonts w:ascii="Palatino Linotype" w:eastAsia="Palatino Linotype" w:hAnsi="Palatino Linotype" w:cs="Palatino Linotype"/>
          <w:i/>
          <w:iCs/>
          <w:sz w:val="22"/>
          <w:szCs w:val="22"/>
        </w:rPr>
        <w:t xml:space="preserve"> El periodo por el que mantendrá su clasificación y fecha de expiración; y </w:t>
      </w:r>
    </w:p>
    <w:p w:rsidR="00E06426" w:rsidRPr="00E506E6" w:rsidRDefault="004679EF">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IV.</w:t>
      </w:r>
      <w:r w:rsidRPr="00E506E6">
        <w:rPr>
          <w:rFonts w:ascii="Palatino Linotype" w:eastAsia="Palatino Linotype" w:hAnsi="Palatino Linotype" w:cs="Palatino Linotype"/>
          <w:i/>
          <w:iCs/>
          <w:sz w:val="22"/>
          <w:szCs w:val="22"/>
        </w:rPr>
        <w:t xml:space="preserve"> El nombre del titular y área encargada de realizar la versión pública del documento, en su caso. </w:t>
      </w:r>
    </w:p>
    <w:p w:rsidR="00E06426" w:rsidRPr="00E506E6" w:rsidRDefault="004679EF">
      <w:pPr>
        <w:pBdr>
          <w:top w:val="nil"/>
          <w:left w:val="nil"/>
          <w:bottom w:val="nil"/>
          <w:right w:val="nil"/>
          <w:between w:val="nil"/>
        </w:pBdr>
        <w:spacing w:after="200" w:line="276" w:lineRule="auto"/>
        <w:ind w:left="851" w:right="90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 xml:space="preserve">En los casos en que se clasifique la información como reservada siempre se entregará o anexará la prueba de daño con la respuesta al solicitante. </w:t>
      </w:r>
    </w:p>
    <w:p w:rsidR="00E06426" w:rsidRPr="00E506E6" w:rsidRDefault="004679EF">
      <w:pPr>
        <w:pBdr>
          <w:top w:val="nil"/>
          <w:left w:val="nil"/>
          <w:bottom w:val="nil"/>
          <w:right w:val="nil"/>
          <w:between w:val="nil"/>
        </w:pBdr>
        <w:spacing w:after="200" w:line="276" w:lineRule="auto"/>
        <w:ind w:left="851" w:right="902"/>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rsidR="00E06426" w:rsidRPr="00E506E6" w:rsidRDefault="004679EF">
      <w:pPr>
        <w:spacing w:before="240" w:after="240"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vigentes a la fecha de la solicitud, que establecen lo siguiente:</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r w:rsidRPr="00E506E6">
        <w:rPr>
          <w:rFonts w:ascii="Palatino Linotype" w:eastAsia="Palatino Linotype" w:hAnsi="Palatino Linotype" w:cs="Palatino Linotype"/>
          <w:b/>
          <w:bCs/>
          <w:i/>
          <w:iCs/>
          <w:sz w:val="22"/>
          <w:szCs w:val="22"/>
        </w:rPr>
        <w:t>Quincuagésimo segundo</w:t>
      </w:r>
      <w:r w:rsidRPr="00E506E6">
        <w:rPr>
          <w:rFonts w:ascii="Palatino Linotype" w:eastAsia="Palatino Linotype" w:hAnsi="Palatino Linotype" w:cs="Palatino Linotype"/>
          <w:i/>
          <w:iCs/>
          <w:sz w:val="22"/>
          <w:szCs w:val="22"/>
        </w:rPr>
        <w:t xml:space="preserve">.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w:t>
      </w:r>
      <w:proofErr w:type="spellStart"/>
      <w:r w:rsidRPr="00E506E6">
        <w:rPr>
          <w:rFonts w:ascii="Palatino Linotype" w:eastAsia="Palatino Linotype" w:hAnsi="Palatino Linotype" w:cs="Palatino Linotype"/>
          <w:i/>
          <w:iCs/>
          <w:sz w:val="22"/>
          <w:szCs w:val="22"/>
        </w:rPr>
        <w:t>sobreposición</w:t>
      </w:r>
      <w:proofErr w:type="spellEnd"/>
      <w:r w:rsidRPr="00E506E6">
        <w:rPr>
          <w:rFonts w:ascii="Palatino Linotype" w:eastAsia="Palatino Linotype" w:hAnsi="Palatino Linotype" w:cs="Palatino Linotype"/>
          <w:i/>
          <w:iCs/>
          <w:sz w:val="22"/>
          <w:szCs w:val="22"/>
        </w:rPr>
        <w:t xml:space="preserve"> de contenido distinto al autorizado por el Comité.</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 xml:space="preserve">En el caso específico de la clasificación y elaboración de versiones públicas de documentos que contengan información confidencial, las áreas de los sujetos obligados deberán: </w:t>
      </w:r>
    </w:p>
    <w:p w:rsidR="00E06426" w:rsidRPr="00E506E6" w:rsidRDefault="004679EF">
      <w:pPr>
        <w:spacing w:after="200" w:line="276" w:lineRule="auto"/>
        <w:ind w:left="1134"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w:t>
      </w:r>
      <w:r w:rsidRPr="00E506E6">
        <w:rPr>
          <w:rFonts w:ascii="Palatino Linotype" w:eastAsia="Palatino Linotype" w:hAnsi="Palatino Linotype" w:cs="Palatino Linotype"/>
          <w:i/>
          <w:iCs/>
          <w:sz w:val="22"/>
          <w:szCs w:val="22"/>
        </w:rPr>
        <w:t xml:space="preserve"> Fijar la fecha en que se elaboró la versión pública y la fecha en la cual el Comité de Transparencia confirmó dicha versión;</w:t>
      </w:r>
    </w:p>
    <w:p w:rsidR="00E06426" w:rsidRPr="00E506E6" w:rsidRDefault="004679EF">
      <w:pPr>
        <w:spacing w:after="200" w:line="276" w:lineRule="auto"/>
        <w:ind w:left="1134"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II.</w:t>
      </w:r>
      <w:r w:rsidRPr="00E506E6">
        <w:rPr>
          <w:rFonts w:ascii="Palatino Linotype" w:eastAsia="Palatino Linotype" w:hAnsi="Palatino Linotype" w:cs="Palatino Linotype"/>
          <w:i/>
          <w:iCs/>
          <w:sz w:val="22"/>
          <w:szCs w:val="22"/>
        </w:rPr>
        <w:t xml:space="preserve"> Señalar dentro del documento el tipo de información confidencial que fue testada en cada caso específico, de conformidad con el lineamiento trigésimo octavo; y</w:t>
      </w:r>
    </w:p>
    <w:p w:rsidR="00E06426" w:rsidRPr="00E506E6" w:rsidRDefault="004679EF">
      <w:pPr>
        <w:spacing w:after="200" w:line="276" w:lineRule="auto"/>
        <w:ind w:left="1134"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III.</w:t>
      </w:r>
      <w:r w:rsidRPr="00E506E6">
        <w:rPr>
          <w:rFonts w:ascii="Palatino Linotype" w:eastAsia="Palatino Linotype" w:hAnsi="Palatino Linotype" w:cs="Palatino Linotype"/>
          <w:i/>
          <w:iCs/>
          <w:sz w:val="22"/>
          <w:szCs w:val="22"/>
        </w:rPr>
        <w:t xml:space="preserve"> Señalar las personas o instancias autorizadas a acceder a la información clasificada.</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En los documentos de difusión electrónica, señalar en la primera hoja y en el nombre del archivo, que la versión pública corresponde a un documento que contiene información confidencial.”</w:t>
      </w:r>
    </w:p>
    <w:p w:rsidR="00E06426" w:rsidRPr="00E506E6" w:rsidRDefault="004679EF">
      <w:pPr>
        <w:pBdr>
          <w:top w:val="nil"/>
          <w:left w:val="nil"/>
          <w:bottom w:val="nil"/>
          <w:right w:val="nil"/>
          <w:between w:val="nil"/>
        </w:pBd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w:t>
      </w:r>
    </w:p>
    <w:p w:rsidR="00E06426" w:rsidRPr="00E506E6" w:rsidRDefault="004679EF">
      <w:pPr>
        <w:pBdr>
          <w:top w:val="nil"/>
          <w:left w:val="nil"/>
          <w:bottom w:val="nil"/>
          <w:right w:val="nil"/>
          <w:between w:val="nil"/>
        </w:pBdr>
        <w:spacing w:after="200" w:line="276" w:lineRule="auto"/>
        <w:ind w:left="851" w:right="616"/>
        <w:jc w:val="both"/>
        <w:rPr>
          <w:rFonts w:ascii="Palatino Linotype" w:eastAsia="Palatino Linotype" w:hAnsi="Palatino Linotype" w:cs="Palatino Linotype"/>
          <w:b/>
          <w:bCs/>
          <w:i/>
          <w:iCs/>
          <w:sz w:val="22"/>
          <w:szCs w:val="22"/>
        </w:rPr>
      </w:pPr>
      <w:r w:rsidRPr="00E506E6">
        <w:rPr>
          <w:rFonts w:ascii="Palatino Linotype" w:eastAsia="Palatino Linotype" w:hAnsi="Palatino Linotype" w:cs="Palatino Linotype"/>
          <w:b/>
          <w:bCs/>
          <w:i/>
          <w:iCs/>
          <w:sz w:val="22"/>
          <w:szCs w:val="22"/>
        </w:rPr>
        <w:t xml:space="preserve">Quincuagésimo cuarto. </w:t>
      </w:r>
      <w:r w:rsidRPr="00E506E6">
        <w:rPr>
          <w:rFonts w:ascii="Palatino Linotype" w:eastAsia="Palatino Linotype" w:hAnsi="Palatino Linotype" w:cs="Palatino Linotype"/>
          <w:i/>
          <w:iCs/>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E506E6">
        <w:rPr>
          <w:rFonts w:ascii="Palatino Linotype" w:eastAsia="Palatino Linotype" w:hAnsi="Palatino Linotype" w:cs="Palatino Linotype"/>
          <w:b/>
          <w:bCs/>
          <w:i/>
          <w:iCs/>
          <w:sz w:val="22"/>
          <w:szCs w:val="22"/>
        </w:rPr>
        <w:t xml:space="preserve"> </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 xml:space="preserve">Quincuagésimo quinto. </w:t>
      </w:r>
      <w:r w:rsidRPr="00E506E6">
        <w:rPr>
          <w:rFonts w:ascii="Palatino Linotype" w:eastAsia="Palatino Linotype" w:hAnsi="Palatino Linotype" w:cs="Palatino Linotype"/>
          <w:i/>
          <w:iCs/>
          <w:sz w:val="22"/>
          <w:szCs w:val="22"/>
        </w:rPr>
        <w:t xml:space="preserve">Cada área del sujeto obligado podrá designar formalmente a una o más personas como responsables del </w:t>
      </w:r>
      <w:proofErr w:type="spellStart"/>
      <w:r w:rsidRPr="00E506E6">
        <w:rPr>
          <w:rFonts w:ascii="Palatino Linotype" w:eastAsia="Palatino Linotype" w:hAnsi="Palatino Linotype" w:cs="Palatino Linotype"/>
          <w:i/>
          <w:iCs/>
          <w:sz w:val="22"/>
          <w:szCs w:val="22"/>
        </w:rPr>
        <w:t>testado</w:t>
      </w:r>
      <w:proofErr w:type="spellEnd"/>
      <w:r w:rsidRPr="00E506E6">
        <w:rPr>
          <w:rFonts w:ascii="Palatino Linotype" w:eastAsia="Palatino Linotype" w:hAnsi="Palatino Linotype" w:cs="Palatino Linotype"/>
          <w:i/>
          <w:iCs/>
          <w:sz w:val="22"/>
          <w:szCs w:val="22"/>
        </w:rPr>
        <w:t>,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rsidR="00E06426" w:rsidRPr="00E506E6" w:rsidRDefault="004679EF">
      <w:pPr>
        <w:spacing w:after="200" w:line="276" w:lineRule="auto"/>
        <w:ind w:left="851" w:right="616"/>
        <w:jc w:val="both"/>
        <w:rPr>
          <w:rFonts w:ascii="Palatino Linotype" w:eastAsia="Palatino Linotype" w:hAnsi="Palatino Linotype" w:cs="Palatino Linotype"/>
          <w:b/>
          <w:bCs/>
          <w:i/>
          <w:iCs/>
          <w:sz w:val="22"/>
          <w:szCs w:val="22"/>
        </w:rPr>
      </w:pPr>
      <w:r w:rsidRPr="00E506E6">
        <w:rPr>
          <w:rFonts w:ascii="Palatino Linotype" w:eastAsia="Palatino Linotype" w:hAnsi="Palatino Linotype" w:cs="Palatino Linotype"/>
          <w:b/>
          <w:bCs/>
          <w:i/>
          <w:iCs/>
          <w:sz w:val="22"/>
          <w:szCs w:val="22"/>
        </w:rPr>
        <w:t>...</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Quincuagésimo séptimo</w:t>
      </w:r>
      <w:r w:rsidRPr="00E506E6">
        <w:rPr>
          <w:rFonts w:ascii="Palatino Linotype" w:eastAsia="Palatino Linotype" w:hAnsi="Palatino Linotype" w:cs="Palatino Linotype"/>
          <w:i/>
          <w:iCs/>
          <w:sz w:val="22"/>
          <w:szCs w:val="22"/>
        </w:rPr>
        <w:t xml:space="preserve">. Se considera, en principio, como información pública y no podrá omitirse de las versiones públicas la siguiente: </w:t>
      </w:r>
    </w:p>
    <w:p w:rsidR="00E06426" w:rsidRPr="00E506E6" w:rsidRDefault="004679EF">
      <w:pPr>
        <w:spacing w:after="200" w:line="276" w:lineRule="auto"/>
        <w:ind w:left="1134"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w:t>
      </w:r>
      <w:r w:rsidRPr="00E506E6">
        <w:rPr>
          <w:rFonts w:ascii="Palatino Linotype" w:eastAsia="Palatino Linotype" w:hAnsi="Palatino Linotype" w:cs="Palatino Linotype"/>
          <w:i/>
          <w:iCs/>
          <w:sz w:val="22"/>
          <w:szCs w:val="22"/>
        </w:rPr>
        <w:t xml:space="preserve">. La relativa a las Obligaciones de Transparencia que contempla el Título V de la Ley General y las demás disposiciones legales aplicables; </w:t>
      </w:r>
    </w:p>
    <w:p w:rsidR="00E06426" w:rsidRPr="00E506E6" w:rsidRDefault="004679EF">
      <w:pPr>
        <w:spacing w:after="200" w:line="276" w:lineRule="auto"/>
        <w:ind w:left="1134"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II.</w:t>
      </w:r>
      <w:r w:rsidRPr="00E506E6">
        <w:rPr>
          <w:rFonts w:ascii="Palatino Linotype" w:eastAsia="Palatino Linotype" w:hAnsi="Palatino Linotype" w:cs="Palatino Linotype"/>
          <w:i/>
          <w:iCs/>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rsidR="00E06426" w:rsidRPr="00E506E6" w:rsidRDefault="004679EF">
      <w:pPr>
        <w:spacing w:after="200" w:line="276" w:lineRule="auto"/>
        <w:ind w:left="1134"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III</w:t>
      </w:r>
      <w:r w:rsidRPr="00E506E6">
        <w:rPr>
          <w:rFonts w:ascii="Palatino Linotype" w:eastAsia="Palatino Linotype" w:hAnsi="Palatino Linotype" w:cs="Palatino Linotype"/>
          <w:i/>
          <w:iCs/>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 xml:space="preserve">Lo anterior, siempre y cuando no se acredite alguna causal de clasificación, prevista en las leyes o en los tratados internacionales suscritas por el Estado mexicano.  </w:t>
      </w:r>
    </w:p>
    <w:p w:rsidR="00E06426" w:rsidRPr="00E506E6" w:rsidRDefault="004679EF">
      <w:pPr>
        <w:spacing w:after="200" w:line="276" w:lineRule="auto"/>
        <w:ind w:left="851" w:right="616"/>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b/>
          <w:bCs/>
          <w:i/>
          <w:iCs/>
          <w:sz w:val="22"/>
          <w:szCs w:val="22"/>
        </w:rPr>
        <w:t>Quincuagésimo octavo</w:t>
      </w:r>
      <w:r w:rsidRPr="00E506E6">
        <w:rPr>
          <w:rFonts w:ascii="Palatino Linotype" w:eastAsia="Palatino Linotype" w:hAnsi="Palatino Linotype" w:cs="Palatino Linotype"/>
          <w:i/>
          <w:iCs/>
          <w:sz w:val="22"/>
          <w:szCs w:val="22"/>
        </w:rPr>
        <w:t>. Los sujetos obligados garantizarán que los sistemas o medios empleados para eliminar la información en las versiones públicas sean irreversibles, de tal forma que no permitan su recuperación o la visualización de la misma.”</w:t>
      </w:r>
    </w:p>
    <w:p w:rsidR="00E06426" w:rsidRPr="00E506E6" w:rsidRDefault="004679EF">
      <w:pPr>
        <w:shd w:val="clear" w:color="auto" w:fill="FFFFFF"/>
        <w:spacing w:line="360" w:lineRule="auto"/>
        <w:ind w:right="51"/>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Por lo tanto, la entrega de documentos en su versión pública debe acompañarse necesariamente del Acuerdo del Comité de Transparencia que la sustente, en el que se expongan los fundamentos y razonamientos que llevaron al </w:t>
      </w:r>
      <w:r w:rsidRPr="00E506E6">
        <w:rPr>
          <w:rFonts w:ascii="Palatino Linotype" w:eastAsia="Palatino Linotype" w:hAnsi="Palatino Linotype" w:cs="Palatino Linotype"/>
          <w:b/>
          <w:bCs/>
          <w:sz w:val="22"/>
          <w:szCs w:val="22"/>
        </w:rPr>
        <w:t>Sujeto Obligado</w:t>
      </w:r>
      <w:r w:rsidRPr="00E506E6">
        <w:rPr>
          <w:rFonts w:ascii="Palatino Linotype" w:eastAsia="Palatino Linotype" w:hAnsi="Palatino Linotype" w:cs="Palatino Linotype"/>
          <w:sz w:val="22"/>
          <w:szCs w:val="22"/>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E506E6">
        <w:rPr>
          <w:rFonts w:ascii="Palatino Linotype" w:eastAsia="Palatino Linotype" w:hAnsi="Palatino Linotype" w:cs="Palatino Linotype"/>
          <w:b/>
          <w:bCs/>
          <w:sz w:val="22"/>
          <w:szCs w:val="22"/>
        </w:rPr>
        <w:t>Recurrente</w:t>
      </w:r>
      <w:r w:rsidRPr="00E506E6">
        <w:rPr>
          <w:rFonts w:ascii="Palatino Linotype" w:eastAsia="Palatino Linotype" w:hAnsi="Palatino Linotype" w:cs="Palatino Linotype"/>
          <w:sz w:val="22"/>
          <w:szCs w:val="22"/>
        </w:rPr>
        <w:t>.</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rsidR="00E06426" w:rsidRPr="00E506E6" w:rsidRDefault="00E06426">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sz w:val="22"/>
          <w:szCs w:val="22"/>
        </w:rPr>
      </w:pPr>
    </w:p>
    <w:p w:rsidR="00E06426" w:rsidRPr="00E506E6" w:rsidRDefault="004679EF">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bookmarkStart w:id="13" w:name="_heading=h.ijv98pntcd5s" w:colFirst="0" w:colLast="0"/>
      <w:bookmarkEnd w:id="13"/>
      <w:r w:rsidRPr="00E506E6">
        <w:rPr>
          <w:rFonts w:ascii="Palatino Linotype" w:eastAsia="Palatino Linotype" w:hAnsi="Palatino Linotype" w:cs="Palatino Linotype"/>
          <w:b/>
          <w:bCs/>
          <w:sz w:val="22"/>
          <w:szCs w:val="22"/>
        </w:rPr>
        <w:t>III. R E S U E L V E</w:t>
      </w:r>
    </w:p>
    <w:p w:rsidR="00E06426" w:rsidRPr="00E506E6" w:rsidRDefault="00E06426">
      <w:pPr>
        <w:spacing w:line="360" w:lineRule="auto"/>
        <w:jc w:val="both"/>
        <w:rPr>
          <w:rFonts w:ascii="Palatino Linotype" w:eastAsia="Palatino Linotype" w:hAnsi="Palatino Linotype" w:cs="Palatino Linotype"/>
          <w:b/>
          <w:bCs/>
          <w:sz w:val="22"/>
          <w:szCs w:val="22"/>
        </w:rPr>
      </w:pPr>
      <w:bookmarkStart w:id="14" w:name="_heading=h.26in1rg" w:colFirst="0" w:colLast="0"/>
      <w:bookmarkEnd w:id="14"/>
    </w:p>
    <w:p w:rsidR="00E06426" w:rsidRPr="00E506E6" w:rsidRDefault="004679EF">
      <w:pPr>
        <w:spacing w:line="360" w:lineRule="auto"/>
        <w:jc w:val="both"/>
        <w:rPr>
          <w:rFonts w:ascii="Palatino Linotype" w:eastAsia="Palatino Linotype" w:hAnsi="Palatino Linotype" w:cs="Palatino Linotype"/>
          <w:b/>
          <w:bCs/>
          <w:sz w:val="22"/>
          <w:szCs w:val="22"/>
        </w:rPr>
      </w:pPr>
      <w:bookmarkStart w:id="15" w:name="_heading=h.h7nzb79wlra" w:colFirst="0" w:colLast="0"/>
      <w:bookmarkEnd w:id="15"/>
      <w:r w:rsidRPr="00E506E6">
        <w:rPr>
          <w:rFonts w:ascii="Palatino Linotype" w:eastAsia="Palatino Linotype" w:hAnsi="Palatino Linotype" w:cs="Palatino Linotype"/>
          <w:b/>
          <w:bCs/>
          <w:sz w:val="22"/>
          <w:szCs w:val="22"/>
        </w:rPr>
        <w:t xml:space="preserve">Primero. </w:t>
      </w:r>
      <w:r w:rsidRPr="00E506E6">
        <w:rPr>
          <w:rFonts w:ascii="Palatino Linotype" w:eastAsia="Palatino Linotype" w:hAnsi="Palatino Linotype" w:cs="Palatino Linotype"/>
          <w:sz w:val="22"/>
          <w:szCs w:val="22"/>
        </w:rPr>
        <w:t xml:space="preserve">Resultan </w:t>
      </w:r>
      <w:r w:rsidRPr="00E506E6">
        <w:rPr>
          <w:rFonts w:ascii="Palatino Linotype" w:eastAsia="Palatino Linotype" w:hAnsi="Palatino Linotype" w:cs="Palatino Linotype"/>
          <w:b/>
          <w:bCs/>
          <w:sz w:val="22"/>
          <w:szCs w:val="22"/>
        </w:rPr>
        <w:t>fundadas</w:t>
      </w:r>
      <w:r w:rsidRPr="00E506E6">
        <w:rPr>
          <w:rFonts w:ascii="Palatino Linotype" w:eastAsia="Palatino Linotype" w:hAnsi="Palatino Linotype" w:cs="Palatino Linotype"/>
          <w:sz w:val="22"/>
          <w:szCs w:val="22"/>
        </w:rPr>
        <w:t xml:space="preserve"> las razones o motivos de inconformidad hechos valer por la parte</w:t>
      </w:r>
      <w:r w:rsidRPr="00E506E6">
        <w:rPr>
          <w:rFonts w:ascii="Palatino Linotype" w:eastAsia="Palatino Linotype" w:hAnsi="Palatino Linotype" w:cs="Palatino Linotype"/>
          <w:b/>
          <w:bCs/>
          <w:sz w:val="22"/>
          <w:szCs w:val="22"/>
        </w:rPr>
        <w:t xml:space="preserve"> Recurrente</w:t>
      </w:r>
      <w:r w:rsidRPr="00E506E6">
        <w:rPr>
          <w:rFonts w:ascii="Palatino Linotype" w:eastAsia="Palatino Linotype" w:hAnsi="Palatino Linotype" w:cs="Palatino Linotype"/>
          <w:sz w:val="22"/>
          <w:szCs w:val="22"/>
        </w:rPr>
        <w:t xml:space="preserve"> en el recurso de revisión </w:t>
      </w:r>
      <w:r w:rsidRPr="00E506E6">
        <w:rPr>
          <w:rFonts w:ascii="Palatino Linotype" w:eastAsia="Palatino Linotype" w:hAnsi="Palatino Linotype" w:cs="Palatino Linotype"/>
          <w:b/>
          <w:bCs/>
          <w:sz w:val="22"/>
          <w:szCs w:val="22"/>
        </w:rPr>
        <w:t>08359/INFOEM/IP/RR/2025</w:t>
      </w:r>
      <w:r w:rsidRPr="00E506E6">
        <w:rPr>
          <w:rFonts w:ascii="Palatino Linotype" w:eastAsia="Palatino Linotype" w:hAnsi="Palatino Linotype" w:cs="Palatino Linotype"/>
          <w:sz w:val="22"/>
          <w:szCs w:val="22"/>
        </w:rPr>
        <w:t xml:space="preserve">; por lo que, en términos del </w:t>
      </w:r>
      <w:r w:rsidRPr="00E506E6">
        <w:rPr>
          <w:rFonts w:ascii="Palatino Linotype" w:eastAsia="Palatino Linotype" w:hAnsi="Palatino Linotype" w:cs="Palatino Linotype"/>
          <w:b/>
          <w:bCs/>
          <w:sz w:val="22"/>
          <w:szCs w:val="22"/>
        </w:rPr>
        <w:t>Considerando</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b/>
          <w:bCs/>
          <w:sz w:val="22"/>
          <w:szCs w:val="22"/>
        </w:rPr>
        <w:t xml:space="preserve">Cuarto </w:t>
      </w:r>
      <w:r w:rsidRPr="00E506E6">
        <w:rPr>
          <w:rFonts w:ascii="Palatino Linotype" w:eastAsia="Palatino Linotype" w:hAnsi="Palatino Linotype" w:cs="Palatino Linotype"/>
          <w:sz w:val="22"/>
          <w:szCs w:val="22"/>
        </w:rPr>
        <w:t xml:space="preserve">de esta resolución, se </w:t>
      </w:r>
      <w:r w:rsidRPr="00E506E6">
        <w:rPr>
          <w:rFonts w:ascii="Palatino Linotype" w:eastAsia="Palatino Linotype" w:hAnsi="Palatino Linotype" w:cs="Palatino Linotype"/>
          <w:b/>
          <w:bCs/>
          <w:sz w:val="22"/>
          <w:szCs w:val="22"/>
        </w:rPr>
        <w:t xml:space="preserve">Modifica </w:t>
      </w:r>
      <w:r w:rsidRPr="00E506E6">
        <w:rPr>
          <w:rFonts w:ascii="Palatino Linotype" w:eastAsia="Palatino Linotype" w:hAnsi="Palatino Linotype" w:cs="Palatino Linotype"/>
          <w:sz w:val="22"/>
          <w:szCs w:val="22"/>
        </w:rPr>
        <w:t xml:space="preserve">la respuesta emitida por el </w:t>
      </w:r>
      <w:r w:rsidRPr="00E506E6">
        <w:rPr>
          <w:rFonts w:ascii="Palatino Linotype" w:eastAsia="Palatino Linotype" w:hAnsi="Palatino Linotype" w:cs="Palatino Linotype"/>
          <w:b/>
          <w:bCs/>
          <w:sz w:val="22"/>
          <w:szCs w:val="22"/>
        </w:rPr>
        <w:t>Sujeto Obligado.</w:t>
      </w:r>
    </w:p>
    <w:p w:rsidR="00E06426" w:rsidRPr="00E506E6" w:rsidRDefault="00E06426">
      <w:pPr>
        <w:spacing w:line="360" w:lineRule="auto"/>
        <w:jc w:val="both"/>
        <w:rPr>
          <w:rFonts w:ascii="Palatino Linotype" w:eastAsia="Palatino Linotype" w:hAnsi="Palatino Linotype" w:cs="Palatino Linotype"/>
          <w:b/>
          <w:bCs/>
          <w:sz w:val="22"/>
          <w:szCs w:val="22"/>
        </w:rPr>
      </w:pPr>
    </w:p>
    <w:p w:rsidR="00E06426" w:rsidRPr="00E506E6" w:rsidRDefault="004679EF">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16" w:name="_heading=h.2et92p0" w:colFirst="0" w:colLast="0"/>
      <w:bookmarkEnd w:id="16"/>
      <w:r w:rsidRPr="00E506E6">
        <w:rPr>
          <w:rFonts w:ascii="Palatino Linotype" w:eastAsia="Palatino Linotype" w:hAnsi="Palatino Linotype" w:cs="Palatino Linotype"/>
          <w:b/>
          <w:bCs/>
          <w:sz w:val="22"/>
          <w:szCs w:val="22"/>
        </w:rPr>
        <w:t xml:space="preserve">Segundo. </w:t>
      </w:r>
      <w:r w:rsidRPr="00E506E6">
        <w:rPr>
          <w:rFonts w:ascii="Palatino Linotype" w:eastAsia="Palatino Linotype" w:hAnsi="Palatino Linotype" w:cs="Palatino Linotype"/>
          <w:sz w:val="22"/>
          <w:szCs w:val="22"/>
        </w:rPr>
        <w:t xml:space="preserve">Se </w:t>
      </w:r>
      <w:r w:rsidRPr="00E506E6">
        <w:rPr>
          <w:rFonts w:ascii="Palatino Linotype" w:eastAsia="Palatino Linotype" w:hAnsi="Palatino Linotype" w:cs="Palatino Linotype"/>
          <w:b/>
          <w:bCs/>
          <w:sz w:val="22"/>
          <w:szCs w:val="22"/>
        </w:rPr>
        <w:t>Ordena</w:t>
      </w:r>
      <w:r w:rsidRPr="00E506E6">
        <w:rPr>
          <w:rFonts w:ascii="Palatino Linotype" w:eastAsia="Palatino Linotype" w:hAnsi="Palatino Linotype" w:cs="Palatino Linotype"/>
          <w:sz w:val="22"/>
          <w:szCs w:val="22"/>
        </w:rPr>
        <w:t xml:space="preserve"> al </w:t>
      </w:r>
      <w:r w:rsidRPr="00E506E6">
        <w:rPr>
          <w:rFonts w:ascii="Palatino Linotype" w:eastAsia="Palatino Linotype" w:hAnsi="Palatino Linotype" w:cs="Palatino Linotype"/>
          <w:b/>
          <w:bCs/>
          <w:sz w:val="22"/>
          <w:szCs w:val="22"/>
        </w:rPr>
        <w:t>Sujeto Obligado</w:t>
      </w:r>
      <w:r w:rsidRPr="00E506E6">
        <w:rPr>
          <w:rFonts w:ascii="Palatino Linotype" w:eastAsia="Palatino Linotype" w:hAnsi="Palatino Linotype" w:cs="Palatino Linotype"/>
          <w:sz w:val="22"/>
          <w:szCs w:val="22"/>
        </w:rPr>
        <w:t xml:space="preserve">, en términos de los considerandos </w:t>
      </w:r>
      <w:r w:rsidRPr="00E506E6">
        <w:rPr>
          <w:rFonts w:ascii="Palatino Linotype" w:eastAsia="Palatino Linotype" w:hAnsi="Palatino Linotype" w:cs="Palatino Linotype"/>
          <w:b/>
          <w:bCs/>
          <w:sz w:val="22"/>
          <w:szCs w:val="22"/>
        </w:rPr>
        <w:t xml:space="preserve">Cuarto y Quinto </w:t>
      </w:r>
      <w:r w:rsidRPr="00E506E6">
        <w:rPr>
          <w:rFonts w:ascii="Palatino Linotype" w:eastAsia="Palatino Linotype" w:hAnsi="Palatino Linotype" w:cs="Palatino Linotype"/>
          <w:sz w:val="22"/>
          <w:szCs w:val="22"/>
        </w:rPr>
        <w:t xml:space="preserve">de esta resolución, </w:t>
      </w:r>
      <w:r w:rsidRPr="00E506E6">
        <w:rPr>
          <w:rFonts w:ascii="Palatino Linotype" w:eastAsia="Palatino Linotype" w:hAnsi="Palatino Linotype" w:cs="Palatino Linotype"/>
          <w:b/>
          <w:bCs/>
          <w:sz w:val="22"/>
          <w:szCs w:val="22"/>
        </w:rPr>
        <w:t xml:space="preserve">haga entrega vía Sistema de Acceso a la Información Mexiquense (SAIMEX), </w:t>
      </w:r>
      <w:r w:rsidRPr="00E506E6">
        <w:rPr>
          <w:rFonts w:ascii="Palatino Linotype" w:eastAsia="Palatino Linotype" w:hAnsi="Palatino Linotype" w:cs="Palatino Linotype"/>
          <w:sz w:val="22"/>
          <w:szCs w:val="22"/>
        </w:rPr>
        <w:t xml:space="preserve">previa búsqueda exhaustiva y razonable, de ser procedente en versión pública, </w:t>
      </w:r>
      <w:r w:rsidRPr="00E506E6">
        <w:rPr>
          <w:rFonts w:ascii="Palatino Linotype" w:eastAsia="Palatino Linotype" w:hAnsi="Palatino Linotype" w:cs="Palatino Linotype"/>
          <w:b/>
          <w:bCs/>
          <w:sz w:val="22"/>
          <w:szCs w:val="22"/>
        </w:rPr>
        <w:t>respecto de las unidades administrativas siguientes:</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i/>
          <w:iCs/>
          <w:sz w:val="22"/>
          <w:szCs w:val="22"/>
        </w:rPr>
        <w:t xml:space="preserve">Dirección de Gobierno y Técnica de Gabinete, Tesorería Municipal, Dirección de Obras Públicas, la Dirección de Desarrollo Económico, la Dirección de Desarrollo Urbano, la Dirección de Ecología, la Dirección de Turismo, la Dirección de Desarrollo Social y Bienestar, la Dirección de las Mujeres, la Dirección del Campo, la Dirección de Servicios Públicos, la Dirección de Seguridad Pública Municipal, la Unidad de Información, Programación, Planeación Y Evaluación, la Unidad de Transparencia y Acceso a la Información, la Dirección de Cultura, la Dirección de Educación, la Secretaría Técnica del Consejo Municipal de Seguridad Pública Municipal, la Dirección Jurídica Municipal, la Dirección de Gobierno Digital, </w:t>
      </w:r>
      <w:r w:rsidRPr="00E506E6">
        <w:rPr>
          <w:rFonts w:ascii="Palatino Linotype" w:eastAsia="Palatino Linotype" w:hAnsi="Palatino Linotype" w:cs="Palatino Linotype"/>
          <w:sz w:val="22"/>
          <w:szCs w:val="22"/>
        </w:rPr>
        <w:t>lo siguiente:</w:t>
      </w:r>
    </w:p>
    <w:p w:rsidR="00E06426" w:rsidRPr="00E506E6" w:rsidRDefault="00E06426">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rsidR="00E06426" w:rsidRPr="00E506E6" w:rsidRDefault="004679EF">
      <w:pPr>
        <w:numPr>
          <w:ilvl w:val="2"/>
          <w:numId w:val="1"/>
        </w:numPr>
        <w:pBdr>
          <w:top w:val="nil"/>
          <w:left w:val="nil"/>
          <w:bottom w:val="nil"/>
          <w:right w:val="nil"/>
          <w:between w:val="nil"/>
        </w:pBdr>
        <w:spacing w:line="360" w:lineRule="auto"/>
        <w:ind w:left="142" w:right="-150"/>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Evidencia documental de los gastos de representación y viáticos derivado de las actividades realizadas por dichas áreas (</w:t>
      </w:r>
      <w:r w:rsidRPr="00E506E6">
        <w:rPr>
          <w:rFonts w:ascii="Palatino Linotype" w:eastAsia="Palatino Linotype" w:hAnsi="Palatino Linotype" w:cs="Palatino Linotype"/>
          <w:b/>
          <w:bCs/>
          <w:i/>
          <w:iCs/>
          <w:sz w:val="22"/>
          <w:szCs w:val="22"/>
        </w:rPr>
        <w:t>facturas, recibos, notas, comprobantes, autorizaciones, oficios de comisión, informes, entre otros</w:t>
      </w:r>
      <w:r w:rsidRPr="00E506E6">
        <w:rPr>
          <w:rFonts w:ascii="Palatino Linotype" w:eastAsia="Palatino Linotype" w:hAnsi="Palatino Linotype" w:cs="Palatino Linotype"/>
          <w:sz w:val="22"/>
          <w:szCs w:val="22"/>
        </w:rPr>
        <w:t xml:space="preserve">), generadas en el periodo comprendido del </w:t>
      </w:r>
      <w:r w:rsidRPr="00E506E6">
        <w:rPr>
          <w:rFonts w:ascii="Palatino Linotype" w:eastAsia="Palatino Linotype" w:hAnsi="Palatino Linotype" w:cs="Palatino Linotype"/>
          <w:b/>
          <w:bCs/>
          <w:sz w:val="22"/>
          <w:szCs w:val="22"/>
        </w:rPr>
        <w:t>primero de julio de dos mil veinticuatro al primero de julio de dos mil veinticinco.</w:t>
      </w:r>
      <w:r w:rsidRPr="00E506E6">
        <w:rPr>
          <w:rFonts w:ascii="Palatino Linotype" w:eastAsia="Palatino Linotype" w:hAnsi="Palatino Linotype" w:cs="Palatino Linotype"/>
          <w:sz w:val="22"/>
          <w:szCs w:val="22"/>
        </w:rPr>
        <w:t xml:space="preserve"> </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ind w:left="360" w:right="474"/>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E506E6">
        <w:rPr>
          <w:rFonts w:ascii="Palatino Linotype" w:eastAsia="Palatino Linotype" w:hAnsi="Palatino Linotype" w:cs="Palatino Linotype"/>
          <w:b/>
          <w:bCs/>
          <w:i/>
          <w:iCs/>
          <w:sz w:val="22"/>
          <w:szCs w:val="22"/>
        </w:rPr>
        <w:t>la parte Recurrente</w:t>
      </w:r>
      <w:r w:rsidRPr="00E506E6">
        <w:rPr>
          <w:rFonts w:ascii="Palatino Linotype" w:eastAsia="Palatino Linotype" w:hAnsi="Palatino Linotype" w:cs="Palatino Linotype"/>
          <w:i/>
          <w:iCs/>
          <w:sz w:val="22"/>
          <w:szCs w:val="22"/>
        </w:rPr>
        <w:t>, mismo que igualmente hará de su conocimiento.</w:t>
      </w:r>
    </w:p>
    <w:p w:rsidR="00E06426" w:rsidRPr="00E506E6" w:rsidRDefault="00E06426">
      <w:pPr>
        <w:ind w:left="360" w:right="474"/>
        <w:jc w:val="both"/>
        <w:rPr>
          <w:rFonts w:ascii="Palatino Linotype" w:eastAsia="Palatino Linotype" w:hAnsi="Palatino Linotype" w:cs="Palatino Linotype"/>
          <w:i/>
          <w:iCs/>
          <w:sz w:val="22"/>
          <w:szCs w:val="22"/>
        </w:rPr>
      </w:pPr>
    </w:p>
    <w:p w:rsidR="00E06426" w:rsidRPr="00E506E6" w:rsidRDefault="004679EF">
      <w:pPr>
        <w:ind w:left="360" w:right="474"/>
        <w:jc w:val="both"/>
        <w:rPr>
          <w:rFonts w:ascii="Palatino Linotype" w:eastAsia="Palatino Linotype" w:hAnsi="Palatino Linotype" w:cs="Palatino Linotype"/>
          <w:i/>
          <w:iCs/>
          <w:sz w:val="22"/>
          <w:szCs w:val="22"/>
        </w:rPr>
      </w:pPr>
      <w:r w:rsidRPr="00E506E6">
        <w:rPr>
          <w:rFonts w:ascii="Palatino Linotype" w:eastAsia="Palatino Linotype" w:hAnsi="Palatino Linotype" w:cs="Palatino Linotype"/>
          <w:i/>
          <w:iCs/>
          <w:sz w:val="22"/>
          <w:szCs w:val="22"/>
        </w:rPr>
        <w:t>En el supuesto que no se llegara a localizar la información que se ordena</w:t>
      </w:r>
      <w:r w:rsidRPr="00E506E6">
        <w:rPr>
          <w:rFonts w:ascii="Palatino Linotype" w:eastAsia="Palatino Linotype" w:hAnsi="Palatino Linotype" w:cs="Palatino Linotype"/>
          <w:b/>
          <w:bCs/>
          <w:i/>
          <w:iCs/>
          <w:sz w:val="22"/>
          <w:szCs w:val="22"/>
        </w:rPr>
        <w:t>, relativa a la evidencia documental de los gastos de representación, porque en el periodo ordenado no se realizó erogación por dicho concepto,</w:t>
      </w:r>
      <w:r w:rsidRPr="00E506E6">
        <w:rPr>
          <w:rFonts w:ascii="Palatino Linotype" w:eastAsia="Palatino Linotype" w:hAnsi="Palatino Linotype" w:cs="Palatino Linotype"/>
          <w:i/>
          <w:iCs/>
          <w:sz w:val="22"/>
          <w:szCs w:val="22"/>
        </w:rPr>
        <w:t xml:space="preserve"> bastará con que así se haga del conocimiento de la parte Recurrente en términos del artículo 19, párrafo segundo de la Ley de Transparencia y Acceso a la Información Pública del Estado de México y Municipios, para tener por colmados los requerimientos de información.</w:t>
      </w:r>
    </w:p>
    <w:p w:rsidR="00E06426" w:rsidRPr="00E506E6" w:rsidRDefault="00E06426">
      <w:pPr>
        <w:ind w:left="360" w:right="474"/>
        <w:jc w:val="both"/>
        <w:rPr>
          <w:rFonts w:ascii="Palatino Linotype" w:eastAsia="Palatino Linotype" w:hAnsi="Palatino Linotype" w:cs="Palatino Linotype"/>
          <w:i/>
          <w:iCs/>
          <w:sz w:val="22"/>
          <w:szCs w:val="22"/>
        </w:rPr>
      </w:pPr>
    </w:p>
    <w:p w:rsidR="00E06426" w:rsidRPr="00E506E6" w:rsidRDefault="00E06426">
      <w:pPr>
        <w:ind w:left="360" w:right="474"/>
        <w:jc w:val="both"/>
        <w:rPr>
          <w:rFonts w:ascii="Palatino Linotype" w:eastAsia="Palatino Linotype" w:hAnsi="Palatino Linotype" w:cs="Palatino Linotype"/>
          <w:i/>
          <w:iCs/>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bookmarkStart w:id="17" w:name="_heading=h.59npxyxpomjd" w:colFirst="0" w:colLast="0"/>
      <w:bookmarkEnd w:id="17"/>
      <w:r w:rsidRPr="00E506E6">
        <w:rPr>
          <w:rFonts w:ascii="Palatino Linotype" w:eastAsia="Palatino Linotype" w:hAnsi="Palatino Linotype" w:cs="Palatino Linotype"/>
          <w:b/>
          <w:bCs/>
          <w:sz w:val="22"/>
          <w:szCs w:val="22"/>
        </w:rPr>
        <w:t xml:space="preserve">Tercero. Notifíquese, </w:t>
      </w:r>
      <w:r w:rsidRPr="00E506E6">
        <w:rPr>
          <w:rFonts w:ascii="Palatino Linotype" w:eastAsia="Palatino Linotype" w:hAnsi="Palatino Linotype" w:cs="Palatino Linotype"/>
          <w:sz w:val="22"/>
          <w:szCs w:val="22"/>
        </w:rPr>
        <w:t xml:space="preserve">vía </w:t>
      </w:r>
      <w:r w:rsidRPr="00E506E6">
        <w:rPr>
          <w:rFonts w:ascii="Palatino Linotype" w:eastAsia="Palatino Linotype" w:hAnsi="Palatino Linotype" w:cs="Palatino Linotype"/>
          <w:b/>
          <w:bCs/>
          <w:sz w:val="22"/>
          <w:szCs w:val="22"/>
        </w:rPr>
        <w:t>SAIMEX</w:t>
      </w:r>
      <w:r w:rsidRPr="00E506E6">
        <w:rPr>
          <w:rFonts w:ascii="Palatino Linotype" w:eastAsia="Palatino Linotype" w:hAnsi="Palatino Linotype" w:cs="Palatino Linotype"/>
          <w:sz w:val="22"/>
          <w:szCs w:val="22"/>
        </w:rPr>
        <w:t xml:space="preserve">, al Titular de la Unidad de Transparencia del </w:t>
      </w:r>
      <w:r w:rsidRPr="00E506E6">
        <w:rPr>
          <w:rFonts w:ascii="Palatino Linotype" w:eastAsia="Palatino Linotype" w:hAnsi="Palatino Linotype" w:cs="Palatino Linotype"/>
          <w:b/>
          <w:bCs/>
          <w:sz w:val="22"/>
          <w:szCs w:val="22"/>
        </w:rPr>
        <w:t>Sujeto Obligado,</w:t>
      </w:r>
      <w:r w:rsidRPr="00E506E6">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4679EF">
      <w:pPr>
        <w:spacing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sz w:val="22"/>
          <w:szCs w:val="22"/>
        </w:rPr>
        <w:t>Cuarto.</w:t>
      </w:r>
      <w:r w:rsidRPr="00E506E6">
        <w:rPr>
          <w:rFonts w:ascii="Palatino Linotype" w:eastAsia="Palatino Linotype" w:hAnsi="Palatino Linotype" w:cs="Palatino Linotype"/>
          <w:sz w:val="22"/>
          <w:szCs w:val="22"/>
        </w:rPr>
        <w:t xml:space="preserve"> </w:t>
      </w:r>
      <w:r w:rsidRPr="00E506E6">
        <w:rPr>
          <w:rFonts w:ascii="Palatino Linotype" w:eastAsia="Palatino Linotype" w:hAnsi="Palatino Linotype" w:cs="Palatino Linotype"/>
          <w:b/>
          <w:bCs/>
          <w:sz w:val="22"/>
          <w:szCs w:val="22"/>
        </w:rPr>
        <w:t xml:space="preserve">Notifíquese, </w:t>
      </w:r>
      <w:r w:rsidRPr="00E506E6">
        <w:rPr>
          <w:rFonts w:ascii="Palatino Linotype" w:eastAsia="Palatino Linotype" w:hAnsi="Palatino Linotype" w:cs="Palatino Linotype"/>
          <w:sz w:val="22"/>
          <w:szCs w:val="22"/>
        </w:rPr>
        <w:t xml:space="preserve">vía </w:t>
      </w:r>
      <w:r w:rsidRPr="00E506E6">
        <w:rPr>
          <w:rFonts w:ascii="Palatino Linotype" w:eastAsia="Palatino Linotype" w:hAnsi="Palatino Linotype" w:cs="Palatino Linotype"/>
          <w:b/>
          <w:bCs/>
          <w:sz w:val="22"/>
          <w:szCs w:val="22"/>
        </w:rPr>
        <w:t>SAIMEX</w:t>
      </w:r>
      <w:r w:rsidRPr="00E506E6">
        <w:rPr>
          <w:rFonts w:ascii="Palatino Linotype" w:eastAsia="Palatino Linotype" w:hAnsi="Palatino Linotype" w:cs="Palatino Linotype"/>
          <w:sz w:val="22"/>
          <w:szCs w:val="22"/>
        </w:rPr>
        <w:t xml:space="preserve">, al Titular de la Unidad de Transparencia del </w:t>
      </w:r>
      <w:r w:rsidRPr="00E506E6">
        <w:rPr>
          <w:rFonts w:ascii="Palatino Linotype" w:eastAsia="Palatino Linotype" w:hAnsi="Palatino Linotype" w:cs="Palatino Linotype"/>
          <w:b/>
          <w:bCs/>
          <w:sz w:val="22"/>
          <w:szCs w:val="22"/>
        </w:rPr>
        <w:t>Sujeto Obligado,</w:t>
      </w:r>
      <w:r w:rsidRPr="00E506E6">
        <w:rPr>
          <w:rFonts w:ascii="Palatino Linotype" w:eastAsia="Palatino Linotype" w:hAnsi="Palatino Linotype" w:cs="Palatino Linotype"/>
          <w:sz w:val="22"/>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rsidR="00E06426" w:rsidRPr="00E506E6" w:rsidRDefault="00E06426">
      <w:pPr>
        <w:spacing w:line="360" w:lineRule="auto"/>
        <w:ind w:right="49"/>
        <w:jc w:val="both"/>
        <w:rPr>
          <w:rFonts w:ascii="Palatino Linotype" w:eastAsia="Palatino Linotype" w:hAnsi="Palatino Linotype" w:cs="Palatino Linotype"/>
          <w:sz w:val="22"/>
          <w:szCs w:val="22"/>
        </w:rPr>
      </w:pPr>
    </w:p>
    <w:p w:rsidR="00E06426" w:rsidRPr="00E506E6" w:rsidRDefault="004679EF">
      <w:pPr>
        <w:spacing w:line="360" w:lineRule="auto"/>
        <w:ind w:right="49"/>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b/>
          <w:bCs/>
          <w:sz w:val="22"/>
          <w:szCs w:val="22"/>
        </w:rPr>
        <w:t xml:space="preserve">Quinto. Notifíquese vía SAIMEX, </w:t>
      </w:r>
      <w:r w:rsidRPr="00E506E6">
        <w:rPr>
          <w:rFonts w:ascii="Palatino Linotype" w:eastAsia="Palatino Linotype" w:hAnsi="Palatino Linotype" w:cs="Palatino Linotype"/>
          <w:sz w:val="22"/>
          <w:szCs w:val="22"/>
        </w:rPr>
        <w:t xml:space="preserve">la presente resolución a la parte </w:t>
      </w:r>
      <w:r w:rsidRPr="00E506E6">
        <w:rPr>
          <w:rFonts w:ascii="Palatino Linotype" w:eastAsia="Palatino Linotype" w:hAnsi="Palatino Linotype" w:cs="Palatino Linotype"/>
          <w:b/>
          <w:bCs/>
          <w:sz w:val="22"/>
          <w:szCs w:val="22"/>
        </w:rPr>
        <w:t>Recurrente</w:t>
      </w:r>
      <w:r w:rsidRPr="00E506E6">
        <w:rPr>
          <w:rFonts w:ascii="Palatino Linotype" w:eastAsia="Palatino Linotype" w:hAnsi="Palatino Linotype" w:cs="Palatino Linotype"/>
          <w:sz w:val="22"/>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rsidR="00E06426" w:rsidRPr="00E506E6" w:rsidRDefault="00E06426">
      <w:pPr>
        <w:spacing w:line="360" w:lineRule="auto"/>
        <w:ind w:right="49"/>
        <w:jc w:val="both"/>
        <w:rPr>
          <w:rFonts w:ascii="Palatino Linotype" w:eastAsia="Palatino Linotype" w:hAnsi="Palatino Linotype" w:cs="Palatino Linotype"/>
          <w:sz w:val="22"/>
          <w:szCs w:val="22"/>
        </w:rPr>
      </w:pPr>
    </w:p>
    <w:p w:rsidR="00E06426" w:rsidRPr="00E506E6" w:rsidRDefault="004679EF">
      <w:pPr>
        <w:spacing w:line="360" w:lineRule="auto"/>
        <w:jc w:val="both"/>
        <w:rPr>
          <w:rFonts w:ascii="Palatino Linotype" w:eastAsia="Palatino Linotype" w:hAnsi="Palatino Linotype" w:cs="Palatino Linotype"/>
          <w:sz w:val="22"/>
          <w:szCs w:val="22"/>
        </w:rPr>
      </w:pPr>
      <w:r w:rsidRPr="00E506E6">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 </w:t>
      </w: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rPr>
          <w:rFonts w:ascii="Palatino Linotype" w:eastAsia="Palatino Linotype" w:hAnsi="Palatino Linotype" w:cs="Palatino Linotype"/>
          <w:sz w:val="22"/>
          <w:szCs w:val="22"/>
        </w:rPr>
      </w:pPr>
      <w:bookmarkStart w:id="18" w:name="_heading=h.17dp8vu" w:colFirst="0" w:colLast="0"/>
      <w:bookmarkEnd w:id="18"/>
    </w:p>
    <w:p w:rsidR="00E06426" w:rsidRPr="00E506E6" w:rsidRDefault="00E06426">
      <w:pPr>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bookmarkStart w:id="19" w:name="_heading=h.3rdcrjn" w:colFirst="0" w:colLast="0"/>
      <w:bookmarkEnd w:id="19"/>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bookmarkStart w:id="20" w:name="_heading=h.1t3h5sf" w:colFirst="0" w:colLast="0"/>
      <w:bookmarkEnd w:id="20"/>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p w:rsidR="00E06426" w:rsidRPr="00E506E6" w:rsidRDefault="00E06426">
      <w:pPr>
        <w:spacing w:line="360" w:lineRule="auto"/>
        <w:jc w:val="both"/>
        <w:rPr>
          <w:rFonts w:ascii="Palatino Linotype" w:eastAsia="Palatino Linotype" w:hAnsi="Palatino Linotype" w:cs="Palatino Linotype"/>
          <w:sz w:val="22"/>
          <w:szCs w:val="22"/>
        </w:rPr>
      </w:pPr>
    </w:p>
    <w:sectPr w:rsidR="00E06426" w:rsidRPr="00E506E6">
      <w:headerReference w:type="default" r:id="rId10"/>
      <w:footerReference w:type="default" r:id="rId11"/>
      <w:headerReference w:type="first" r:id="rId12"/>
      <w:footerReference w:type="first" r:id="rId13"/>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764B" w:rsidRDefault="00F8764B">
      <w:r>
        <w:separator/>
      </w:r>
    </w:p>
  </w:endnote>
  <w:endnote w:type="continuationSeparator" w:id="0">
    <w:p w:rsidR="00F8764B" w:rsidRDefault="00F876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285FB35F-D121-4529-A1FF-DC91AADF0666}"/>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C7B82E12-7CF9-4913-8235-44A2D1719252}"/>
    <w:embedBold r:id="rId3" w:fontKey="{7880F778-101A-4856-BB83-F8043E09A507}"/>
  </w:font>
  <w:font w:name="Cambria">
    <w:panose1 w:val="02040503050406030204"/>
    <w:charset w:val="00"/>
    <w:family w:val="roman"/>
    <w:pitch w:val="variable"/>
    <w:sig w:usb0="E00006FF" w:usb1="420024FF" w:usb2="02000000" w:usb3="00000000" w:csb0="0000019F" w:csb1="00000000"/>
    <w:embedRegular r:id="rId4" w:fontKey="{50B2DC48-A0C0-4BA1-BA6D-DBFFB4B94421}"/>
    <w:embedBold r:id="rId5" w:fontKey="{E6E55931-793B-4513-A6CF-644EC61B04AC}"/>
    <w:embedBoldItalic r:id="rId6" w:fontKey="{05440054-6605-47CC-8D14-300F479E1360}"/>
  </w:font>
  <w:font w:name="Segoe UI">
    <w:panose1 w:val="020B0502040204020203"/>
    <w:charset w:val="00"/>
    <w:family w:val="swiss"/>
    <w:pitch w:val="variable"/>
    <w:sig w:usb0="E4002EFF" w:usb1="C000E47F" w:usb2="00000009" w:usb3="00000000" w:csb0="000001FF" w:csb1="00000000"/>
    <w:embedRegular r:id="rId7" w:fontKey="{79655954-CEA0-4DB1-9A78-9002F8FF126B}"/>
  </w:font>
  <w:font w:name="Georgia">
    <w:panose1 w:val="02040502050405020303"/>
    <w:charset w:val="00"/>
    <w:family w:val="roman"/>
    <w:pitch w:val="variable"/>
    <w:sig w:usb0="00000287" w:usb1="00000000" w:usb2="00000000" w:usb3="00000000" w:csb0="0000009F" w:csb1="00000000"/>
    <w:embedItalic r:id="rId8" w:fontKey="{8FF6E4D6-6186-414A-ADAC-5A7D2B4A14EE}"/>
  </w:font>
  <w:font w:name="Palatino Linotype">
    <w:panose1 w:val="02040502050505030304"/>
    <w:charset w:val="00"/>
    <w:family w:val="roman"/>
    <w:pitch w:val="variable"/>
    <w:sig w:usb0="E0000287" w:usb1="40000013" w:usb2="00000000" w:usb3="00000000" w:csb0="0000019F" w:csb1="00000000"/>
    <w:embedRegular r:id="rId9" w:fontKey="{A8065E94-A22F-4E40-9875-2DB425AC8117}"/>
    <w:embedBold r:id="rId10" w:fontKey="{98594F6E-1605-4E04-81BE-FB73346666B4}"/>
    <w:embedItalic r:id="rId11" w:fontKey="{07E1636E-4063-43FB-9A30-350E574D8DD7}"/>
    <w:embedBoldItalic r:id="rId12" w:fontKey="{A427C749-0902-4E7D-A6FB-F08BF31232B5}"/>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426" w:rsidRDefault="004679EF">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DA2E03">
      <w:rPr>
        <w:rFonts w:ascii="Palatino Linotype" w:eastAsia="Palatino Linotype" w:hAnsi="Palatino Linotype" w:cs="Palatino Linotype"/>
        <w:b/>
        <w:bCs/>
        <w:noProof/>
        <w:color w:val="000000"/>
        <w:sz w:val="20"/>
        <w:szCs w:val="20"/>
      </w:rPr>
      <w:t>17</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DA2E03">
      <w:rPr>
        <w:rFonts w:ascii="Palatino Linotype" w:eastAsia="Palatino Linotype" w:hAnsi="Palatino Linotype" w:cs="Palatino Linotype"/>
        <w:b/>
        <w:bCs/>
        <w:noProof/>
        <w:color w:val="000000"/>
        <w:sz w:val="20"/>
        <w:szCs w:val="20"/>
      </w:rPr>
      <w:t>56</w:t>
    </w:r>
    <w:r>
      <w:rPr>
        <w:rFonts w:ascii="Palatino Linotype" w:eastAsia="Palatino Linotype" w:hAnsi="Palatino Linotype" w:cs="Palatino Linotype"/>
        <w:b/>
        <w:bCs/>
        <w:color w:val="000000"/>
        <w:sz w:val="20"/>
        <w:szCs w:val="20"/>
      </w:rPr>
      <w:fldChar w:fldCharType="end"/>
    </w:r>
  </w:p>
  <w:p w:rsidR="00E06426" w:rsidRDefault="00E06426">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426" w:rsidRDefault="004679EF">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DA2E03">
      <w:rPr>
        <w:rFonts w:ascii="Palatino Linotype" w:eastAsia="Palatino Linotype" w:hAnsi="Palatino Linotype" w:cs="Palatino Linotype"/>
        <w:b/>
        <w:bCs/>
        <w:noProof/>
        <w:color w:val="000000"/>
        <w:sz w:val="20"/>
        <w:szCs w:val="20"/>
      </w:rPr>
      <w:t>1</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DA2E03">
      <w:rPr>
        <w:rFonts w:ascii="Palatino Linotype" w:eastAsia="Palatino Linotype" w:hAnsi="Palatino Linotype" w:cs="Palatino Linotype"/>
        <w:b/>
        <w:bCs/>
        <w:noProof/>
        <w:color w:val="000000"/>
        <w:sz w:val="20"/>
        <w:szCs w:val="20"/>
      </w:rPr>
      <w:t>56</w:t>
    </w:r>
    <w:r>
      <w:rPr>
        <w:rFonts w:ascii="Palatino Linotype" w:eastAsia="Palatino Linotype" w:hAnsi="Palatino Linotype" w:cs="Palatino Linotype"/>
        <w:b/>
        <w:bCs/>
        <w:color w:val="000000"/>
        <w:sz w:val="20"/>
        <w:szCs w:val="20"/>
      </w:rPr>
      <w:fldChar w:fldCharType="end"/>
    </w:r>
  </w:p>
  <w:p w:rsidR="00E06426" w:rsidRDefault="00E06426">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764B" w:rsidRDefault="00F8764B">
      <w:r>
        <w:separator/>
      </w:r>
    </w:p>
  </w:footnote>
  <w:footnote w:type="continuationSeparator" w:id="0">
    <w:p w:rsidR="00F8764B" w:rsidRDefault="00F8764B">
      <w:r>
        <w:continuationSeparator/>
      </w:r>
    </w:p>
  </w:footnote>
  <w:footnote w:id="1">
    <w:p w:rsidR="00E06426" w:rsidRDefault="004679EF">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rsidR="00E06426" w:rsidRDefault="004679E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rsidR="00E06426" w:rsidRDefault="004679EF">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bCs/>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rsidR="00E06426" w:rsidRDefault="004679EF">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 w:id="4">
    <w:p w:rsidR="00E06426" w:rsidRDefault="004679EF">
      <w:pPr>
        <w:pBdr>
          <w:top w:val="nil"/>
          <w:left w:val="nil"/>
          <w:bottom w:val="nil"/>
          <w:right w:val="nil"/>
          <w:between w:val="nil"/>
        </w:pBdr>
        <w:tabs>
          <w:tab w:val="right" w:pos="0"/>
        </w:tabs>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Resolución RRA2431/17 del Instituto Nacional de Transparencia, Acceso a la Información Pública y Protección de Datos Personales.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426" w:rsidRDefault="00E06426">
    <w:pPr>
      <w:rPr>
        <w:rFonts w:ascii="Cambria" w:eastAsia="Cambria" w:hAnsi="Cambria" w:cs="Cambria"/>
        <w:color w:val="000000"/>
      </w:rPr>
    </w:pPr>
  </w:p>
  <w:tbl>
    <w:tblPr>
      <w:tblStyle w:val="a7"/>
      <w:tblW w:w="7087" w:type="dxa"/>
      <w:tblInd w:w="3261" w:type="dxa"/>
      <w:tblLayout w:type="fixed"/>
      <w:tblLook w:val="0400" w:firstRow="0" w:lastRow="0" w:firstColumn="0" w:lastColumn="0" w:noHBand="0" w:noVBand="1"/>
    </w:tblPr>
    <w:tblGrid>
      <w:gridCol w:w="2489"/>
      <w:gridCol w:w="4598"/>
    </w:tblGrid>
    <w:tr w:rsidR="00E06426">
      <w:tc>
        <w:tcPr>
          <w:tcW w:w="2489" w:type="dxa"/>
          <w:shd w:val="clear" w:color="auto" w:fill="auto"/>
        </w:tcPr>
        <w:p w:rsidR="00E06426" w:rsidRDefault="004679E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598" w:type="dxa"/>
          <w:shd w:val="clear" w:color="auto" w:fill="auto"/>
          <w:vAlign w:val="center"/>
        </w:tcPr>
        <w:p w:rsidR="00E06426" w:rsidRDefault="004679EF">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color w:val="000000"/>
              <w:sz w:val="22"/>
              <w:szCs w:val="22"/>
            </w:rPr>
            <w:t>08359/INFOEM/IP/RR/2025</w:t>
          </w:r>
          <w:r>
            <w:rPr>
              <w:noProof/>
            </w:rPr>
            <w:drawing>
              <wp:anchor distT="0" distB="0" distL="0" distR="0" simplePos="0" relativeHeight="251658240" behindDoc="1" locked="0" layoutInCell="1" hidden="0" allowOverlap="1">
                <wp:simplePos x="0" y="0"/>
                <wp:positionH relativeFrom="column">
                  <wp:posOffset>-4305299</wp:posOffset>
                </wp:positionH>
                <wp:positionV relativeFrom="paragraph">
                  <wp:posOffset>-666114</wp:posOffset>
                </wp:positionV>
                <wp:extent cx="7809865" cy="10165715"/>
                <wp:effectExtent l="0" t="0" r="0" b="0"/>
                <wp:wrapNone/>
                <wp:docPr id="3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c>
    </w:tr>
    <w:tr w:rsidR="00E06426">
      <w:trPr>
        <w:trHeight w:val="228"/>
      </w:trPr>
      <w:tc>
        <w:tcPr>
          <w:tcW w:w="2489" w:type="dxa"/>
          <w:shd w:val="clear" w:color="auto" w:fill="auto"/>
          <w:vAlign w:val="center"/>
        </w:tcPr>
        <w:p w:rsidR="00E06426" w:rsidRDefault="004679E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598" w:type="dxa"/>
          <w:shd w:val="clear" w:color="auto" w:fill="auto"/>
          <w:vAlign w:val="center"/>
        </w:tcPr>
        <w:p w:rsidR="00E06426" w:rsidRDefault="004679EF">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 xml:space="preserve">Ayuntamiento de </w:t>
          </w:r>
          <w:proofErr w:type="spellStart"/>
          <w:r>
            <w:rPr>
              <w:rFonts w:ascii="Palatino Linotype" w:eastAsia="Palatino Linotype" w:hAnsi="Palatino Linotype" w:cs="Palatino Linotype"/>
              <w:b/>
              <w:bCs/>
              <w:sz w:val="22"/>
              <w:szCs w:val="22"/>
            </w:rPr>
            <w:t>Atlautla</w:t>
          </w:r>
          <w:proofErr w:type="spellEnd"/>
        </w:p>
      </w:tc>
    </w:tr>
    <w:tr w:rsidR="00E06426">
      <w:tc>
        <w:tcPr>
          <w:tcW w:w="2489" w:type="dxa"/>
          <w:shd w:val="clear" w:color="auto" w:fill="auto"/>
          <w:vAlign w:val="center"/>
        </w:tcPr>
        <w:p w:rsidR="00E06426" w:rsidRDefault="004679EF">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598" w:type="dxa"/>
          <w:shd w:val="clear" w:color="auto" w:fill="auto"/>
          <w:vAlign w:val="center"/>
        </w:tcPr>
        <w:p w:rsidR="00E06426" w:rsidRDefault="004679EF">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rsidR="00E06426" w:rsidRDefault="004679EF">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6426" w:rsidRDefault="004679EF">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simplePos x="0" y="0"/>
          <wp:positionH relativeFrom="column">
            <wp:posOffset>-1079484</wp:posOffset>
          </wp:positionH>
          <wp:positionV relativeFrom="paragraph">
            <wp:posOffset>-328912</wp:posOffset>
          </wp:positionV>
          <wp:extent cx="7809865" cy="10165715"/>
          <wp:effectExtent l="0" t="0" r="0" b="0"/>
          <wp:wrapNone/>
          <wp:docPr id="3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8"/>
      <w:tblW w:w="6945" w:type="dxa"/>
      <w:tblInd w:w="3261" w:type="dxa"/>
      <w:tblLayout w:type="fixed"/>
      <w:tblLook w:val="0400" w:firstRow="0" w:lastRow="0" w:firstColumn="0" w:lastColumn="0" w:noHBand="0" w:noVBand="1"/>
    </w:tblPr>
    <w:tblGrid>
      <w:gridCol w:w="2551"/>
      <w:gridCol w:w="4394"/>
    </w:tblGrid>
    <w:tr w:rsidR="00E06426">
      <w:tc>
        <w:tcPr>
          <w:tcW w:w="2551" w:type="dxa"/>
          <w:shd w:val="clear" w:color="auto" w:fill="auto"/>
          <w:vAlign w:val="center"/>
        </w:tcPr>
        <w:p w:rsidR="00E06426" w:rsidRDefault="004679E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394" w:type="dxa"/>
          <w:shd w:val="clear" w:color="auto" w:fill="auto"/>
          <w:vAlign w:val="center"/>
        </w:tcPr>
        <w:p w:rsidR="00E06426" w:rsidRDefault="004679EF">
          <w:pPr>
            <w:tabs>
              <w:tab w:val="left" w:pos="3153"/>
            </w:tabs>
            <w:ind w:left="-4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08359/INFOEM/IP/RR/2025</w:t>
          </w:r>
        </w:p>
      </w:tc>
    </w:tr>
    <w:tr w:rsidR="00E06426">
      <w:trPr>
        <w:trHeight w:val="130"/>
      </w:trPr>
      <w:tc>
        <w:tcPr>
          <w:tcW w:w="2551" w:type="dxa"/>
          <w:shd w:val="clear" w:color="auto" w:fill="auto"/>
          <w:vAlign w:val="center"/>
        </w:tcPr>
        <w:p w:rsidR="00E06426" w:rsidRDefault="004679E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Recurrente:</w:t>
          </w:r>
        </w:p>
      </w:tc>
      <w:tc>
        <w:tcPr>
          <w:tcW w:w="4394" w:type="dxa"/>
          <w:shd w:val="clear" w:color="auto" w:fill="auto"/>
          <w:vAlign w:val="center"/>
        </w:tcPr>
        <w:p w:rsidR="00E06426" w:rsidRDefault="00DA2E03" w:rsidP="00DA2E03">
          <w:pPr>
            <w:ind w:left="-45" w:right="1444"/>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XXX XX</w:t>
          </w:r>
        </w:p>
      </w:tc>
    </w:tr>
    <w:tr w:rsidR="00E06426">
      <w:trPr>
        <w:trHeight w:val="228"/>
      </w:trPr>
      <w:tc>
        <w:tcPr>
          <w:tcW w:w="2551" w:type="dxa"/>
          <w:shd w:val="clear" w:color="auto" w:fill="auto"/>
          <w:vAlign w:val="center"/>
        </w:tcPr>
        <w:p w:rsidR="00E06426" w:rsidRDefault="004679E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394" w:type="dxa"/>
          <w:shd w:val="clear" w:color="auto" w:fill="auto"/>
          <w:vAlign w:val="center"/>
        </w:tcPr>
        <w:p w:rsidR="00E06426" w:rsidRDefault="004679EF">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 xml:space="preserve">Ayuntamiento de </w:t>
          </w:r>
          <w:proofErr w:type="spellStart"/>
          <w:r>
            <w:rPr>
              <w:rFonts w:ascii="Palatino Linotype" w:eastAsia="Palatino Linotype" w:hAnsi="Palatino Linotype" w:cs="Palatino Linotype"/>
              <w:b/>
              <w:bCs/>
              <w:sz w:val="22"/>
              <w:szCs w:val="22"/>
            </w:rPr>
            <w:t>Atlautla</w:t>
          </w:r>
          <w:proofErr w:type="spellEnd"/>
        </w:p>
      </w:tc>
    </w:tr>
    <w:tr w:rsidR="00E06426">
      <w:tc>
        <w:tcPr>
          <w:tcW w:w="2551" w:type="dxa"/>
          <w:shd w:val="clear" w:color="auto" w:fill="auto"/>
          <w:vAlign w:val="center"/>
        </w:tcPr>
        <w:p w:rsidR="00E06426" w:rsidRDefault="004679E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394" w:type="dxa"/>
          <w:shd w:val="clear" w:color="auto" w:fill="auto"/>
          <w:vAlign w:val="center"/>
        </w:tcPr>
        <w:p w:rsidR="00E06426" w:rsidRDefault="004679EF">
          <w:pPr>
            <w:ind w:left="-45" w:right="-533"/>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rsidR="00E06426" w:rsidRDefault="00E06426">
    <w:pPr>
      <w:pBdr>
        <w:top w:val="nil"/>
        <w:left w:val="nil"/>
        <w:bottom w:val="nil"/>
        <w:right w:val="nil"/>
        <w:between w:val="nil"/>
      </w:pBdr>
      <w:tabs>
        <w:tab w:val="center" w:pos="4252"/>
        <w:tab w:val="right" w:pos="8504"/>
      </w:tabs>
      <w:rPr>
        <w:rFonts w:ascii="Cambria" w:eastAsia="Cambria" w:hAnsi="Cambria" w:cs="Cambria"/>
        <w:color w:val="000000"/>
      </w:rPr>
    </w:pPr>
  </w:p>
  <w:p w:rsidR="00E06426" w:rsidRDefault="00E06426"/>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2B5BD5"/>
    <w:multiLevelType w:val="multilevel"/>
    <w:tmpl w:val="A92A5A4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5CA02DC9"/>
    <w:multiLevelType w:val="multilevel"/>
    <w:tmpl w:val="622223A8"/>
    <w:lvl w:ilvl="0">
      <w:start w:val="1"/>
      <w:numFmt w:val="lowerLetter"/>
      <w:pStyle w:val="Listaconvietas3"/>
      <w:lvlText w:val="%1)"/>
      <w:lvlJc w:val="left"/>
      <w:pPr>
        <w:ind w:left="927" w:hanging="360"/>
      </w:pPr>
      <w:rPr>
        <w:b/>
        <w:bCs/>
      </w:rPr>
    </w:lvl>
    <w:lvl w:ilvl="1">
      <w:start w:val="1"/>
      <w:numFmt w:val="lowerLetter"/>
      <w:lvlText w:val="%2."/>
      <w:lvlJc w:val="left"/>
      <w:pPr>
        <w:ind w:left="1647" w:hanging="360"/>
      </w:pPr>
    </w:lvl>
    <w:lvl w:ilvl="2">
      <w:start w:val="8"/>
      <w:numFmt w:val="bullet"/>
      <w:lvlText w:val="●"/>
      <w:lvlJc w:val="left"/>
      <w:pPr>
        <w:ind w:left="2367" w:hanging="180"/>
      </w:pPr>
      <w:rPr>
        <w:rFonts w:ascii="Noto Sans Symbols" w:eastAsia="Noto Sans Symbols" w:hAnsi="Noto Sans Symbols" w:cs="Noto Sans Symbols"/>
      </w:r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426"/>
    <w:rsid w:val="004679EF"/>
    <w:rsid w:val="006D7E24"/>
    <w:rsid w:val="00742CCB"/>
    <w:rsid w:val="00D67269"/>
    <w:rsid w:val="00DA2E03"/>
    <w:rsid w:val="00E06426"/>
    <w:rsid w:val="00E506E6"/>
    <w:rsid w:val="00F876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8F28B"/>
  <w15:docId w15:val="{A182E77C-950F-4DA4-8A04-48A877C215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pPr>
      <w:keepNext/>
      <w:spacing w:before="240" w:after="60"/>
      <w:ind w:left="2160" w:hanging="720"/>
      <w:outlineLvl w:val="2"/>
    </w:pPr>
    <w:rPr>
      <w:rFonts w:ascii="Calibri" w:eastAsia="Calibri" w:hAnsi="Calibri" w:cs="Calibri"/>
      <w:b/>
      <w:bCs/>
      <w:sz w:val="26"/>
      <w:szCs w:val="26"/>
    </w:rPr>
  </w:style>
  <w:style w:type="paragraph" w:styleId="Ttulo4">
    <w:name w:val="heading 4"/>
    <w:basedOn w:val="Normal"/>
    <w:next w:val="Normal"/>
    <w:pPr>
      <w:keepNext/>
      <w:spacing w:before="240" w:after="60"/>
      <w:ind w:left="2880" w:hanging="720"/>
      <w:outlineLvl w:val="3"/>
    </w:pPr>
    <w:rPr>
      <w:rFonts w:ascii="Cambria" w:eastAsia="Cambria" w:hAnsi="Cambria" w:cs="Cambria"/>
      <w:b/>
      <w:bCs/>
      <w:sz w:val="28"/>
      <w:szCs w:val="28"/>
    </w:rPr>
  </w:style>
  <w:style w:type="paragraph" w:styleId="Ttulo5">
    <w:name w:val="heading 5"/>
    <w:basedOn w:val="Normal"/>
    <w:next w:val="Normal"/>
    <w:pPr>
      <w:spacing w:before="240" w:after="60"/>
      <w:ind w:left="3600" w:hanging="720"/>
      <w:outlineLvl w:val="4"/>
    </w:pPr>
    <w:rPr>
      <w:rFonts w:ascii="Cambria" w:eastAsia="Cambria" w:hAnsi="Cambria" w:cs="Cambria"/>
      <w:b/>
      <w:bCs/>
      <w:i/>
      <w:iCs/>
      <w:sz w:val="26"/>
      <w:szCs w:val="26"/>
    </w:rPr>
  </w:style>
  <w:style w:type="paragraph" w:styleId="Ttulo6">
    <w:name w:val="heading 6"/>
    <w:basedOn w:val="Normal"/>
    <w:next w:val="Normal"/>
    <w:pPr>
      <w:spacing w:before="240" w:after="60"/>
      <w:ind w:left="4320" w:hanging="72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0"/>
    <w:tblPr>
      <w:tblStyleRowBandSize w:val="1"/>
      <w:tblStyleColBandSize w:val="1"/>
      <w:tblCellMar>
        <w:left w:w="115" w:type="dxa"/>
        <w:right w:w="115" w:type="dxa"/>
      </w:tblCellMar>
    </w:tblPr>
  </w:style>
  <w:style w:type="table" w:customStyle="1" w:styleId="7">
    <w:name w:val="7"/>
    <w:basedOn w:val="TableNormal40"/>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character" w:styleId="Refdecomentario">
    <w:name w:val="annotation reference"/>
    <w:basedOn w:val="Fuentedeprrafopredeter"/>
    <w:uiPriority w:val="99"/>
    <w:semiHidden/>
    <w:unhideWhenUsed/>
    <w:rsid w:val="00E3568F"/>
    <w:rPr>
      <w:sz w:val="16"/>
      <w:szCs w:val="16"/>
    </w:rPr>
  </w:style>
  <w:style w:type="paragraph" w:styleId="Textocomentario">
    <w:name w:val="annotation text"/>
    <w:basedOn w:val="Normal"/>
    <w:link w:val="TextocomentarioCar"/>
    <w:uiPriority w:val="99"/>
    <w:semiHidden/>
    <w:unhideWhenUsed/>
    <w:rsid w:val="00E3568F"/>
    <w:rPr>
      <w:sz w:val="20"/>
      <w:szCs w:val="20"/>
    </w:rPr>
  </w:style>
  <w:style w:type="character" w:customStyle="1" w:styleId="TextocomentarioCar">
    <w:name w:val="Texto comentario Car"/>
    <w:basedOn w:val="Fuentedeprrafopredeter"/>
    <w:link w:val="Textocomentario"/>
    <w:uiPriority w:val="99"/>
    <w:semiHidden/>
    <w:rsid w:val="00E3568F"/>
    <w:rPr>
      <w:sz w:val="20"/>
      <w:szCs w:val="20"/>
    </w:rPr>
  </w:style>
  <w:style w:type="paragraph" w:styleId="Asuntodelcomentario">
    <w:name w:val="annotation subject"/>
    <w:basedOn w:val="Textocomentario"/>
    <w:next w:val="Textocomentario"/>
    <w:link w:val="AsuntodelcomentarioCar"/>
    <w:uiPriority w:val="99"/>
    <w:semiHidden/>
    <w:unhideWhenUsed/>
    <w:rsid w:val="00E3568F"/>
    <w:rPr>
      <w:b/>
      <w:bCs/>
    </w:rPr>
  </w:style>
  <w:style w:type="character" w:customStyle="1" w:styleId="AsuntodelcomentarioCar">
    <w:name w:val="Asunto del comentario Car"/>
    <w:basedOn w:val="TextocomentarioCar"/>
    <w:link w:val="Asuntodelcomentario"/>
    <w:uiPriority w:val="99"/>
    <w:semiHidden/>
    <w:rsid w:val="00E3568F"/>
    <w:rPr>
      <w:b/>
      <w:bCs/>
      <w:sz w:val="20"/>
      <w:szCs w:val="20"/>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UPnEc2MtP1CqHXbeNbco16ovrQ==">CgMxLjAyCWguNGQzNG9nODIIaC5namRneHMyCWguM2R5NnZrbTIJaC4zMGowemxsMgloLjJzOGV5bzEyCGgudHlqY3d0MgloLjN6bnlzaDcyCWguMXk4MTB0dzIOaC5la3k2c2VyM3kzdGgyCWguNDRzaW5pbzIIaC56MzM3eWEyCWguM2oycXFtMzIOaC5panY5OHBudGNkNXMyCWguMjZpbjFyZzINaC5oN256Yjc5d2xyYTIJaC4yZXQ5MnAwMg5oLjU5bnB4eXhwb21qZDIJaC4xN2RwOHZ1MgloLjNyZGNyam4yCWguMXQzaDVzZjgAciExQnFmMW9uRnhqd0V4R0Naa3luUURucV9hcUFXbE40UGE=</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56</Pages>
  <Words>15596</Words>
  <Characters>85783</Characters>
  <Application>Microsoft Office Word</Application>
  <DocSecurity>0</DocSecurity>
  <Lines>714</Lines>
  <Paragraphs>202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101177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Maricela Villagómez Martínez</cp:lastModifiedBy>
  <cp:revision>2</cp:revision>
  <dcterms:created xsi:type="dcterms:W3CDTF">2026-04-07T17:42:00Z</dcterms:created>
  <dcterms:modified xsi:type="dcterms:W3CDTF">2026-04-07T17:42:00Z</dcterms:modified>
</cp:coreProperties>
</file>