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3B835B" w14:textId="64DCAC82" w:rsidR="00870B18" w:rsidRPr="00E66FD9" w:rsidRDefault="00870B18" w:rsidP="00870B18">
      <w:pPr>
        <w:spacing w:before="240" w:line="360" w:lineRule="auto"/>
        <w:jc w:val="both"/>
        <w:rPr>
          <w:rFonts w:ascii="Palatino Linotype" w:eastAsia="Times New Roman" w:hAnsi="Palatino Linotype" w:cs="Arial"/>
          <w:color w:val="000000"/>
          <w:sz w:val="24"/>
          <w:szCs w:val="24"/>
          <w:lang w:eastAsia="es-MX"/>
        </w:rPr>
      </w:pPr>
      <w:r w:rsidRPr="00E66FD9">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8F5877" w:rsidRPr="00E66FD9">
        <w:rPr>
          <w:rFonts w:ascii="Palatino Linotype" w:eastAsia="Times New Roman" w:hAnsi="Palatino Linotype" w:cs="Arial"/>
          <w:color w:val="000000"/>
          <w:sz w:val="24"/>
          <w:szCs w:val="24"/>
          <w:lang w:eastAsia="es-MX"/>
        </w:rPr>
        <w:t xml:space="preserve">cinco de marzo de dos mil veintiséis. </w:t>
      </w:r>
      <w:r w:rsidRPr="00E66FD9">
        <w:rPr>
          <w:rFonts w:ascii="Palatino Linotype" w:eastAsia="Times New Roman" w:hAnsi="Palatino Linotype" w:cs="Arial"/>
          <w:color w:val="000000"/>
          <w:sz w:val="24"/>
          <w:szCs w:val="24"/>
          <w:lang w:eastAsia="es-MX"/>
        </w:rPr>
        <w:t xml:space="preserve">        </w:t>
      </w:r>
    </w:p>
    <w:p w14:paraId="06F83110" w14:textId="318527FF" w:rsidR="008F5877" w:rsidRPr="00E66FD9" w:rsidRDefault="00870B18" w:rsidP="00870B18">
      <w:pPr>
        <w:tabs>
          <w:tab w:val="left" w:pos="1701"/>
        </w:tabs>
        <w:spacing w:before="240" w:line="360" w:lineRule="auto"/>
        <w:jc w:val="both"/>
        <w:rPr>
          <w:rFonts w:ascii="Palatino Linotype" w:hAnsi="Palatino Linotype" w:cs="Arial"/>
          <w:sz w:val="24"/>
          <w:szCs w:val="24"/>
        </w:rPr>
      </w:pPr>
      <w:r w:rsidRPr="00E66FD9">
        <w:rPr>
          <w:rFonts w:ascii="Palatino Linotype" w:hAnsi="Palatino Linotype" w:cs="Arial"/>
          <w:b/>
          <w:sz w:val="24"/>
        </w:rPr>
        <w:t>VISTO</w:t>
      </w:r>
      <w:r w:rsidRPr="00E66FD9">
        <w:rPr>
          <w:rFonts w:ascii="Palatino Linotype" w:hAnsi="Palatino Linotype" w:cs="Arial"/>
          <w:sz w:val="24"/>
        </w:rPr>
        <w:t xml:space="preserve"> el expediente electrónico formado con motivo del recurso de revisión número </w:t>
      </w:r>
      <w:bookmarkStart w:id="0" w:name="_GoBack"/>
      <w:r w:rsidR="008F5877" w:rsidRPr="00E66FD9">
        <w:rPr>
          <w:rFonts w:ascii="Palatino Linotype" w:hAnsi="Palatino Linotype" w:cs="Arial"/>
          <w:b/>
          <w:bCs/>
          <w:sz w:val="24"/>
          <w:lang w:eastAsia="es-MX"/>
        </w:rPr>
        <w:t>01720</w:t>
      </w:r>
      <w:r w:rsidRPr="00E66FD9">
        <w:rPr>
          <w:rFonts w:ascii="Palatino Linotype" w:hAnsi="Palatino Linotype" w:cs="Arial"/>
          <w:b/>
          <w:bCs/>
          <w:sz w:val="24"/>
          <w:lang w:eastAsia="es-MX"/>
        </w:rPr>
        <w:t>/INFOEM/IP/RR/202</w:t>
      </w:r>
      <w:r w:rsidR="008F5877" w:rsidRPr="00E66FD9">
        <w:rPr>
          <w:rFonts w:ascii="Palatino Linotype" w:hAnsi="Palatino Linotype" w:cs="Arial"/>
          <w:b/>
          <w:bCs/>
          <w:sz w:val="24"/>
          <w:lang w:eastAsia="es-MX"/>
        </w:rPr>
        <w:t>6</w:t>
      </w:r>
      <w:bookmarkEnd w:id="0"/>
      <w:r w:rsidRPr="00E66FD9">
        <w:rPr>
          <w:rFonts w:ascii="Palatino Linotype" w:hAnsi="Palatino Linotype" w:cs="Arial"/>
          <w:sz w:val="24"/>
        </w:rPr>
        <w:t xml:space="preserve">, </w:t>
      </w:r>
      <w:r w:rsidRPr="00E66FD9">
        <w:rPr>
          <w:rFonts w:ascii="Palatino Linotype" w:hAnsi="Palatino Linotype" w:cs="Arial"/>
          <w:sz w:val="24"/>
          <w:szCs w:val="24"/>
        </w:rPr>
        <w:t xml:space="preserve">interpuesto por </w:t>
      </w:r>
      <w:r w:rsidR="008F5877" w:rsidRPr="00E66FD9">
        <w:rPr>
          <w:rFonts w:ascii="Palatino Linotype" w:hAnsi="Palatino Linotype" w:cs="Arial"/>
          <w:sz w:val="24"/>
          <w:szCs w:val="24"/>
        </w:rPr>
        <w:t xml:space="preserve">la </w:t>
      </w:r>
      <w:r w:rsidR="008F5877" w:rsidRPr="00E66FD9">
        <w:rPr>
          <w:rFonts w:ascii="Palatino Linotype" w:hAnsi="Palatino Linotype" w:cs="Arial"/>
          <w:b/>
          <w:bCs/>
          <w:sz w:val="24"/>
          <w:szCs w:val="24"/>
        </w:rPr>
        <w:t xml:space="preserve">C. </w:t>
      </w:r>
      <w:r w:rsidR="006E3C6B">
        <w:rPr>
          <w:rFonts w:ascii="Palatino Linotype" w:hAnsi="Palatino Linotype" w:cs="Arial"/>
          <w:b/>
          <w:bCs/>
          <w:sz w:val="24"/>
          <w:szCs w:val="24"/>
        </w:rPr>
        <w:t>XXXXXXXXXXXXXXXXX</w:t>
      </w:r>
      <w:r w:rsidR="008F5877" w:rsidRPr="00E66FD9">
        <w:rPr>
          <w:rFonts w:ascii="Palatino Linotype" w:hAnsi="Palatino Linotype" w:cs="Arial"/>
          <w:b/>
          <w:bCs/>
          <w:sz w:val="24"/>
          <w:szCs w:val="24"/>
        </w:rPr>
        <w:t xml:space="preserve">, </w:t>
      </w:r>
      <w:r w:rsidR="008F5877" w:rsidRPr="00E66FD9">
        <w:rPr>
          <w:rFonts w:ascii="Palatino Linotype" w:hAnsi="Palatino Linotype" w:cs="Arial"/>
          <w:sz w:val="24"/>
          <w:szCs w:val="24"/>
        </w:rPr>
        <w:t xml:space="preserve">en lo sucesivo </w:t>
      </w:r>
      <w:r w:rsidR="008F5877" w:rsidRPr="00E66FD9">
        <w:rPr>
          <w:rFonts w:ascii="Palatino Linotype" w:hAnsi="Palatino Linotype" w:cs="Arial"/>
          <w:b/>
          <w:bCs/>
          <w:sz w:val="24"/>
          <w:szCs w:val="24"/>
        </w:rPr>
        <w:t xml:space="preserve">La Recurrente, </w:t>
      </w:r>
      <w:r w:rsidR="008F5877" w:rsidRPr="00E66FD9">
        <w:rPr>
          <w:rFonts w:ascii="Palatino Linotype" w:hAnsi="Palatino Linotype" w:cs="Arial"/>
          <w:sz w:val="24"/>
          <w:szCs w:val="24"/>
        </w:rPr>
        <w:t xml:space="preserve">en contra de la respuesta del </w:t>
      </w:r>
      <w:r w:rsidR="008F5877" w:rsidRPr="00E66FD9">
        <w:rPr>
          <w:rFonts w:ascii="Palatino Linotype" w:hAnsi="Palatino Linotype" w:cs="Arial"/>
          <w:b/>
          <w:bCs/>
          <w:sz w:val="24"/>
          <w:szCs w:val="24"/>
        </w:rPr>
        <w:t xml:space="preserve">Ayuntamiento de Tepotzotlán, </w:t>
      </w:r>
      <w:r w:rsidR="008F5877" w:rsidRPr="00E66FD9">
        <w:rPr>
          <w:rFonts w:ascii="Palatino Linotype" w:hAnsi="Palatino Linotype" w:cs="Arial"/>
          <w:sz w:val="24"/>
          <w:szCs w:val="24"/>
        </w:rPr>
        <w:t xml:space="preserve">en lo subsecuente </w:t>
      </w:r>
      <w:r w:rsidR="008F5877" w:rsidRPr="00E66FD9">
        <w:rPr>
          <w:rFonts w:ascii="Palatino Linotype" w:hAnsi="Palatino Linotype" w:cs="Arial"/>
          <w:b/>
          <w:bCs/>
          <w:sz w:val="24"/>
          <w:szCs w:val="24"/>
        </w:rPr>
        <w:t xml:space="preserve">El Sujeto Obligado, </w:t>
      </w:r>
      <w:r w:rsidR="008F5877" w:rsidRPr="00E66FD9">
        <w:rPr>
          <w:rFonts w:ascii="Palatino Linotype" w:hAnsi="Palatino Linotype" w:cs="Arial"/>
          <w:sz w:val="24"/>
          <w:szCs w:val="24"/>
        </w:rPr>
        <w:t xml:space="preserve">se procede a dictar la presente resolución. </w:t>
      </w:r>
    </w:p>
    <w:p w14:paraId="6F922ADB" w14:textId="77777777" w:rsidR="008F5877" w:rsidRPr="00E66FD9" w:rsidRDefault="008F5877" w:rsidP="00870B18">
      <w:pPr>
        <w:tabs>
          <w:tab w:val="left" w:pos="1701"/>
        </w:tabs>
        <w:spacing w:before="240" w:line="360" w:lineRule="auto"/>
        <w:jc w:val="both"/>
        <w:rPr>
          <w:rFonts w:ascii="Palatino Linotype" w:hAnsi="Palatino Linotype" w:cs="Arial"/>
          <w:sz w:val="24"/>
          <w:szCs w:val="24"/>
        </w:rPr>
      </w:pPr>
    </w:p>
    <w:p w14:paraId="51FDFCCD" w14:textId="1AF3433D" w:rsidR="00870B18" w:rsidRPr="00E66FD9" w:rsidRDefault="00870B18" w:rsidP="00870B18">
      <w:pPr>
        <w:spacing w:before="240" w:after="240" w:line="360" w:lineRule="auto"/>
        <w:jc w:val="center"/>
        <w:rPr>
          <w:rFonts w:ascii="Palatino Linotype" w:hAnsi="Palatino Linotype"/>
          <w:b/>
          <w:sz w:val="28"/>
        </w:rPr>
      </w:pPr>
      <w:r w:rsidRPr="00E66FD9">
        <w:rPr>
          <w:rFonts w:ascii="Palatino Linotype" w:hAnsi="Palatino Linotype"/>
          <w:b/>
          <w:sz w:val="28"/>
        </w:rPr>
        <w:t>A N T E C E D E N T E S   D E L   A S U N T O</w:t>
      </w:r>
    </w:p>
    <w:p w14:paraId="17D82356" w14:textId="77777777" w:rsidR="00870B18" w:rsidRPr="00E66FD9" w:rsidRDefault="00870B18" w:rsidP="00870B18">
      <w:pPr>
        <w:spacing w:before="240" w:after="240" w:line="360" w:lineRule="auto"/>
        <w:jc w:val="both"/>
        <w:rPr>
          <w:rFonts w:ascii="Palatino Linotype" w:hAnsi="Palatino Linotype"/>
        </w:rPr>
      </w:pPr>
      <w:r w:rsidRPr="00E66FD9">
        <w:rPr>
          <w:rFonts w:ascii="Palatino Linotype" w:hAnsi="Palatino Linotype" w:cs="Arial"/>
          <w:b/>
          <w:sz w:val="28"/>
        </w:rPr>
        <w:t>PRIMERO.</w:t>
      </w:r>
      <w:r w:rsidRPr="00E66FD9">
        <w:rPr>
          <w:rFonts w:ascii="Palatino Linotype" w:hAnsi="Palatino Linotype" w:cs="Arial"/>
        </w:rPr>
        <w:t xml:space="preserve"> </w:t>
      </w:r>
      <w:r w:rsidRPr="00E66FD9">
        <w:rPr>
          <w:rFonts w:ascii="Palatino Linotype" w:hAnsi="Palatino Linotype"/>
          <w:b/>
          <w:sz w:val="28"/>
          <w:szCs w:val="28"/>
        </w:rPr>
        <w:t>De la Solicitud de Información.</w:t>
      </w:r>
    </w:p>
    <w:p w14:paraId="378993F8" w14:textId="4F1B75AA" w:rsidR="008F5877" w:rsidRPr="00E66FD9" w:rsidRDefault="00870B18" w:rsidP="00870B18">
      <w:pPr>
        <w:spacing w:before="240" w:line="360" w:lineRule="auto"/>
        <w:jc w:val="both"/>
        <w:rPr>
          <w:rFonts w:ascii="Palatino Linotype" w:hAnsi="Palatino Linotype" w:cs="Arial"/>
          <w:sz w:val="24"/>
        </w:rPr>
      </w:pPr>
      <w:r w:rsidRPr="00E66FD9">
        <w:rPr>
          <w:rFonts w:ascii="Palatino Linotype" w:hAnsi="Palatino Linotype" w:cs="Arial"/>
          <w:sz w:val="24"/>
        </w:rPr>
        <w:t xml:space="preserve">Con fecha </w:t>
      </w:r>
      <w:r w:rsidR="008F5877" w:rsidRPr="00E66FD9">
        <w:rPr>
          <w:rFonts w:ascii="Palatino Linotype" w:hAnsi="Palatino Linotype" w:cs="Arial"/>
          <w:b/>
          <w:bCs/>
          <w:sz w:val="24"/>
        </w:rPr>
        <w:t xml:space="preserve">dos de diciembre de dos mil veinticinco, La Recurrente, </w:t>
      </w:r>
      <w:r w:rsidRPr="00E66FD9">
        <w:rPr>
          <w:rFonts w:ascii="Palatino Linotype" w:hAnsi="Palatino Linotype" w:cs="Arial"/>
          <w:sz w:val="24"/>
        </w:rPr>
        <w:t>presentó a través del Sistema de Acceso a la Información Mexiquense (</w:t>
      </w:r>
      <w:r w:rsidRPr="00E66FD9">
        <w:rPr>
          <w:rFonts w:ascii="Palatino Linotype" w:hAnsi="Palatino Linotype" w:cs="Arial"/>
          <w:b/>
          <w:sz w:val="24"/>
        </w:rPr>
        <w:t>SAIMEX)</w:t>
      </w:r>
      <w:r w:rsidRPr="00E66FD9">
        <w:rPr>
          <w:rFonts w:ascii="Palatino Linotype" w:hAnsi="Palatino Linotype" w:cs="Arial"/>
          <w:sz w:val="24"/>
        </w:rPr>
        <w:t xml:space="preserve"> ante </w:t>
      </w:r>
      <w:r w:rsidRPr="00E66FD9">
        <w:rPr>
          <w:rFonts w:ascii="Palatino Linotype" w:hAnsi="Palatino Linotype" w:cs="Arial"/>
          <w:b/>
          <w:sz w:val="24"/>
        </w:rPr>
        <w:t>El Sujeto Obligado</w:t>
      </w:r>
      <w:r w:rsidRPr="00E66FD9">
        <w:rPr>
          <w:rFonts w:ascii="Palatino Linotype" w:hAnsi="Palatino Linotype" w:cs="Arial"/>
          <w:sz w:val="24"/>
        </w:rPr>
        <w:t xml:space="preserve">, solicitud de acceso a la información pública, registrada bajo el número de expediente </w:t>
      </w:r>
      <w:r w:rsidR="008F5877" w:rsidRPr="00E66FD9">
        <w:rPr>
          <w:rFonts w:ascii="Palatino Linotype" w:hAnsi="Palatino Linotype" w:cs="Arial"/>
          <w:b/>
          <w:bCs/>
          <w:sz w:val="24"/>
        </w:rPr>
        <w:t xml:space="preserve">01638/TEPOTZOT/IP/2025, </w:t>
      </w:r>
      <w:r w:rsidR="008F5877" w:rsidRPr="00E66FD9">
        <w:rPr>
          <w:rFonts w:ascii="Palatino Linotype" w:hAnsi="Palatino Linotype" w:cs="Arial"/>
          <w:sz w:val="24"/>
        </w:rPr>
        <w:t xml:space="preserve">mediante la cual solicitó información en el tenor siguiente: </w:t>
      </w:r>
    </w:p>
    <w:p w14:paraId="40F48055" w14:textId="009922F0" w:rsidR="00870B18" w:rsidRPr="00E66FD9" w:rsidRDefault="00870B18" w:rsidP="00870B18">
      <w:pPr>
        <w:pStyle w:val="Citas"/>
        <w:rPr>
          <w:b/>
          <w:bCs/>
          <w:sz w:val="24"/>
        </w:rPr>
      </w:pPr>
      <w:bookmarkStart w:id="1" w:name="_Hlk144743307"/>
      <w:r w:rsidRPr="00E66FD9">
        <w:t>“</w:t>
      </w:r>
      <w:r w:rsidR="008F5877" w:rsidRPr="00E66FD9">
        <w:t>Solicito el listado completo de proveedores contratados más de dos veces por cada Dirección durante 2022–2025, especificando: • total pagado • concepto del gasto • contrato o pedido • justificación de adjudicación directa • evidencia de entrega de bienes o servicios. Fundamento: arts. 28, 92, 95, 96 LTAIPEMyM</w:t>
      </w:r>
      <w:r w:rsidRPr="00E66FD9">
        <w:t xml:space="preserve">” </w:t>
      </w:r>
      <w:r w:rsidRPr="00E66FD9">
        <w:rPr>
          <w:b/>
          <w:bCs/>
        </w:rPr>
        <w:t>(Sic)</w:t>
      </w:r>
    </w:p>
    <w:bookmarkEnd w:id="1"/>
    <w:p w14:paraId="3DFD50C0" w14:textId="77777777" w:rsidR="00870B18" w:rsidRPr="00E66FD9" w:rsidRDefault="00870B18" w:rsidP="00870B18">
      <w:pPr>
        <w:spacing w:before="240" w:line="360" w:lineRule="auto"/>
        <w:ind w:right="850"/>
        <w:jc w:val="both"/>
        <w:rPr>
          <w:rFonts w:ascii="Palatino Linotype" w:eastAsia="Times New Roman" w:hAnsi="Palatino Linotype" w:cs="Times New Roman"/>
          <w:sz w:val="24"/>
          <w:szCs w:val="24"/>
          <w:lang w:val="es-ES_tradnl" w:eastAsia="es-ES"/>
        </w:rPr>
      </w:pPr>
      <w:r w:rsidRPr="00E66FD9">
        <w:rPr>
          <w:rFonts w:ascii="Palatino Linotype" w:eastAsia="Times New Roman" w:hAnsi="Palatino Linotype" w:cs="Times New Roman"/>
          <w:b/>
          <w:sz w:val="24"/>
          <w:szCs w:val="24"/>
          <w:lang w:val="es-ES_tradnl" w:eastAsia="es-ES"/>
        </w:rPr>
        <w:t>Modalidad de entrega:</w:t>
      </w:r>
      <w:r w:rsidRPr="00E66FD9">
        <w:rPr>
          <w:rFonts w:ascii="Palatino Linotype" w:eastAsia="Times New Roman" w:hAnsi="Palatino Linotype" w:cs="Times New Roman"/>
          <w:sz w:val="24"/>
          <w:szCs w:val="24"/>
          <w:lang w:val="es-ES_tradnl" w:eastAsia="es-ES"/>
        </w:rPr>
        <w:t xml:space="preserve"> A través del SAIMEX. </w:t>
      </w:r>
    </w:p>
    <w:p w14:paraId="609B2597" w14:textId="18C88D1D" w:rsidR="00870B18" w:rsidRPr="00E66FD9" w:rsidRDefault="00870B18" w:rsidP="00870B18">
      <w:pPr>
        <w:spacing w:before="240" w:line="360" w:lineRule="auto"/>
        <w:jc w:val="both"/>
        <w:rPr>
          <w:rFonts w:ascii="Palatino Linotype" w:hAnsi="Palatino Linotype" w:cs="Arial"/>
          <w:b/>
          <w:sz w:val="28"/>
        </w:rPr>
      </w:pPr>
      <w:r w:rsidRPr="00E66FD9">
        <w:rPr>
          <w:rFonts w:ascii="Palatino Linotype" w:hAnsi="Palatino Linotype" w:cs="Arial"/>
          <w:b/>
          <w:sz w:val="28"/>
        </w:rPr>
        <w:lastRenderedPageBreak/>
        <w:t xml:space="preserve">SEGUNDO. </w:t>
      </w:r>
      <w:r w:rsidRPr="00E66FD9">
        <w:rPr>
          <w:rFonts w:ascii="Palatino Linotype" w:hAnsi="Palatino Linotype" w:cs="Arial"/>
          <w:b/>
          <w:sz w:val="28"/>
          <w:szCs w:val="20"/>
        </w:rPr>
        <w:t>De la respuesta del Sujeto Obligado.</w:t>
      </w:r>
    </w:p>
    <w:p w14:paraId="67F49CEB" w14:textId="47A26EBE" w:rsidR="008F5877" w:rsidRPr="00E66FD9" w:rsidRDefault="00870B18" w:rsidP="00870B18">
      <w:pPr>
        <w:spacing w:before="240" w:line="360" w:lineRule="auto"/>
        <w:jc w:val="both"/>
        <w:rPr>
          <w:rFonts w:ascii="Palatino Linotype" w:hAnsi="Palatino Linotype" w:cs="Arial"/>
          <w:sz w:val="24"/>
          <w:szCs w:val="24"/>
        </w:rPr>
      </w:pPr>
      <w:r w:rsidRPr="00E66FD9">
        <w:rPr>
          <w:rFonts w:ascii="Palatino Linotype" w:hAnsi="Palatino Linotype" w:cs="Arial"/>
          <w:sz w:val="24"/>
          <w:szCs w:val="24"/>
        </w:rPr>
        <w:t xml:space="preserve">En el expediente electrónico </w:t>
      </w:r>
      <w:r w:rsidRPr="00E66FD9">
        <w:rPr>
          <w:rFonts w:ascii="Palatino Linotype" w:hAnsi="Palatino Linotype" w:cs="Arial"/>
          <w:b/>
          <w:sz w:val="24"/>
          <w:szCs w:val="24"/>
        </w:rPr>
        <w:t>SAIMEX</w:t>
      </w:r>
      <w:r w:rsidRPr="00E66FD9">
        <w:rPr>
          <w:rFonts w:ascii="Palatino Linotype" w:hAnsi="Palatino Linotype" w:cs="Arial"/>
          <w:sz w:val="24"/>
          <w:szCs w:val="24"/>
        </w:rPr>
        <w:t xml:space="preserve">, se aprecia que el </w:t>
      </w:r>
      <w:r w:rsidR="008F5877" w:rsidRPr="00E66FD9">
        <w:rPr>
          <w:rFonts w:ascii="Palatino Linotype" w:hAnsi="Palatino Linotype" w:cs="Arial"/>
          <w:b/>
          <w:bCs/>
          <w:sz w:val="24"/>
          <w:szCs w:val="24"/>
        </w:rPr>
        <w:t xml:space="preserve">diecinueve de enero de dos mil veintiséis, El Sujeto Obligado </w:t>
      </w:r>
      <w:r w:rsidR="008F5877" w:rsidRPr="00E66FD9">
        <w:rPr>
          <w:rFonts w:ascii="Palatino Linotype" w:hAnsi="Palatino Linotype" w:cs="Arial"/>
          <w:sz w:val="24"/>
          <w:szCs w:val="24"/>
        </w:rPr>
        <w:t xml:space="preserve">dio respuesta a la solicitud de información </w:t>
      </w:r>
      <w:r w:rsidR="008F5877" w:rsidRPr="00E66FD9">
        <w:rPr>
          <w:rFonts w:ascii="Palatino Linotype" w:hAnsi="Palatino Linotype" w:cs="Arial"/>
          <w:b/>
          <w:bCs/>
          <w:sz w:val="24"/>
          <w:szCs w:val="24"/>
        </w:rPr>
        <w:t xml:space="preserve">01638/TEPOTZOT/IP/2025, </w:t>
      </w:r>
      <w:r w:rsidR="008F5877" w:rsidRPr="00E66FD9">
        <w:rPr>
          <w:rFonts w:ascii="Palatino Linotype" w:hAnsi="Palatino Linotype" w:cs="Arial"/>
          <w:sz w:val="24"/>
          <w:szCs w:val="24"/>
        </w:rPr>
        <w:t>resultando de nuestro interés lo siguiente:</w:t>
      </w:r>
    </w:p>
    <w:p w14:paraId="55074FE2" w14:textId="785CA35F" w:rsidR="008F5877" w:rsidRPr="00E66FD9" w:rsidRDefault="008F5877" w:rsidP="008F5877">
      <w:pPr>
        <w:pStyle w:val="Citas"/>
        <w:rPr>
          <w:b/>
          <w:bCs/>
        </w:rPr>
      </w:pPr>
      <w:r w:rsidRPr="00E66FD9">
        <w:t xml:space="preserve">“SE ADJUNTA RESPUESTA DE SERVIDOR PÚBLICO HABILITADO” </w:t>
      </w:r>
      <w:r w:rsidRPr="00E66FD9">
        <w:rPr>
          <w:b/>
          <w:bCs/>
        </w:rPr>
        <w:t>(Sic)</w:t>
      </w:r>
    </w:p>
    <w:p w14:paraId="67A5339E" w14:textId="156F51C1" w:rsidR="00870B18" w:rsidRPr="00E66FD9" w:rsidRDefault="00870B18" w:rsidP="00870B18">
      <w:pPr>
        <w:spacing w:before="240" w:line="360" w:lineRule="auto"/>
        <w:jc w:val="both"/>
        <w:rPr>
          <w:rFonts w:ascii="Palatino Linotype" w:hAnsi="Palatino Linotype" w:cs="Arial"/>
          <w:sz w:val="24"/>
          <w:szCs w:val="24"/>
        </w:rPr>
      </w:pPr>
      <w:r w:rsidRPr="00E66FD9">
        <w:rPr>
          <w:rFonts w:ascii="Palatino Linotype" w:hAnsi="Palatino Linotype" w:cs="Arial"/>
          <w:sz w:val="24"/>
          <w:szCs w:val="24"/>
        </w:rPr>
        <w:t xml:space="preserve">De forma complementaria, </w:t>
      </w:r>
      <w:r w:rsidRPr="00E66FD9">
        <w:rPr>
          <w:rFonts w:ascii="Palatino Linotype" w:hAnsi="Palatino Linotype" w:cs="Arial"/>
          <w:b/>
          <w:bCs/>
          <w:sz w:val="24"/>
          <w:szCs w:val="24"/>
        </w:rPr>
        <w:t xml:space="preserve">El Sujeto Obligado </w:t>
      </w:r>
      <w:r w:rsidRPr="00E66FD9">
        <w:rPr>
          <w:rFonts w:ascii="Palatino Linotype" w:hAnsi="Palatino Linotype" w:cs="Arial"/>
          <w:sz w:val="24"/>
          <w:szCs w:val="24"/>
        </w:rPr>
        <w:t xml:space="preserve">adjuntó el documento electrónico </w:t>
      </w:r>
      <w:r w:rsidR="008F5877" w:rsidRPr="00E66FD9">
        <w:rPr>
          <w:rFonts w:ascii="Palatino Linotype" w:hAnsi="Palatino Linotype" w:cs="Arial"/>
          <w:b/>
          <w:bCs/>
          <w:sz w:val="24"/>
          <w:szCs w:val="24"/>
        </w:rPr>
        <w:t xml:space="preserve">“ADQ-424-2025.pdf”, </w:t>
      </w:r>
      <w:r w:rsidR="008F5877" w:rsidRPr="00E66FD9">
        <w:rPr>
          <w:rFonts w:ascii="Palatino Linotype" w:hAnsi="Palatino Linotype" w:cs="Arial"/>
          <w:sz w:val="24"/>
          <w:szCs w:val="24"/>
        </w:rPr>
        <w:t xml:space="preserve">cuyo contenido se tiene por reproducido como </w:t>
      </w:r>
      <w:r w:rsidRPr="00E66FD9">
        <w:rPr>
          <w:rFonts w:ascii="Palatino Linotype" w:hAnsi="Palatino Linotype" w:cs="Arial"/>
          <w:sz w:val="24"/>
          <w:szCs w:val="24"/>
        </w:rPr>
        <w:t xml:space="preserve">si a la letra se insertase en virtud de que será materia de análisis en el considerando respectivo. </w:t>
      </w:r>
    </w:p>
    <w:p w14:paraId="4C9AD3F6" w14:textId="77777777" w:rsidR="00870B18" w:rsidRPr="00E66FD9" w:rsidRDefault="00870B18" w:rsidP="00870B18">
      <w:pPr>
        <w:spacing w:before="240" w:line="360" w:lineRule="auto"/>
        <w:jc w:val="both"/>
        <w:rPr>
          <w:rFonts w:ascii="Palatino Linotype" w:hAnsi="Palatino Linotype" w:cs="Arial"/>
          <w:sz w:val="24"/>
          <w:szCs w:val="24"/>
        </w:rPr>
      </w:pPr>
    </w:p>
    <w:p w14:paraId="2F3F8225" w14:textId="3B7464A6" w:rsidR="00870B18" w:rsidRPr="00E66FD9" w:rsidRDefault="00870B18" w:rsidP="00870B18">
      <w:pPr>
        <w:spacing w:before="240" w:line="360" w:lineRule="auto"/>
        <w:jc w:val="both"/>
        <w:rPr>
          <w:rFonts w:ascii="Palatino Linotype" w:hAnsi="Palatino Linotype" w:cs="Arial"/>
          <w:b/>
          <w:sz w:val="28"/>
        </w:rPr>
      </w:pPr>
      <w:r w:rsidRPr="00E66FD9">
        <w:rPr>
          <w:rFonts w:ascii="Palatino Linotype" w:hAnsi="Palatino Linotype" w:cs="Arial"/>
          <w:b/>
          <w:sz w:val="28"/>
        </w:rPr>
        <w:t xml:space="preserve">TERCERO. </w:t>
      </w:r>
      <w:r w:rsidRPr="00E66FD9">
        <w:rPr>
          <w:rFonts w:ascii="Palatino Linotype" w:hAnsi="Palatino Linotype"/>
          <w:b/>
          <w:sz w:val="28"/>
        </w:rPr>
        <w:t>Del recurso de revisión.</w:t>
      </w:r>
    </w:p>
    <w:p w14:paraId="5D3C681A" w14:textId="069E25F9" w:rsidR="008F5877" w:rsidRPr="00E66FD9" w:rsidRDefault="00870B18" w:rsidP="00870B18">
      <w:pPr>
        <w:spacing w:before="240" w:line="360" w:lineRule="auto"/>
        <w:jc w:val="both"/>
        <w:rPr>
          <w:rFonts w:ascii="Palatino Linotype" w:hAnsi="Palatino Linotype" w:cs="Arial"/>
          <w:bCs/>
          <w:sz w:val="24"/>
          <w:szCs w:val="24"/>
        </w:rPr>
      </w:pPr>
      <w:r w:rsidRPr="00E66FD9">
        <w:rPr>
          <w:rFonts w:ascii="Palatino Linotype" w:hAnsi="Palatino Linotype" w:cs="Arial"/>
          <w:sz w:val="24"/>
          <w:szCs w:val="24"/>
        </w:rPr>
        <w:t xml:space="preserve">Inconforme con la respuesta notificada por </w:t>
      </w:r>
      <w:r w:rsidRPr="00E66FD9">
        <w:rPr>
          <w:rFonts w:ascii="Palatino Linotype" w:hAnsi="Palatino Linotype" w:cs="Arial"/>
          <w:b/>
          <w:sz w:val="24"/>
          <w:szCs w:val="24"/>
        </w:rPr>
        <w:t xml:space="preserve">El Sujeto Obligado, </w:t>
      </w:r>
      <w:r w:rsidR="008F5877" w:rsidRPr="00E66FD9">
        <w:rPr>
          <w:rFonts w:ascii="Palatino Linotype" w:hAnsi="Palatino Linotype" w:cs="Arial"/>
          <w:b/>
          <w:sz w:val="24"/>
          <w:szCs w:val="24"/>
        </w:rPr>
        <w:t>La</w:t>
      </w:r>
      <w:r w:rsidRPr="00E66FD9">
        <w:rPr>
          <w:rFonts w:ascii="Palatino Linotype" w:hAnsi="Palatino Linotype" w:cs="Arial"/>
          <w:b/>
          <w:sz w:val="24"/>
          <w:szCs w:val="24"/>
        </w:rPr>
        <w:t xml:space="preserve"> Recurrente </w:t>
      </w:r>
      <w:r w:rsidRPr="00E66FD9">
        <w:rPr>
          <w:rFonts w:ascii="Palatino Linotype" w:hAnsi="Palatino Linotype" w:cs="Arial"/>
          <w:bCs/>
          <w:sz w:val="24"/>
          <w:szCs w:val="24"/>
        </w:rPr>
        <w:t xml:space="preserve">interpuso el recurso de revisión, en fecha </w:t>
      </w:r>
      <w:r w:rsidR="008F5877" w:rsidRPr="00E66FD9">
        <w:rPr>
          <w:rFonts w:ascii="Palatino Linotype" w:hAnsi="Palatino Linotype" w:cs="Arial"/>
          <w:b/>
          <w:sz w:val="24"/>
          <w:szCs w:val="24"/>
        </w:rPr>
        <w:t xml:space="preserve">diez de febrero de dos mil veintiséis, </w:t>
      </w:r>
      <w:r w:rsidR="008F5877" w:rsidRPr="00E66FD9">
        <w:rPr>
          <w:rFonts w:ascii="Palatino Linotype" w:hAnsi="Palatino Linotype" w:cs="Arial"/>
          <w:bCs/>
          <w:sz w:val="24"/>
          <w:szCs w:val="24"/>
        </w:rPr>
        <w:t xml:space="preserve">el cual fue </w:t>
      </w:r>
      <w:r w:rsidR="00F42452" w:rsidRPr="00E66FD9">
        <w:rPr>
          <w:rFonts w:ascii="Palatino Linotype" w:hAnsi="Palatino Linotype" w:cs="Arial"/>
          <w:bCs/>
          <w:sz w:val="24"/>
          <w:szCs w:val="24"/>
        </w:rPr>
        <w:t xml:space="preserve">registrado en el sistema electrónico con el expediente </w:t>
      </w:r>
      <w:r w:rsidR="008F5877" w:rsidRPr="00E66FD9">
        <w:rPr>
          <w:rFonts w:ascii="Palatino Linotype" w:hAnsi="Palatino Linotype" w:cs="Arial"/>
          <w:b/>
          <w:sz w:val="24"/>
          <w:szCs w:val="24"/>
        </w:rPr>
        <w:t xml:space="preserve">01720/INFOEM/IP/RR/2026, </w:t>
      </w:r>
      <w:r w:rsidR="008F5877" w:rsidRPr="00E66FD9">
        <w:rPr>
          <w:rFonts w:ascii="Palatino Linotype" w:hAnsi="Palatino Linotype" w:cs="Arial"/>
          <w:bCs/>
          <w:sz w:val="24"/>
          <w:szCs w:val="24"/>
        </w:rPr>
        <w:t xml:space="preserve">en el cual arguye las siguientes manifestaciones: </w:t>
      </w:r>
    </w:p>
    <w:p w14:paraId="22BB7FF0" w14:textId="77777777" w:rsidR="00870B18" w:rsidRPr="00E66FD9" w:rsidRDefault="00870B18" w:rsidP="00870B18">
      <w:pPr>
        <w:spacing w:before="240" w:line="360" w:lineRule="auto"/>
        <w:jc w:val="both"/>
        <w:rPr>
          <w:rFonts w:ascii="Palatino Linotype" w:hAnsi="Palatino Linotype" w:cs="Arial"/>
          <w:b/>
          <w:sz w:val="24"/>
        </w:rPr>
      </w:pPr>
      <w:r w:rsidRPr="00E66FD9">
        <w:rPr>
          <w:rFonts w:ascii="Palatino Linotype" w:hAnsi="Palatino Linotype" w:cs="Arial"/>
          <w:b/>
          <w:sz w:val="24"/>
        </w:rPr>
        <w:t>Acto Impugnado:</w:t>
      </w:r>
    </w:p>
    <w:p w14:paraId="0E27E066" w14:textId="7856DC8F" w:rsidR="00870B18" w:rsidRPr="00E66FD9" w:rsidRDefault="00870B18" w:rsidP="00870B18">
      <w:pPr>
        <w:pStyle w:val="Citas"/>
        <w:rPr>
          <w:b/>
          <w:bCs/>
          <w:sz w:val="24"/>
        </w:rPr>
      </w:pPr>
      <w:r w:rsidRPr="00E66FD9">
        <w:t>“</w:t>
      </w:r>
      <w:r w:rsidR="008F5877" w:rsidRPr="00E66FD9">
        <w:t xml:space="preserve">Solicito el listado completo de proveedores contratados más de dos veces por cada Dirección durante 2022–2025, especificando: • total pagado • concepto del gasto • contrato o pedido • justificación de adjudicación directa • evidencia de entrega de bienes o servicios. Fundamento: arts. 28, 92, 95, 96 LTAIPEMyM. La respuesta emitida por la Jefatura de Adquisiciones del H. Ayuntamiento de Tepotzotlán, </w:t>
      </w:r>
      <w:r w:rsidR="008F5877" w:rsidRPr="00E66FD9">
        <w:lastRenderedPageBreak/>
        <w:t>mediante oficio ADQ/424/2025, en la que se declara de manera unilateral la inexistencia de la información solicitada, sin intervención del Comité de Transparencia y sin entregar documento alguno</w:t>
      </w:r>
      <w:r w:rsidRPr="00E66FD9">
        <w:t xml:space="preserve">” </w:t>
      </w:r>
      <w:r w:rsidRPr="00E66FD9">
        <w:rPr>
          <w:b/>
          <w:bCs/>
        </w:rPr>
        <w:t>(Sic)</w:t>
      </w:r>
    </w:p>
    <w:p w14:paraId="2AD8641A" w14:textId="77777777" w:rsidR="00870B18" w:rsidRPr="00E66FD9" w:rsidRDefault="00870B18" w:rsidP="00870B18">
      <w:pPr>
        <w:spacing w:before="240" w:line="360" w:lineRule="auto"/>
        <w:jc w:val="both"/>
        <w:rPr>
          <w:rFonts w:ascii="Palatino Linotype" w:hAnsi="Palatino Linotype" w:cs="Arial"/>
          <w:sz w:val="24"/>
        </w:rPr>
      </w:pPr>
      <w:r w:rsidRPr="00E66FD9">
        <w:rPr>
          <w:rFonts w:ascii="Palatino Linotype" w:hAnsi="Palatino Linotype" w:cs="Arial"/>
          <w:b/>
          <w:sz w:val="24"/>
        </w:rPr>
        <w:t>Razones o Motivos de Inconformidad</w:t>
      </w:r>
      <w:r w:rsidRPr="00E66FD9">
        <w:rPr>
          <w:rFonts w:ascii="Palatino Linotype" w:hAnsi="Palatino Linotype" w:cs="Arial"/>
          <w:sz w:val="24"/>
        </w:rPr>
        <w:t xml:space="preserve">: </w:t>
      </w:r>
    </w:p>
    <w:p w14:paraId="4A84F204" w14:textId="71EFB0B6" w:rsidR="00870B18" w:rsidRPr="00E66FD9" w:rsidRDefault="00870B18" w:rsidP="00870B18">
      <w:pPr>
        <w:pStyle w:val="Citas"/>
        <w:rPr>
          <w:b/>
          <w:bCs/>
        </w:rPr>
      </w:pPr>
      <w:r w:rsidRPr="00E66FD9">
        <w:t>“</w:t>
      </w:r>
      <w:r w:rsidR="008F5877" w:rsidRPr="00E66FD9">
        <w:t xml:space="preserve">AGRAVIOS PRIMERO. Inexistencia indebidamente declarada. El sujeto obligado declara la inexistencia de la información solicitada sin cumplir el procedimiento legal previsto en los artículos 160, 161 y 162 de la Ley de Transparencia del Estado de México, al no acreditar una búsqueda exhaustiva ni someter el asunto al Comité de Transparencia. SEGUNDO. Violación al principio de legalidad y máxima publicidad. Resulta jurídicamente imposible que no existan contratos, adquisiciones, órdenes de compra, facturas, cotizaciones, pagos o expedientes técnicos relacionados con el ejercicio del gasto público, por lo que la respuesta constituye una negativa encubierta de información pública. TERCERO. Falta absoluta de fundamentación y motivación. La autoridad responsable no cita disposición legal alguna que sustente la inexistencia alegada ni explica las razones lógicas y jurídicas por las cuales dicha información no obra en sus archivos, vulnerando el artículo 6 constitucional. CUARTO. Omisión del deber de orientación y canalización. En caso de no ser competente, el sujeto obligado tenía la obligación de turnar o canalizar la solicitud a las áreas que sí generan la información (Tesorería Municipal, Dirección de Administración), lo cual omitió deliberadamente. QUINTO. Violación al derecho de acceso a la información y a la rendición de cuentas. La respuesta impugnada genera incertidumbre jurídica al solicitante e impide el escrutinio del ejercicio de recursos públicos, lo cual constituye una obstrucción del derecho de acceso a la información. PETICIÓN Solicito respetuosamente a ese H. Instituto: Se revoque totalmente la respuesta impugnada. Se ordene al sujeto obligado realizar una búsqueda exhaustiva </w:t>
      </w:r>
      <w:r w:rsidR="008F5877" w:rsidRPr="00E66FD9">
        <w:lastRenderedPageBreak/>
        <w:t>real, en todas las áreas competentes. Se instruya al Comité de Transparencia emitir acta circunstanciada, en caso de insistir en la inexistencia. Se ordene la entrega de versión pública de los contratos, adquisiciones, órdenes de compra, facturas, pagos y expedientes solicitados. Se dé vista al Órgano Interno de Control, por la posible comisión de faltas administrativas derivadas de la simulación de inexistencia documental. Se aperciba a la Unidad de Transparencia para que dé cumplimiento inmediato a la resolución</w:t>
      </w:r>
      <w:r w:rsidRPr="00E66FD9">
        <w:t xml:space="preserve">” </w:t>
      </w:r>
      <w:r w:rsidRPr="00E66FD9">
        <w:rPr>
          <w:b/>
          <w:bCs/>
        </w:rPr>
        <w:t>(Sic)</w:t>
      </w:r>
    </w:p>
    <w:p w14:paraId="451B9C96" w14:textId="77777777" w:rsidR="00F42452" w:rsidRPr="00E66FD9" w:rsidRDefault="00F42452" w:rsidP="00F42452">
      <w:pPr>
        <w:pStyle w:val="Citas"/>
        <w:ind w:left="0"/>
        <w:rPr>
          <w:b/>
        </w:rPr>
      </w:pPr>
    </w:p>
    <w:p w14:paraId="25E4EEBD" w14:textId="41A537FE" w:rsidR="00870B18" w:rsidRPr="00E66FD9" w:rsidRDefault="00F42452" w:rsidP="00870B18">
      <w:pPr>
        <w:spacing w:before="240" w:line="360" w:lineRule="auto"/>
        <w:jc w:val="both"/>
        <w:rPr>
          <w:rFonts w:ascii="Palatino Linotype" w:hAnsi="Palatino Linotype" w:cs="Arial"/>
          <w:b/>
          <w:sz w:val="24"/>
          <w:szCs w:val="24"/>
        </w:rPr>
      </w:pPr>
      <w:r w:rsidRPr="00E66FD9">
        <w:rPr>
          <w:rFonts w:ascii="Palatino Linotype" w:hAnsi="Palatino Linotype" w:cs="Arial"/>
          <w:b/>
          <w:sz w:val="28"/>
        </w:rPr>
        <w:t>CUARTO</w:t>
      </w:r>
      <w:r w:rsidR="00870B18" w:rsidRPr="00E66FD9">
        <w:rPr>
          <w:rFonts w:ascii="Palatino Linotype" w:hAnsi="Palatino Linotype" w:cs="Arial"/>
          <w:b/>
          <w:sz w:val="24"/>
          <w:szCs w:val="24"/>
        </w:rPr>
        <w:t xml:space="preserve">. </w:t>
      </w:r>
      <w:r w:rsidR="00870B18" w:rsidRPr="00E66FD9">
        <w:rPr>
          <w:rFonts w:ascii="Palatino Linotype" w:hAnsi="Palatino Linotype" w:cs="Arial"/>
          <w:b/>
          <w:sz w:val="28"/>
          <w:szCs w:val="28"/>
        </w:rPr>
        <w:t>Del turno del recurso de revisión.</w:t>
      </w:r>
    </w:p>
    <w:p w14:paraId="5AA789FF" w14:textId="3DADF87D" w:rsidR="00870B18" w:rsidRPr="00E66FD9" w:rsidRDefault="00870B18" w:rsidP="00870B18">
      <w:pPr>
        <w:spacing w:before="240" w:line="360" w:lineRule="auto"/>
        <w:jc w:val="both"/>
        <w:rPr>
          <w:rFonts w:ascii="Palatino Linotype" w:hAnsi="Palatino Linotype" w:cs="Arial"/>
          <w:sz w:val="24"/>
          <w:szCs w:val="24"/>
        </w:rPr>
      </w:pPr>
      <w:r w:rsidRPr="00E66FD9">
        <w:rPr>
          <w:rFonts w:ascii="Palatino Linotype" w:hAnsi="Palatino Linotype" w:cs="Arial"/>
          <w:sz w:val="24"/>
          <w:szCs w:val="24"/>
        </w:rPr>
        <w:t xml:space="preserve">Medio de impugnación que le fue turnado al Comisionado </w:t>
      </w:r>
      <w:r w:rsidRPr="00E66FD9">
        <w:rPr>
          <w:rFonts w:ascii="Palatino Linotype" w:hAnsi="Palatino Linotype" w:cs="Arial"/>
          <w:b/>
          <w:sz w:val="24"/>
          <w:szCs w:val="24"/>
        </w:rPr>
        <w:t>José Martínez Vilchis</w:t>
      </w:r>
      <w:r w:rsidRPr="00E66FD9">
        <w:rPr>
          <w:rFonts w:ascii="Palatino Linotype" w:hAnsi="Palatino Linotype" w:cs="Arial"/>
          <w:sz w:val="24"/>
          <w:szCs w:val="24"/>
        </w:rPr>
        <w:t xml:space="preserve">, por medio del sistema electrónico en términos del arábigo 185 fracción I de la Ley de Transparencia y Acceso a la información Pública del Estado de México y Municipios, del cual recayó acuerdo de admisión en fecha </w:t>
      </w:r>
      <w:r w:rsidR="008F5877" w:rsidRPr="00E66FD9">
        <w:rPr>
          <w:rFonts w:ascii="Palatino Linotype" w:hAnsi="Palatino Linotype" w:cs="Arial"/>
          <w:b/>
          <w:bCs/>
          <w:sz w:val="24"/>
          <w:szCs w:val="24"/>
        </w:rPr>
        <w:t xml:space="preserve">diez de febrero de los corrientes, </w:t>
      </w:r>
      <w:r w:rsidR="008F5877" w:rsidRPr="00E66FD9">
        <w:rPr>
          <w:rFonts w:ascii="Palatino Linotype" w:hAnsi="Palatino Linotype" w:cs="Arial"/>
          <w:sz w:val="24"/>
          <w:szCs w:val="24"/>
        </w:rPr>
        <w:t xml:space="preserve">determinándose en él, un </w:t>
      </w:r>
      <w:r w:rsidRPr="00E66FD9">
        <w:rPr>
          <w:rFonts w:ascii="Palatino Linotype" w:hAnsi="Palatino Linotype" w:cs="Arial"/>
          <w:sz w:val="24"/>
          <w:szCs w:val="24"/>
        </w:rPr>
        <w:t>plazo de siete días para que las partes manifestaran lo que a su derecho corresponda en términos del numeral ya citado.</w:t>
      </w:r>
    </w:p>
    <w:p w14:paraId="6865E476" w14:textId="77777777" w:rsidR="00870B18" w:rsidRPr="00E66FD9" w:rsidRDefault="00870B18" w:rsidP="00870B18">
      <w:pPr>
        <w:spacing w:before="240" w:line="360" w:lineRule="auto"/>
        <w:jc w:val="both"/>
        <w:rPr>
          <w:rFonts w:ascii="Palatino Linotype" w:hAnsi="Palatino Linotype" w:cs="Arial"/>
          <w:sz w:val="24"/>
          <w:szCs w:val="24"/>
        </w:rPr>
      </w:pPr>
    </w:p>
    <w:p w14:paraId="27FA6121" w14:textId="4755AA20" w:rsidR="00870B18" w:rsidRPr="00E66FD9" w:rsidRDefault="00F42452" w:rsidP="00870B18">
      <w:pPr>
        <w:spacing w:before="240" w:line="360" w:lineRule="auto"/>
        <w:jc w:val="both"/>
        <w:rPr>
          <w:rFonts w:ascii="Palatino Linotype" w:hAnsi="Palatino Linotype" w:cs="Arial"/>
          <w:b/>
          <w:sz w:val="24"/>
          <w:szCs w:val="24"/>
        </w:rPr>
      </w:pPr>
      <w:r w:rsidRPr="00E66FD9">
        <w:rPr>
          <w:rFonts w:ascii="Palatino Linotype" w:hAnsi="Palatino Linotype" w:cs="Arial"/>
          <w:b/>
          <w:sz w:val="28"/>
        </w:rPr>
        <w:t>QUINTO</w:t>
      </w:r>
      <w:r w:rsidR="00870B18" w:rsidRPr="00E66FD9">
        <w:rPr>
          <w:rFonts w:ascii="Palatino Linotype" w:hAnsi="Palatino Linotype" w:cs="Arial"/>
          <w:b/>
          <w:sz w:val="24"/>
          <w:szCs w:val="24"/>
        </w:rPr>
        <w:t xml:space="preserve">. </w:t>
      </w:r>
      <w:r w:rsidR="00870B18" w:rsidRPr="00E66FD9">
        <w:rPr>
          <w:rFonts w:ascii="Palatino Linotype" w:hAnsi="Palatino Linotype" w:cs="Arial"/>
          <w:b/>
          <w:sz w:val="28"/>
          <w:szCs w:val="28"/>
        </w:rPr>
        <w:t>De la etapa de instrucción.</w:t>
      </w:r>
    </w:p>
    <w:p w14:paraId="092CBB25" w14:textId="3439A1C7" w:rsidR="008F5877" w:rsidRPr="00E66FD9" w:rsidRDefault="00870B18" w:rsidP="00870B18">
      <w:pPr>
        <w:spacing w:before="240" w:line="360" w:lineRule="auto"/>
        <w:jc w:val="both"/>
        <w:rPr>
          <w:rFonts w:ascii="Palatino Linotype" w:hAnsi="Palatino Linotype" w:cs="Arial"/>
          <w:b/>
          <w:sz w:val="24"/>
          <w:szCs w:val="24"/>
        </w:rPr>
      </w:pPr>
      <w:r w:rsidRPr="00E66FD9">
        <w:rPr>
          <w:rFonts w:ascii="Palatino Linotype" w:hAnsi="Palatino Linotype" w:cs="Arial"/>
          <w:sz w:val="24"/>
          <w:szCs w:val="24"/>
        </w:rPr>
        <w:t xml:space="preserve">Así, una vez transcurrido el término legal referido, se advierte que </w:t>
      </w:r>
      <w:r w:rsidRPr="00E66FD9">
        <w:rPr>
          <w:rFonts w:ascii="Palatino Linotype" w:hAnsi="Palatino Linotype" w:cs="Arial"/>
          <w:b/>
          <w:sz w:val="24"/>
          <w:szCs w:val="24"/>
        </w:rPr>
        <w:t xml:space="preserve">El Sujeto Obligado </w:t>
      </w:r>
      <w:r w:rsidR="008F5877" w:rsidRPr="00E66FD9">
        <w:rPr>
          <w:rFonts w:ascii="Palatino Linotype" w:hAnsi="Palatino Linotype" w:cs="Arial"/>
          <w:bCs/>
          <w:sz w:val="24"/>
          <w:szCs w:val="24"/>
        </w:rPr>
        <w:t xml:space="preserve">fue omiso en rendir su informe justificado. </w:t>
      </w:r>
    </w:p>
    <w:p w14:paraId="2E1E5F8A" w14:textId="44FF096F" w:rsidR="00870B18" w:rsidRPr="00E66FD9" w:rsidRDefault="00F42452" w:rsidP="00870B18">
      <w:pPr>
        <w:spacing w:before="240" w:line="360" w:lineRule="auto"/>
        <w:jc w:val="both"/>
        <w:rPr>
          <w:rFonts w:ascii="Palatino Linotype" w:hAnsi="Palatino Linotype" w:cs="Arial"/>
          <w:sz w:val="24"/>
          <w:szCs w:val="24"/>
        </w:rPr>
      </w:pPr>
      <w:r w:rsidRPr="00E66FD9">
        <w:rPr>
          <w:rFonts w:ascii="Palatino Linotype" w:hAnsi="Palatino Linotype" w:cs="Arial"/>
          <w:bCs/>
          <w:sz w:val="24"/>
          <w:szCs w:val="24"/>
        </w:rPr>
        <w:t>Por lo cual se decretó el cierre de instrucción con fecha</w:t>
      </w:r>
      <w:r w:rsidR="00955048" w:rsidRPr="00E66FD9">
        <w:rPr>
          <w:rFonts w:ascii="Palatino Linotype" w:hAnsi="Palatino Linotype" w:cs="Arial"/>
          <w:bCs/>
          <w:sz w:val="24"/>
          <w:szCs w:val="24"/>
        </w:rPr>
        <w:t xml:space="preserve"> </w:t>
      </w:r>
      <w:r w:rsidR="00955048" w:rsidRPr="00E66FD9">
        <w:rPr>
          <w:rFonts w:ascii="Palatino Linotype" w:hAnsi="Palatino Linotype" w:cs="Arial"/>
          <w:b/>
          <w:sz w:val="24"/>
          <w:szCs w:val="24"/>
        </w:rPr>
        <w:t xml:space="preserve">veinticuatro de febrero del año en curso, </w:t>
      </w:r>
      <w:r w:rsidR="00870B18" w:rsidRPr="00E66FD9">
        <w:rPr>
          <w:rFonts w:ascii="Palatino Linotype" w:hAnsi="Palatino Linotype" w:cs="Arial"/>
          <w:bCs/>
          <w:sz w:val="24"/>
          <w:szCs w:val="24"/>
        </w:rPr>
        <w:t>e</w:t>
      </w:r>
      <w:r w:rsidR="00870B18" w:rsidRPr="00E66FD9">
        <w:rPr>
          <w:rFonts w:ascii="Palatino Linotype" w:hAnsi="Palatino Linotype" w:cs="Arial"/>
          <w:sz w:val="24"/>
          <w:szCs w:val="24"/>
        </w:rPr>
        <w:t xml:space="preserve">n términos del artículo 185 Fracción VI de la Ley de Transparencia y Acceso </w:t>
      </w:r>
      <w:r w:rsidR="00870B18" w:rsidRPr="00E66FD9">
        <w:rPr>
          <w:rFonts w:ascii="Palatino Linotype" w:hAnsi="Palatino Linotype" w:cs="Arial"/>
          <w:sz w:val="24"/>
          <w:szCs w:val="24"/>
        </w:rPr>
        <w:lastRenderedPageBreak/>
        <w:t>a la Información Pública del Estado de México y Municipios, iniciando el término legal para dictar resolución definitiva del asunto.</w:t>
      </w:r>
    </w:p>
    <w:p w14:paraId="747E8575" w14:textId="77777777" w:rsidR="00870B18" w:rsidRPr="00E66FD9" w:rsidRDefault="00870B18" w:rsidP="00870B18">
      <w:pPr>
        <w:spacing w:before="240" w:line="360" w:lineRule="auto"/>
        <w:jc w:val="both"/>
        <w:rPr>
          <w:rFonts w:ascii="Palatino Linotype" w:hAnsi="Palatino Linotype" w:cs="Arial"/>
          <w:sz w:val="24"/>
          <w:szCs w:val="24"/>
        </w:rPr>
      </w:pPr>
    </w:p>
    <w:p w14:paraId="34D2D0F1" w14:textId="77777777" w:rsidR="00870B18" w:rsidRPr="00E66FD9" w:rsidRDefault="00870B18" w:rsidP="00870B18">
      <w:pPr>
        <w:spacing w:before="240" w:line="360" w:lineRule="auto"/>
        <w:jc w:val="center"/>
        <w:rPr>
          <w:rFonts w:ascii="Palatino Linotype" w:hAnsi="Palatino Linotype" w:cs="Arial"/>
          <w:b/>
          <w:sz w:val="24"/>
        </w:rPr>
      </w:pPr>
      <w:r w:rsidRPr="00E66FD9">
        <w:rPr>
          <w:rFonts w:ascii="Palatino Linotype" w:hAnsi="Palatino Linotype" w:cs="Arial"/>
          <w:b/>
          <w:sz w:val="24"/>
        </w:rPr>
        <w:t xml:space="preserve">C O N S I D E R A N D O </w:t>
      </w:r>
    </w:p>
    <w:p w14:paraId="16A675B6" w14:textId="77777777" w:rsidR="00870B18" w:rsidRPr="00E66FD9" w:rsidRDefault="00870B18" w:rsidP="00870B18">
      <w:pPr>
        <w:spacing w:before="240" w:line="360" w:lineRule="auto"/>
        <w:jc w:val="both"/>
        <w:rPr>
          <w:rFonts w:ascii="Palatino Linotype" w:hAnsi="Palatino Linotype" w:cs="Arial"/>
          <w:sz w:val="28"/>
          <w:szCs w:val="28"/>
        </w:rPr>
      </w:pPr>
      <w:r w:rsidRPr="00E66FD9">
        <w:rPr>
          <w:rFonts w:ascii="Palatino Linotype" w:hAnsi="Palatino Linotype" w:cs="Arial"/>
          <w:b/>
          <w:sz w:val="28"/>
        </w:rPr>
        <w:t>PRIMERO.</w:t>
      </w:r>
      <w:r w:rsidRPr="00E66FD9">
        <w:rPr>
          <w:rFonts w:ascii="Palatino Linotype" w:hAnsi="Palatino Linotype" w:cs="Arial"/>
          <w:b/>
        </w:rPr>
        <w:t xml:space="preserve"> </w:t>
      </w:r>
      <w:r w:rsidRPr="00E66FD9">
        <w:rPr>
          <w:rFonts w:ascii="Palatino Linotype" w:hAnsi="Palatino Linotype" w:cs="Arial"/>
          <w:b/>
          <w:sz w:val="28"/>
          <w:szCs w:val="28"/>
        </w:rPr>
        <w:t>De la competencia</w:t>
      </w:r>
      <w:r w:rsidRPr="00E66FD9">
        <w:rPr>
          <w:rFonts w:ascii="Palatino Linotype" w:hAnsi="Palatino Linotype" w:cs="Arial"/>
          <w:sz w:val="28"/>
          <w:szCs w:val="28"/>
        </w:rPr>
        <w:t>.</w:t>
      </w:r>
    </w:p>
    <w:p w14:paraId="67FF68C8" w14:textId="77777777" w:rsidR="00955048" w:rsidRPr="00E66FD9" w:rsidRDefault="00955048" w:rsidP="00955048">
      <w:pPr>
        <w:spacing w:line="360" w:lineRule="auto"/>
        <w:jc w:val="both"/>
        <w:rPr>
          <w:rFonts w:ascii="Palatino Linotype" w:hAnsi="Palatino Linotype"/>
          <w:sz w:val="24"/>
          <w:szCs w:val="24"/>
        </w:rPr>
      </w:pPr>
      <w:r w:rsidRPr="00E66FD9">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C63A6EF" w14:textId="77777777" w:rsidR="00955048" w:rsidRPr="00E66FD9" w:rsidRDefault="00955048" w:rsidP="00955048">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2607F658" w14:textId="77777777" w:rsidR="00955048" w:rsidRPr="00E66FD9" w:rsidRDefault="00955048" w:rsidP="00955048">
      <w:pPr>
        <w:pStyle w:val="Prrafodelista"/>
        <w:autoSpaceDE w:val="0"/>
        <w:autoSpaceDN w:val="0"/>
        <w:adjustRightInd w:val="0"/>
        <w:spacing w:before="240" w:after="160" w:line="360" w:lineRule="auto"/>
        <w:ind w:left="0"/>
        <w:jc w:val="both"/>
        <w:rPr>
          <w:rFonts w:ascii="Palatino Linotype" w:hAnsi="Palatino Linotype" w:cs="Arial"/>
          <w:b/>
        </w:rPr>
      </w:pPr>
      <w:r w:rsidRPr="00E66FD9">
        <w:rPr>
          <w:rFonts w:ascii="Palatino Linotype" w:hAnsi="Palatino Linotype" w:cs="Arial"/>
          <w:b/>
          <w:sz w:val="28"/>
        </w:rPr>
        <w:t>SEGUNDO</w:t>
      </w:r>
      <w:r w:rsidRPr="00E66FD9">
        <w:rPr>
          <w:rFonts w:ascii="Palatino Linotype" w:hAnsi="Palatino Linotype" w:cs="Arial"/>
          <w:b/>
        </w:rPr>
        <w:t xml:space="preserve">. </w:t>
      </w:r>
      <w:r w:rsidRPr="00E66FD9">
        <w:rPr>
          <w:rFonts w:ascii="Palatino Linotype" w:hAnsi="Palatino Linotype" w:cs="Arial"/>
          <w:b/>
          <w:sz w:val="28"/>
          <w:szCs w:val="28"/>
        </w:rPr>
        <w:t>Sobre los alcances del recurso de revisión.</w:t>
      </w:r>
      <w:r w:rsidRPr="00E66FD9">
        <w:rPr>
          <w:rFonts w:ascii="Palatino Linotype" w:hAnsi="Palatino Linotype" w:cs="Arial"/>
          <w:b/>
        </w:rPr>
        <w:t xml:space="preserve"> </w:t>
      </w:r>
    </w:p>
    <w:p w14:paraId="1A824771" w14:textId="77777777" w:rsidR="00955048" w:rsidRPr="00E66FD9" w:rsidRDefault="00955048" w:rsidP="00955048">
      <w:pPr>
        <w:pStyle w:val="Prrafodelista"/>
        <w:autoSpaceDE w:val="0"/>
        <w:autoSpaceDN w:val="0"/>
        <w:adjustRightInd w:val="0"/>
        <w:spacing w:before="240" w:after="160" w:line="360" w:lineRule="auto"/>
        <w:ind w:left="0"/>
        <w:jc w:val="both"/>
        <w:rPr>
          <w:rFonts w:ascii="Palatino Linotype" w:hAnsi="Palatino Linotype" w:cs="Arial"/>
          <w:lang w:val="es-MX"/>
        </w:rPr>
      </w:pPr>
      <w:r w:rsidRPr="00E66FD9">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E66FD9">
        <w:rPr>
          <w:rFonts w:ascii="Palatino Linotype" w:hAnsi="Palatino Linotype" w:cs="Arial"/>
          <w:lang w:val="es-MX"/>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2FB79BE" w14:textId="77777777" w:rsidR="00955048" w:rsidRPr="00E66FD9" w:rsidRDefault="00955048" w:rsidP="00955048">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547A30A2" w14:textId="77777777" w:rsidR="00955048" w:rsidRPr="00E66FD9" w:rsidRDefault="00955048" w:rsidP="00955048">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E66FD9">
        <w:rPr>
          <w:rFonts w:ascii="Palatino Linotype" w:hAnsi="Palatino Linotype" w:cs="Arial"/>
          <w:b/>
          <w:sz w:val="28"/>
          <w:lang w:val="es-MX"/>
        </w:rPr>
        <w:t>TERCERO</w:t>
      </w:r>
      <w:r w:rsidRPr="00E66FD9">
        <w:rPr>
          <w:rFonts w:ascii="Palatino Linotype" w:hAnsi="Palatino Linotype" w:cs="Arial"/>
          <w:b/>
          <w:lang w:val="es-MX"/>
        </w:rPr>
        <w:t xml:space="preserve">. </w:t>
      </w:r>
      <w:r w:rsidRPr="00E66FD9">
        <w:rPr>
          <w:rFonts w:ascii="Palatino Linotype" w:hAnsi="Palatino Linotype" w:cs="Arial"/>
          <w:b/>
          <w:sz w:val="28"/>
          <w:szCs w:val="28"/>
          <w:lang w:val="es-MX"/>
        </w:rPr>
        <w:t>De las causas de improcedencia.</w:t>
      </w:r>
    </w:p>
    <w:p w14:paraId="6EA8A30C" w14:textId="77777777" w:rsidR="00955048" w:rsidRPr="00E66FD9" w:rsidRDefault="00955048" w:rsidP="00955048">
      <w:pPr>
        <w:pStyle w:val="Prrafodelista"/>
        <w:autoSpaceDE w:val="0"/>
        <w:autoSpaceDN w:val="0"/>
        <w:adjustRightInd w:val="0"/>
        <w:spacing w:before="240" w:after="160" w:line="360" w:lineRule="auto"/>
        <w:ind w:left="0"/>
        <w:jc w:val="both"/>
        <w:rPr>
          <w:rFonts w:ascii="Palatino Linotype" w:hAnsi="Palatino Linotype" w:cs="Arial"/>
          <w:lang w:val="es-MX"/>
        </w:rPr>
      </w:pPr>
      <w:r w:rsidRPr="00E66FD9">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683E849" w14:textId="77777777" w:rsidR="00955048" w:rsidRPr="00E66FD9" w:rsidRDefault="00955048" w:rsidP="00955048">
      <w:pPr>
        <w:pStyle w:val="Prrafodelista"/>
        <w:autoSpaceDE w:val="0"/>
        <w:autoSpaceDN w:val="0"/>
        <w:adjustRightInd w:val="0"/>
        <w:spacing w:line="360" w:lineRule="auto"/>
        <w:ind w:left="0"/>
        <w:jc w:val="both"/>
        <w:rPr>
          <w:rFonts w:ascii="Palatino Linotype" w:hAnsi="Palatino Linotype" w:cs="Arial"/>
          <w:lang w:val="es-MX"/>
        </w:rPr>
      </w:pPr>
      <w:r w:rsidRPr="00E66FD9">
        <w:rPr>
          <w:rFonts w:ascii="Palatino Linotype" w:hAnsi="Palatino Linotype" w:cs="Arial"/>
          <w:lang w:val="es-MX"/>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E66FD9">
        <w:rPr>
          <w:rFonts w:ascii="Palatino Linotype" w:hAnsi="Palatino Linotype" w:cs="Arial"/>
          <w:lang w:val="es-MX"/>
        </w:rPr>
        <w:lastRenderedPageBreak/>
        <w:t>improcedencia y sobreseimiento con tales fines</w:t>
      </w:r>
      <w:r w:rsidRPr="00E66FD9">
        <w:rPr>
          <w:rStyle w:val="Refdenotaalpie"/>
          <w:rFonts w:ascii="Palatino Linotype" w:hAnsi="Palatino Linotype" w:cs="Arial"/>
          <w:lang w:val="es-MX"/>
        </w:rPr>
        <w:footnoteReference w:id="1"/>
      </w:r>
      <w:r w:rsidRPr="00E66FD9">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1D732C23" w14:textId="77777777" w:rsidR="00955048" w:rsidRPr="00E66FD9" w:rsidRDefault="00955048" w:rsidP="00955048">
      <w:pPr>
        <w:tabs>
          <w:tab w:val="left" w:pos="709"/>
        </w:tabs>
        <w:spacing w:before="240" w:line="360" w:lineRule="auto"/>
        <w:ind w:right="51"/>
        <w:jc w:val="both"/>
        <w:rPr>
          <w:rFonts w:ascii="Palatino Linotype" w:hAnsi="Palatino Linotype"/>
          <w:b/>
          <w:sz w:val="28"/>
          <w:szCs w:val="28"/>
        </w:rPr>
      </w:pPr>
    </w:p>
    <w:p w14:paraId="6670F89B" w14:textId="77777777" w:rsidR="00955048" w:rsidRPr="00E66FD9" w:rsidRDefault="00955048" w:rsidP="00955048">
      <w:pPr>
        <w:tabs>
          <w:tab w:val="left" w:pos="709"/>
        </w:tabs>
        <w:spacing w:before="240" w:line="360" w:lineRule="auto"/>
        <w:ind w:right="51"/>
        <w:jc w:val="both"/>
        <w:rPr>
          <w:rFonts w:ascii="Palatino Linotype" w:hAnsi="Palatino Linotype"/>
          <w:b/>
          <w:sz w:val="28"/>
          <w:szCs w:val="28"/>
        </w:rPr>
      </w:pPr>
      <w:r w:rsidRPr="00E66FD9">
        <w:rPr>
          <w:rFonts w:ascii="Palatino Linotype" w:hAnsi="Palatino Linotype"/>
          <w:b/>
          <w:sz w:val="28"/>
          <w:szCs w:val="28"/>
        </w:rPr>
        <w:t xml:space="preserve">CUARTO. Estudio y resolución del asunto </w:t>
      </w:r>
      <w:r w:rsidRPr="00E66FD9">
        <w:rPr>
          <w:rFonts w:ascii="Palatino Linotype" w:hAnsi="Palatino Linotype"/>
          <w:b/>
          <w:sz w:val="28"/>
          <w:szCs w:val="28"/>
        </w:rPr>
        <w:tab/>
      </w:r>
    </w:p>
    <w:p w14:paraId="16FE2D80" w14:textId="77777777" w:rsidR="00955048" w:rsidRPr="00E66FD9" w:rsidRDefault="00955048" w:rsidP="00955048">
      <w:pPr>
        <w:pStyle w:val="Prrafodelista"/>
        <w:autoSpaceDE w:val="0"/>
        <w:autoSpaceDN w:val="0"/>
        <w:adjustRightInd w:val="0"/>
        <w:spacing w:before="240" w:after="160" w:line="360" w:lineRule="auto"/>
        <w:ind w:left="0"/>
        <w:jc w:val="both"/>
        <w:rPr>
          <w:rFonts w:ascii="Palatino Linotype" w:hAnsi="Palatino Linotype" w:cs="Arial"/>
          <w:lang w:val="es-MX"/>
        </w:rPr>
      </w:pPr>
      <w:r w:rsidRPr="00E66FD9">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0243D26" w14:textId="77777777" w:rsidR="00955048" w:rsidRPr="00E66FD9" w:rsidRDefault="00955048" w:rsidP="00955048">
      <w:pPr>
        <w:spacing w:after="0" w:line="360" w:lineRule="auto"/>
        <w:jc w:val="both"/>
        <w:rPr>
          <w:rFonts w:ascii="Palatino Linotype" w:eastAsia="Times New Roman" w:hAnsi="Palatino Linotype" w:cs="Times New Roman"/>
          <w:sz w:val="24"/>
          <w:szCs w:val="24"/>
          <w:lang w:eastAsia="es-ES"/>
        </w:rPr>
      </w:pPr>
      <w:r w:rsidRPr="00E66FD9">
        <w:rPr>
          <w:rFonts w:ascii="Palatino Linotype" w:hAnsi="Palatino Linotype" w:cs="Arial"/>
          <w:sz w:val="24"/>
          <w:szCs w:val="24"/>
        </w:rPr>
        <w:lastRenderedPageBreak/>
        <w:t xml:space="preserve">En este tenor, es necesario subrayar que </w:t>
      </w:r>
      <w:r w:rsidRPr="00E66FD9">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794AB6BD" w14:textId="77777777" w:rsidR="00955048" w:rsidRPr="00E66FD9" w:rsidRDefault="00955048" w:rsidP="00955048">
      <w:pPr>
        <w:spacing w:before="240" w:line="360" w:lineRule="auto"/>
        <w:ind w:left="851" w:right="851"/>
        <w:jc w:val="both"/>
        <w:rPr>
          <w:rFonts w:ascii="Palatino Linotype" w:eastAsia="Times New Roman" w:hAnsi="Palatino Linotype" w:cs="Times New Roman"/>
          <w:i/>
          <w:lang w:eastAsia="es-ES"/>
        </w:rPr>
      </w:pPr>
      <w:r w:rsidRPr="00E66FD9">
        <w:rPr>
          <w:rFonts w:ascii="Palatino Linotype" w:eastAsia="Times New Roman" w:hAnsi="Palatino Linotype" w:cs="Times New Roman"/>
          <w:b/>
          <w:i/>
          <w:lang w:eastAsia="es-ES"/>
        </w:rPr>
        <w:t>“Artículo 4.</w:t>
      </w:r>
      <w:r w:rsidRPr="00E66FD9">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2516BFE" w14:textId="77777777" w:rsidR="00955048" w:rsidRPr="00E66FD9" w:rsidRDefault="00955048" w:rsidP="00955048">
      <w:pPr>
        <w:spacing w:before="240" w:line="360" w:lineRule="auto"/>
        <w:ind w:left="851" w:right="851"/>
        <w:jc w:val="both"/>
        <w:rPr>
          <w:rFonts w:ascii="Palatino Linotype" w:eastAsia="Times New Roman" w:hAnsi="Palatino Linotype" w:cs="Times New Roman"/>
          <w:i/>
          <w:lang w:eastAsia="es-ES"/>
        </w:rPr>
      </w:pPr>
      <w:r w:rsidRPr="00E66FD9">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8A8C883" w14:textId="77777777" w:rsidR="00955048" w:rsidRPr="00E66FD9" w:rsidRDefault="00955048" w:rsidP="00955048">
      <w:pPr>
        <w:spacing w:before="240" w:line="360" w:lineRule="auto"/>
        <w:ind w:left="851" w:right="851"/>
        <w:jc w:val="both"/>
        <w:rPr>
          <w:rFonts w:ascii="Palatino Linotype" w:eastAsia="Times New Roman" w:hAnsi="Palatino Linotype" w:cs="Times New Roman"/>
          <w:i/>
          <w:lang w:eastAsia="es-ES"/>
        </w:rPr>
      </w:pPr>
      <w:r w:rsidRPr="00E66FD9">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E21303F" w14:textId="77777777" w:rsidR="00955048" w:rsidRPr="00E66FD9" w:rsidRDefault="00955048" w:rsidP="00955048">
      <w:pPr>
        <w:spacing w:before="240" w:line="360" w:lineRule="auto"/>
        <w:ind w:left="851" w:right="851"/>
        <w:jc w:val="both"/>
        <w:rPr>
          <w:rFonts w:ascii="Palatino Linotype" w:eastAsia="Times New Roman" w:hAnsi="Palatino Linotype" w:cs="Times New Roman"/>
          <w:i/>
          <w:lang w:eastAsia="es-ES"/>
        </w:rPr>
      </w:pPr>
      <w:r w:rsidRPr="00E66FD9">
        <w:rPr>
          <w:rFonts w:ascii="Palatino Linotype" w:eastAsia="Times New Roman" w:hAnsi="Palatino Linotype" w:cs="Times New Roman"/>
          <w:b/>
          <w:i/>
          <w:lang w:eastAsia="es-ES"/>
        </w:rPr>
        <w:t>Artículo 12.</w:t>
      </w:r>
      <w:r w:rsidRPr="00E66FD9">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2A448E85" w14:textId="77777777" w:rsidR="00955048" w:rsidRPr="00E66FD9" w:rsidRDefault="00955048" w:rsidP="00955048">
      <w:pPr>
        <w:spacing w:before="240" w:line="360" w:lineRule="auto"/>
        <w:ind w:left="851" w:right="851"/>
        <w:jc w:val="both"/>
        <w:rPr>
          <w:rFonts w:ascii="Palatino Linotype" w:eastAsia="Times New Roman" w:hAnsi="Palatino Linotype" w:cs="Times New Roman"/>
          <w:i/>
          <w:lang w:eastAsia="es-ES"/>
        </w:rPr>
      </w:pPr>
      <w:r w:rsidRPr="00E66FD9">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w:t>
      </w:r>
      <w:r w:rsidRPr="00E66FD9">
        <w:rPr>
          <w:rFonts w:ascii="Palatino Linotype" w:eastAsia="Times New Roman" w:hAnsi="Palatino Linotype" w:cs="Times New Roman"/>
          <w:i/>
          <w:lang w:eastAsia="es-ES"/>
        </w:rPr>
        <w:lastRenderedPageBreak/>
        <w:t xml:space="preserve">proporcionar información no comprende el procesamiento de la misma, ni el presentarla conforme al interés del solicitante; no estarán obligados a generarla, resumirla, efectuar cálculos o practicar investigaciones. </w:t>
      </w:r>
    </w:p>
    <w:p w14:paraId="231C4F8C" w14:textId="77777777" w:rsidR="00955048" w:rsidRPr="00E66FD9" w:rsidRDefault="00955048" w:rsidP="00955048">
      <w:pPr>
        <w:spacing w:before="240" w:line="360" w:lineRule="auto"/>
        <w:ind w:left="851" w:right="851"/>
        <w:jc w:val="both"/>
        <w:rPr>
          <w:rFonts w:ascii="Palatino Linotype" w:eastAsia="Times New Roman" w:hAnsi="Palatino Linotype" w:cs="Times New Roman"/>
          <w:i/>
          <w:lang w:eastAsia="es-ES"/>
        </w:rPr>
      </w:pPr>
      <w:r w:rsidRPr="00E66FD9">
        <w:rPr>
          <w:rFonts w:ascii="Palatino Linotype" w:eastAsia="Times New Roman" w:hAnsi="Palatino Linotype" w:cs="Times New Roman"/>
          <w:i/>
          <w:lang w:eastAsia="es-ES"/>
        </w:rPr>
        <w:t>(…)</w:t>
      </w:r>
    </w:p>
    <w:p w14:paraId="10246F6D" w14:textId="77777777" w:rsidR="00955048" w:rsidRPr="00E66FD9" w:rsidRDefault="00955048" w:rsidP="00955048">
      <w:pPr>
        <w:spacing w:before="240" w:line="360" w:lineRule="auto"/>
        <w:ind w:left="851" w:right="851"/>
        <w:jc w:val="both"/>
        <w:rPr>
          <w:rFonts w:ascii="Palatino Linotype" w:eastAsia="Times New Roman" w:hAnsi="Palatino Linotype" w:cs="Times New Roman"/>
          <w:b/>
          <w:i/>
          <w:lang w:eastAsia="es-ES"/>
        </w:rPr>
      </w:pPr>
      <w:r w:rsidRPr="00E66FD9">
        <w:rPr>
          <w:rFonts w:ascii="Palatino Linotype" w:eastAsia="Times New Roman" w:hAnsi="Palatino Linotype" w:cs="Times New Roman"/>
          <w:b/>
          <w:i/>
          <w:lang w:eastAsia="es-ES"/>
        </w:rPr>
        <w:t xml:space="preserve">Artículo 24. </w:t>
      </w:r>
    </w:p>
    <w:p w14:paraId="60D35999" w14:textId="77777777" w:rsidR="00955048" w:rsidRPr="00E66FD9" w:rsidRDefault="00955048" w:rsidP="00955048">
      <w:pPr>
        <w:spacing w:before="240" w:line="360" w:lineRule="auto"/>
        <w:ind w:left="851" w:right="851"/>
        <w:jc w:val="both"/>
        <w:rPr>
          <w:rFonts w:ascii="Palatino Linotype" w:eastAsia="Times New Roman" w:hAnsi="Palatino Linotype" w:cs="Times New Roman"/>
          <w:i/>
          <w:lang w:eastAsia="es-ES"/>
        </w:rPr>
      </w:pPr>
      <w:r w:rsidRPr="00E66FD9">
        <w:rPr>
          <w:rFonts w:ascii="Palatino Linotype" w:eastAsia="Times New Roman" w:hAnsi="Palatino Linotype" w:cs="Times New Roman"/>
          <w:i/>
          <w:lang w:eastAsia="es-ES"/>
        </w:rPr>
        <w:t>(…)</w:t>
      </w:r>
    </w:p>
    <w:p w14:paraId="27213AD8" w14:textId="77777777" w:rsidR="00955048" w:rsidRPr="00E66FD9" w:rsidRDefault="00955048" w:rsidP="00955048">
      <w:pPr>
        <w:spacing w:before="240" w:line="360" w:lineRule="auto"/>
        <w:ind w:left="851" w:right="851"/>
        <w:jc w:val="both"/>
        <w:rPr>
          <w:rFonts w:ascii="Palatino Linotype" w:eastAsia="Times New Roman" w:hAnsi="Palatino Linotype" w:cs="Times New Roman"/>
          <w:i/>
          <w:lang w:eastAsia="es-ES"/>
        </w:rPr>
      </w:pPr>
      <w:r w:rsidRPr="00E66FD9">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40DB3866" w14:textId="77777777" w:rsidR="00955048" w:rsidRPr="00E66FD9" w:rsidRDefault="00955048" w:rsidP="00955048">
      <w:pPr>
        <w:spacing w:before="240" w:line="360" w:lineRule="auto"/>
        <w:ind w:left="851" w:right="851"/>
        <w:jc w:val="both"/>
        <w:rPr>
          <w:rFonts w:ascii="Palatino Linotype" w:eastAsia="Times New Roman" w:hAnsi="Palatino Linotype" w:cs="Times New Roman"/>
          <w:i/>
          <w:lang w:eastAsia="es-ES"/>
        </w:rPr>
      </w:pPr>
      <w:r w:rsidRPr="00E66FD9">
        <w:rPr>
          <w:rFonts w:ascii="Palatino Linotype" w:eastAsia="Times New Roman" w:hAnsi="Palatino Linotype" w:cs="Times New Roman"/>
          <w:i/>
          <w:lang w:eastAsia="es-ES"/>
        </w:rPr>
        <w:t>(…)</w:t>
      </w:r>
    </w:p>
    <w:p w14:paraId="350F8948" w14:textId="77777777" w:rsidR="00955048" w:rsidRPr="00E66FD9" w:rsidRDefault="00955048" w:rsidP="00955048">
      <w:pPr>
        <w:spacing w:before="240" w:line="360" w:lineRule="auto"/>
        <w:ind w:left="851" w:right="851"/>
        <w:jc w:val="both"/>
        <w:rPr>
          <w:rFonts w:ascii="Palatino Linotype" w:eastAsia="Times New Roman" w:hAnsi="Palatino Linotype" w:cs="Times New Roman"/>
          <w:i/>
          <w:lang w:eastAsia="es-ES"/>
        </w:rPr>
      </w:pPr>
      <w:r w:rsidRPr="00E66FD9">
        <w:rPr>
          <w:rFonts w:ascii="Palatino Linotype" w:eastAsia="Times New Roman" w:hAnsi="Palatino Linotype" w:cs="Times New Roman"/>
          <w:b/>
          <w:i/>
          <w:lang w:eastAsia="es-ES"/>
        </w:rPr>
        <w:t>Artículo 160.</w:t>
      </w:r>
      <w:r w:rsidRPr="00E66FD9">
        <w:rPr>
          <w:rFonts w:ascii="Palatino Linotype" w:eastAsia="Times New Roman" w:hAnsi="Palatino Linotype" w:cs="Times New Roman"/>
          <w:i/>
          <w:lang w:eastAsia="es-ES"/>
        </w:rPr>
        <w:t xml:space="preserve"> Los sujetos obligados deberán otorgar acceso a los documentos que se </w:t>
      </w:r>
      <w:r w:rsidRPr="00E66FD9">
        <w:rPr>
          <w:rFonts w:ascii="Palatino Linotype" w:eastAsia="Times New Roman" w:hAnsi="Palatino Linotype" w:cs="Times New Roman"/>
          <w:b/>
          <w:i/>
          <w:lang w:eastAsia="es-ES"/>
        </w:rPr>
        <w:t xml:space="preserve"> </w:t>
      </w:r>
      <w:r w:rsidRPr="00E66FD9">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0125C09" w14:textId="77777777" w:rsidR="00955048" w:rsidRPr="00E66FD9" w:rsidRDefault="00955048" w:rsidP="00955048">
      <w:pPr>
        <w:spacing w:before="240" w:line="360" w:lineRule="auto"/>
        <w:ind w:left="851" w:right="851"/>
        <w:jc w:val="both"/>
        <w:rPr>
          <w:rFonts w:ascii="Palatino Linotype" w:eastAsia="Times New Roman" w:hAnsi="Palatino Linotype" w:cs="Times New Roman"/>
          <w:b/>
          <w:i/>
          <w:lang w:eastAsia="es-ES"/>
        </w:rPr>
      </w:pPr>
      <w:r w:rsidRPr="00E66FD9">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E66FD9">
        <w:rPr>
          <w:rFonts w:ascii="Palatino Linotype" w:eastAsia="Times New Roman" w:hAnsi="Palatino Linotype" w:cs="Times New Roman"/>
          <w:b/>
          <w:i/>
          <w:lang w:eastAsia="es-ES"/>
        </w:rPr>
        <w:t xml:space="preserve"> (Sic)</w:t>
      </w:r>
    </w:p>
    <w:p w14:paraId="4B6186AE" w14:textId="77777777" w:rsidR="00955048" w:rsidRPr="00E66FD9" w:rsidRDefault="00955048" w:rsidP="00955048">
      <w:pPr>
        <w:spacing w:after="0" w:line="360" w:lineRule="auto"/>
        <w:jc w:val="both"/>
        <w:rPr>
          <w:rFonts w:ascii="Palatino Linotype" w:eastAsia="Times New Roman" w:hAnsi="Palatino Linotype" w:cs="Times New Roman"/>
          <w:sz w:val="24"/>
          <w:szCs w:val="24"/>
          <w:lang w:eastAsia="es-ES"/>
        </w:rPr>
      </w:pPr>
    </w:p>
    <w:p w14:paraId="7778B100" w14:textId="77777777" w:rsidR="00955048" w:rsidRPr="00E66FD9" w:rsidRDefault="00955048" w:rsidP="00955048">
      <w:pPr>
        <w:spacing w:after="0" w:line="360" w:lineRule="auto"/>
        <w:jc w:val="both"/>
        <w:rPr>
          <w:rFonts w:ascii="Palatino Linotype" w:eastAsia="Times New Roman" w:hAnsi="Palatino Linotype" w:cs="Times New Roman"/>
          <w:sz w:val="24"/>
          <w:szCs w:val="24"/>
          <w:lang w:eastAsia="es-ES"/>
        </w:rPr>
      </w:pPr>
      <w:r w:rsidRPr="00E66FD9">
        <w:rPr>
          <w:rFonts w:ascii="Palatino Linotype" w:eastAsia="Times New Roman" w:hAnsi="Palatino Linotype" w:cs="Times New Roman"/>
          <w:sz w:val="24"/>
          <w:szCs w:val="24"/>
          <w:lang w:eastAsia="es-ES"/>
        </w:rPr>
        <w:t xml:space="preserve">Así que la obligación de los </w:t>
      </w:r>
      <w:r w:rsidRPr="00E66FD9">
        <w:rPr>
          <w:rFonts w:ascii="Palatino Linotype" w:eastAsia="Times New Roman" w:hAnsi="Palatino Linotype" w:cs="Times New Roman"/>
          <w:b/>
          <w:sz w:val="24"/>
          <w:szCs w:val="24"/>
          <w:lang w:eastAsia="es-ES"/>
        </w:rPr>
        <w:t>Sujetos Obligados</w:t>
      </w:r>
      <w:r w:rsidRPr="00E66FD9">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E66FD9">
        <w:rPr>
          <w:rFonts w:ascii="Palatino Linotype" w:eastAsia="Times New Roman" w:hAnsi="Palatino Linotype" w:cs="Times New Roman"/>
          <w:bCs/>
          <w:sz w:val="24"/>
          <w:szCs w:val="24"/>
          <w:lang w:eastAsia="es-ES"/>
        </w:rPr>
        <w:t>de la Ley local en la materia, que se reproduce de la siguiente forma</w:t>
      </w:r>
      <w:r w:rsidRPr="00E66FD9">
        <w:rPr>
          <w:rFonts w:ascii="Palatino Linotype" w:eastAsia="Times New Roman" w:hAnsi="Palatino Linotype" w:cs="Times New Roman"/>
          <w:sz w:val="24"/>
          <w:szCs w:val="24"/>
          <w:lang w:eastAsia="es-ES"/>
        </w:rPr>
        <w:t>:</w:t>
      </w:r>
    </w:p>
    <w:p w14:paraId="6C2B4D80" w14:textId="77777777" w:rsidR="00955048" w:rsidRPr="00E66FD9" w:rsidRDefault="00955048" w:rsidP="00955048">
      <w:pPr>
        <w:spacing w:before="240" w:line="360" w:lineRule="auto"/>
        <w:ind w:left="851" w:right="851"/>
        <w:jc w:val="both"/>
        <w:rPr>
          <w:rFonts w:ascii="Palatino Linotype" w:eastAsia="Times New Roman" w:hAnsi="Palatino Linotype" w:cs="Arial"/>
          <w:b/>
          <w:i/>
          <w:lang w:eastAsia="es-ES"/>
        </w:rPr>
      </w:pPr>
      <w:r w:rsidRPr="00E66FD9">
        <w:rPr>
          <w:rFonts w:ascii="Palatino Linotype" w:eastAsia="Times New Roman" w:hAnsi="Palatino Linotype" w:cs="Arial"/>
          <w:i/>
          <w:lang w:eastAsia="es-ES"/>
        </w:rPr>
        <w:lastRenderedPageBreak/>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E66FD9">
        <w:rPr>
          <w:rFonts w:ascii="Palatino Linotype" w:eastAsia="Times New Roman" w:hAnsi="Palatino Linotype" w:cs="Arial"/>
          <w:b/>
          <w:i/>
          <w:lang w:eastAsia="es-ES"/>
        </w:rPr>
        <w:t>[Sic]</w:t>
      </w:r>
    </w:p>
    <w:p w14:paraId="5449151F" w14:textId="77777777" w:rsidR="00955048" w:rsidRPr="00E66FD9" w:rsidRDefault="00955048" w:rsidP="00955048">
      <w:pPr>
        <w:tabs>
          <w:tab w:val="left" w:pos="709"/>
        </w:tabs>
        <w:spacing w:before="240" w:line="360" w:lineRule="auto"/>
        <w:ind w:right="51"/>
        <w:jc w:val="both"/>
        <w:rPr>
          <w:rFonts w:ascii="Palatino Linotype" w:hAnsi="Palatino Linotype"/>
          <w:bCs/>
          <w:sz w:val="28"/>
          <w:szCs w:val="28"/>
        </w:rPr>
      </w:pPr>
    </w:p>
    <w:p w14:paraId="12BC1637" w14:textId="4823786D" w:rsidR="00955048" w:rsidRPr="00E66FD9" w:rsidRDefault="00955048" w:rsidP="00955048">
      <w:pPr>
        <w:autoSpaceDE w:val="0"/>
        <w:autoSpaceDN w:val="0"/>
        <w:adjustRightInd w:val="0"/>
        <w:spacing w:before="240" w:line="360" w:lineRule="auto"/>
        <w:jc w:val="both"/>
        <w:rPr>
          <w:rFonts w:ascii="Palatino Linotype" w:hAnsi="Palatino Linotype" w:cs="Arial"/>
          <w:sz w:val="24"/>
          <w:szCs w:val="24"/>
        </w:rPr>
      </w:pPr>
      <w:r w:rsidRPr="00E66FD9">
        <w:rPr>
          <w:rFonts w:ascii="Palatino Linotype" w:hAnsi="Palatino Linotype" w:cs="Arial"/>
          <w:sz w:val="24"/>
          <w:szCs w:val="24"/>
        </w:rPr>
        <w:t xml:space="preserve">En una aproximación inicial, con relación a la solicitud de información </w:t>
      </w:r>
      <w:r w:rsidRPr="00E66FD9">
        <w:rPr>
          <w:rFonts w:ascii="Palatino Linotype" w:hAnsi="Palatino Linotype" w:cs="Arial"/>
          <w:b/>
          <w:bCs/>
          <w:sz w:val="24"/>
          <w:szCs w:val="24"/>
        </w:rPr>
        <w:t xml:space="preserve">01638/TEPOTZOT/IP/2025 </w:t>
      </w:r>
      <w:r w:rsidRPr="00E66FD9">
        <w:rPr>
          <w:rFonts w:ascii="Palatino Linotype" w:hAnsi="Palatino Linotype" w:cs="Arial"/>
          <w:sz w:val="24"/>
          <w:szCs w:val="24"/>
        </w:rPr>
        <w:t xml:space="preserve">se desprenden las siguientes consideraciones: </w:t>
      </w:r>
    </w:p>
    <w:p w14:paraId="515D3D6C" w14:textId="77777777" w:rsidR="00955048" w:rsidRPr="00E66FD9" w:rsidRDefault="00955048" w:rsidP="00955048">
      <w:pPr>
        <w:pStyle w:val="Prrafodelista"/>
        <w:numPr>
          <w:ilvl w:val="0"/>
          <w:numId w:val="19"/>
        </w:numPr>
        <w:autoSpaceDE w:val="0"/>
        <w:autoSpaceDN w:val="0"/>
        <w:adjustRightInd w:val="0"/>
        <w:spacing w:before="240" w:line="360" w:lineRule="auto"/>
        <w:jc w:val="both"/>
        <w:rPr>
          <w:rFonts w:ascii="Palatino Linotype" w:hAnsi="Palatino Linotype" w:cs="Arial"/>
          <w:lang w:val="es-MX"/>
        </w:rPr>
      </w:pPr>
      <w:r w:rsidRPr="00E66FD9">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E66FD9">
        <w:rPr>
          <w:rFonts w:ascii="Palatino Linotype" w:hAnsi="Palatino Linotype" w:cs="Arial"/>
          <w:b/>
          <w:bCs/>
          <w:lang w:val="es-MX"/>
        </w:rPr>
        <w:t xml:space="preserve">Sujetos Obligados. </w:t>
      </w:r>
    </w:p>
    <w:p w14:paraId="010A3AFE" w14:textId="77777777" w:rsidR="00955048" w:rsidRPr="00E66FD9" w:rsidRDefault="00955048" w:rsidP="00955048">
      <w:pPr>
        <w:pStyle w:val="Prrafodelista"/>
        <w:autoSpaceDE w:val="0"/>
        <w:autoSpaceDN w:val="0"/>
        <w:adjustRightInd w:val="0"/>
        <w:spacing w:before="240" w:line="360" w:lineRule="auto"/>
        <w:ind w:left="720"/>
        <w:jc w:val="both"/>
        <w:rPr>
          <w:rFonts w:ascii="Palatino Linotype" w:hAnsi="Palatino Linotype" w:cs="Arial"/>
          <w:lang w:val="es-MX"/>
        </w:rPr>
      </w:pPr>
    </w:p>
    <w:p w14:paraId="5F001E5D" w14:textId="5C0D68E3" w:rsidR="00955048" w:rsidRPr="00E66FD9" w:rsidRDefault="00955048" w:rsidP="00955048">
      <w:pPr>
        <w:pStyle w:val="Prrafodelista"/>
        <w:numPr>
          <w:ilvl w:val="0"/>
          <w:numId w:val="13"/>
        </w:numPr>
        <w:autoSpaceDE w:val="0"/>
        <w:autoSpaceDN w:val="0"/>
        <w:adjustRightInd w:val="0"/>
        <w:spacing w:before="240" w:line="360" w:lineRule="auto"/>
        <w:jc w:val="both"/>
        <w:rPr>
          <w:rFonts w:ascii="Palatino Linotype" w:hAnsi="Palatino Linotype"/>
          <w:color w:val="000000"/>
          <w:lang w:val="es-MX"/>
        </w:rPr>
      </w:pPr>
      <w:r w:rsidRPr="00E66FD9">
        <w:rPr>
          <w:rFonts w:ascii="Palatino Linotype" w:hAnsi="Palatino Linotype"/>
          <w:color w:val="000000"/>
          <w:lang w:val="es-MX"/>
        </w:rPr>
        <w:t xml:space="preserve">Que, en referencia a los requerimientos formulados, el particular señaló como temporalidad </w:t>
      </w:r>
      <w:r w:rsidRPr="00E66FD9">
        <w:rPr>
          <w:rFonts w:ascii="Palatino Linotype" w:hAnsi="Palatino Linotype"/>
          <w:i/>
          <w:iCs/>
          <w:color w:val="000000"/>
          <w:lang w:val="es-MX"/>
        </w:rPr>
        <w:t xml:space="preserve">“durante 2022-2025”, </w:t>
      </w:r>
      <w:r w:rsidRPr="00E66FD9">
        <w:rPr>
          <w:rFonts w:ascii="Palatino Linotype" w:hAnsi="Palatino Linotype"/>
          <w:color w:val="000000"/>
          <w:lang w:val="es-MX"/>
        </w:rPr>
        <w:t xml:space="preserve">es decir, resulta de interés del particular la información relativa al periodo comprendido del uno de enero al treinta y uno de diciembre de dos mil veinticinco. </w:t>
      </w:r>
    </w:p>
    <w:p w14:paraId="2BB61DC9" w14:textId="77777777" w:rsidR="00955048" w:rsidRPr="00E66FD9" w:rsidRDefault="00955048" w:rsidP="00955048">
      <w:pPr>
        <w:spacing w:before="240" w:line="360" w:lineRule="auto"/>
        <w:ind w:left="708"/>
        <w:jc w:val="both"/>
        <w:rPr>
          <w:rFonts w:ascii="Palatino Linotype" w:hAnsi="Palatino Linotype"/>
          <w:sz w:val="24"/>
          <w:szCs w:val="24"/>
        </w:rPr>
      </w:pPr>
      <w:r w:rsidRPr="00E66FD9">
        <w:rPr>
          <w:rFonts w:ascii="Palatino Linotype" w:hAnsi="Palatino Linotype" w:cs="Arial"/>
          <w:sz w:val="24"/>
          <w:szCs w:val="24"/>
        </w:rPr>
        <w:t xml:space="preserve">Bajo este contexto, se destaca que el </w:t>
      </w:r>
      <w:r w:rsidRPr="00E66FD9">
        <w:rPr>
          <w:rFonts w:ascii="Palatino Linotype" w:hAnsi="Palatino Linotype"/>
          <w:sz w:val="24"/>
          <w:szCs w:val="24"/>
        </w:rPr>
        <w:t xml:space="preserve">derecho de acceso a la información estriba respecto de aquellos soportes documentales generados, poseídos o administrados por </w:t>
      </w:r>
      <w:r w:rsidRPr="00E66FD9">
        <w:rPr>
          <w:rFonts w:ascii="Palatino Linotype" w:hAnsi="Palatino Linotype"/>
          <w:b/>
          <w:bCs/>
          <w:sz w:val="24"/>
          <w:szCs w:val="24"/>
        </w:rPr>
        <w:t xml:space="preserve">El Sujeto Obligado </w:t>
      </w:r>
      <w:r w:rsidRPr="00E66FD9">
        <w:rPr>
          <w:rFonts w:ascii="Palatino Linotype" w:hAnsi="Palatino Linotype"/>
          <w:sz w:val="24"/>
          <w:szCs w:val="24"/>
        </w:rPr>
        <w:t>que se encuentren disponibles al momento de ejercer dicha prerrogativa, es decir, excluye los siguientes actos:</w:t>
      </w:r>
    </w:p>
    <w:p w14:paraId="04A1619B" w14:textId="77777777" w:rsidR="00955048" w:rsidRPr="00E66FD9" w:rsidRDefault="00955048" w:rsidP="00955048">
      <w:pPr>
        <w:pStyle w:val="Prrafodelista"/>
        <w:spacing w:before="240" w:line="360" w:lineRule="auto"/>
        <w:ind w:left="720"/>
        <w:jc w:val="both"/>
        <w:rPr>
          <w:rFonts w:ascii="Palatino Linotype" w:hAnsi="Palatino Linotype"/>
        </w:rPr>
      </w:pPr>
      <w:r w:rsidRPr="00E66FD9">
        <w:rPr>
          <w:rFonts w:ascii="Palatino Linotype" w:hAnsi="Palatino Linotype"/>
          <w:b/>
          <w:bCs/>
        </w:rPr>
        <w:t xml:space="preserve">Actos futuros inminentes: </w:t>
      </w:r>
      <w:r w:rsidRPr="00E66FD9">
        <w:rPr>
          <w:rFonts w:ascii="Palatino Linotype" w:hAnsi="Palatino Linotype"/>
        </w:rPr>
        <w:t xml:space="preserve">Son aquellos cuyo mandamiento ya se ha dictado y su ejecución puede realizarse de un momento a otro. </w:t>
      </w:r>
    </w:p>
    <w:p w14:paraId="3E2A1744" w14:textId="77777777" w:rsidR="00955048" w:rsidRPr="00E66FD9" w:rsidRDefault="00955048" w:rsidP="00955048">
      <w:pPr>
        <w:pStyle w:val="Prrafodelista"/>
        <w:spacing w:before="240" w:line="360" w:lineRule="auto"/>
        <w:ind w:left="720"/>
        <w:jc w:val="both"/>
        <w:rPr>
          <w:rFonts w:ascii="Palatino Linotype" w:hAnsi="Palatino Linotype"/>
        </w:rPr>
      </w:pPr>
      <w:r w:rsidRPr="00E66FD9">
        <w:rPr>
          <w:rFonts w:ascii="Palatino Linotype" w:hAnsi="Palatino Linotype"/>
          <w:b/>
          <w:bCs/>
        </w:rPr>
        <w:lastRenderedPageBreak/>
        <w:t xml:space="preserve">Actos futuros probables: </w:t>
      </w:r>
      <w:r w:rsidRPr="00E66FD9">
        <w:rPr>
          <w:rFonts w:ascii="Palatino Linotype" w:hAnsi="Palatino Linotype"/>
        </w:rPr>
        <w:t xml:space="preserve">Son aquellos que pueden o no suceder, es decir, son de remota realización. </w:t>
      </w:r>
    </w:p>
    <w:p w14:paraId="6FCB6461" w14:textId="77777777" w:rsidR="00955048" w:rsidRPr="00E66FD9" w:rsidRDefault="00955048" w:rsidP="00955048">
      <w:pPr>
        <w:spacing w:after="0" w:line="360" w:lineRule="auto"/>
        <w:contextualSpacing/>
        <w:jc w:val="both"/>
        <w:rPr>
          <w:rFonts w:ascii="Palatino Linotype" w:hAnsi="Palatino Linotype" w:cs="Arial"/>
          <w:sz w:val="24"/>
          <w:szCs w:val="24"/>
        </w:rPr>
      </w:pPr>
    </w:p>
    <w:p w14:paraId="380AE5D9" w14:textId="2107AC16" w:rsidR="00955048" w:rsidRPr="00E66FD9" w:rsidRDefault="00955048" w:rsidP="00955048">
      <w:pPr>
        <w:autoSpaceDE w:val="0"/>
        <w:autoSpaceDN w:val="0"/>
        <w:adjustRightInd w:val="0"/>
        <w:spacing w:line="360" w:lineRule="auto"/>
        <w:ind w:left="708"/>
        <w:jc w:val="both"/>
        <w:rPr>
          <w:rFonts w:ascii="Palatino Linotype" w:hAnsi="Palatino Linotype" w:cs="Arial"/>
          <w:sz w:val="24"/>
          <w:szCs w:val="24"/>
        </w:rPr>
      </w:pPr>
      <w:r w:rsidRPr="00E66FD9">
        <w:rPr>
          <w:rFonts w:ascii="Palatino Linotype" w:hAnsi="Palatino Linotype" w:cs="Arial"/>
          <w:sz w:val="24"/>
          <w:szCs w:val="24"/>
        </w:rPr>
        <w:t xml:space="preserve">En este sentido, con relación al único requerimiento de la solicitud de información </w:t>
      </w:r>
      <w:r w:rsidRPr="00E66FD9">
        <w:rPr>
          <w:rFonts w:ascii="Palatino Linotype" w:hAnsi="Palatino Linotype" w:cs="Arial"/>
          <w:b/>
          <w:bCs/>
          <w:sz w:val="24"/>
          <w:szCs w:val="24"/>
        </w:rPr>
        <w:t xml:space="preserve">01638/TEPOTZOT/IP/2025, </w:t>
      </w:r>
      <w:r w:rsidRPr="00E66FD9">
        <w:rPr>
          <w:rFonts w:ascii="Palatino Linotype" w:hAnsi="Palatino Linotype" w:cs="Arial"/>
          <w:sz w:val="24"/>
          <w:szCs w:val="24"/>
        </w:rPr>
        <w:t xml:space="preserve">al tomar en consideración que el derecho de acceso a la información pública fue ejercicio el dos de diciembre de dos mil veinticinco, resulta inconcuso que fue requerido un hecho futuro. Es decir, la temporalidad de la solicitud de información debe comprender del uno de enero de dos mil veintidós al dos de diciembre de dos mil veinticinco. </w:t>
      </w:r>
    </w:p>
    <w:p w14:paraId="12EF0CC6" w14:textId="77777777" w:rsidR="00955048" w:rsidRPr="00E66FD9" w:rsidRDefault="00955048" w:rsidP="00955048">
      <w:pPr>
        <w:autoSpaceDE w:val="0"/>
        <w:autoSpaceDN w:val="0"/>
        <w:adjustRightInd w:val="0"/>
        <w:spacing w:line="360" w:lineRule="auto"/>
        <w:ind w:left="708"/>
        <w:jc w:val="both"/>
        <w:rPr>
          <w:rFonts w:ascii="Palatino Linotype" w:hAnsi="Palatino Linotype" w:cs="Arial"/>
          <w:sz w:val="24"/>
          <w:szCs w:val="24"/>
        </w:rPr>
      </w:pPr>
    </w:p>
    <w:p w14:paraId="0EC7E8AD" w14:textId="77777777" w:rsidR="00955048" w:rsidRPr="00E66FD9" w:rsidRDefault="00955048" w:rsidP="00955048">
      <w:pPr>
        <w:spacing w:before="240" w:line="360" w:lineRule="auto"/>
        <w:jc w:val="both"/>
        <w:rPr>
          <w:rFonts w:ascii="Palatino Linotype" w:hAnsi="Palatino Linotype"/>
          <w:sz w:val="24"/>
          <w:szCs w:val="24"/>
        </w:rPr>
      </w:pPr>
      <w:r w:rsidRPr="00E66FD9">
        <w:rPr>
          <w:rFonts w:ascii="Palatino Linotype" w:hAnsi="Palatino Linotype"/>
          <w:sz w:val="24"/>
          <w:szCs w:val="24"/>
        </w:rPr>
        <w:t xml:space="preserve">Dichas precisiones, con fundamento en los artículos 13 y 181 cuarto párrafo de la Ley en materia, los cuales a la letra rezan: </w:t>
      </w:r>
    </w:p>
    <w:p w14:paraId="2635FFA1" w14:textId="77777777" w:rsidR="00955048" w:rsidRPr="00E66FD9" w:rsidRDefault="00955048" w:rsidP="00955048">
      <w:pPr>
        <w:pStyle w:val="Citas"/>
      </w:pPr>
      <w:r w:rsidRPr="00E66FD9">
        <w:rPr>
          <w:b/>
          <w:bCs/>
        </w:rPr>
        <w:t xml:space="preserve">“Artículo 13. </w:t>
      </w:r>
      <w:r w:rsidRPr="00E66FD9">
        <w:t>El Instituto, en el ámbito de sus atribuciones, deberá suplir cualquier deficiencia para garantizar el ejercicio del derecho de acceso a la información.</w:t>
      </w:r>
    </w:p>
    <w:p w14:paraId="009C819C" w14:textId="77777777" w:rsidR="00955048" w:rsidRPr="00E66FD9" w:rsidRDefault="00955048" w:rsidP="00955048">
      <w:pPr>
        <w:pStyle w:val="Citas"/>
        <w:rPr>
          <w:b/>
        </w:rPr>
      </w:pPr>
      <w:r w:rsidRPr="00E66FD9">
        <w:rPr>
          <w:b/>
        </w:rPr>
        <w:t xml:space="preserve">Artículo 181. … </w:t>
      </w:r>
    </w:p>
    <w:p w14:paraId="0F24E10B" w14:textId="3742C295" w:rsidR="00955048" w:rsidRPr="00E66FD9" w:rsidRDefault="00955048" w:rsidP="00955048">
      <w:pPr>
        <w:pStyle w:val="Citas"/>
        <w:rPr>
          <w:b/>
        </w:rPr>
      </w:pPr>
      <w:r w:rsidRPr="00E66FD9">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E66FD9">
        <w:rPr>
          <w:b/>
        </w:rPr>
        <w:t>[Sic]</w:t>
      </w:r>
    </w:p>
    <w:p w14:paraId="0C160EB9" w14:textId="77777777" w:rsidR="00955048" w:rsidRPr="00E66FD9" w:rsidRDefault="00955048" w:rsidP="00955048">
      <w:pPr>
        <w:spacing w:before="240" w:line="360" w:lineRule="auto"/>
        <w:jc w:val="both"/>
        <w:rPr>
          <w:rFonts w:ascii="Palatino Linotype" w:hAnsi="Palatino Linotype"/>
          <w:sz w:val="24"/>
          <w:szCs w:val="24"/>
        </w:rPr>
      </w:pPr>
      <w:r w:rsidRPr="00E66FD9">
        <w:rPr>
          <w:rFonts w:ascii="Palatino Linotype" w:hAnsi="Palatino Linotype"/>
          <w:sz w:val="24"/>
          <w:szCs w:val="24"/>
        </w:rPr>
        <w:t xml:space="preserve">Bajo estas líneas argumentativas, al retomar y delimitar los requerimientos formulados por la ahora </w:t>
      </w:r>
      <w:r w:rsidRPr="00E66FD9">
        <w:rPr>
          <w:rFonts w:ascii="Palatino Linotype" w:hAnsi="Palatino Linotype"/>
          <w:b/>
          <w:bCs/>
          <w:sz w:val="24"/>
          <w:szCs w:val="24"/>
        </w:rPr>
        <w:t xml:space="preserve">Recurrente, </w:t>
      </w:r>
      <w:r w:rsidRPr="00E66FD9">
        <w:rPr>
          <w:rFonts w:ascii="Palatino Linotype" w:hAnsi="Palatino Linotype"/>
          <w:sz w:val="24"/>
          <w:szCs w:val="24"/>
        </w:rPr>
        <w:t xml:space="preserve">de manera objetiva se precisa que versa en conocer la siguiente información: </w:t>
      </w:r>
    </w:p>
    <w:p w14:paraId="453F81E5" w14:textId="253600AE" w:rsidR="00955048" w:rsidRPr="00E66FD9" w:rsidRDefault="00955048" w:rsidP="00E060EA">
      <w:pPr>
        <w:pStyle w:val="Prrafodelista"/>
        <w:numPr>
          <w:ilvl w:val="0"/>
          <w:numId w:val="21"/>
        </w:numPr>
        <w:autoSpaceDE w:val="0"/>
        <w:autoSpaceDN w:val="0"/>
        <w:adjustRightInd w:val="0"/>
        <w:spacing w:before="240" w:after="160" w:line="360" w:lineRule="auto"/>
        <w:jc w:val="both"/>
        <w:rPr>
          <w:rFonts w:ascii="Palatino Linotype" w:hAnsi="Palatino Linotype" w:cs="Arial"/>
          <w:b/>
          <w:sz w:val="28"/>
          <w:lang w:val="es-MX"/>
        </w:rPr>
      </w:pPr>
      <w:r w:rsidRPr="00E66FD9">
        <w:rPr>
          <w:rFonts w:ascii="Palatino Linotype" w:hAnsi="Palatino Linotype" w:cs="Arial"/>
          <w:bCs/>
          <w:lang w:val="es-MX"/>
        </w:rPr>
        <w:lastRenderedPageBreak/>
        <w:t xml:space="preserve">El o los documentos donde conste el listado de proveedores contratado más de dos veces por cada dirección, </w:t>
      </w:r>
      <w:r w:rsidR="00E231B8" w:rsidRPr="00E66FD9">
        <w:rPr>
          <w:rFonts w:ascii="Palatino Linotype" w:hAnsi="Palatino Linotype" w:cs="Arial"/>
          <w:bCs/>
          <w:lang w:val="es-MX"/>
        </w:rPr>
        <w:t>así como el</w:t>
      </w:r>
      <w:r w:rsidRPr="00E66FD9">
        <w:rPr>
          <w:rFonts w:ascii="Palatino Linotype" w:hAnsi="Palatino Linotype" w:cs="Arial"/>
          <w:bCs/>
          <w:lang w:val="es-MX"/>
        </w:rPr>
        <w:t xml:space="preserve"> monto total pagado, concepto del gasto, contrato, justificación de adjudicación directa, evidencia de entrega de bienes o </w:t>
      </w:r>
      <w:r w:rsidR="00781073" w:rsidRPr="00E66FD9">
        <w:rPr>
          <w:rFonts w:ascii="Palatino Linotype" w:hAnsi="Palatino Linotype" w:cs="Arial"/>
          <w:bCs/>
          <w:lang w:val="es-MX"/>
        </w:rPr>
        <w:t>servicios, del</w:t>
      </w:r>
      <w:r w:rsidRPr="00E66FD9">
        <w:rPr>
          <w:rFonts w:ascii="Palatino Linotype" w:hAnsi="Palatino Linotype" w:cs="Arial"/>
          <w:bCs/>
          <w:lang w:val="es-MX"/>
        </w:rPr>
        <w:t xml:space="preserve"> periodo comprendido del uno de enero de dos mil veintidós al dos de diciembre de dos mil veinticinco. </w:t>
      </w:r>
    </w:p>
    <w:p w14:paraId="3B81AE99" w14:textId="79C2E0D1" w:rsidR="00955048" w:rsidRPr="00E66FD9" w:rsidRDefault="00955048" w:rsidP="00955048">
      <w:pPr>
        <w:autoSpaceDE w:val="0"/>
        <w:autoSpaceDN w:val="0"/>
        <w:adjustRightInd w:val="0"/>
        <w:spacing w:before="240" w:line="360" w:lineRule="auto"/>
        <w:jc w:val="both"/>
        <w:rPr>
          <w:rFonts w:ascii="Palatino Linotype" w:hAnsi="Palatino Linotype"/>
          <w:color w:val="000000"/>
        </w:rPr>
      </w:pPr>
    </w:p>
    <w:p w14:paraId="028CF481" w14:textId="436AFEF5" w:rsidR="00955048" w:rsidRPr="00E66FD9" w:rsidRDefault="00955048" w:rsidP="00955048">
      <w:pPr>
        <w:spacing w:before="240" w:line="360" w:lineRule="auto"/>
        <w:jc w:val="both"/>
        <w:rPr>
          <w:rFonts w:ascii="Palatino Linotype" w:hAnsi="Palatino Linotype" w:cs="Arial"/>
          <w:sz w:val="28"/>
          <w:szCs w:val="28"/>
        </w:rPr>
      </w:pPr>
      <w:r w:rsidRPr="00E66FD9">
        <w:rPr>
          <w:rFonts w:ascii="Palatino Linotype" w:hAnsi="Palatino Linotype" w:cs="Arial"/>
          <w:sz w:val="24"/>
          <w:szCs w:val="24"/>
        </w:rPr>
        <w:t>Bajo este contexto, a efecto de identificar las unidades administrativas competentes se traen a colación las siguientes imágenes ilustrativas, correspondientes al organigrama del sujeto obligado</w:t>
      </w:r>
      <w:r w:rsidR="00781073" w:rsidRPr="00E66FD9">
        <w:rPr>
          <w:rFonts w:ascii="Palatino Linotype" w:hAnsi="Palatino Linotype" w:cs="Arial"/>
          <w:sz w:val="24"/>
          <w:szCs w:val="24"/>
        </w:rPr>
        <w:t xml:space="preserve">: </w:t>
      </w:r>
    </w:p>
    <w:p w14:paraId="50B9F9F0" w14:textId="7AC3DD22" w:rsidR="00955048" w:rsidRPr="00E66FD9" w:rsidRDefault="00E231B8" w:rsidP="00870B18">
      <w:pPr>
        <w:spacing w:before="240" w:line="360" w:lineRule="auto"/>
        <w:jc w:val="both"/>
        <w:rPr>
          <w:rFonts w:ascii="Palatino Linotype" w:hAnsi="Palatino Linotype" w:cs="Arial"/>
          <w:sz w:val="28"/>
          <w:szCs w:val="28"/>
        </w:rPr>
      </w:pPr>
      <w:r w:rsidRPr="00E66FD9">
        <w:rPr>
          <w:rFonts w:ascii="Palatino Linotype" w:hAnsi="Palatino Linotype" w:cs="Arial"/>
          <w:noProof/>
          <w:sz w:val="28"/>
          <w:szCs w:val="28"/>
          <w:lang w:eastAsia="es-MX"/>
        </w:rPr>
        <mc:AlternateContent>
          <mc:Choice Requires="wps">
            <w:drawing>
              <wp:anchor distT="0" distB="0" distL="114300" distR="114300" simplePos="0" relativeHeight="251746304" behindDoc="0" locked="0" layoutInCell="1" allowOverlap="1" wp14:anchorId="1BCE664C" wp14:editId="03E40888">
                <wp:simplePos x="0" y="0"/>
                <wp:positionH relativeFrom="column">
                  <wp:posOffset>1488440</wp:posOffset>
                </wp:positionH>
                <wp:positionV relativeFrom="paragraph">
                  <wp:posOffset>3442335</wp:posOffset>
                </wp:positionV>
                <wp:extent cx="1165860" cy="281940"/>
                <wp:effectExtent l="0" t="0" r="15240" b="22860"/>
                <wp:wrapNone/>
                <wp:docPr id="42661325" name="Rectangle 3"/>
                <wp:cNvGraphicFramePr/>
                <a:graphic xmlns:a="http://schemas.openxmlformats.org/drawingml/2006/main">
                  <a:graphicData uri="http://schemas.microsoft.com/office/word/2010/wordprocessingShape">
                    <wps:wsp>
                      <wps:cNvSpPr/>
                      <wps:spPr>
                        <a:xfrm>
                          <a:off x="0" y="0"/>
                          <a:ext cx="1165860" cy="28194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9DBC5C" id="Rectangle 3" o:spid="_x0000_s1026" style="position:absolute;margin-left:117.2pt;margin-top:271.05pt;width:91.8pt;height:22.2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" filled="f" strokecolor="#e00" strokeweight="1pt"/>
            </w:pict>
          </mc:Fallback>
        </mc:AlternateContent>
      </w:r>
      <w:r w:rsidRPr="00E66FD9">
        <w:rPr>
          <w:rFonts w:ascii="Palatino Linotype" w:hAnsi="Palatino Linotype" w:cs="Arial"/>
          <w:noProof/>
          <w:sz w:val="28"/>
          <w:szCs w:val="28"/>
          <w:lang w:eastAsia="es-MX"/>
        </w:rPr>
        <mc:AlternateContent>
          <mc:Choice Requires="wps">
            <w:drawing>
              <wp:anchor distT="0" distB="0" distL="114300" distR="114300" simplePos="0" relativeHeight="251744256" behindDoc="0" locked="0" layoutInCell="1" allowOverlap="1" wp14:anchorId="5A2B834A" wp14:editId="42B910C0">
                <wp:simplePos x="0" y="0"/>
                <wp:positionH relativeFrom="column">
                  <wp:posOffset>1191260</wp:posOffset>
                </wp:positionH>
                <wp:positionV relativeFrom="paragraph">
                  <wp:posOffset>2712720</wp:posOffset>
                </wp:positionV>
                <wp:extent cx="1859280" cy="281940"/>
                <wp:effectExtent l="0" t="0" r="26670" b="22860"/>
                <wp:wrapNone/>
                <wp:docPr id="1768069253" name="Rectangle 3"/>
                <wp:cNvGraphicFramePr/>
                <a:graphic xmlns:a="http://schemas.openxmlformats.org/drawingml/2006/main">
                  <a:graphicData uri="http://schemas.microsoft.com/office/word/2010/wordprocessingShape">
                    <wps:wsp>
                      <wps:cNvSpPr/>
                      <wps:spPr>
                        <a:xfrm>
                          <a:off x="0" y="0"/>
                          <a:ext cx="1859280" cy="28194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F64F91" id="Rectangle 3" o:spid="_x0000_s1026" style="position:absolute;margin-left:93.8pt;margin-top:213.6pt;width:146.4pt;height:22.2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" filled="f" strokecolor="#e00" strokeweight="1pt"/>
            </w:pict>
          </mc:Fallback>
        </mc:AlternateContent>
      </w:r>
      <w:r w:rsidRPr="00E66FD9">
        <w:rPr>
          <w:rFonts w:ascii="Palatino Linotype" w:hAnsi="Palatino Linotype" w:cs="Arial"/>
          <w:noProof/>
          <w:sz w:val="28"/>
          <w:szCs w:val="28"/>
          <w:lang w:eastAsia="es-MX"/>
        </w:rPr>
        <w:drawing>
          <wp:anchor distT="0" distB="0" distL="114300" distR="114300" simplePos="0" relativeHeight="251743232" behindDoc="0" locked="0" layoutInCell="1" allowOverlap="1" wp14:anchorId="6A45307D" wp14:editId="079BD5BA">
            <wp:simplePos x="0" y="0"/>
            <wp:positionH relativeFrom="column">
              <wp:posOffset>27305</wp:posOffset>
            </wp:positionH>
            <wp:positionV relativeFrom="paragraph">
              <wp:posOffset>412750</wp:posOffset>
            </wp:positionV>
            <wp:extent cx="5760720" cy="3489960"/>
            <wp:effectExtent l="19050" t="19050" r="11430" b="15240"/>
            <wp:wrapThrough wrapText="bothSides">
              <wp:wrapPolygon edited="0">
                <wp:start x="-71" y="-118"/>
                <wp:lineTo x="-71" y="21576"/>
                <wp:lineTo x="21571" y="21576"/>
                <wp:lineTo x="21571" y="-118"/>
                <wp:lineTo x="-71" y="-118"/>
              </wp:wrapPolygon>
            </wp:wrapThrough>
            <wp:docPr id="67372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2636"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4899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FD3239F" w14:textId="77777777" w:rsidR="00781073" w:rsidRPr="00E66FD9" w:rsidRDefault="00781073" w:rsidP="00870B18">
      <w:pPr>
        <w:spacing w:before="240" w:line="360" w:lineRule="auto"/>
        <w:jc w:val="both"/>
        <w:rPr>
          <w:rFonts w:ascii="Palatino Linotype" w:hAnsi="Palatino Linotype" w:cs="Arial"/>
          <w:sz w:val="28"/>
          <w:szCs w:val="28"/>
        </w:rPr>
      </w:pPr>
    </w:p>
    <w:p w14:paraId="1F039F7B" w14:textId="76419CD2" w:rsidR="001F5597" w:rsidRPr="00E66FD9" w:rsidRDefault="00513F18" w:rsidP="00513F18">
      <w:pPr>
        <w:spacing w:line="360" w:lineRule="auto"/>
        <w:jc w:val="both"/>
        <w:rPr>
          <w:rFonts w:ascii="Palatino Linotype" w:hAnsi="Palatino Linotype" w:cs="Arial"/>
          <w:sz w:val="24"/>
          <w:szCs w:val="24"/>
        </w:rPr>
      </w:pPr>
      <w:r w:rsidRPr="00E66FD9">
        <w:rPr>
          <w:rFonts w:ascii="Palatino Linotype" w:hAnsi="Palatino Linotype" w:cs="Arial"/>
          <w:sz w:val="24"/>
          <w:szCs w:val="24"/>
        </w:rPr>
        <w:lastRenderedPageBreak/>
        <w:t xml:space="preserve">De lo expuesto con anterioridad, se desprende que </w:t>
      </w:r>
      <w:r w:rsidRPr="00E66FD9">
        <w:rPr>
          <w:rFonts w:ascii="Palatino Linotype" w:hAnsi="Palatino Linotype" w:cs="Arial"/>
          <w:b/>
          <w:sz w:val="24"/>
          <w:szCs w:val="24"/>
        </w:rPr>
        <w:t xml:space="preserve">El Sujeto Obligado </w:t>
      </w:r>
      <w:r w:rsidRPr="00E66FD9">
        <w:rPr>
          <w:rFonts w:ascii="Palatino Linotype" w:hAnsi="Palatino Linotype" w:cs="Arial"/>
          <w:sz w:val="24"/>
          <w:szCs w:val="24"/>
        </w:rPr>
        <w:t xml:space="preserve">se auxilia de diversas Direcciones, Subdirecciones, Departamentos y Unidades Administrativas para cumplir con sus fines y objetivos, resultando de nuestro más amplio interés </w:t>
      </w:r>
      <w:r w:rsidR="00566D97" w:rsidRPr="00E66FD9">
        <w:rPr>
          <w:rFonts w:ascii="Palatino Linotype" w:hAnsi="Palatino Linotype" w:cs="Arial"/>
          <w:sz w:val="24"/>
          <w:szCs w:val="24"/>
        </w:rPr>
        <w:t xml:space="preserve">la Dirección de Administración y Finanzas, así como la Jefatura de Adquisiciones. </w:t>
      </w:r>
    </w:p>
    <w:p w14:paraId="7124D6C3" w14:textId="21007A5D" w:rsidR="00566D97" w:rsidRPr="00E66FD9" w:rsidRDefault="00566D97" w:rsidP="00566D97">
      <w:pPr>
        <w:spacing w:line="360" w:lineRule="auto"/>
        <w:jc w:val="both"/>
        <w:rPr>
          <w:rFonts w:ascii="Palatino Linotype" w:hAnsi="Palatino Linotype"/>
          <w:i/>
          <w:sz w:val="24"/>
          <w:szCs w:val="24"/>
        </w:rPr>
      </w:pPr>
      <w:r w:rsidRPr="00E66FD9">
        <w:rPr>
          <w:rFonts w:ascii="Palatino Linotype" w:hAnsi="Palatino Linotype" w:cs="Arial"/>
          <w:sz w:val="24"/>
          <w:szCs w:val="24"/>
        </w:rPr>
        <w:t xml:space="preserve">En virtud de lo anterior, para ilustrar la competencia de dichas unidades administrativas, resulta oportuno traer a colación los artículos 47 y 48 del Bando municipal de Tepotzotlán; </w:t>
      </w:r>
      <w:r w:rsidRPr="00E66FD9">
        <w:rPr>
          <w:rFonts w:ascii="Palatino Linotype" w:hAnsi="Palatino Linotype"/>
          <w:sz w:val="24"/>
          <w:szCs w:val="24"/>
        </w:rPr>
        <w:t xml:space="preserve">numerales 26 y 27 de la Ley de Contratación Pública del Estado de México; artículos 43, 44, 54, 67, 90 y 94 del Reglamento de la Ley de Contratación Pública del Estado de México y Municipios, porciones normativas que disponen a la literalidad lo siguiente: </w:t>
      </w:r>
    </w:p>
    <w:p w14:paraId="0A21228D" w14:textId="50D42065" w:rsidR="00566D97" w:rsidRPr="00E66FD9" w:rsidRDefault="00566D97" w:rsidP="00566D97">
      <w:pPr>
        <w:pStyle w:val="Citas"/>
        <w:jc w:val="center"/>
        <w:rPr>
          <w:b/>
          <w:bCs/>
          <w:i w:val="0"/>
          <w:iCs/>
        </w:rPr>
      </w:pPr>
      <w:r w:rsidRPr="00E66FD9">
        <w:rPr>
          <w:b/>
          <w:bCs/>
          <w:i w:val="0"/>
          <w:iCs/>
        </w:rPr>
        <w:t>BANDO MUNICIPAL DE TEPOTZOTLÁN</w:t>
      </w:r>
    </w:p>
    <w:p w14:paraId="23441EF4" w14:textId="2C62F2CA" w:rsidR="00566D97" w:rsidRPr="00E66FD9" w:rsidRDefault="00566D97" w:rsidP="00566D97">
      <w:pPr>
        <w:pStyle w:val="Citas"/>
      </w:pPr>
      <w:r w:rsidRPr="00E66FD9">
        <w:t>“ARTÍCULO 47.- El Ayuntamiento cuenta con la Dirección de Administración y Finanzas, que asumirá las funciones y atribuciones de la Tesorería, teniendo como funciones, en forma enunciativa y no limitativa, las establecidas en el artículo 95 de la Ley Orgánica Municipal del Estado de México, así como lo dispuesto por las leyes y reglamentos aplicables en el ámbito de su competencia.</w:t>
      </w:r>
    </w:p>
    <w:p w14:paraId="44B3D2F1" w14:textId="16554587" w:rsidR="00566D97" w:rsidRPr="00E66FD9" w:rsidRDefault="00566D97" w:rsidP="00566D97">
      <w:pPr>
        <w:pStyle w:val="Citas"/>
        <w:rPr>
          <w:b/>
          <w:bCs/>
        </w:rPr>
      </w:pPr>
      <w:r w:rsidRPr="00E66FD9">
        <w:t xml:space="preserve">ARTÍCULO 48.- La Dirección de Administración y Finanzas con funciones de Tesorería Municipal, es el único órgano encargado de la recaudación de los ingresos municipales y responsable de realizar las erogaciones que lleve a cabo el Ayuntamiento.” </w:t>
      </w:r>
      <w:r w:rsidRPr="00E66FD9">
        <w:rPr>
          <w:b/>
          <w:bCs/>
        </w:rPr>
        <w:t>(Sic)</w:t>
      </w:r>
    </w:p>
    <w:p w14:paraId="1F28C944" w14:textId="77777777" w:rsidR="00566D97" w:rsidRPr="00E66FD9" w:rsidRDefault="00566D97" w:rsidP="00B23384">
      <w:pPr>
        <w:spacing w:line="360" w:lineRule="auto"/>
        <w:ind w:left="360"/>
        <w:jc w:val="both"/>
        <w:rPr>
          <w:rFonts w:ascii="Palatino Linotype" w:hAnsi="Palatino Linotype" w:cs="Arial"/>
        </w:rPr>
      </w:pPr>
    </w:p>
    <w:p w14:paraId="17E62841" w14:textId="77777777" w:rsidR="00566D97" w:rsidRPr="00E66FD9" w:rsidRDefault="00566D97" w:rsidP="00566D97">
      <w:pPr>
        <w:spacing w:after="0" w:line="360" w:lineRule="auto"/>
        <w:jc w:val="center"/>
        <w:rPr>
          <w:rFonts w:ascii="Palatino Linotype" w:hAnsi="Palatino Linotype" w:cs="Arial"/>
          <w:b/>
          <w:iCs/>
          <w:color w:val="000000"/>
          <w:lang w:val="es-ES_tradnl"/>
        </w:rPr>
      </w:pPr>
      <w:r w:rsidRPr="00E66FD9">
        <w:rPr>
          <w:rFonts w:ascii="Palatino Linotype" w:hAnsi="Palatino Linotype" w:cs="Arial"/>
          <w:b/>
          <w:iCs/>
          <w:color w:val="000000"/>
          <w:lang w:val="es-ES_tradnl"/>
        </w:rPr>
        <w:t>LEY DE CONTRATACIÓN PÚBLICA DEL ESTADO DE MÉXICO</w:t>
      </w:r>
    </w:p>
    <w:p w14:paraId="73A30AB2"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lastRenderedPageBreak/>
        <w:t xml:space="preserve">“Artículo 26.- Las adquisiciones, arrendamientos y servicios se adjudicarán a través de licitaciones públicas, mediante convocatoria pública. </w:t>
      </w:r>
    </w:p>
    <w:p w14:paraId="50DE3AA3"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Artículo 27.- La Secretaría, las entidades, los tribunales administrativos y los ayuntamientos podrán adjudicar adquisiciones, arrendamientos y servicios, mediante las excepciones al procedimiento de licitación que a continuación se señalan:</w:t>
      </w:r>
    </w:p>
    <w:p w14:paraId="787C4F4F" w14:textId="77777777" w:rsidR="00566D97" w:rsidRPr="00E66FD9" w:rsidRDefault="00566D97" w:rsidP="00566D97">
      <w:pPr>
        <w:pStyle w:val="Prrafodelista"/>
        <w:numPr>
          <w:ilvl w:val="0"/>
          <w:numId w:val="22"/>
        </w:numPr>
        <w:spacing w:before="240" w:after="160" w:line="360" w:lineRule="auto"/>
        <w:ind w:left="851" w:right="851" w:firstLine="0"/>
        <w:jc w:val="both"/>
        <w:rPr>
          <w:rFonts w:ascii="Palatino Linotype" w:hAnsi="Palatino Linotype"/>
          <w:i/>
          <w:sz w:val="22"/>
          <w:szCs w:val="22"/>
        </w:rPr>
      </w:pPr>
      <w:r w:rsidRPr="00E66FD9">
        <w:rPr>
          <w:rFonts w:ascii="Palatino Linotype" w:hAnsi="Palatino Linotype"/>
          <w:i/>
          <w:sz w:val="22"/>
          <w:szCs w:val="22"/>
        </w:rPr>
        <w:t>Invitación restringida.</w:t>
      </w:r>
    </w:p>
    <w:p w14:paraId="53FB9092" w14:textId="77777777" w:rsidR="00566D97" w:rsidRPr="00E66FD9" w:rsidRDefault="00566D97" w:rsidP="00566D97">
      <w:pPr>
        <w:pStyle w:val="Prrafodelista"/>
        <w:numPr>
          <w:ilvl w:val="0"/>
          <w:numId w:val="22"/>
        </w:numPr>
        <w:spacing w:before="240" w:after="160" w:line="360" w:lineRule="auto"/>
        <w:ind w:left="851" w:right="851" w:firstLine="0"/>
        <w:jc w:val="both"/>
        <w:rPr>
          <w:rFonts w:ascii="Palatino Linotype" w:hAnsi="Palatino Linotype" w:cs="Arial"/>
          <w:b/>
          <w:i/>
          <w:color w:val="000000"/>
          <w:sz w:val="22"/>
          <w:szCs w:val="22"/>
          <w:lang w:val="es-ES_tradnl"/>
        </w:rPr>
      </w:pPr>
      <w:r w:rsidRPr="00E66FD9">
        <w:rPr>
          <w:rFonts w:ascii="Palatino Linotype" w:hAnsi="Palatino Linotype"/>
          <w:i/>
          <w:sz w:val="22"/>
          <w:szCs w:val="22"/>
        </w:rPr>
        <w:t xml:space="preserve"> Adjudicación directa.” </w:t>
      </w:r>
      <w:r w:rsidRPr="00E66FD9">
        <w:rPr>
          <w:rFonts w:ascii="Palatino Linotype" w:hAnsi="Palatino Linotype"/>
          <w:b/>
          <w:i/>
          <w:sz w:val="22"/>
          <w:szCs w:val="22"/>
        </w:rPr>
        <w:t>(Sic)</w:t>
      </w:r>
    </w:p>
    <w:p w14:paraId="74E60914" w14:textId="77777777" w:rsidR="00566D97" w:rsidRPr="00E66FD9" w:rsidRDefault="00566D97" w:rsidP="00566D97">
      <w:pPr>
        <w:spacing w:before="240" w:line="360" w:lineRule="auto"/>
        <w:ind w:left="851" w:right="851"/>
        <w:jc w:val="center"/>
        <w:rPr>
          <w:rFonts w:ascii="Palatino Linotype" w:hAnsi="Palatino Linotype"/>
          <w:b/>
          <w:iCs/>
        </w:rPr>
      </w:pPr>
    </w:p>
    <w:p w14:paraId="37F72E84" w14:textId="77777777" w:rsidR="00566D97" w:rsidRPr="00E66FD9" w:rsidRDefault="00566D97" w:rsidP="00566D97">
      <w:pPr>
        <w:spacing w:before="240" w:line="360" w:lineRule="auto"/>
        <w:ind w:left="851" w:right="851"/>
        <w:jc w:val="center"/>
        <w:rPr>
          <w:rFonts w:ascii="Palatino Linotype" w:hAnsi="Palatino Linotype"/>
          <w:b/>
          <w:iCs/>
        </w:rPr>
      </w:pPr>
      <w:r w:rsidRPr="00E66FD9">
        <w:rPr>
          <w:rFonts w:ascii="Palatino Linotype" w:hAnsi="Palatino Linotype"/>
          <w:b/>
          <w:iCs/>
        </w:rPr>
        <w:t>REGLAMENTO DE LA LEY DE CONTRATACIÓN PÚBLICA DEL ESTADO DE MÉXICO Y MUNICIPIOS</w:t>
      </w:r>
    </w:p>
    <w:p w14:paraId="20C0474F"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“Artículo 43.- La Secretaría, organismos auxiliares, tribunales administrativos y municipios, se auxiliarán de un Comité de Adquisiciones y Servicios, para la substanciación de los procedimientos de adquisición regulados en la Ley. </w:t>
      </w:r>
    </w:p>
    <w:p w14:paraId="0B7C74E0" w14:textId="77777777" w:rsidR="00566D97" w:rsidRPr="00E66FD9" w:rsidRDefault="00566D97" w:rsidP="00566D97">
      <w:pPr>
        <w:spacing w:before="240" w:line="360" w:lineRule="auto"/>
        <w:ind w:left="851" w:right="851"/>
        <w:jc w:val="both"/>
        <w:rPr>
          <w:rFonts w:ascii="Palatino Linotype" w:hAnsi="Palatino Linotype"/>
          <w:b/>
          <w:i/>
          <w:u w:val="single"/>
        </w:rPr>
      </w:pPr>
      <w:r w:rsidRPr="00E66FD9">
        <w:rPr>
          <w:rFonts w:ascii="Palatino Linotype" w:hAnsi="Palatino Linotype"/>
          <w:b/>
          <w:i/>
          <w:u w:val="single"/>
        </w:rPr>
        <w:t xml:space="preserve">Artículo 44.- El Comité de Adquisiciones y Servicios se integrará por: </w:t>
      </w:r>
    </w:p>
    <w:p w14:paraId="409C5A51" w14:textId="77777777" w:rsidR="00566D97" w:rsidRPr="00E66FD9" w:rsidRDefault="00566D97" w:rsidP="00566D97">
      <w:pPr>
        <w:pStyle w:val="Prrafodelista"/>
        <w:numPr>
          <w:ilvl w:val="0"/>
          <w:numId w:val="23"/>
        </w:numPr>
        <w:spacing w:before="240" w:line="360" w:lineRule="auto"/>
        <w:ind w:right="851"/>
        <w:jc w:val="both"/>
        <w:rPr>
          <w:rFonts w:ascii="Palatino Linotype" w:hAnsi="Palatino Linotype"/>
          <w:b/>
          <w:i/>
          <w:sz w:val="22"/>
          <w:szCs w:val="22"/>
          <w:u w:val="single"/>
        </w:rPr>
      </w:pPr>
      <w:r w:rsidRPr="00E66FD9">
        <w:rPr>
          <w:rFonts w:ascii="Palatino Linotype" w:hAnsi="Palatino Linotype"/>
          <w:i/>
          <w:sz w:val="22"/>
          <w:szCs w:val="22"/>
        </w:rPr>
        <w:t xml:space="preserve">En la Secretaría, por el titular del área encargada de operar el sistema de adquisiciones de las dependencias del Poder Ejecutivo, y en los organismos auxiliares, tribunales administrativos y </w:t>
      </w:r>
      <w:r w:rsidRPr="00E66FD9">
        <w:rPr>
          <w:rFonts w:ascii="Palatino Linotype" w:hAnsi="Palatino Linotype"/>
          <w:b/>
          <w:i/>
          <w:sz w:val="22"/>
          <w:szCs w:val="22"/>
          <w:u w:val="single"/>
        </w:rPr>
        <w:t xml:space="preserve">municipios, por el titular de la unidad administrativa, quien fungirá como presidente; </w:t>
      </w:r>
    </w:p>
    <w:p w14:paraId="49419DF5" w14:textId="77777777" w:rsidR="00566D97" w:rsidRPr="00E66FD9" w:rsidRDefault="00566D97" w:rsidP="00566D97">
      <w:pPr>
        <w:pStyle w:val="Prrafodelista"/>
        <w:numPr>
          <w:ilvl w:val="0"/>
          <w:numId w:val="23"/>
        </w:numPr>
        <w:spacing w:before="240" w:line="360" w:lineRule="auto"/>
        <w:ind w:right="851"/>
        <w:jc w:val="both"/>
        <w:rPr>
          <w:rFonts w:ascii="Palatino Linotype" w:hAnsi="Palatino Linotype" w:cs="Arial"/>
          <w:b/>
          <w:i/>
          <w:sz w:val="22"/>
          <w:szCs w:val="22"/>
        </w:rPr>
      </w:pPr>
      <w:r w:rsidRPr="00E66FD9">
        <w:rPr>
          <w:rFonts w:ascii="Palatino Linotype" w:hAnsi="Palatino Linotype"/>
          <w:i/>
          <w:sz w:val="22"/>
          <w:szCs w:val="22"/>
        </w:rPr>
        <w:t xml:space="preserve">Un representante del </w:t>
      </w:r>
      <w:r w:rsidRPr="00E66FD9">
        <w:rPr>
          <w:rFonts w:ascii="Palatino Linotype" w:hAnsi="Palatino Linotype"/>
          <w:b/>
          <w:i/>
          <w:sz w:val="22"/>
          <w:szCs w:val="22"/>
          <w:u w:val="single"/>
        </w:rPr>
        <w:t>área financiera</w:t>
      </w:r>
      <w:r w:rsidRPr="00E66FD9">
        <w:rPr>
          <w:rFonts w:ascii="Palatino Linotype" w:hAnsi="Palatino Linotype"/>
          <w:i/>
          <w:sz w:val="22"/>
          <w:szCs w:val="22"/>
        </w:rPr>
        <w:t xml:space="preserve"> de la Secretaría, entidad, tribunal administrativo o municipio, con función de vocal; </w:t>
      </w:r>
    </w:p>
    <w:p w14:paraId="7555933F" w14:textId="77777777" w:rsidR="00566D97" w:rsidRPr="00E66FD9" w:rsidRDefault="00566D97" w:rsidP="00566D97">
      <w:pPr>
        <w:pStyle w:val="Prrafodelista"/>
        <w:numPr>
          <w:ilvl w:val="0"/>
          <w:numId w:val="23"/>
        </w:numPr>
        <w:spacing w:before="240" w:line="360" w:lineRule="auto"/>
        <w:ind w:right="851"/>
        <w:jc w:val="both"/>
        <w:rPr>
          <w:rFonts w:ascii="Palatino Linotype" w:hAnsi="Palatino Linotype" w:cs="Arial"/>
          <w:b/>
          <w:i/>
          <w:sz w:val="22"/>
          <w:szCs w:val="22"/>
        </w:rPr>
      </w:pPr>
      <w:r w:rsidRPr="00E66FD9">
        <w:rPr>
          <w:rFonts w:ascii="Palatino Linotype" w:hAnsi="Palatino Linotype"/>
          <w:b/>
          <w:i/>
          <w:sz w:val="22"/>
          <w:szCs w:val="22"/>
          <w:u w:val="single"/>
        </w:rPr>
        <w:lastRenderedPageBreak/>
        <w:t>Un representante de cada dependencia o unidad administrativa interesada</w:t>
      </w:r>
      <w:r w:rsidRPr="00E66FD9">
        <w:rPr>
          <w:rFonts w:ascii="Palatino Linotype" w:hAnsi="Palatino Linotype"/>
          <w:i/>
          <w:sz w:val="22"/>
          <w:szCs w:val="22"/>
        </w:rPr>
        <w:t xml:space="preserve"> en la adquisición de los bienes o contratación del servicio, con función de vocal;</w:t>
      </w:r>
    </w:p>
    <w:p w14:paraId="6EFED085" w14:textId="77777777" w:rsidR="00566D97" w:rsidRPr="00E66FD9" w:rsidRDefault="00566D97" w:rsidP="00566D97">
      <w:pPr>
        <w:pStyle w:val="Prrafodelista"/>
        <w:numPr>
          <w:ilvl w:val="0"/>
          <w:numId w:val="23"/>
        </w:numPr>
        <w:spacing w:before="240" w:line="360" w:lineRule="auto"/>
        <w:ind w:right="851"/>
        <w:jc w:val="both"/>
        <w:rPr>
          <w:rFonts w:ascii="Palatino Linotype" w:hAnsi="Palatino Linotype" w:cs="Arial"/>
          <w:b/>
          <w:i/>
          <w:sz w:val="22"/>
          <w:szCs w:val="22"/>
        </w:rPr>
      </w:pPr>
      <w:r w:rsidRPr="00E66FD9">
        <w:rPr>
          <w:rFonts w:ascii="Palatino Linotype" w:hAnsi="Palatino Linotype"/>
          <w:i/>
          <w:sz w:val="22"/>
          <w:szCs w:val="22"/>
        </w:rPr>
        <w:t xml:space="preserve"> Un representante de la </w:t>
      </w:r>
      <w:r w:rsidRPr="00E66FD9">
        <w:rPr>
          <w:rFonts w:ascii="Palatino Linotype" w:hAnsi="Palatino Linotype"/>
          <w:b/>
          <w:i/>
          <w:sz w:val="22"/>
          <w:szCs w:val="22"/>
          <w:u w:val="single"/>
        </w:rPr>
        <w:t>Consejería Jurídica o del área jurídica respectiva</w:t>
      </w:r>
      <w:r w:rsidRPr="00E66FD9">
        <w:rPr>
          <w:rFonts w:ascii="Palatino Linotype" w:hAnsi="Palatino Linotype"/>
          <w:i/>
          <w:sz w:val="22"/>
          <w:szCs w:val="22"/>
        </w:rPr>
        <w:t xml:space="preserve"> o quien lleve a cabo las funciones de esta naturaleza, con función de vocal; </w:t>
      </w:r>
    </w:p>
    <w:p w14:paraId="4092693D" w14:textId="77777777" w:rsidR="00566D97" w:rsidRPr="00E66FD9" w:rsidRDefault="00566D97" w:rsidP="00566D97">
      <w:pPr>
        <w:pStyle w:val="Prrafodelista"/>
        <w:numPr>
          <w:ilvl w:val="0"/>
          <w:numId w:val="23"/>
        </w:numPr>
        <w:spacing w:before="240" w:line="360" w:lineRule="auto"/>
        <w:ind w:right="851"/>
        <w:jc w:val="both"/>
        <w:rPr>
          <w:rFonts w:ascii="Palatino Linotype" w:hAnsi="Palatino Linotype" w:cs="Arial"/>
          <w:b/>
          <w:i/>
          <w:sz w:val="22"/>
          <w:szCs w:val="22"/>
        </w:rPr>
      </w:pPr>
      <w:r w:rsidRPr="00E66FD9">
        <w:rPr>
          <w:rFonts w:ascii="Palatino Linotype" w:hAnsi="Palatino Linotype"/>
          <w:i/>
          <w:sz w:val="22"/>
          <w:szCs w:val="22"/>
        </w:rPr>
        <w:t xml:space="preserve">Un representante del </w:t>
      </w:r>
      <w:r w:rsidRPr="00E66FD9">
        <w:rPr>
          <w:rFonts w:ascii="Palatino Linotype" w:hAnsi="Palatino Linotype"/>
          <w:b/>
          <w:i/>
          <w:sz w:val="22"/>
          <w:szCs w:val="22"/>
          <w:u w:val="single"/>
        </w:rPr>
        <w:t>Órgano de Control,</w:t>
      </w:r>
      <w:r w:rsidRPr="00E66FD9">
        <w:rPr>
          <w:rFonts w:ascii="Palatino Linotype" w:hAnsi="Palatino Linotype"/>
          <w:i/>
          <w:sz w:val="22"/>
          <w:szCs w:val="22"/>
        </w:rPr>
        <w:t xml:space="preserve"> con función de vocal; y </w:t>
      </w:r>
    </w:p>
    <w:p w14:paraId="4BDC2ACB" w14:textId="77777777" w:rsidR="00566D97" w:rsidRPr="00E66FD9" w:rsidRDefault="00566D97" w:rsidP="00566D97">
      <w:pPr>
        <w:pStyle w:val="Prrafodelista"/>
        <w:numPr>
          <w:ilvl w:val="0"/>
          <w:numId w:val="23"/>
        </w:numPr>
        <w:spacing w:before="240" w:line="360" w:lineRule="auto"/>
        <w:ind w:right="851"/>
        <w:jc w:val="both"/>
        <w:rPr>
          <w:rFonts w:ascii="Palatino Linotype" w:hAnsi="Palatino Linotype" w:cs="Arial"/>
          <w:b/>
          <w:i/>
          <w:sz w:val="22"/>
          <w:szCs w:val="22"/>
        </w:rPr>
      </w:pPr>
      <w:r w:rsidRPr="00E66FD9">
        <w:rPr>
          <w:rFonts w:ascii="Palatino Linotype" w:hAnsi="Palatino Linotype"/>
          <w:b/>
          <w:i/>
          <w:sz w:val="22"/>
          <w:szCs w:val="22"/>
          <w:u w:val="single"/>
        </w:rPr>
        <w:t>Un secretario ejecutivo,</w:t>
      </w:r>
      <w:r w:rsidRPr="00E66FD9">
        <w:rPr>
          <w:rFonts w:ascii="Palatino Linotype" w:hAnsi="Palatino Linotype"/>
          <w:i/>
          <w:sz w:val="22"/>
          <w:szCs w:val="22"/>
        </w:rPr>
        <w:t xml:space="preserve"> que será designado por el presidente. </w:t>
      </w:r>
    </w:p>
    <w:p w14:paraId="58627B39" w14:textId="77777777" w:rsidR="00566D97" w:rsidRPr="00E66FD9" w:rsidRDefault="00566D97" w:rsidP="00566D97">
      <w:pPr>
        <w:pStyle w:val="Prrafodelista"/>
        <w:spacing w:before="240" w:after="160" w:line="360" w:lineRule="auto"/>
        <w:ind w:left="851" w:right="851"/>
        <w:jc w:val="both"/>
        <w:rPr>
          <w:rFonts w:ascii="Palatino Linotype" w:hAnsi="Palatino Linotype"/>
          <w:i/>
          <w:sz w:val="22"/>
          <w:szCs w:val="22"/>
        </w:rPr>
      </w:pPr>
      <w:r w:rsidRPr="00E66FD9">
        <w:rPr>
          <w:rFonts w:ascii="Palatino Linotype" w:hAnsi="Palatino Linotype"/>
          <w:i/>
          <w:sz w:val="22"/>
          <w:szCs w:val="22"/>
        </w:rPr>
        <w:t xml:space="preserve">Los organismos auxiliares y tribunales administrativos que no cuenten con unidades administrativas con funciones de contraloría y jurídico, corresponderá a los titulares designar a los servidores públicos que por su perfil realicen las funciones de jurídico, y a la Contraloría, designar al servidor público que fungirá como su representante. </w:t>
      </w:r>
    </w:p>
    <w:p w14:paraId="551E0C80" w14:textId="77777777" w:rsidR="00566D97" w:rsidRPr="00E66FD9" w:rsidRDefault="00566D97" w:rsidP="00566D97">
      <w:pPr>
        <w:pStyle w:val="Prrafodelista"/>
        <w:spacing w:before="240" w:after="160" w:line="360" w:lineRule="auto"/>
        <w:ind w:left="851" w:right="851"/>
        <w:jc w:val="both"/>
        <w:rPr>
          <w:rFonts w:ascii="Palatino Linotype" w:hAnsi="Palatino Linotype"/>
          <w:i/>
          <w:sz w:val="22"/>
          <w:szCs w:val="22"/>
        </w:rPr>
      </w:pPr>
      <w:r w:rsidRPr="00E66FD9">
        <w:rPr>
          <w:rFonts w:ascii="Palatino Linotype" w:hAnsi="Palatino Linotype"/>
          <w:i/>
          <w:sz w:val="22"/>
          <w:szCs w:val="22"/>
        </w:rPr>
        <w:t xml:space="preserve">Los integrantes del comité tendrán derecho a voz y voto a excepción de los indicados en las fracciones V y VI, quienes sólo participarán con voz, debiendo fundamentar y motivar el sentido de su opinión, a efecto de que sea incluida en el acta correspondiente. En caso de empate, el presidente tendrá voto de calidad. </w:t>
      </w:r>
    </w:p>
    <w:p w14:paraId="7CD27FAF" w14:textId="77777777" w:rsidR="00566D97" w:rsidRPr="00E66FD9" w:rsidRDefault="00566D97" w:rsidP="00566D97">
      <w:pPr>
        <w:pStyle w:val="Prrafodelista"/>
        <w:spacing w:before="240" w:after="160" w:line="360" w:lineRule="auto"/>
        <w:ind w:left="851" w:right="851"/>
        <w:jc w:val="both"/>
        <w:rPr>
          <w:rFonts w:ascii="Palatino Linotype" w:hAnsi="Palatino Linotype"/>
          <w:i/>
          <w:sz w:val="22"/>
          <w:szCs w:val="22"/>
        </w:rPr>
      </w:pPr>
      <w:r w:rsidRPr="00E66FD9">
        <w:rPr>
          <w:rFonts w:ascii="Palatino Linotype" w:hAnsi="Palatino Linotype"/>
          <w:i/>
          <w:sz w:val="22"/>
          <w:szCs w:val="22"/>
        </w:rPr>
        <w:t xml:space="preserve">A las sesiones del comité podrá invitarse a cualquier persona cuya intervención se considere necesaria por el secretario ejecutivo, para aclarar aspectos técnicos o administrativos relacionados con los asuntos sometidos al comité. </w:t>
      </w:r>
    </w:p>
    <w:p w14:paraId="32796013" w14:textId="77777777" w:rsidR="00566D97" w:rsidRPr="00E66FD9" w:rsidRDefault="00566D97" w:rsidP="00566D97">
      <w:pPr>
        <w:pStyle w:val="Prrafodelista"/>
        <w:spacing w:before="240" w:after="160" w:line="360" w:lineRule="auto"/>
        <w:ind w:left="851" w:right="851"/>
        <w:jc w:val="both"/>
        <w:rPr>
          <w:rFonts w:ascii="Palatino Linotype" w:hAnsi="Palatino Linotype"/>
          <w:i/>
          <w:sz w:val="22"/>
          <w:szCs w:val="22"/>
        </w:rPr>
      </w:pPr>
      <w:r w:rsidRPr="00E66FD9">
        <w:rPr>
          <w:rFonts w:ascii="Palatino Linotype" w:hAnsi="Palatino Linotype"/>
          <w:i/>
          <w:sz w:val="22"/>
          <w:szCs w:val="22"/>
        </w:rPr>
        <w:t xml:space="preserve">Los integrantes del comité designarán por escrito a sus respectivos suplentes, y sólo participarán en ausencia del titular. </w:t>
      </w:r>
    </w:p>
    <w:p w14:paraId="75678A59" w14:textId="77777777" w:rsidR="00566D97" w:rsidRPr="00E66FD9" w:rsidRDefault="00566D97" w:rsidP="00566D97">
      <w:pPr>
        <w:pStyle w:val="Prrafodelista"/>
        <w:spacing w:before="240" w:after="160" w:line="360" w:lineRule="auto"/>
        <w:ind w:left="851" w:right="851"/>
        <w:jc w:val="both"/>
        <w:rPr>
          <w:rFonts w:ascii="Palatino Linotype" w:hAnsi="Palatino Linotype"/>
          <w:i/>
          <w:sz w:val="22"/>
          <w:szCs w:val="22"/>
        </w:rPr>
      </w:pPr>
      <w:r w:rsidRPr="00E66FD9">
        <w:rPr>
          <w:rFonts w:ascii="Palatino Linotype" w:hAnsi="Palatino Linotype"/>
          <w:i/>
          <w:sz w:val="22"/>
          <w:szCs w:val="22"/>
        </w:rPr>
        <w:t>Los cargos de los integrantes del comité serán honoríficos.</w:t>
      </w:r>
    </w:p>
    <w:p w14:paraId="2033632F" w14:textId="77777777" w:rsidR="00566D97" w:rsidRPr="00E66FD9" w:rsidRDefault="00566D97" w:rsidP="00566D97">
      <w:pPr>
        <w:pStyle w:val="Citas"/>
      </w:pPr>
      <w:r w:rsidRPr="00E66FD9">
        <w:lastRenderedPageBreak/>
        <w:t xml:space="preserve">Artículo 54.- Además de las establecidas en la Ley, el Comité de Arrendamientos, Adquisiciones de Inmuebles y Enajenaciones tendrá las siguientes funciones: </w:t>
      </w:r>
    </w:p>
    <w:p w14:paraId="6E70B672" w14:textId="77777777" w:rsidR="00566D97" w:rsidRPr="00E66FD9" w:rsidRDefault="00566D97" w:rsidP="00566D97">
      <w:pPr>
        <w:pStyle w:val="Citas"/>
      </w:pPr>
      <w:r w:rsidRPr="00E66FD9">
        <w:t xml:space="preserve">I. Expedir su manual de operación; </w:t>
      </w:r>
    </w:p>
    <w:p w14:paraId="75143257" w14:textId="77777777" w:rsidR="00566D97" w:rsidRPr="00E66FD9" w:rsidRDefault="00566D97" w:rsidP="00566D97">
      <w:pPr>
        <w:pStyle w:val="Citas"/>
      </w:pPr>
      <w:r w:rsidRPr="00E66FD9">
        <w:t xml:space="preserve">II. Revisar y validar el programa anual de arrendamiento; así como formular las observaciones y recomendaciones que estimen convenientes; </w:t>
      </w:r>
    </w:p>
    <w:p w14:paraId="22DC286C" w14:textId="77777777" w:rsidR="00566D97" w:rsidRPr="00E66FD9" w:rsidRDefault="00566D97" w:rsidP="00566D97">
      <w:pPr>
        <w:pStyle w:val="Citas"/>
      </w:pPr>
      <w:r w:rsidRPr="00E66FD9">
        <w:t xml:space="preserve">III. Analizar la documentación de los actos relacionados con arrendamiento, adquisiciones de inmuebles y enajenaciones de muebles e inmuebles, y emitir la opinión correspondiente; </w:t>
      </w:r>
    </w:p>
    <w:p w14:paraId="7307719A" w14:textId="77777777" w:rsidR="00566D97" w:rsidRPr="00E66FD9" w:rsidRDefault="00566D97" w:rsidP="00566D97">
      <w:pPr>
        <w:pStyle w:val="Citas"/>
      </w:pPr>
      <w:r w:rsidRPr="00E66FD9">
        <w:t xml:space="preserve">IV. Dictaminar sobre las solicitudes para adquirir inmuebles, arrendamientos y subarrendamientos; </w:t>
      </w:r>
    </w:p>
    <w:p w14:paraId="7F9E0DE3" w14:textId="77777777" w:rsidR="00566D97" w:rsidRPr="00E66FD9" w:rsidRDefault="00566D97" w:rsidP="00566D97">
      <w:pPr>
        <w:pStyle w:val="Citas"/>
      </w:pPr>
      <w:r w:rsidRPr="00E66FD9">
        <w:t xml:space="preserve">V. Dictaminar sobre las propuestas de enajenación de bienes muebles e inmuebles; </w:t>
      </w:r>
    </w:p>
    <w:p w14:paraId="6D87C1DC" w14:textId="77777777" w:rsidR="00566D97" w:rsidRPr="00E66FD9" w:rsidRDefault="00566D97" w:rsidP="00566D97">
      <w:pPr>
        <w:pStyle w:val="Citas"/>
      </w:pPr>
      <w:r w:rsidRPr="00E66FD9">
        <w:t xml:space="preserve">VI. Solicitar asesoría técnica a las cámaras de comercio, industria de la construcción, de empresas inmobiliarias y colegios de profesionales o de las confederaciones que las agrupan; </w:t>
      </w:r>
    </w:p>
    <w:p w14:paraId="0C2513A1" w14:textId="77777777" w:rsidR="00566D97" w:rsidRPr="00E66FD9" w:rsidRDefault="00566D97" w:rsidP="00566D97">
      <w:pPr>
        <w:pStyle w:val="Citas"/>
      </w:pPr>
      <w:r w:rsidRPr="00E66FD9">
        <w:t xml:space="preserve">VII. Implementar acciones y emitir acuerdos que considere necesarios para el mejoramiento del procedimiento para arrendamiento, adquisiciones de inmuebles y enajenaciones de muebles e inmuebles; </w:t>
      </w:r>
    </w:p>
    <w:p w14:paraId="056EC0F6" w14:textId="77777777" w:rsidR="00566D97" w:rsidRPr="00E66FD9" w:rsidRDefault="00566D97" w:rsidP="00566D97">
      <w:pPr>
        <w:pStyle w:val="Citas"/>
      </w:pPr>
      <w:r w:rsidRPr="00E66FD9">
        <w:t>VIII. Evaluar las propuestas o posturas que se presenten en los procedimientos de licitación pública, subasta pública, invitación restringida o adjudicación directa;</w:t>
      </w:r>
    </w:p>
    <w:p w14:paraId="04ED5D0F" w14:textId="77777777" w:rsidR="00566D97" w:rsidRPr="00E66FD9" w:rsidRDefault="00566D97" w:rsidP="00566D97">
      <w:pPr>
        <w:pStyle w:val="Citas"/>
      </w:pPr>
      <w:r w:rsidRPr="00E66FD9">
        <w:t xml:space="preserve"> IX. Emitir los dictámenes de adjudicación, que servirán para la emisión del fallo en los arrendamientos, adquisiciones de inmuebles y enajenaciones; </w:t>
      </w:r>
    </w:p>
    <w:p w14:paraId="2117CB10" w14:textId="77777777" w:rsidR="00566D97" w:rsidRPr="00E66FD9" w:rsidRDefault="00566D97" w:rsidP="00566D97">
      <w:pPr>
        <w:pStyle w:val="Citas"/>
      </w:pPr>
      <w:r w:rsidRPr="00E66FD9">
        <w:lastRenderedPageBreak/>
        <w:t xml:space="preserve">X. Crear subcomités y grupos de trabajo de orden administrativo y técnico que considere necesarios para el desarrollo de sus funciones; y </w:t>
      </w:r>
    </w:p>
    <w:p w14:paraId="28D5EAA6" w14:textId="77777777" w:rsidR="00566D97" w:rsidRPr="00E66FD9" w:rsidRDefault="00566D97" w:rsidP="00566D97">
      <w:pPr>
        <w:pStyle w:val="Citas"/>
        <w:rPr>
          <w:b/>
        </w:rPr>
      </w:pPr>
      <w:r w:rsidRPr="00E66FD9">
        <w:t>XI. Las demás que sean necesarias para el cumplimiento de sus funciones.</w:t>
      </w:r>
    </w:p>
    <w:p w14:paraId="3197A0DF" w14:textId="77777777" w:rsidR="00566D97" w:rsidRPr="00E66FD9" w:rsidRDefault="00566D97" w:rsidP="00566D97">
      <w:pPr>
        <w:pStyle w:val="Citas"/>
      </w:pPr>
      <w:bookmarkStart w:id="2" w:name="_Hlk152082571"/>
      <w:r w:rsidRPr="00E66FD9">
        <w:t xml:space="preserve">Artículo 67.- El procedimiento de licitación pública comprende las siguientes fases: </w:t>
      </w:r>
    </w:p>
    <w:p w14:paraId="21035831" w14:textId="77777777" w:rsidR="00566D97" w:rsidRPr="00E66FD9" w:rsidRDefault="00566D97" w:rsidP="00566D97">
      <w:pPr>
        <w:pStyle w:val="Citas"/>
      </w:pPr>
      <w:r w:rsidRPr="00E66FD9">
        <w:t>I. Publicación de la convocatoria;</w:t>
      </w:r>
    </w:p>
    <w:p w14:paraId="185B06BA" w14:textId="77777777" w:rsidR="00566D97" w:rsidRPr="00E66FD9" w:rsidRDefault="00566D97" w:rsidP="00566D97">
      <w:pPr>
        <w:pStyle w:val="Citas"/>
      </w:pPr>
      <w:r w:rsidRPr="00E66FD9">
        <w:t xml:space="preserve"> II. Venta de las bases de licitación;</w:t>
      </w:r>
    </w:p>
    <w:p w14:paraId="771DC683" w14:textId="77777777" w:rsidR="00566D97" w:rsidRPr="00E66FD9" w:rsidRDefault="00566D97" w:rsidP="00566D97">
      <w:pPr>
        <w:pStyle w:val="Citas"/>
      </w:pPr>
      <w:r w:rsidRPr="00E66FD9">
        <w:t xml:space="preserve"> III. Visita, en su caso, al sitio donde se vayan a suministrar los bienes o a prestar los servicios;</w:t>
      </w:r>
    </w:p>
    <w:p w14:paraId="4C559197" w14:textId="77777777" w:rsidR="00566D97" w:rsidRPr="00E66FD9" w:rsidRDefault="00566D97" w:rsidP="00566D97">
      <w:pPr>
        <w:pStyle w:val="Citas"/>
      </w:pPr>
      <w:r w:rsidRPr="00E66FD9">
        <w:t xml:space="preserve"> IV. Junta de aclaraciones, en su caso; </w:t>
      </w:r>
    </w:p>
    <w:p w14:paraId="09BF2D65" w14:textId="77777777" w:rsidR="00566D97" w:rsidRPr="00E66FD9" w:rsidRDefault="00566D97" w:rsidP="00566D97">
      <w:pPr>
        <w:pStyle w:val="Citas"/>
      </w:pPr>
      <w:r w:rsidRPr="00E66FD9">
        <w:t xml:space="preserve">V. Acto de presentación y apertura de propuestas; </w:t>
      </w:r>
    </w:p>
    <w:p w14:paraId="063D1F83" w14:textId="77777777" w:rsidR="00566D97" w:rsidRPr="00E66FD9" w:rsidRDefault="00566D97" w:rsidP="00566D97">
      <w:pPr>
        <w:pStyle w:val="Citas"/>
      </w:pPr>
      <w:r w:rsidRPr="00E66FD9">
        <w:t xml:space="preserve">VI. Análisis y evaluación de propuestas; </w:t>
      </w:r>
    </w:p>
    <w:p w14:paraId="71EE9152" w14:textId="77777777" w:rsidR="00566D97" w:rsidRPr="00E66FD9" w:rsidRDefault="00566D97" w:rsidP="00566D97">
      <w:pPr>
        <w:pStyle w:val="Citas"/>
      </w:pPr>
      <w:r w:rsidRPr="00E66FD9">
        <w:t xml:space="preserve">VII.Dictamen de adjudicación; </w:t>
      </w:r>
    </w:p>
    <w:p w14:paraId="6849E17C" w14:textId="77777777" w:rsidR="00566D97" w:rsidRPr="00E66FD9" w:rsidRDefault="00566D97" w:rsidP="00566D97">
      <w:pPr>
        <w:pStyle w:val="Citas"/>
      </w:pPr>
      <w:r w:rsidRPr="00E66FD9">
        <w:t xml:space="preserve">VIII. Fallo; </w:t>
      </w:r>
    </w:p>
    <w:p w14:paraId="755C450F" w14:textId="77777777" w:rsidR="00566D97" w:rsidRPr="00E66FD9" w:rsidRDefault="00566D97" w:rsidP="00566D97">
      <w:pPr>
        <w:pStyle w:val="Citas"/>
        <w:rPr>
          <w:b/>
          <w:bCs/>
          <w:u w:val="single"/>
        </w:rPr>
      </w:pPr>
      <w:r w:rsidRPr="00E66FD9">
        <w:rPr>
          <w:b/>
          <w:bCs/>
          <w:u w:val="single"/>
        </w:rPr>
        <w:t xml:space="preserve">IX. Suscripción del contrato; y </w:t>
      </w:r>
    </w:p>
    <w:p w14:paraId="6FD249AE" w14:textId="77777777" w:rsidR="00566D97" w:rsidRPr="00E66FD9" w:rsidRDefault="00566D97" w:rsidP="00566D97">
      <w:pPr>
        <w:pStyle w:val="Citas"/>
      </w:pPr>
      <w:r w:rsidRPr="00E66FD9">
        <w:t>X. Suministro de los bienes o inicio de la prestación del servicio.</w:t>
      </w:r>
    </w:p>
    <w:p w14:paraId="71619484" w14:textId="77777777" w:rsidR="00566D97" w:rsidRPr="00E66FD9" w:rsidRDefault="00566D97" w:rsidP="00566D97">
      <w:pPr>
        <w:pStyle w:val="Citas"/>
      </w:pPr>
      <w:r w:rsidRPr="00E66FD9">
        <w:t xml:space="preserve">Artículo 90.- En el procedimiento de invitación restringida se deberá observar lo siguiente: </w:t>
      </w:r>
    </w:p>
    <w:p w14:paraId="478B72FB" w14:textId="77777777" w:rsidR="00566D97" w:rsidRPr="00E66FD9" w:rsidRDefault="00566D97" w:rsidP="00566D97">
      <w:pPr>
        <w:pStyle w:val="Citas"/>
      </w:pPr>
      <w:r w:rsidRPr="00E66FD9">
        <w:t xml:space="preserve">I. Se invitará a un mínimo de tres personas seleccionadas de entre las que se encuentren inscritas en el catálogo de proveedores y de prestadores de servicios. Se </w:t>
      </w:r>
      <w:r w:rsidRPr="00E66FD9">
        <w:lastRenderedPageBreak/>
        <w:t xml:space="preserve">podrá invitar a personas que no se encuentren inscritas, cuando en el giro correspondiente del catálogo de proveedores y prestadores de servicios no exista el registro mínimo de personas requeridas para tal modalidad; </w:t>
      </w:r>
    </w:p>
    <w:p w14:paraId="4BC6D7BB" w14:textId="77777777" w:rsidR="00566D97" w:rsidRPr="00E66FD9" w:rsidRDefault="00566D97" w:rsidP="00566D97">
      <w:pPr>
        <w:pStyle w:val="Citas"/>
      </w:pPr>
      <w:r w:rsidRPr="00E66FD9">
        <w:t xml:space="preserve">II. Las bases de la invitación restringida indicarán los aspectos de la adquisición o contratación; y </w:t>
      </w:r>
    </w:p>
    <w:p w14:paraId="264F04E4" w14:textId="77777777" w:rsidR="00566D97" w:rsidRPr="00E66FD9" w:rsidRDefault="00566D97" w:rsidP="00566D97">
      <w:pPr>
        <w:pStyle w:val="Citas"/>
      </w:pPr>
      <w:r w:rsidRPr="00E66FD9">
        <w:t>III. Serán aplicables, en lo conducente, las disposiciones de la licitación pública</w:t>
      </w:r>
    </w:p>
    <w:p w14:paraId="407B5E25" w14:textId="77777777" w:rsidR="00566D97" w:rsidRPr="00E66FD9" w:rsidRDefault="00566D97" w:rsidP="00566D97">
      <w:pPr>
        <w:pStyle w:val="Citas"/>
      </w:pPr>
      <w:r w:rsidRPr="00E66FD9">
        <w:t xml:space="preserve">Artículo 94.- En el procedimiento de adjudicación directa se observará lo siguiente: </w:t>
      </w:r>
    </w:p>
    <w:p w14:paraId="57D77793" w14:textId="77777777" w:rsidR="00566D97" w:rsidRPr="00E66FD9" w:rsidRDefault="00566D97" w:rsidP="00566D97">
      <w:pPr>
        <w:pStyle w:val="Citas"/>
      </w:pPr>
      <w:r w:rsidRPr="00E66FD9">
        <w:t xml:space="preserve">I. Las adquisiciones de bienes y la contratación de servicios, se efectuaran previa dictaminación del comité, a excepción de los casos previstos en las fracciones IV, VII, IX y XI del artículo 48 de la Ley; las contrataciones que se realicen con fundamento en las fracciones IV y VII, deberán corresponder a lo estrictamente necesario para atender la eventualidad o urgencia y no deberán observar ninguna otra formalidad más que la suscripción del contrato respectivo. </w:t>
      </w:r>
    </w:p>
    <w:p w14:paraId="00131CD8" w14:textId="77777777" w:rsidR="00566D97" w:rsidRPr="00E66FD9" w:rsidRDefault="00566D97" w:rsidP="00566D97">
      <w:pPr>
        <w:pStyle w:val="Citas"/>
      </w:pPr>
      <w:r w:rsidRPr="00E66FD9">
        <w:t xml:space="preserve">II. Se considerará a la persona que atendiendo al bien o servicio que se pretenda adquirir o contratar, pueda suministrarlo o prestarlo en las mejores condiciones disponibles en cuanto a precio, calidad, financiamiento, oportunidad y demás circunstancias pertinentes; </w:t>
      </w:r>
    </w:p>
    <w:p w14:paraId="78464728" w14:textId="77777777" w:rsidR="00566D97" w:rsidRPr="00E66FD9" w:rsidRDefault="00566D97" w:rsidP="00566D97">
      <w:pPr>
        <w:pStyle w:val="Citas"/>
      </w:pPr>
      <w:r w:rsidRPr="00E66FD9">
        <w:t xml:space="preserve">III. La solicitud de participación contendrá, como mínimo, la descripción y cantidad de los bienes o servicios requeridos, lugar, plazo de entrega o duración del servicio y forma de pago; </w:t>
      </w:r>
    </w:p>
    <w:p w14:paraId="3B24CEAE" w14:textId="77777777" w:rsidR="00566D97" w:rsidRPr="00E66FD9" w:rsidRDefault="00566D97" w:rsidP="00566D97">
      <w:pPr>
        <w:pStyle w:val="Citas"/>
      </w:pPr>
      <w:r w:rsidRPr="00E66FD9">
        <w:t xml:space="preserve">IV. La solicitud de participación deberá señalar el día, hora y lugar en que tendrá verificativo el acto de presentación y apertura de ofertas; </w:t>
      </w:r>
    </w:p>
    <w:p w14:paraId="0E19C826" w14:textId="77777777" w:rsidR="00566D97" w:rsidRPr="00E66FD9" w:rsidRDefault="00566D97" w:rsidP="00566D97">
      <w:pPr>
        <w:pStyle w:val="Citas"/>
      </w:pPr>
      <w:r w:rsidRPr="00E66FD9">
        <w:lastRenderedPageBreak/>
        <w:t xml:space="preserve">V. Atendiendo a la naturaleza de los bienes o servicios, la convocante podrá optar entre celebrar o no junta de aclaraciones, en términos de lo dispuesto por este Reglamento; </w:t>
      </w:r>
    </w:p>
    <w:p w14:paraId="0E20129B" w14:textId="77777777" w:rsidR="00566D97" w:rsidRPr="00E66FD9" w:rsidRDefault="00566D97" w:rsidP="00566D97">
      <w:pPr>
        <w:pStyle w:val="Citas"/>
      </w:pPr>
      <w:r w:rsidRPr="00E66FD9">
        <w:t xml:space="preserve">VI. El servidor público designado por la convocante será el responsable de llevar a cabo el acto de presentación y apertura de propuestas; </w:t>
      </w:r>
    </w:p>
    <w:p w14:paraId="7F766BA4" w14:textId="77777777" w:rsidR="00566D97" w:rsidRPr="00E66FD9" w:rsidRDefault="00566D97" w:rsidP="00566D97">
      <w:pPr>
        <w:pStyle w:val="Citas"/>
      </w:pPr>
      <w:r w:rsidRPr="00E66FD9">
        <w:t xml:space="preserve">VII. Se observarán, en lo conducente, las disposiciones relativas a la contraoferta; y </w:t>
      </w:r>
    </w:p>
    <w:p w14:paraId="7D0C80A4" w14:textId="77777777" w:rsidR="00566D97" w:rsidRPr="00E66FD9" w:rsidRDefault="00566D97" w:rsidP="00566D97">
      <w:pPr>
        <w:pStyle w:val="Citas"/>
      </w:pPr>
      <w:r w:rsidRPr="00E66FD9">
        <w:t xml:space="preserve">VIII. El comité será responsable de emitir el dictamen de adjudicación que servirá de base para el fallo de adjudicación; correspondiendo a la convocante emitir dicho fallo, quien lo hará del conocimiento de los licitantes. </w:t>
      </w:r>
    </w:p>
    <w:p w14:paraId="63AFFC67" w14:textId="77777777" w:rsidR="00566D97" w:rsidRPr="00E66FD9" w:rsidRDefault="00566D97" w:rsidP="00566D97">
      <w:pPr>
        <w:pStyle w:val="Citas"/>
        <w:rPr>
          <w:b/>
          <w:bCs/>
        </w:rPr>
      </w:pPr>
      <w:r w:rsidRPr="00E66FD9">
        <w:t xml:space="preserve">Los actos referidos en los incisos anteriores deberán documentarse en el acta correspondiente y publicarse en el sistema COMPRAMEX” </w:t>
      </w:r>
      <w:r w:rsidRPr="00E66FD9">
        <w:rPr>
          <w:b/>
          <w:bCs/>
        </w:rPr>
        <w:t>(Sic)</w:t>
      </w:r>
    </w:p>
    <w:bookmarkEnd w:id="2"/>
    <w:p w14:paraId="7172D9C0" w14:textId="77777777" w:rsidR="00566D97" w:rsidRPr="00E66FD9" w:rsidRDefault="00566D97" w:rsidP="00566D97">
      <w:pPr>
        <w:pStyle w:val="Citas"/>
        <w:ind w:left="0"/>
        <w:rPr>
          <w:b/>
          <w:bCs/>
        </w:rPr>
      </w:pPr>
    </w:p>
    <w:p w14:paraId="39E365FF" w14:textId="4ADA63DF" w:rsidR="00566D97" w:rsidRPr="00E66FD9" w:rsidRDefault="00566D97" w:rsidP="00566D97">
      <w:pPr>
        <w:pStyle w:val="Citas"/>
        <w:ind w:left="0" w:right="0"/>
        <w:rPr>
          <w:i w:val="0"/>
          <w:iCs/>
          <w:sz w:val="24"/>
          <w:szCs w:val="24"/>
        </w:rPr>
      </w:pPr>
      <w:r w:rsidRPr="00E66FD9">
        <w:rPr>
          <w:i w:val="0"/>
          <w:iCs/>
          <w:sz w:val="24"/>
          <w:szCs w:val="24"/>
        </w:rPr>
        <w:t xml:space="preserve">Visto de esta forma, la Dirección de Administración y Finanzas, así como la Jefatura de Adquisiciones tiene competencia en las siguientes aristas: </w:t>
      </w:r>
    </w:p>
    <w:p w14:paraId="6F2E8948" w14:textId="77777777" w:rsidR="00566D97" w:rsidRPr="00E66FD9" w:rsidRDefault="00566D97" w:rsidP="00566D97">
      <w:pPr>
        <w:pStyle w:val="Prrafodelista"/>
        <w:numPr>
          <w:ilvl w:val="0"/>
          <w:numId w:val="24"/>
        </w:numPr>
        <w:spacing w:before="240" w:line="360" w:lineRule="auto"/>
        <w:jc w:val="both"/>
        <w:rPr>
          <w:rFonts w:ascii="Palatino Linotype" w:hAnsi="Palatino Linotype"/>
        </w:rPr>
      </w:pPr>
      <w:r w:rsidRPr="00E66FD9">
        <w:rPr>
          <w:rFonts w:ascii="Palatino Linotype" w:hAnsi="Palatino Linotype"/>
        </w:rPr>
        <w:t>Procedimientos adquisitivos mediante comité</w:t>
      </w:r>
    </w:p>
    <w:p w14:paraId="675581CB" w14:textId="77777777" w:rsidR="00566D97" w:rsidRPr="00E66FD9" w:rsidRDefault="00566D97" w:rsidP="00566D97">
      <w:pPr>
        <w:pStyle w:val="Prrafodelista"/>
        <w:numPr>
          <w:ilvl w:val="0"/>
          <w:numId w:val="24"/>
        </w:numPr>
        <w:spacing w:before="240" w:line="360" w:lineRule="auto"/>
        <w:jc w:val="both"/>
        <w:rPr>
          <w:rFonts w:ascii="Palatino Linotype" w:hAnsi="Palatino Linotype"/>
        </w:rPr>
      </w:pPr>
      <w:r w:rsidRPr="00E66FD9">
        <w:rPr>
          <w:rFonts w:ascii="Palatino Linotype" w:hAnsi="Palatino Linotype"/>
        </w:rPr>
        <w:t>Celebración de contratos con proveedores</w:t>
      </w:r>
    </w:p>
    <w:p w14:paraId="566145A7" w14:textId="77777777" w:rsidR="00566D97" w:rsidRPr="00E66FD9" w:rsidRDefault="00566D97" w:rsidP="00566D97">
      <w:pPr>
        <w:pStyle w:val="Prrafodelista"/>
        <w:numPr>
          <w:ilvl w:val="0"/>
          <w:numId w:val="24"/>
        </w:numPr>
        <w:spacing w:before="240" w:line="360" w:lineRule="auto"/>
        <w:jc w:val="both"/>
        <w:rPr>
          <w:rFonts w:ascii="Palatino Linotype" w:hAnsi="Palatino Linotype"/>
        </w:rPr>
      </w:pPr>
      <w:r w:rsidRPr="00E66FD9">
        <w:rPr>
          <w:rFonts w:ascii="Palatino Linotype" w:hAnsi="Palatino Linotype"/>
        </w:rPr>
        <w:t>Coordinar el ejercicio del presupuesto</w:t>
      </w:r>
    </w:p>
    <w:p w14:paraId="6CB9E9A3" w14:textId="77777777" w:rsidR="00566D97" w:rsidRPr="00E66FD9" w:rsidRDefault="00566D97" w:rsidP="00566D97">
      <w:pPr>
        <w:pStyle w:val="Prrafodelista"/>
        <w:numPr>
          <w:ilvl w:val="0"/>
          <w:numId w:val="24"/>
        </w:numPr>
        <w:spacing w:before="240" w:line="360" w:lineRule="auto"/>
        <w:jc w:val="both"/>
        <w:rPr>
          <w:rFonts w:ascii="Palatino Linotype" w:hAnsi="Palatino Linotype"/>
        </w:rPr>
      </w:pPr>
      <w:r w:rsidRPr="00E66FD9">
        <w:rPr>
          <w:rFonts w:ascii="Palatino Linotype" w:hAnsi="Palatino Linotype"/>
        </w:rPr>
        <w:t>Actualización del padrón de proveedores</w:t>
      </w:r>
    </w:p>
    <w:p w14:paraId="00A20FE4" w14:textId="79F51560" w:rsidR="001015C3" w:rsidRPr="00E66FD9" w:rsidRDefault="001015C3" w:rsidP="00566D97">
      <w:pPr>
        <w:pStyle w:val="Prrafodelista"/>
        <w:numPr>
          <w:ilvl w:val="0"/>
          <w:numId w:val="24"/>
        </w:numPr>
        <w:spacing w:before="240" w:line="360" w:lineRule="auto"/>
        <w:jc w:val="both"/>
        <w:rPr>
          <w:rFonts w:ascii="Palatino Linotype" w:hAnsi="Palatino Linotype"/>
        </w:rPr>
      </w:pPr>
      <w:r w:rsidRPr="00E66FD9">
        <w:rPr>
          <w:rFonts w:ascii="Palatino Linotype" w:hAnsi="Palatino Linotype"/>
        </w:rPr>
        <w:t>Recepción de requisiciones de unidades administrativas</w:t>
      </w:r>
    </w:p>
    <w:p w14:paraId="3345077B" w14:textId="77777777" w:rsidR="00566D97" w:rsidRPr="00E66FD9" w:rsidRDefault="00566D97" w:rsidP="00566D97">
      <w:pPr>
        <w:pStyle w:val="Prrafodelista"/>
        <w:numPr>
          <w:ilvl w:val="0"/>
          <w:numId w:val="24"/>
        </w:numPr>
        <w:spacing w:before="240" w:line="360" w:lineRule="auto"/>
        <w:jc w:val="both"/>
        <w:rPr>
          <w:rFonts w:ascii="Palatino Linotype" w:hAnsi="Palatino Linotype"/>
        </w:rPr>
      </w:pPr>
      <w:r w:rsidRPr="00E66FD9">
        <w:rPr>
          <w:rFonts w:ascii="Palatino Linotype" w:hAnsi="Palatino Linotype"/>
        </w:rPr>
        <w:lastRenderedPageBreak/>
        <w:t xml:space="preserve">Otros. </w:t>
      </w:r>
    </w:p>
    <w:p w14:paraId="635F531B" w14:textId="77777777" w:rsidR="00566D97" w:rsidRPr="00E66FD9" w:rsidRDefault="00566D97" w:rsidP="00B23384">
      <w:pPr>
        <w:spacing w:line="360" w:lineRule="auto"/>
        <w:ind w:left="360"/>
        <w:jc w:val="both"/>
        <w:rPr>
          <w:rFonts w:ascii="Palatino Linotype" w:hAnsi="Palatino Linotype" w:cs="Arial"/>
        </w:rPr>
      </w:pPr>
    </w:p>
    <w:p w14:paraId="5AF164C4" w14:textId="77777777" w:rsidR="00566D97" w:rsidRPr="00E66FD9" w:rsidRDefault="00566D97" w:rsidP="00B23384">
      <w:pPr>
        <w:spacing w:line="360" w:lineRule="auto"/>
        <w:ind w:left="360"/>
        <w:jc w:val="both"/>
        <w:rPr>
          <w:rFonts w:ascii="Palatino Linotype" w:hAnsi="Palatino Linotype" w:cs="Arial"/>
        </w:rPr>
      </w:pPr>
    </w:p>
    <w:p w14:paraId="613C5509" w14:textId="62B3BA3E" w:rsidR="00B23384" w:rsidRPr="00E66FD9" w:rsidRDefault="00B23384" w:rsidP="00B23384">
      <w:pPr>
        <w:autoSpaceDE w:val="0"/>
        <w:autoSpaceDN w:val="0"/>
        <w:adjustRightInd w:val="0"/>
        <w:spacing w:before="240" w:line="360" w:lineRule="auto"/>
        <w:jc w:val="both"/>
        <w:rPr>
          <w:rFonts w:ascii="Palatino Linotype" w:hAnsi="Palatino Linotype" w:cs="Arial"/>
          <w:sz w:val="24"/>
          <w:szCs w:val="24"/>
        </w:rPr>
      </w:pPr>
      <w:r w:rsidRPr="00E66FD9">
        <w:rPr>
          <w:rFonts w:ascii="Palatino Linotype" w:hAnsi="Palatino Linotype" w:cs="Arial"/>
          <w:sz w:val="24"/>
          <w:szCs w:val="24"/>
        </w:rPr>
        <w:t xml:space="preserve">De manera complementaria, resulta oportuno traer a colación los artículos 24 fracción XII y 92 </w:t>
      </w:r>
      <w:r w:rsidR="00566D97" w:rsidRPr="00E66FD9">
        <w:rPr>
          <w:rFonts w:ascii="Palatino Linotype" w:hAnsi="Palatino Linotype" w:cs="Arial"/>
          <w:sz w:val="24"/>
          <w:szCs w:val="24"/>
        </w:rPr>
        <w:t>fracciones</w:t>
      </w:r>
      <w:r w:rsidRPr="00E66FD9">
        <w:rPr>
          <w:rFonts w:ascii="Palatino Linotype" w:hAnsi="Palatino Linotype" w:cs="Arial"/>
          <w:sz w:val="24"/>
          <w:szCs w:val="24"/>
        </w:rPr>
        <w:t xml:space="preserve"> </w:t>
      </w:r>
      <w:r w:rsidR="00566D97" w:rsidRPr="00E66FD9">
        <w:rPr>
          <w:rFonts w:ascii="Palatino Linotype" w:hAnsi="Palatino Linotype" w:cs="Arial"/>
          <w:sz w:val="24"/>
          <w:szCs w:val="24"/>
        </w:rPr>
        <w:t xml:space="preserve">XXIX y </w:t>
      </w:r>
      <w:r w:rsidR="00914DC8" w:rsidRPr="00E66FD9">
        <w:rPr>
          <w:rFonts w:ascii="Palatino Linotype" w:hAnsi="Palatino Linotype" w:cs="Arial"/>
          <w:sz w:val="24"/>
          <w:szCs w:val="24"/>
        </w:rPr>
        <w:t>XXXVI</w:t>
      </w:r>
      <w:r w:rsidRPr="00E66FD9">
        <w:rPr>
          <w:rFonts w:ascii="Palatino Linotype" w:hAnsi="Palatino Linotype" w:cs="Arial"/>
          <w:sz w:val="24"/>
          <w:szCs w:val="24"/>
        </w:rPr>
        <w:t xml:space="preserve"> de la Ley de Transparencia y Acceso a la Información Pública del Estado de México y Municipios, cuyo contenido literal es el siguiente: </w:t>
      </w:r>
    </w:p>
    <w:p w14:paraId="62972CAF" w14:textId="77777777" w:rsidR="00B23384" w:rsidRPr="00E66FD9" w:rsidRDefault="00B23384" w:rsidP="00B23384">
      <w:pPr>
        <w:pStyle w:val="Default"/>
        <w:spacing w:before="240" w:after="160" w:line="360" w:lineRule="auto"/>
        <w:ind w:left="851" w:right="851"/>
        <w:jc w:val="both"/>
        <w:rPr>
          <w:rFonts w:ascii="Palatino Linotype" w:hAnsi="Palatino Linotype"/>
          <w:b/>
          <w:bCs/>
          <w:i/>
          <w:sz w:val="22"/>
          <w:szCs w:val="22"/>
        </w:rPr>
      </w:pPr>
      <w:r w:rsidRPr="00E66FD9">
        <w:rPr>
          <w:rFonts w:ascii="Palatino Linotype" w:hAnsi="Palatino Linotype"/>
          <w:b/>
          <w:bCs/>
          <w:i/>
          <w:sz w:val="22"/>
          <w:szCs w:val="22"/>
        </w:rPr>
        <w:t xml:space="preserve">“Artículo 24. </w:t>
      </w:r>
      <w:r w:rsidRPr="00E66FD9">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5C9A1D6C" w14:textId="77777777" w:rsidR="00B23384" w:rsidRPr="00E66FD9" w:rsidRDefault="00B23384" w:rsidP="00B23384">
      <w:pPr>
        <w:pStyle w:val="Default"/>
        <w:spacing w:before="240" w:after="160" w:line="360" w:lineRule="auto"/>
        <w:ind w:left="851" w:right="851"/>
        <w:jc w:val="both"/>
        <w:rPr>
          <w:rFonts w:ascii="Palatino Linotype" w:hAnsi="Palatino Linotype"/>
          <w:b/>
          <w:bCs/>
          <w:i/>
          <w:sz w:val="22"/>
          <w:szCs w:val="22"/>
        </w:rPr>
      </w:pPr>
      <w:r w:rsidRPr="00E66FD9">
        <w:rPr>
          <w:rFonts w:ascii="Palatino Linotype" w:hAnsi="Palatino Linotype"/>
          <w:b/>
          <w:bCs/>
          <w:i/>
          <w:sz w:val="22"/>
          <w:szCs w:val="22"/>
        </w:rPr>
        <w:t xml:space="preserve">XII. </w:t>
      </w:r>
      <w:r w:rsidRPr="00E66FD9">
        <w:rPr>
          <w:rFonts w:ascii="Palatino Linotype" w:hAnsi="Palatino Linotype"/>
          <w:b/>
          <w:i/>
          <w:sz w:val="22"/>
          <w:szCs w:val="22"/>
          <w:u w:val="single"/>
        </w:rPr>
        <w:t>Publicar y mantener actualizada la información relativa a las obligaciones generales de transparencia</w:t>
      </w:r>
      <w:r w:rsidRPr="00E66FD9">
        <w:rPr>
          <w:rFonts w:ascii="Palatino Linotype" w:hAnsi="Palatino Linotype"/>
          <w:i/>
          <w:sz w:val="22"/>
          <w:szCs w:val="22"/>
        </w:rPr>
        <w:t xml:space="preserve"> previstas en la presente Ley o determinadas así por el Instituto, y en general aquella que sea de interés público;</w:t>
      </w:r>
    </w:p>
    <w:p w14:paraId="1F67AEFF" w14:textId="77777777" w:rsidR="00B23384" w:rsidRPr="00E66FD9" w:rsidRDefault="00B23384" w:rsidP="00B23384">
      <w:pPr>
        <w:pStyle w:val="Default"/>
        <w:spacing w:before="240" w:after="160" w:line="360" w:lineRule="auto"/>
        <w:ind w:left="851" w:right="851"/>
        <w:jc w:val="both"/>
        <w:rPr>
          <w:rFonts w:ascii="Palatino Linotype" w:hAnsi="Palatino Linotype"/>
          <w:i/>
          <w:sz w:val="22"/>
          <w:szCs w:val="22"/>
        </w:rPr>
      </w:pPr>
      <w:r w:rsidRPr="00E66FD9">
        <w:rPr>
          <w:rFonts w:ascii="Palatino Linotype" w:hAnsi="Palatino Linotype"/>
          <w:b/>
          <w:bCs/>
          <w:i/>
          <w:sz w:val="22"/>
          <w:szCs w:val="22"/>
        </w:rPr>
        <w:t xml:space="preserve">Artículo 92. </w:t>
      </w:r>
      <w:r w:rsidRPr="00E66FD9">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67B142A7" w14:textId="77777777" w:rsidR="00B23384" w:rsidRPr="00E66FD9" w:rsidRDefault="00B23384" w:rsidP="00B23384">
      <w:pPr>
        <w:pStyle w:val="Default"/>
        <w:spacing w:before="240" w:after="160" w:line="360" w:lineRule="auto"/>
        <w:ind w:left="851" w:right="851"/>
        <w:jc w:val="both"/>
        <w:rPr>
          <w:rFonts w:ascii="Palatino Linotype" w:hAnsi="Palatino Linotype"/>
          <w:i/>
          <w:sz w:val="22"/>
          <w:szCs w:val="22"/>
        </w:rPr>
      </w:pPr>
      <w:r w:rsidRPr="00E66FD9">
        <w:rPr>
          <w:rFonts w:ascii="Palatino Linotype" w:hAnsi="Palatino Linotype"/>
          <w:b/>
          <w:bCs/>
          <w:i/>
          <w:sz w:val="22"/>
          <w:szCs w:val="22"/>
        </w:rPr>
        <w:t>(…</w:t>
      </w:r>
      <w:r w:rsidRPr="00E66FD9">
        <w:rPr>
          <w:rFonts w:ascii="Palatino Linotype" w:hAnsi="Palatino Linotype"/>
          <w:i/>
          <w:sz w:val="22"/>
          <w:szCs w:val="22"/>
        </w:rPr>
        <w:t>)</w:t>
      </w:r>
    </w:p>
    <w:p w14:paraId="545D8B99" w14:textId="77777777" w:rsidR="00566D97" w:rsidRPr="00E66FD9" w:rsidRDefault="00566D97" w:rsidP="00566D97">
      <w:pPr>
        <w:spacing w:before="240" w:line="360" w:lineRule="auto"/>
        <w:ind w:left="851" w:right="851"/>
        <w:jc w:val="both"/>
        <w:rPr>
          <w:rFonts w:ascii="Palatino Linotype" w:hAnsi="Palatino Linotype"/>
          <w:b/>
          <w:i/>
          <w:u w:val="single"/>
        </w:rPr>
      </w:pPr>
      <w:r w:rsidRPr="00E66FD9">
        <w:rPr>
          <w:rFonts w:ascii="Palatino Linotype" w:hAnsi="Palatino Linotype"/>
          <w:b/>
          <w:i/>
          <w:u w:val="single"/>
        </w:rPr>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23C1496C" w14:textId="77777777" w:rsidR="00566D97" w:rsidRPr="00E66FD9" w:rsidRDefault="00566D97" w:rsidP="00566D97">
      <w:pPr>
        <w:spacing w:before="240" w:line="360" w:lineRule="auto"/>
        <w:ind w:left="851" w:right="851"/>
        <w:jc w:val="both"/>
        <w:rPr>
          <w:rFonts w:ascii="Palatino Linotype" w:hAnsi="Palatino Linotype"/>
          <w:b/>
          <w:bCs/>
          <w:i/>
          <w:u w:val="single"/>
        </w:rPr>
      </w:pPr>
      <w:r w:rsidRPr="00E66FD9">
        <w:rPr>
          <w:rFonts w:ascii="Palatino Linotype" w:hAnsi="Palatino Linotype"/>
          <w:b/>
          <w:bCs/>
          <w:i/>
          <w:u w:val="single"/>
        </w:rPr>
        <w:lastRenderedPageBreak/>
        <w:t xml:space="preserve">a) De licitaciones públicas o procedimientos de invitación restringida: </w:t>
      </w:r>
    </w:p>
    <w:p w14:paraId="492A69BC"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1) La convocatoria o invitación emitida, así como los fundamentos legales aplicados para llevarla a cabo; </w:t>
      </w:r>
    </w:p>
    <w:p w14:paraId="7B271F4B"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2) Los nombres de los participantes o invitados; </w:t>
      </w:r>
    </w:p>
    <w:p w14:paraId="26E883D2"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3) El nombre del ganador y las razones que lo justifican; </w:t>
      </w:r>
    </w:p>
    <w:p w14:paraId="4115E7A1"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4) El área solicitante y la responsable de su ejecución; </w:t>
      </w:r>
    </w:p>
    <w:p w14:paraId="0063EB40"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5) Las convocatorias e invitaciones emitidas; </w:t>
      </w:r>
    </w:p>
    <w:p w14:paraId="1444AEF9"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6) Los dictámenes y fallo de adjudicación; </w:t>
      </w:r>
    </w:p>
    <w:p w14:paraId="29F94D31"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7) El contrato y, en su caso, sus anexos; </w:t>
      </w:r>
    </w:p>
    <w:p w14:paraId="5C1324A0"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8) Los mecanismos de vigilancia y supervisión, incluyendo en su caso, los estudios de impacto urbano y ambiental, según corresponda; </w:t>
      </w:r>
    </w:p>
    <w:p w14:paraId="6570F9A5"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9) La partida presupuestal, de conformidad con el clasificador por objeto del gasto, en el caso de ser aplicable; </w:t>
      </w:r>
    </w:p>
    <w:p w14:paraId="3A2621E2"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10) Origen de los recursos especificando si son federales, estatales o municipales, así como el tipo de fondo de participación o aportación respectiva; </w:t>
      </w:r>
    </w:p>
    <w:p w14:paraId="63EEA701"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11) Los convenios modificatorios que, en su caso, sean firmados, precisando el objeto y la fecha de celebración;</w:t>
      </w:r>
    </w:p>
    <w:p w14:paraId="5589AB47"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 12) Los informes de avance físico y financiero sobre las obras o servicios contratados; 13) El convenio de terminación; y </w:t>
      </w:r>
    </w:p>
    <w:p w14:paraId="1D7C9B70"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lastRenderedPageBreak/>
        <w:t xml:space="preserve">14) El finiquito. </w:t>
      </w:r>
    </w:p>
    <w:p w14:paraId="5063C698" w14:textId="77777777" w:rsidR="00566D97" w:rsidRPr="00E66FD9" w:rsidRDefault="00566D97" w:rsidP="00566D97">
      <w:pPr>
        <w:spacing w:before="240" w:line="360" w:lineRule="auto"/>
        <w:ind w:left="851" w:right="851"/>
        <w:jc w:val="both"/>
        <w:rPr>
          <w:rFonts w:ascii="Palatino Linotype" w:hAnsi="Palatino Linotype"/>
          <w:b/>
          <w:i/>
          <w:u w:val="single"/>
        </w:rPr>
      </w:pPr>
      <w:r w:rsidRPr="00E66FD9">
        <w:rPr>
          <w:rFonts w:ascii="Palatino Linotype" w:hAnsi="Palatino Linotype"/>
          <w:b/>
          <w:i/>
          <w:u w:val="single"/>
        </w:rPr>
        <w:t xml:space="preserve">b) De las adjudicaciones directas: </w:t>
      </w:r>
    </w:p>
    <w:p w14:paraId="1EC683D2"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1) La propuesta enviada por el participante; </w:t>
      </w:r>
    </w:p>
    <w:p w14:paraId="40BBD785"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2) Los motivos y fundamentos legales aplicados para llevarla a cabo; </w:t>
      </w:r>
    </w:p>
    <w:p w14:paraId="0147E70E"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3) La autorización del ejercicio de la opción; </w:t>
      </w:r>
    </w:p>
    <w:p w14:paraId="3E77C07B"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4) En su caso, las cotizaciones consideradas, especificando los nombres de los proveedores y sus montos; </w:t>
      </w:r>
    </w:p>
    <w:p w14:paraId="131FF199"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5) El nombre de la persona física o jurídica colectiva adjudicada; </w:t>
      </w:r>
    </w:p>
    <w:p w14:paraId="4B844164"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6) La unidad administrativa solicitante y la responsable de su ejecución; </w:t>
      </w:r>
    </w:p>
    <w:p w14:paraId="2BCD65C2"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7) El número, fecha, el monto del contrato y el plazo de entrega o de ejecución de los servicios u obra; </w:t>
      </w:r>
    </w:p>
    <w:p w14:paraId="01C58172"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8) Los mecanismos de vigilancia y supervisión, incluyendo, en su caso, los estudios de impacto urbano y ambiental, según corresponda; </w:t>
      </w:r>
    </w:p>
    <w:p w14:paraId="1103AE36"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9) Los informes de avance sobre las obras o servicios contratados; </w:t>
      </w:r>
    </w:p>
    <w:p w14:paraId="553EFF25"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 xml:space="preserve">10) El convenio de terminación; y </w:t>
      </w:r>
    </w:p>
    <w:p w14:paraId="6CCF21C1" w14:textId="77777777" w:rsidR="00566D97" w:rsidRPr="00E66FD9" w:rsidRDefault="00566D97" w:rsidP="00566D97">
      <w:pPr>
        <w:spacing w:before="240" w:line="360" w:lineRule="auto"/>
        <w:ind w:left="851" w:right="851"/>
        <w:jc w:val="both"/>
        <w:rPr>
          <w:rFonts w:ascii="Palatino Linotype" w:hAnsi="Palatino Linotype"/>
          <w:i/>
        </w:rPr>
      </w:pPr>
      <w:r w:rsidRPr="00E66FD9">
        <w:rPr>
          <w:rFonts w:ascii="Palatino Linotype" w:hAnsi="Palatino Linotype"/>
          <w:i/>
        </w:rPr>
        <w:t>11) El finiquito.</w:t>
      </w:r>
    </w:p>
    <w:p w14:paraId="22D5AC33" w14:textId="321EEC9B" w:rsidR="00566D97" w:rsidRPr="00E66FD9" w:rsidRDefault="00566D97" w:rsidP="00B23384">
      <w:pPr>
        <w:pStyle w:val="Default"/>
        <w:spacing w:before="240" w:after="160" w:line="360" w:lineRule="auto"/>
        <w:ind w:left="851" w:right="851"/>
        <w:jc w:val="both"/>
        <w:rPr>
          <w:rFonts w:ascii="Palatino Linotype" w:hAnsi="Palatino Linotype"/>
          <w:i/>
          <w:sz w:val="22"/>
          <w:szCs w:val="22"/>
        </w:rPr>
      </w:pPr>
      <w:r w:rsidRPr="00E66FD9">
        <w:rPr>
          <w:rFonts w:ascii="Palatino Linotype" w:hAnsi="Palatino Linotype"/>
          <w:i/>
          <w:sz w:val="22"/>
          <w:szCs w:val="22"/>
        </w:rPr>
        <w:t>(…)</w:t>
      </w:r>
    </w:p>
    <w:p w14:paraId="276ADA7C" w14:textId="77777777" w:rsidR="00914DC8" w:rsidRPr="00E66FD9" w:rsidRDefault="00914DC8" w:rsidP="00B23384">
      <w:pPr>
        <w:pStyle w:val="Citas"/>
      </w:pPr>
      <w:r w:rsidRPr="00E66FD9">
        <w:t xml:space="preserve">XXXVI. Padrón de proveedores y contratistas; </w:t>
      </w:r>
    </w:p>
    <w:p w14:paraId="200BDC3E" w14:textId="27920231" w:rsidR="00B23384" w:rsidRPr="00E66FD9" w:rsidRDefault="00B23384" w:rsidP="00B23384">
      <w:pPr>
        <w:pStyle w:val="Citas"/>
        <w:rPr>
          <w:b/>
          <w:bCs/>
        </w:rPr>
      </w:pPr>
      <w:r w:rsidRPr="00E66FD9">
        <w:lastRenderedPageBreak/>
        <w:t xml:space="preserve">(…)” </w:t>
      </w:r>
      <w:r w:rsidRPr="00E66FD9">
        <w:rPr>
          <w:b/>
          <w:bCs/>
        </w:rPr>
        <w:t>(Sic)</w:t>
      </w:r>
    </w:p>
    <w:p w14:paraId="020CF1A5" w14:textId="77777777" w:rsidR="00B23384" w:rsidRPr="00E66FD9" w:rsidRDefault="00B23384" w:rsidP="00B23384">
      <w:pPr>
        <w:autoSpaceDE w:val="0"/>
        <w:autoSpaceDN w:val="0"/>
        <w:adjustRightInd w:val="0"/>
        <w:spacing w:before="240" w:line="360" w:lineRule="auto"/>
        <w:jc w:val="both"/>
        <w:rPr>
          <w:rFonts w:ascii="Palatino Linotype" w:hAnsi="Palatino Linotype"/>
          <w:sz w:val="24"/>
          <w:szCs w:val="24"/>
        </w:rPr>
      </w:pPr>
    </w:p>
    <w:p w14:paraId="459F067B" w14:textId="182A8DFE" w:rsidR="00B23384" w:rsidRPr="00E66FD9" w:rsidRDefault="00B23384" w:rsidP="00B23384">
      <w:pPr>
        <w:spacing w:line="360" w:lineRule="auto"/>
        <w:contextualSpacing/>
        <w:jc w:val="both"/>
        <w:rPr>
          <w:rFonts w:ascii="Palatino Linotype" w:eastAsia="MS Mincho" w:hAnsi="Palatino Linotype" w:cs="Times New Roman"/>
          <w:sz w:val="24"/>
          <w:szCs w:val="24"/>
        </w:rPr>
      </w:pPr>
      <w:r w:rsidRPr="00E66FD9">
        <w:rPr>
          <w:rFonts w:ascii="Palatino Linotype" w:eastAsia="MS Mincho" w:hAnsi="Palatino Linotype" w:cs="Tahoma"/>
          <w:sz w:val="24"/>
          <w:szCs w:val="24"/>
        </w:rPr>
        <w:t xml:space="preserve">Así la Ley de Transparencia y Acceso a la Información Pública del Estado de México y Municipios </w:t>
      </w:r>
      <w:r w:rsidRPr="00E66FD9">
        <w:rPr>
          <w:rFonts w:ascii="Palatino Linotype" w:eastAsia="Arial Unicode MS" w:hAnsi="Palatino Linotype" w:cs="Arial"/>
          <w:sz w:val="24"/>
          <w:szCs w:val="24"/>
        </w:rPr>
        <w:t>en el artículo 92</w:t>
      </w:r>
      <w:r w:rsidR="00566D97" w:rsidRPr="00E66FD9">
        <w:rPr>
          <w:rFonts w:ascii="Palatino Linotype" w:eastAsia="Arial Unicode MS" w:hAnsi="Palatino Linotype" w:cs="Arial"/>
          <w:sz w:val="24"/>
          <w:szCs w:val="24"/>
        </w:rPr>
        <w:t xml:space="preserve"> fracciones XXIX y </w:t>
      </w:r>
      <w:r w:rsidR="00566D97" w:rsidRPr="00E66FD9">
        <w:rPr>
          <w:rFonts w:ascii="Palatino Linotype" w:eastAsia="Arial Unicode MS" w:hAnsi="Palatino Linotype" w:cs="Times New Roman"/>
          <w:sz w:val="24"/>
          <w:szCs w:val="24"/>
        </w:rPr>
        <w:t xml:space="preserve">XXXVI señala que la información solicitada respecto de licitaciones / adjudicaciones directas y padrón de proveedores se tratan de obligaciones de transparencia común, esto es, </w:t>
      </w:r>
      <w:r w:rsidRPr="00E66FD9">
        <w:rPr>
          <w:rFonts w:ascii="Palatino Linotype" w:eastAsia="Arial Unicode MS" w:hAnsi="Palatino Linotype" w:cs="Arial"/>
          <w:sz w:val="24"/>
          <w:szCs w:val="24"/>
        </w:rPr>
        <w:t xml:space="preserve">información que por su naturaleza es pública y que los </w:t>
      </w:r>
      <w:r w:rsidRPr="00E66FD9">
        <w:rPr>
          <w:rFonts w:ascii="Palatino Linotype" w:eastAsia="MS Mincho" w:hAnsi="Palatino Linotype" w:cs="Times New Roman"/>
          <w:sz w:val="24"/>
          <w:szCs w:val="24"/>
        </w:rPr>
        <w:t xml:space="preserve">sujetos obligados deben poner a disposición del público de manera permanente y por tanto deberán mantenerla actualizada, en los respectivos medios electrónicos, de acuerdo con sus facultades, atribuciones, funciones u objeto social. </w:t>
      </w:r>
    </w:p>
    <w:p w14:paraId="4E153192" w14:textId="77777777" w:rsidR="00566D97" w:rsidRPr="00E66FD9" w:rsidRDefault="00566D97" w:rsidP="00566D97">
      <w:pPr>
        <w:spacing w:line="360" w:lineRule="auto"/>
        <w:jc w:val="both"/>
        <w:rPr>
          <w:rFonts w:ascii="Palatino Linotype" w:hAnsi="Palatino Linotype" w:cs="Arial"/>
          <w:sz w:val="24"/>
          <w:szCs w:val="24"/>
        </w:rPr>
      </w:pPr>
      <w:r w:rsidRPr="00E66FD9">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E1B7EAA" w14:textId="77777777" w:rsidR="00566D97" w:rsidRPr="00E66FD9" w:rsidRDefault="00566D97" w:rsidP="00566D97">
      <w:pPr>
        <w:pStyle w:val="Citas"/>
      </w:pPr>
      <w:r w:rsidRPr="00E66FD9">
        <w:t xml:space="preserve">“Artículo 18. Los sujetos obligados deberán documentar todo acto que derive del ejercicio de sus facultades, competencias o funciones, considerando desde su origen la eventual publicidad y reutilización de la información que generen. </w:t>
      </w:r>
    </w:p>
    <w:p w14:paraId="1FD70452" w14:textId="77777777" w:rsidR="00566D97" w:rsidRPr="00E66FD9" w:rsidRDefault="00566D97" w:rsidP="00566D97">
      <w:pPr>
        <w:pStyle w:val="Citas"/>
      </w:pPr>
      <w:r w:rsidRPr="00E66FD9">
        <w:t xml:space="preserve">Artículo 19. Se presume que la información debe existir si se refiere a las facultades, competencias y funciones que los ordenamientos jurídicos aplicables otorgan a los sujetos obligados. </w:t>
      </w:r>
    </w:p>
    <w:p w14:paraId="16CD78FC" w14:textId="77777777" w:rsidR="00566D97" w:rsidRPr="00E66FD9" w:rsidRDefault="00566D97" w:rsidP="00566D97">
      <w:pPr>
        <w:pStyle w:val="Citas"/>
      </w:pPr>
      <w:r w:rsidRPr="00E66FD9">
        <w:t xml:space="preserve">En los casos en que ciertas facultades, competencias o funciones no se hayan ejercido, se debe motivar la respuesta en función de las causas que motiven tal circunstancia. </w:t>
      </w:r>
    </w:p>
    <w:p w14:paraId="63A7220D" w14:textId="77777777" w:rsidR="00566D97" w:rsidRPr="00E66FD9" w:rsidRDefault="00566D97" w:rsidP="00566D97">
      <w:pPr>
        <w:pStyle w:val="Citas"/>
        <w:rPr>
          <w:b/>
          <w:bCs/>
          <w:sz w:val="24"/>
          <w:szCs w:val="24"/>
        </w:rPr>
      </w:pPr>
      <w:r w:rsidRPr="00E66FD9">
        <w:lastRenderedPageBreak/>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E66FD9">
        <w:rPr>
          <w:b/>
          <w:bCs/>
        </w:rPr>
        <w:t>(Sic)</w:t>
      </w:r>
    </w:p>
    <w:p w14:paraId="1DD24A01" w14:textId="77777777" w:rsidR="00566D97" w:rsidRPr="00E66FD9" w:rsidRDefault="00566D97" w:rsidP="00566D97">
      <w:pPr>
        <w:autoSpaceDE w:val="0"/>
        <w:autoSpaceDN w:val="0"/>
        <w:adjustRightInd w:val="0"/>
        <w:spacing w:before="240" w:line="360" w:lineRule="auto"/>
        <w:jc w:val="both"/>
        <w:rPr>
          <w:rFonts w:ascii="Palatino Linotype" w:hAnsi="Palatino Linotype" w:cs="Arial"/>
          <w:sz w:val="24"/>
          <w:szCs w:val="24"/>
        </w:rPr>
      </w:pPr>
    </w:p>
    <w:p w14:paraId="62F03590" w14:textId="153283AB" w:rsidR="001015C3" w:rsidRPr="00E66FD9" w:rsidRDefault="00566D97" w:rsidP="00566D97">
      <w:pPr>
        <w:spacing w:after="240" w:line="360" w:lineRule="auto"/>
        <w:jc w:val="both"/>
        <w:rPr>
          <w:rFonts w:ascii="Palatino Linotype" w:hAnsi="Palatino Linotype" w:cs="Arial"/>
          <w:color w:val="000000"/>
          <w:sz w:val="24"/>
          <w:lang w:val="es-ES_tradnl"/>
        </w:rPr>
      </w:pPr>
      <w:r w:rsidRPr="00E66FD9">
        <w:rPr>
          <w:rFonts w:ascii="Palatino Linotype" w:hAnsi="Palatino Linotype" w:cs="Arial"/>
          <w:color w:val="000000"/>
          <w:sz w:val="24"/>
          <w:lang w:val="es-ES_tradnl"/>
        </w:rPr>
        <w:t xml:space="preserve">Una vez sentado lo anterior, como se mencionó en el antecedente </w:t>
      </w:r>
      <w:r w:rsidR="001015C3" w:rsidRPr="00E66FD9">
        <w:rPr>
          <w:rFonts w:ascii="Palatino Linotype" w:hAnsi="Palatino Linotype" w:cs="Arial"/>
          <w:color w:val="000000"/>
          <w:sz w:val="24"/>
          <w:lang w:val="es-ES_tradnl"/>
        </w:rPr>
        <w:t>segundo</w:t>
      </w:r>
      <w:r w:rsidRPr="00E66FD9">
        <w:rPr>
          <w:rFonts w:ascii="Palatino Linotype" w:hAnsi="Palatino Linotype" w:cs="Arial"/>
          <w:color w:val="000000"/>
          <w:sz w:val="24"/>
          <w:lang w:val="es-ES_tradnl"/>
        </w:rPr>
        <w:t xml:space="preserve">, </w:t>
      </w:r>
      <w:r w:rsidRPr="00E66FD9">
        <w:rPr>
          <w:rFonts w:ascii="Palatino Linotype" w:hAnsi="Palatino Linotype" w:cs="Arial"/>
          <w:b/>
          <w:color w:val="000000"/>
          <w:sz w:val="24"/>
          <w:lang w:val="es-ES_tradnl"/>
        </w:rPr>
        <w:t xml:space="preserve">El Sujeto Obligado </w:t>
      </w:r>
      <w:r w:rsidRPr="00E66FD9">
        <w:rPr>
          <w:rFonts w:ascii="Palatino Linotype" w:hAnsi="Palatino Linotype" w:cs="Arial"/>
          <w:color w:val="000000"/>
          <w:sz w:val="24"/>
          <w:lang w:val="es-ES_tradnl"/>
        </w:rPr>
        <w:t xml:space="preserve">en fecha </w:t>
      </w:r>
      <w:r w:rsidR="001015C3" w:rsidRPr="00E66FD9">
        <w:rPr>
          <w:rFonts w:ascii="Palatino Linotype" w:hAnsi="Palatino Linotype" w:cs="Arial"/>
          <w:b/>
          <w:bCs/>
          <w:color w:val="000000"/>
          <w:sz w:val="24"/>
          <w:lang w:val="es-ES_tradnl"/>
        </w:rPr>
        <w:t xml:space="preserve">diecinueve de enero de dos mil veintiséis, </w:t>
      </w:r>
      <w:r w:rsidR="001015C3" w:rsidRPr="00E66FD9">
        <w:rPr>
          <w:rFonts w:ascii="Palatino Linotype" w:hAnsi="Palatino Linotype" w:cs="Arial"/>
          <w:color w:val="000000"/>
          <w:sz w:val="24"/>
          <w:lang w:val="es-ES_tradnl"/>
        </w:rPr>
        <w:t>rindió su respuesta a la solicitud de información formulada por la ciudadana, adjuntando para tal efecto lo siguiente:</w:t>
      </w:r>
    </w:p>
    <w:p w14:paraId="58EC3146" w14:textId="6F1EE17C" w:rsidR="001015C3" w:rsidRPr="00E66FD9" w:rsidRDefault="001015C3" w:rsidP="001015C3">
      <w:pPr>
        <w:pStyle w:val="Prrafodelista"/>
        <w:numPr>
          <w:ilvl w:val="0"/>
          <w:numId w:val="25"/>
        </w:numPr>
        <w:spacing w:after="240" w:line="360" w:lineRule="auto"/>
        <w:jc w:val="both"/>
        <w:rPr>
          <w:rFonts w:ascii="Palatino Linotype" w:hAnsi="Palatino Linotype" w:cs="Arial"/>
          <w:b/>
          <w:bCs/>
          <w:color w:val="000000"/>
          <w:lang w:val="es-ES_tradnl"/>
        </w:rPr>
      </w:pPr>
      <w:r w:rsidRPr="00E66FD9">
        <w:rPr>
          <w:rFonts w:ascii="Palatino Linotype" w:hAnsi="Palatino Linotype" w:cs="Arial"/>
          <w:b/>
          <w:bCs/>
          <w:color w:val="000000"/>
          <w:lang w:val="es-ES_tradnl"/>
        </w:rPr>
        <w:t xml:space="preserve">“ADQ-424-2025.pdf”: </w:t>
      </w:r>
      <w:r w:rsidRPr="00E66FD9">
        <w:rPr>
          <w:rFonts w:ascii="Palatino Linotype" w:hAnsi="Palatino Linotype" w:cs="Arial"/>
          <w:color w:val="000000"/>
          <w:lang w:val="es-ES_tradnl"/>
        </w:rPr>
        <w:t xml:space="preserve">Oficio número </w:t>
      </w:r>
      <w:r w:rsidRPr="00E66FD9">
        <w:rPr>
          <w:rFonts w:ascii="Palatino Linotype" w:hAnsi="Palatino Linotype" w:cs="Arial"/>
          <w:b/>
          <w:bCs/>
          <w:color w:val="000000"/>
          <w:lang w:val="es-ES_tradnl"/>
        </w:rPr>
        <w:t xml:space="preserve">ADQ/424/2025 </w:t>
      </w:r>
      <w:r w:rsidRPr="00E66FD9">
        <w:rPr>
          <w:rFonts w:ascii="Palatino Linotype" w:hAnsi="Palatino Linotype" w:cs="Arial"/>
          <w:color w:val="000000"/>
          <w:lang w:val="es-ES_tradnl"/>
        </w:rPr>
        <w:t>signado por la jefa de adquisiciones, dirigido a la titular de la unidad de transparencia, de fecha treinta de diciembre de dos mil veinticinco, resulta de nuestro interés el siguiente extracto:</w:t>
      </w:r>
    </w:p>
    <w:p w14:paraId="0F70D9EE" w14:textId="2F1F442F" w:rsidR="001015C3" w:rsidRPr="00E66FD9" w:rsidRDefault="001015C3" w:rsidP="001015C3">
      <w:pPr>
        <w:pStyle w:val="Prrafodelista"/>
        <w:spacing w:after="240" w:line="360" w:lineRule="auto"/>
        <w:ind w:left="720"/>
        <w:jc w:val="both"/>
        <w:rPr>
          <w:rFonts w:ascii="Palatino Linotype" w:hAnsi="Palatino Linotype" w:cs="Arial"/>
          <w:b/>
          <w:bCs/>
          <w:i/>
          <w:iCs/>
          <w:color w:val="000000"/>
          <w:lang w:val="es-ES_tradnl"/>
        </w:rPr>
      </w:pPr>
      <w:r w:rsidRPr="00E66FD9">
        <w:rPr>
          <w:rFonts w:ascii="Palatino Linotype" w:hAnsi="Palatino Linotype" w:cs="Arial"/>
          <w:i/>
          <w:iCs/>
          <w:color w:val="000000"/>
          <w:lang w:val="es-ES_tradnl"/>
        </w:rPr>
        <w:t xml:space="preserve">“(…) me permito informar a usted que después de realizar una búsqueda exhaustiva y razonada por el personal designado para ello en los archivos de esta jefatura de adquisiciones a mi cargo, </w:t>
      </w:r>
      <w:r w:rsidR="00E231B8" w:rsidRPr="00E66FD9">
        <w:rPr>
          <w:rFonts w:ascii="Palatino Linotype" w:hAnsi="Palatino Linotype" w:cs="Arial"/>
          <w:i/>
          <w:iCs/>
          <w:color w:val="000000"/>
          <w:lang w:val="es-ES_tradnl"/>
        </w:rPr>
        <w:t xml:space="preserve">se determinó que no existe documento o archivo alguno que contenga la información solicitada toda vez que los Directores no realizan adquisición de bienes y por ende no tienen un expediente que se pueda presentar” </w:t>
      </w:r>
      <w:r w:rsidR="00E231B8" w:rsidRPr="00E66FD9">
        <w:rPr>
          <w:rFonts w:ascii="Palatino Linotype" w:hAnsi="Palatino Linotype" w:cs="Arial"/>
          <w:b/>
          <w:bCs/>
          <w:i/>
          <w:iCs/>
          <w:color w:val="000000"/>
          <w:lang w:val="es-ES_tradnl"/>
        </w:rPr>
        <w:t>(Sic)</w:t>
      </w:r>
    </w:p>
    <w:p w14:paraId="24C86FA7" w14:textId="77777777" w:rsidR="001015C3" w:rsidRPr="00E66FD9" w:rsidRDefault="001015C3" w:rsidP="00566D97">
      <w:pPr>
        <w:spacing w:after="240" w:line="360" w:lineRule="auto"/>
        <w:jc w:val="both"/>
        <w:rPr>
          <w:rFonts w:ascii="Palatino Linotype" w:hAnsi="Palatino Linotype" w:cs="Arial"/>
          <w:color w:val="000000"/>
          <w:sz w:val="24"/>
          <w:lang w:val="es-ES_tradnl"/>
        </w:rPr>
      </w:pPr>
    </w:p>
    <w:p w14:paraId="1E001033" w14:textId="77777777" w:rsidR="00E231B8" w:rsidRPr="00E66FD9" w:rsidRDefault="00E231B8" w:rsidP="00E231B8">
      <w:pPr>
        <w:spacing w:line="360" w:lineRule="auto"/>
        <w:jc w:val="both"/>
        <w:rPr>
          <w:rFonts w:ascii="Palatino Linotype" w:hAnsi="Palatino Linotype" w:cs="Arial"/>
          <w:sz w:val="24"/>
        </w:rPr>
      </w:pPr>
      <w:r w:rsidRPr="00E66FD9">
        <w:rPr>
          <w:rFonts w:ascii="Palatino Linotype" w:hAnsi="Palatino Linotype" w:cs="Arial"/>
          <w:sz w:val="24"/>
        </w:rPr>
        <w:t xml:space="preserve">Luego entonces, es posible advertir que </w:t>
      </w:r>
      <w:r w:rsidRPr="00E66FD9">
        <w:rPr>
          <w:rFonts w:ascii="Palatino Linotype" w:hAnsi="Palatino Linotype" w:cs="Arial"/>
          <w:b/>
          <w:bCs/>
          <w:sz w:val="24"/>
        </w:rPr>
        <w:t>El Sujeto Obligado</w:t>
      </w:r>
      <w:r w:rsidRPr="00E66FD9">
        <w:rPr>
          <w:rFonts w:ascii="Palatino Linotype" w:hAnsi="Palatino Linotype" w:cs="Arial"/>
          <w:sz w:val="24"/>
        </w:rPr>
        <w:t xml:space="preserve"> observó de forma diligente el artículo 162 de la Ley de Transparencia y Acceso a la Información Pública del Estado de México y Municipios, que dispone a la literalidad lo siguiente:</w:t>
      </w:r>
    </w:p>
    <w:p w14:paraId="037A30C6" w14:textId="77777777" w:rsidR="00E231B8" w:rsidRPr="00E66FD9" w:rsidRDefault="00E231B8" w:rsidP="00E231B8">
      <w:pPr>
        <w:pStyle w:val="Citas"/>
        <w:rPr>
          <w:b/>
          <w:bCs/>
        </w:rPr>
      </w:pPr>
      <w:r w:rsidRPr="00E66FD9">
        <w:lastRenderedPageBreak/>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E66FD9">
        <w:rPr>
          <w:b/>
          <w:bCs/>
        </w:rPr>
        <w:t>(Sic)</w:t>
      </w:r>
    </w:p>
    <w:p w14:paraId="01397DAE" w14:textId="77777777" w:rsidR="00E231B8" w:rsidRPr="00E66FD9" w:rsidRDefault="00E231B8" w:rsidP="00566D97">
      <w:pPr>
        <w:spacing w:after="240" w:line="360" w:lineRule="auto"/>
        <w:jc w:val="both"/>
        <w:rPr>
          <w:rFonts w:ascii="Palatino Linotype" w:hAnsi="Palatino Linotype" w:cs="Arial"/>
          <w:color w:val="000000"/>
          <w:sz w:val="24"/>
          <w:lang w:val="es-ES_tradnl"/>
        </w:rPr>
      </w:pPr>
    </w:p>
    <w:p w14:paraId="1CA36066" w14:textId="23692F2D" w:rsidR="00E231B8" w:rsidRPr="00E66FD9" w:rsidRDefault="00E231B8" w:rsidP="00566D97">
      <w:pPr>
        <w:spacing w:after="240" w:line="360" w:lineRule="auto"/>
        <w:jc w:val="both"/>
        <w:rPr>
          <w:rFonts w:ascii="Palatino Linotype" w:hAnsi="Palatino Linotype" w:cs="Arial"/>
          <w:color w:val="000000"/>
          <w:sz w:val="24"/>
          <w:lang w:val="es-ES_tradnl"/>
        </w:rPr>
      </w:pPr>
      <w:r w:rsidRPr="00E66FD9">
        <w:rPr>
          <w:rFonts w:ascii="Palatino Linotype" w:hAnsi="Palatino Linotype" w:cs="Arial"/>
          <w:color w:val="000000"/>
          <w:sz w:val="24"/>
          <w:lang w:val="es-ES_tradnl"/>
        </w:rPr>
        <w:t xml:space="preserve">Sin embargo, con relación a la problemática expuesta se advierte que </w:t>
      </w:r>
      <w:r w:rsidRPr="00E66FD9">
        <w:rPr>
          <w:rFonts w:ascii="Palatino Linotype" w:hAnsi="Palatino Linotype" w:cs="Arial"/>
          <w:b/>
          <w:bCs/>
          <w:color w:val="000000"/>
          <w:sz w:val="24"/>
          <w:lang w:val="es-ES_tradnl"/>
        </w:rPr>
        <w:t xml:space="preserve">El Sujeto Obligado </w:t>
      </w:r>
      <w:r w:rsidRPr="00E66FD9">
        <w:rPr>
          <w:rFonts w:ascii="Palatino Linotype" w:hAnsi="Palatino Linotype" w:cs="Arial"/>
          <w:color w:val="000000"/>
          <w:sz w:val="24"/>
          <w:lang w:val="es-ES_tradnl"/>
        </w:rPr>
        <w:t xml:space="preserve">no atendió la solicitud de información </w:t>
      </w:r>
      <w:r w:rsidRPr="00E66FD9">
        <w:rPr>
          <w:rFonts w:ascii="Palatino Linotype" w:hAnsi="Palatino Linotype" w:cs="Arial"/>
          <w:b/>
          <w:bCs/>
          <w:color w:val="000000"/>
          <w:sz w:val="24"/>
          <w:lang w:val="es-ES_tradnl"/>
        </w:rPr>
        <w:t xml:space="preserve">01638/TEPOTZOT/IP/2025 </w:t>
      </w:r>
      <w:r w:rsidRPr="00E66FD9">
        <w:rPr>
          <w:rFonts w:ascii="Palatino Linotype" w:hAnsi="Palatino Linotype" w:cs="Arial"/>
          <w:color w:val="000000"/>
          <w:sz w:val="24"/>
          <w:lang w:val="es-ES_tradnl"/>
        </w:rPr>
        <w:t xml:space="preserve">a la luz del criterio </w:t>
      </w:r>
      <w:r w:rsidRPr="00E66FD9">
        <w:rPr>
          <w:rFonts w:ascii="Palatino Linotype" w:hAnsi="Palatino Linotype"/>
        </w:rPr>
        <w:t xml:space="preserve">criterio emitido por el Órgano Garante Nacional con número </w:t>
      </w:r>
      <w:r w:rsidRPr="00E66FD9">
        <w:rPr>
          <w:rFonts w:ascii="Palatino Linotype" w:hAnsi="Palatino Linotype"/>
          <w:b/>
          <w:bCs/>
        </w:rPr>
        <w:t xml:space="preserve">16/17 </w:t>
      </w:r>
      <w:r w:rsidRPr="00E66FD9">
        <w:rPr>
          <w:rFonts w:ascii="Palatino Linotype" w:hAnsi="Palatino Linotype"/>
        </w:rPr>
        <w:t>cuyo rubro y texto disponen a la literalidad lo siguiente:</w:t>
      </w:r>
    </w:p>
    <w:p w14:paraId="01787370" w14:textId="77777777" w:rsidR="00E231B8" w:rsidRPr="00E66FD9" w:rsidRDefault="00E231B8" w:rsidP="00E231B8">
      <w:pPr>
        <w:pStyle w:val="Citas"/>
        <w:jc w:val="center"/>
        <w:rPr>
          <w:b/>
          <w:bCs/>
          <w:sz w:val="24"/>
          <w:szCs w:val="24"/>
        </w:rPr>
      </w:pPr>
      <w:r w:rsidRPr="00E66FD9">
        <w:rPr>
          <w:b/>
          <w:bCs/>
          <w:sz w:val="24"/>
          <w:szCs w:val="24"/>
        </w:rPr>
        <w:t>“EXPRESIÓN DOCUMENTAL.</w:t>
      </w:r>
    </w:p>
    <w:p w14:paraId="04F13E99" w14:textId="77777777" w:rsidR="00E231B8" w:rsidRPr="00E66FD9" w:rsidRDefault="00E231B8" w:rsidP="00E231B8">
      <w:pPr>
        <w:pStyle w:val="Citas"/>
        <w:rPr>
          <w:szCs w:val="24"/>
        </w:rPr>
      </w:pPr>
      <w:r w:rsidRPr="00E66FD9">
        <w:rPr>
          <w:bCs/>
          <w:szCs w:val="24"/>
        </w:rPr>
        <w:t>Cuando</w:t>
      </w:r>
      <w:r w:rsidRPr="00E66FD9">
        <w:rPr>
          <w:lang w:val="es-ES"/>
        </w:rPr>
        <w:t xml:space="preserve"> los particulares presenten solicitudes de acceso a la información sin identificar de forma precisa la documentación que pudiera contener la información de su interés, </w:t>
      </w:r>
      <w:r w:rsidRPr="00E66FD9">
        <w:rPr>
          <w:szCs w:val="24"/>
        </w:rPr>
        <w:t>o bien, la solicitud constituya una consulta,</w:t>
      </w:r>
      <w:r w:rsidRPr="00E66FD9">
        <w:rPr>
          <w:lang w:val="es-ES"/>
        </w:rPr>
        <w:t xml:space="preserve"> pero la respuesta pudiera obrar en algún documento en poder de los sujetos obligados, éstos deben dar a dichas solicitudes una interpretación que les otorgue una expresión documental. </w:t>
      </w:r>
    </w:p>
    <w:p w14:paraId="35FB1BD2" w14:textId="77777777" w:rsidR="00E231B8" w:rsidRPr="00E66FD9" w:rsidRDefault="00E231B8" w:rsidP="00E231B8">
      <w:pPr>
        <w:pStyle w:val="Citas"/>
        <w:rPr>
          <w:b/>
        </w:rPr>
      </w:pPr>
      <w:r w:rsidRPr="00E66FD9">
        <w:rPr>
          <w:b/>
        </w:rPr>
        <w:t>Precedentes:</w:t>
      </w:r>
    </w:p>
    <w:p w14:paraId="7D671B03" w14:textId="77777777" w:rsidR="00E231B8" w:rsidRPr="00E66FD9" w:rsidRDefault="00E231B8" w:rsidP="00E231B8">
      <w:pPr>
        <w:pStyle w:val="Citas"/>
        <w:numPr>
          <w:ilvl w:val="0"/>
          <w:numId w:val="11"/>
        </w:numPr>
        <w:rPr>
          <w:color w:val="000000"/>
        </w:rPr>
      </w:pPr>
      <w:r w:rsidRPr="00E66FD9">
        <w:t xml:space="preserve">Acceso a la información pública. RRA 0774/16. Sesión del 31 de agosto de 2016. Votación por unanimidad. </w:t>
      </w:r>
      <w:r w:rsidRPr="00E66FD9">
        <w:rPr>
          <w:rFonts w:eastAsia="Arial"/>
        </w:rPr>
        <w:t>Sin votos disidentes o particulares.</w:t>
      </w:r>
      <w:r w:rsidRPr="00E66FD9">
        <w:t xml:space="preserve"> Secretaría de Salud. Comisionada Ponente María Patricia Kurczyn Villalobos.</w:t>
      </w:r>
    </w:p>
    <w:p w14:paraId="77844D3B" w14:textId="77777777" w:rsidR="00E231B8" w:rsidRPr="00E66FD9" w:rsidRDefault="00E231B8" w:rsidP="00E231B8">
      <w:pPr>
        <w:pStyle w:val="Citas"/>
        <w:numPr>
          <w:ilvl w:val="0"/>
          <w:numId w:val="11"/>
        </w:numPr>
        <w:rPr>
          <w:color w:val="000000"/>
        </w:rPr>
      </w:pPr>
      <w:r w:rsidRPr="00E66FD9">
        <w:t xml:space="preserve">Acceso a la información pública. RRA 0143/17. Sesión del 22 de febrero de 2017. Votación por unanimidad. </w:t>
      </w:r>
      <w:r w:rsidRPr="00E66FD9">
        <w:rPr>
          <w:rFonts w:eastAsia="Arial"/>
        </w:rPr>
        <w:t>Sin votos disidentes o particulares.</w:t>
      </w:r>
      <w:r w:rsidRPr="00E66FD9">
        <w:t xml:space="preserve"> </w:t>
      </w:r>
      <w:r w:rsidRPr="00E66FD9">
        <w:lastRenderedPageBreak/>
        <w:t xml:space="preserve">Universidad Autónoma Agraria Antonio Narro. Comisionado Ponente Oscar Mauricio Guerra Ford. </w:t>
      </w:r>
    </w:p>
    <w:p w14:paraId="2993B61D" w14:textId="77777777" w:rsidR="00E231B8" w:rsidRPr="00E66FD9" w:rsidRDefault="00E231B8" w:rsidP="00E231B8">
      <w:pPr>
        <w:pStyle w:val="Citas"/>
        <w:numPr>
          <w:ilvl w:val="0"/>
          <w:numId w:val="11"/>
        </w:numPr>
        <w:rPr>
          <w:color w:val="000000"/>
        </w:rPr>
      </w:pPr>
      <w:r w:rsidRPr="00E66FD9">
        <w:t xml:space="preserve">Acceso a la información pública. RRA 0540/17. Sesión del 08 de marzo del 2017. Votación por unanimidad. </w:t>
      </w:r>
      <w:r w:rsidRPr="00E66FD9">
        <w:rPr>
          <w:rFonts w:eastAsia="Arial"/>
        </w:rPr>
        <w:t>Sin votos disidentes o particulares.</w:t>
      </w:r>
      <w:r w:rsidRPr="00E66FD9">
        <w:t xml:space="preserve"> Secretaría de Economía. Comisionado Ponente Francisco Javier Acuña Llamas. “ </w:t>
      </w:r>
      <w:r w:rsidRPr="00E66FD9">
        <w:rPr>
          <w:b/>
          <w:bCs/>
        </w:rPr>
        <w:t>(Sic)</w:t>
      </w:r>
    </w:p>
    <w:p w14:paraId="0F11D11A" w14:textId="77777777" w:rsidR="00E231B8" w:rsidRPr="00E66FD9" w:rsidRDefault="00E231B8" w:rsidP="00566D97">
      <w:pPr>
        <w:spacing w:after="240" w:line="360" w:lineRule="auto"/>
        <w:jc w:val="both"/>
        <w:rPr>
          <w:rFonts w:ascii="Palatino Linotype" w:hAnsi="Palatino Linotype" w:cs="Arial"/>
          <w:color w:val="000000"/>
          <w:sz w:val="24"/>
          <w:lang w:val="es-ES_tradnl"/>
        </w:rPr>
      </w:pPr>
    </w:p>
    <w:p w14:paraId="30179500" w14:textId="77777777" w:rsidR="000416AA" w:rsidRPr="00E66FD9" w:rsidRDefault="00E231B8" w:rsidP="00566D97">
      <w:pPr>
        <w:spacing w:after="240" w:line="360" w:lineRule="auto"/>
        <w:jc w:val="both"/>
        <w:rPr>
          <w:rFonts w:ascii="Palatino Linotype" w:hAnsi="Palatino Linotype" w:cs="Arial"/>
          <w:color w:val="000000"/>
          <w:sz w:val="24"/>
          <w:lang w:val="es-ES_tradnl"/>
        </w:rPr>
      </w:pPr>
      <w:r w:rsidRPr="00E66FD9">
        <w:rPr>
          <w:rFonts w:ascii="Palatino Linotype" w:hAnsi="Palatino Linotype" w:cs="Arial"/>
          <w:color w:val="000000"/>
          <w:sz w:val="24"/>
          <w:lang w:val="es-ES_tradnl"/>
        </w:rPr>
        <w:t xml:space="preserve">Luego entonces, se arriba a la premisa de que cuando los particulares no identifican de forma precisa el documento requerido, bastará con que se remita cualquiera que refleje la información requerida. </w:t>
      </w:r>
    </w:p>
    <w:p w14:paraId="53B52D86" w14:textId="728853F1" w:rsidR="00E231B8" w:rsidRPr="00E66FD9" w:rsidRDefault="00E231B8" w:rsidP="00566D97">
      <w:pPr>
        <w:spacing w:after="240" w:line="360" w:lineRule="auto"/>
        <w:jc w:val="both"/>
        <w:rPr>
          <w:rFonts w:ascii="Palatino Linotype" w:hAnsi="Palatino Linotype" w:cs="Arial"/>
          <w:color w:val="000000"/>
          <w:sz w:val="24"/>
          <w:lang w:val="es-ES_tradnl"/>
        </w:rPr>
      </w:pPr>
      <w:r w:rsidRPr="00E66FD9">
        <w:rPr>
          <w:rFonts w:ascii="Palatino Linotype" w:hAnsi="Palatino Linotype" w:cs="Arial"/>
          <w:color w:val="000000"/>
          <w:sz w:val="24"/>
          <w:lang w:val="es-ES_tradnl"/>
        </w:rPr>
        <w:t xml:space="preserve">Visto de esta forma, la respuesta a la solicitud de información </w:t>
      </w:r>
      <w:r w:rsidRPr="00E66FD9">
        <w:rPr>
          <w:rFonts w:ascii="Palatino Linotype" w:hAnsi="Palatino Linotype" w:cs="Arial"/>
          <w:b/>
          <w:bCs/>
          <w:color w:val="000000"/>
          <w:sz w:val="24"/>
          <w:lang w:val="es-ES_tradnl"/>
        </w:rPr>
        <w:t xml:space="preserve">01638/TEPOTZOT/IP/2025 </w:t>
      </w:r>
      <w:r w:rsidRPr="00E66FD9">
        <w:rPr>
          <w:rFonts w:ascii="Palatino Linotype" w:hAnsi="Palatino Linotype" w:cs="Arial"/>
          <w:color w:val="000000"/>
          <w:sz w:val="24"/>
          <w:lang w:val="es-ES_tradnl"/>
        </w:rPr>
        <w:t>no es susceptible de colmar el derecho de acceso a la información pública</w:t>
      </w:r>
      <w:r w:rsidR="000416AA" w:rsidRPr="00E66FD9">
        <w:rPr>
          <w:rFonts w:ascii="Palatino Linotype" w:hAnsi="Palatino Linotype" w:cs="Arial"/>
          <w:color w:val="000000"/>
          <w:sz w:val="24"/>
          <w:lang w:val="es-ES_tradnl"/>
        </w:rPr>
        <w:t xml:space="preserve">, al tomar en consideración que no fue atendida a la luz del principio de suplencia imperante en la materia. </w:t>
      </w:r>
    </w:p>
    <w:p w14:paraId="0495B06B" w14:textId="51D2D781" w:rsidR="00E231B8" w:rsidRPr="00E66FD9" w:rsidRDefault="00E231B8" w:rsidP="00566D97">
      <w:pPr>
        <w:spacing w:after="240" w:line="360" w:lineRule="auto"/>
        <w:jc w:val="both"/>
        <w:rPr>
          <w:rFonts w:ascii="Palatino Linotype" w:hAnsi="Palatino Linotype" w:cs="Arial"/>
          <w:color w:val="000000"/>
          <w:sz w:val="24"/>
          <w:lang w:val="es-ES_tradnl"/>
        </w:rPr>
      </w:pPr>
      <w:r w:rsidRPr="00E66FD9">
        <w:rPr>
          <w:rFonts w:ascii="Palatino Linotype" w:hAnsi="Palatino Linotype" w:cs="Arial"/>
          <w:color w:val="000000"/>
          <w:sz w:val="24"/>
          <w:lang w:val="es-ES_tradnl"/>
        </w:rPr>
        <w:t xml:space="preserve">Inconforme con la respuesta rendida por </w:t>
      </w:r>
      <w:r w:rsidRPr="00E66FD9">
        <w:rPr>
          <w:rFonts w:ascii="Palatino Linotype" w:hAnsi="Palatino Linotype" w:cs="Arial"/>
          <w:b/>
          <w:bCs/>
          <w:color w:val="000000"/>
          <w:sz w:val="24"/>
          <w:lang w:val="es-ES_tradnl"/>
        </w:rPr>
        <w:t xml:space="preserve">El Sujeto Obligado, La Recurrente </w:t>
      </w:r>
      <w:r w:rsidRPr="00E66FD9">
        <w:rPr>
          <w:rFonts w:ascii="Palatino Linotype" w:hAnsi="Palatino Linotype" w:cs="Arial"/>
          <w:color w:val="000000"/>
          <w:sz w:val="24"/>
          <w:lang w:val="es-ES_tradnl"/>
        </w:rPr>
        <w:t xml:space="preserve">interpuso recurso de revisión en fecha </w:t>
      </w:r>
      <w:r w:rsidR="002E5A4A" w:rsidRPr="00E66FD9">
        <w:rPr>
          <w:rFonts w:ascii="Palatino Linotype" w:hAnsi="Palatino Linotype" w:cs="Arial"/>
          <w:b/>
          <w:bCs/>
          <w:color w:val="000000"/>
          <w:sz w:val="24"/>
          <w:lang w:val="es-ES_tradnl"/>
        </w:rPr>
        <w:t xml:space="preserve">diez de febrero, </w:t>
      </w:r>
      <w:r w:rsidR="002E5A4A" w:rsidRPr="00E66FD9">
        <w:rPr>
          <w:rFonts w:ascii="Palatino Linotype" w:hAnsi="Palatino Linotype" w:cs="Arial"/>
          <w:color w:val="000000"/>
          <w:sz w:val="24"/>
          <w:lang w:val="es-ES_tradnl"/>
        </w:rPr>
        <w:t xml:space="preserve">admitiéndose el </w:t>
      </w:r>
      <w:r w:rsidR="002E5A4A" w:rsidRPr="00E66FD9">
        <w:rPr>
          <w:rFonts w:ascii="Palatino Linotype" w:hAnsi="Palatino Linotype" w:cs="Arial"/>
          <w:b/>
          <w:bCs/>
          <w:color w:val="000000"/>
          <w:sz w:val="24"/>
          <w:lang w:val="es-ES_tradnl"/>
        </w:rPr>
        <w:t xml:space="preserve">doce de febrero de dos mil veintiséis. </w:t>
      </w:r>
      <w:r w:rsidR="002E5A4A" w:rsidRPr="00E66FD9">
        <w:rPr>
          <w:rFonts w:ascii="Palatino Linotype" w:hAnsi="Palatino Linotype" w:cs="Arial"/>
          <w:color w:val="000000"/>
          <w:sz w:val="24"/>
          <w:lang w:val="es-ES_tradnl"/>
        </w:rPr>
        <w:t>Señalando como razones o motivos de inconformidad:</w:t>
      </w:r>
    </w:p>
    <w:p w14:paraId="7F372059" w14:textId="77777777" w:rsidR="002E5A4A" w:rsidRPr="00E66FD9" w:rsidRDefault="002E5A4A" w:rsidP="002E5A4A">
      <w:pPr>
        <w:spacing w:before="240" w:line="360" w:lineRule="auto"/>
        <w:jc w:val="both"/>
        <w:rPr>
          <w:rFonts w:ascii="Palatino Linotype" w:hAnsi="Palatino Linotype" w:cs="Arial"/>
          <w:b/>
          <w:sz w:val="24"/>
        </w:rPr>
      </w:pPr>
      <w:r w:rsidRPr="00E66FD9">
        <w:rPr>
          <w:rFonts w:ascii="Palatino Linotype" w:hAnsi="Palatino Linotype" w:cs="Arial"/>
          <w:b/>
          <w:sz w:val="24"/>
        </w:rPr>
        <w:t>Acto Impugnado:</w:t>
      </w:r>
    </w:p>
    <w:p w14:paraId="00E0E741" w14:textId="77777777" w:rsidR="002E5A4A" w:rsidRPr="00E66FD9" w:rsidRDefault="002E5A4A" w:rsidP="002E5A4A">
      <w:pPr>
        <w:pStyle w:val="Citas"/>
        <w:rPr>
          <w:b/>
          <w:bCs/>
          <w:sz w:val="24"/>
        </w:rPr>
      </w:pPr>
      <w:r w:rsidRPr="00E66FD9">
        <w:t xml:space="preserve">“Solicito el listado completo de proveedores contratados más de dos veces por cada Dirección durante 2022–2025, especificando: • total pagado • concepto del gasto • contrato o pedido • justificación de adjudicación directa • evidencia de entrega de bienes o servicios. Fundamento: arts. 28, 92, 95, 96 LTAIPEMyM. La respuesta </w:t>
      </w:r>
      <w:r w:rsidRPr="00E66FD9">
        <w:lastRenderedPageBreak/>
        <w:t xml:space="preserve">emitida por la Jefatura de Adquisiciones del H. Ayuntamiento de Tepotzotlán, mediante oficio ADQ/424/2025, en la que se declara de manera unilateral la inexistencia de la información solicitada, sin intervención del Comité de Transparencia y sin entregar documento alguno” </w:t>
      </w:r>
      <w:r w:rsidRPr="00E66FD9">
        <w:rPr>
          <w:b/>
          <w:bCs/>
        </w:rPr>
        <w:t>(Sic)</w:t>
      </w:r>
    </w:p>
    <w:p w14:paraId="4F1451E6" w14:textId="77777777" w:rsidR="002E5A4A" w:rsidRPr="00E66FD9" w:rsidRDefault="002E5A4A" w:rsidP="002E5A4A">
      <w:pPr>
        <w:spacing w:before="240" w:line="360" w:lineRule="auto"/>
        <w:jc w:val="both"/>
        <w:rPr>
          <w:rFonts w:ascii="Palatino Linotype" w:hAnsi="Palatino Linotype" w:cs="Arial"/>
          <w:sz w:val="24"/>
        </w:rPr>
      </w:pPr>
      <w:r w:rsidRPr="00E66FD9">
        <w:rPr>
          <w:rFonts w:ascii="Palatino Linotype" w:hAnsi="Palatino Linotype" w:cs="Arial"/>
          <w:b/>
          <w:sz w:val="24"/>
        </w:rPr>
        <w:t>Razones o Motivos de Inconformidad</w:t>
      </w:r>
      <w:r w:rsidRPr="00E66FD9">
        <w:rPr>
          <w:rFonts w:ascii="Palatino Linotype" w:hAnsi="Palatino Linotype" w:cs="Arial"/>
          <w:sz w:val="24"/>
        </w:rPr>
        <w:t xml:space="preserve">: </w:t>
      </w:r>
    </w:p>
    <w:p w14:paraId="5996C19E" w14:textId="77777777" w:rsidR="002E5A4A" w:rsidRPr="00E66FD9" w:rsidRDefault="002E5A4A" w:rsidP="002E5A4A">
      <w:pPr>
        <w:pStyle w:val="Citas"/>
        <w:rPr>
          <w:b/>
          <w:bCs/>
        </w:rPr>
      </w:pPr>
      <w:r w:rsidRPr="00E66FD9">
        <w:t xml:space="preserve">“AGRAVIOS PRIMERO. Inexistencia indebidamente declarada. El sujeto obligado declara la inexistencia de la información solicitada sin cumplir el procedimiento legal previsto en los artículos 160, 161 y 162 de la Ley de Transparencia del Estado de México, al no acreditar una búsqueda exhaustiva ni someter el asunto al Comité de Transparencia. SEGUNDO. Violación al principio de legalidad y máxima publicidad. Resulta jurídicamente imposible que no existan contratos, adquisiciones, órdenes de compra, facturas, cotizaciones, pagos o expedientes técnicos relacionados con el ejercicio del gasto público, por lo que la respuesta constituye una negativa encubierta de información pública. TERCERO. Falta absoluta de fundamentación y motivación. La autoridad responsable no cita disposición legal alguna que sustente la inexistencia alegada ni explica las razones lógicas y jurídicas por las cuales dicha información no obra en sus archivos, vulnerando el artículo 6 constitucional. CUARTO. Omisión del deber de orientación y canalización. En caso de no ser competente, el sujeto obligado tenía la obligación de turnar o canalizar la solicitud a las áreas que sí generan la información (Tesorería Municipal, Dirección de Administración), lo cual omitió deliberadamente. QUINTO. Violación al derecho de acceso a la información y a la rendición de cuentas. La respuesta impugnada genera incertidumbre jurídica al solicitante e impide el escrutinio del ejercicio de recursos públicos, lo cual constituye una obstrucción del derecho de acceso a la información. PETICIÓN Solicito respetuosamente a ese H. Instituto: Se revoque totalmente la </w:t>
      </w:r>
      <w:r w:rsidRPr="00E66FD9">
        <w:lastRenderedPageBreak/>
        <w:t xml:space="preserve">respuesta impugnada. Se ordene al sujeto obligado realizar una búsqueda exhaustiva real, en todas las áreas competentes. Se instruya al Comité de Transparencia emitir acta circunstanciada, en caso de insistir en la inexistencia. Se ordene la entrega de versión pública de los contratos, adquisiciones, órdenes de compra, facturas, pagos y expedientes solicitados. Se dé vista al Órgano Interno de Control, por la posible comisión de faltas administrativas derivadas de la simulación de inexistencia documental. Se aperciba a la Unidad de Transparencia para que dé cumplimiento inmediato a la resolución” </w:t>
      </w:r>
      <w:r w:rsidRPr="00E66FD9">
        <w:rPr>
          <w:b/>
          <w:bCs/>
        </w:rPr>
        <w:t>(Sic)</w:t>
      </w:r>
    </w:p>
    <w:p w14:paraId="0C8AD4B9" w14:textId="77777777" w:rsidR="002E5A4A" w:rsidRPr="00E66FD9" w:rsidRDefault="002E5A4A" w:rsidP="00566D97">
      <w:pPr>
        <w:spacing w:after="240" w:line="360" w:lineRule="auto"/>
        <w:jc w:val="both"/>
        <w:rPr>
          <w:rFonts w:ascii="Palatino Linotype" w:hAnsi="Palatino Linotype" w:cs="Arial"/>
          <w:color w:val="000000"/>
          <w:sz w:val="24"/>
        </w:rPr>
      </w:pPr>
    </w:p>
    <w:p w14:paraId="5F2EB92D" w14:textId="67BB4604" w:rsidR="002E5A4A" w:rsidRPr="00E66FD9" w:rsidRDefault="002E5A4A" w:rsidP="002E5A4A">
      <w:pPr>
        <w:pStyle w:val="infoemcitas"/>
        <w:tabs>
          <w:tab w:val="left" w:pos="7655"/>
        </w:tabs>
        <w:ind w:left="0" w:right="0"/>
        <w:rPr>
          <w:rFonts w:cs="Arial"/>
          <w:i w:val="0"/>
          <w:color w:val="000000"/>
          <w:sz w:val="24"/>
          <w:lang w:eastAsia="es-MX"/>
        </w:rPr>
      </w:pPr>
      <w:r w:rsidRPr="00E66FD9">
        <w:rPr>
          <w:i w:val="0"/>
          <w:sz w:val="24"/>
          <w:szCs w:val="24"/>
        </w:rPr>
        <w:t xml:space="preserve">Así las cosas, hasta aquí lo expuesto, resulta inconcuso que los motivos de inconformidad esgrimidos por el particular encuadran dentro del artículo 179, fracción I de la </w:t>
      </w:r>
      <w:r w:rsidRPr="00E66FD9">
        <w:rPr>
          <w:rFonts w:cs="Arial"/>
          <w:i w:val="0"/>
          <w:color w:val="000000"/>
          <w:sz w:val="24"/>
          <w:lang w:eastAsia="es-MX"/>
        </w:rPr>
        <w:t xml:space="preserve">Ley de Transparencia y Acceso a la Información Pública del Estado de México y Municipios, cuyo contenido literal es el siguiente: </w:t>
      </w:r>
    </w:p>
    <w:p w14:paraId="1E82DDAC" w14:textId="77777777" w:rsidR="002E5A4A" w:rsidRPr="00E66FD9" w:rsidRDefault="002E5A4A" w:rsidP="002E5A4A">
      <w:pPr>
        <w:pStyle w:val="Citas"/>
      </w:pPr>
      <w:r w:rsidRPr="00E66FD9">
        <w:t xml:space="preserve"> “Artículo 179. El recurso de revisión es un medio de protección que la Ley otorga a los particulares, para hacer valer su derecho de acceso a la información pública, y procederá en contra de las siguientes causas:</w:t>
      </w:r>
    </w:p>
    <w:p w14:paraId="1D7EDFA9" w14:textId="77777777" w:rsidR="002E5A4A" w:rsidRPr="00E66FD9" w:rsidRDefault="002E5A4A" w:rsidP="002E5A4A">
      <w:pPr>
        <w:pStyle w:val="Citas"/>
      </w:pPr>
      <w:r w:rsidRPr="00E66FD9">
        <w:t>I. La negativa a la información solicitada;</w:t>
      </w:r>
    </w:p>
    <w:p w14:paraId="27571782" w14:textId="6580305B" w:rsidR="002E5A4A" w:rsidRPr="00E66FD9" w:rsidRDefault="002E5A4A" w:rsidP="002E5A4A">
      <w:pPr>
        <w:pStyle w:val="Citas"/>
        <w:rPr>
          <w:b/>
          <w:bCs/>
        </w:rPr>
      </w:pPr>
      <w:r w:rsidRPr="00E66FD9">
        <w:t xml:space="preserve">(…)” </w:t>
      </w:r>
      <w:r w:rsidRPr="00E66FD9">
        <w:rPr>
          <w:b/>
          <w:bCs/>
        </w:rPr>
        <w:t>(Sic)</w:t>
      </w:r>
    </w:p>
    <w:p w14:paraId="7B8E04D0" w14:textId="77777777" w:rsidR="002E5A4A" w:rsidRPr="00E66FD9" w:rsidRDefault="002E5A4A" w:rsidP="00566D97">
      <w:pPr>
        <w:spacing w:after="240" w:line="360" w:lineRule="auto"/>
        <w:jc w:val="both"/>
        <w:rPr>
          <w:rFonts w:ascii="Palatino Linotype" w:hAnsi="Palatino Linotype" w:cs="Arial"/>
          <w:color w:val="000000"/>
          <w:sz w:val="24"/>
          <w:lang w:val="es-ES_tradnl"/>
        </w:rPr>
      </w:pPr>
    </w:p>
    <w:p w14:paraId="758DE150" w14:textId="77777777" w:rsidR="002E5A4A" w:rsidRPr="00E66FD9" w:rsidRDefault="002E5A4A" w:rsidP="002E5A4A">
      <w:pPr>
        <w:spacing w:before="240" w:line="360" w:lineRule="auto"/>
        <w:jc w:val="both"/>
        <w:rPr>
          <w:rFonts w:ascii="Palatino Linotype" w:hAnsi="Palatino Linotype"/>
          <w:sz w:val="24"/>
          <w:szCs w:val="24"/>
        </w:rPr>
      </w:pPr>
      <w:r w:rsidRPr="00E66FD9">
        <w:rPr>
          <w:rFonts w:ascii="Palatino Linotype" w:hAnsi="Palatino Linotype"/>
          <w:sz w:val="24"/>
          <w:szCs w:val="24"/>
        </w:rPr>
        <w:t xml:space="preserve">Ahora bien, como fue referido en el apartado relativo a antecedentes, </w:t>
      </w:r>
      <w:r w:rsidRPr="00E66FD9">
        <w:rPr>
          <w:rFonts w:ascii="Palatino Linotype" w:hAnsi="Palatino Linotype"/>
          <w:b/>
          <w:bCs/>
          <w:sz w:val="24"/>
          <w:szCs w:val="24"/>
        </w:rPr>
        <w:t xml:space="preserve">El Sujeto Obligado </w:t>
      </w:r>
      <w:r w:rsidRPr="00E66FD9">
        <w:rPr>
          <w:rFonts w:ascii="Palatino Linotype" w:hAnsi="Palatino Linotype"/>
          <w:sz w:val="24"/>
          <w:szCs w:val="24"/>
        </w:rPr>
        <w:t xml:space="preserve">fue omiso en rendir su informe justificado, es decir, no subsanó la violación al derecho de acceso a la información pública. </w:t>
      </w:r>
    </w:p>
    <w:p w14:paraId="1449E837" w14:textId="270818DA" w:rsidR="002E5A4A" w:rsidRPr="00E66FD9" w:rsidRDefault="002E5A4A" w:rsidP="002E5A4A">
      <w:pPr>
        <w:spacing w:before="240" w:line="360" w:lineRule="auto"/>
        <w:jc w:val="both"/>
        <w:rPr>
          <w:sz w:val="24"/>
          <w:szCs w:val="24"/>
          <w:lang w:val="es-ES_tradnl"/>
        </w:rPr>
      </w:pPr>
      <w:r w:rsidRPr="00E66FD9">
        <w:rPr>
          <w:rFonts w:ascii="Palatino Linotype" w:hAnsi="Palatino Linotype"/>
          <w:sz w:val="24"/>
          <w:szCs w:val="24"/>
          <w:lang w:val="es-ES"/>
        </w:rPr>
        <w:lastRenderedPageBreak/>
        <w:t xml:space="preserve">Siendo las cosas así, con relación al extracto de la solicitud de información relativo a </w:t>
      </w:r>
      <w:r w:rsidRPr="00E66FD9">
        <w:rPr>
          <w:rFonts w:ascii="Palatino Linotype" w:hAnsi="Palatino Linotype" w:cs="Arial"/>
          <w:i/>
          <w:iCs/>
          <w:color w:val="000000"/>
          <w:sz w:val="24"/>
        </w:rPr>
        <w:t xml:space="preserve">“contratados más de dos veces por cada Dirección durante 2022–2025”, </w:t>
      </w:r>
      <w:r w:rsidRPr="00E66FD9">
        <w:rPr>
          <w:rFonts w:ascii="Palatino Linotype" w:hAnsi="Palatino Linotype"/>
          <w:sz w:val="24"/>
          <w:szCs w:val="24"/>
        </w:rPr>
        <w:t xml:space="preserve">resulta óbice señalar que el derecho de acceso a la información excluye </w:t>
      </w:r>
      <w:r w:rsidRPr="00E66FD9">
        <w:rPr>
          <w:rFonts w:ascii="Palatino Linotype" w:hAnsi="Palatino Linotype"/>
          <w:iCs/>
          <w:sz w:val="24"/>
          <w:szCs w:val="24"/>
        </w:rPr>
        <w:t xml:space="preserve">la obligación de generar, documentos, </w:t>
      </w:r>
      <w:r w:rsidRPr="00E66FD9">
        <w:rPr>
          <w:rFonts w:ascii="Palatino Linotype" w:hAnsi="Palatino Linotype"/>
          <w:b/>
          <w:bCs/>
          <w:iCs/>
          <w:sz w:val="24"/>
          <w:szCs w:val="24"/>
          <w:u w:val="single"/>
        </w:rPr>
        <w:t>procesar información</w:t>
      </w:r>
      <w:r w:rsidRPr="00E66FD9">
        <w:rPr>
          <w:rFonts w:ascii="Palatino Linotype" w:hAnsi="Palatino Linotype"/>
          <w:iCs/>
          <w:sz w:val="24"/>
          <w:szCs w:val="24"/>
        </w:rPr>
        <w:t xml:space="preserve"> o incluso generar soportes documentales encauzados a atender la pretensión de los particulares. Robustece lo anterior, el criterio </w:t>
      </w:r>
      <w:r w:rsidRPr="00E66FD9">
        <w:rPr>
          <w:rFonts w:ascii="Palatino Linotype" w:hAnsi="Palatino Linotype" w:cs="Arial"/>
          <w:color w:val="000000"/>
          <w:sz w:val="24"/>
          <w:szCs w:val="24"/>
          <w:lang w:val="es-ES_tradnl"/>
        </w:rPr>
        <w:t xml:space="preserve">03-17, emitido por </w:t>
      </w:r>
      <w:r w:rsidRPr="00E66FD9">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725E4B23" w14:textId="77777777" w:rsidR="002E5A4A" w:rsidRPr="00E66FD9" w:rsidRDefault="002E5A4A" w:rsidP="002E5A4A">
      <w:pPr>
        <w:pStyle w:val="Citas"/>
        <w:rPr>
          <w:b/>
          <w:spacing w:val="18"/>
        </w:rPr>
      </w:pPr>
      <w:r w:rsidRPr="00E66FD9">
        <w:rPr>
          <w:b/>
        </w:rPr>
        <w:t xml:space="preserve">“NO EXISTE OBLIGACIÓN DE ELABORAR </w:t>
      </w:r>
      <w:r w:rsidRPr="00E66FD9">
        <w:rPr>
          <w:b/>
          <w:spacing w:val="-3"/>
        </w:rPr>
        <w:t>D</w:t>
      </w:r>
      <w:r w:rsidRPr="00E66FD9">
        <w:rPr>
          <w:b/>
        </w:rPr>
        <w:t>OCUM</w:t>
      </w:r>
      <w:r w:rsidRPr="00E66FD9">
        <w:rPr>
          <w:b/>
          <w:spacing w:val="1"/>
        </w:rPr>
        <w:t>E</w:t>
      </w:r>
      <w:r w:rsidRPr="00E66FD9">
        <w:rPr>
          <w:b/>
        </w:rPr>
        <w:t>N</w:t>
      </w:r>
      <w:r w:rsidRPr="00E66FD9">
        <w:rPr>
          <w:b/>
          <w:spacing w:val="-1"/>
        </w:rPr>
        <w:t>T</w:t>
      </w:r>
      <w:r w:rsidRPr="00E66FD9">
        <w:rPr>
          <w:b/>
        </w:rPr>
        <w:t>OS</w:t>
      </w:r>
      <w:r w:rsidRPr="00E66FD9">
        <w:rPr>
          <w:b/>
          <w:spacing w:val="14"/>
        </w:rPr>
        <w:t xml:space="preserve"> </w:t>
      </w:r>
      <w:r w:rsidRPr="00E66FD9">
        <w:rPr>
          <w:b/>
          <w:spacing w:val="-1"/>
        </w:rPr>
        <w:t xml:space="preserve">AD </w:t>
      </w:r>
      <w:r w:rsidRPr="00E66FD9">
        <w:rPr>
          <w:b/>
        </w:rPr>
        <w:t>HOC</w:t>
      </w:r>
      <w:r w:rsidRPr="00E66FD9">
        <w:rPr>
          <w:b/>
          <w:spacing w:val="11"/>
        </w:rPr>
        <w:t xml:space="preserve"> </w:t>
      </w:r>
      <w:r w:rsidRPr="00E66FD9">
        <w:rPr>
          <w:b/>
        </w:rPr>
        <w:t>PARA</w:t>
      </w:r>
      <w:r w:rsidRPr="00E66FD9">
        <w:rPr>
          <w:b/>
          <w:spacing w:val="10"/>
        </w:rPr>
        <w:t xml:space="preserve"> </w:t>
      </w:r>
      <w:r w:rsidRPr="00E66FD9">
        <w:rPr>
          <w:b/>
        </w:rPr>
        <w:t>ATENDER LAS SOL</w:t>
      </w:r>
      <w:r w:rsidRPr="00E66FD9">
        <w:rPr>
          <w:b/>
          <w:spacing w:val="-2"/>
        </w:rPr>
        <w:t>I</w:t>
      </w:r>
      <w:r w:rsidRPr="00E66FD9">
        <w:rPr>
          <w:b/>
          <w:spacing w:val="1"/>
        </w:rPr>
        <w:t>C</w:t>
      </w:r>
      <w:r w:rsidRPr="00E66FD9">
        <w:rPr>
          <w:b/>
        </w:rPr>
        <w:t>ITUDES</w:t>
      </w:r>
      <w:r w:rsidRPr="00E66FD9">
        <w:rPr>
          <w:b/>
          <w:spacing w:val="10"/>
        </w:rPr>
        <w:t xml:space="preserve"> </w:t>
      </w:r>
      <w:r w:rsidRPr="00E66FD9">
        <w:rPr>
          <w:b/>
        </w:rPr>
        <w:t>DE</w:t>
      </w:r>
      <w:r w:rsidRPr="00E66FD9">
        <w:rPr>
          <w:b/>
          <w:spacing w:val="9"/>
        </w:rPr>
        <w:t xml:space="preserve"> </w:t>
      </w:r>
      <w:r w:rsidRPr="00E66FD9">
        <w:rPr>
          <w:b/>
          <w:spacing w:val="1"/>
        </w:rPr>
        <w:t>AC</w:t>
      </w:r>
      <w:r w:rsidRPr="00E66FD9">
        <w:rPr>
          <w:b/>
          <w:spacing w:val="-1"/>
        </w:rPr>
        <w:t>C</w:t>
      </w:r>
      <w:r w:rsidRPr="00E66FD9">
        <w:rPr>
          <w:b/>
          <w:spacing w:val="1"/>
        </w:rPr>
        <w:t>ES</w:t>
      </w:r>
      <w:r w:rsidRPr="00E66FD9">
        <w:rPr>
          <w:b/>
        </w:rPr>
        <w:t>O</w:t>
      </w:r>
      <w:r w:rsidRPr="00E66FD9">
        <w:rPr>
          <w:b/>
          <w:spacing w:val="11"/>
        </w:rPr>
        <w:t xml:space="preserve"> </w:t>
      </w:r>
      <w:r w:rsidRPr="00E66FD9">
        <w:rPr>
          <w:b/>
        </w:rPr>
        <w:t>A</w:t>
      </w:r>
      <w:r w:rsidRPr="00E66FD9">
        <w:rPr>
          <w:b/>
          <w:spacing w:val="9"/>
        </w:rPr>
        <w:t xml:space="preserve"> </w:t>
      </w:r>
      <w:r w:rsidRPr="00E66FD9">
        <w:rPr>
          <w:b/>
        </w:rPr>
        <w:t>LA</w:t>
      </w:r>
      <w:r w:rsidRPr="00E66FD9">
        <w:rPr>
          <w:b/>
          <w:spacing w:val="10"/>
        </w:rPr>
        <w:t xml:space="preserve"> </w:t>
      </w:r>
      <w:r w:rsidRPr="00E66FD9">
        <w:rPr>
          <w:b/>
        </w:rPr>
        <w:t>INFORMA</w:t>
      </w:r>
      <w:r w:rsidRPr="00E66FD9">
        <w:rPr>
          <w:b/>
          <w:spacing w:val="1"/>
        </w:rPr>
        <w:t>C</w:t>
      </w:r>
      <w:r w:rsidRPr="00E66FD9">
        <w:rPr>
          <w:b/>
        </w:rPr>
        <w:t>IÓ</w:t>
      </w:r>
      <w:r w:rsidRPr="00E66FD9">
        <w:rPr>
          <w:b/>
          <w:spacing w:val="-2"/>
        </w:rPr>
        <w:t>N</w:t>
      </w:r>
      <w:r w:rsidRPr="00E66FD9">
        <w:rPr>
          <w:b/>
        </w:rPr>
        <w:t>.</w:t>
      </w:r>
      <w:r w:rsidRPr="00E66FD9">
        <w:rPr>
          <w:b/>
          <w:spacing w:val="18"/>
        </w:rPr>
        <w:t xml:space="preserve"> </w:t>
      </w:r>
    </w:p>
    <w:p w14:paraId="267570A8" w14:textId="77777777" w:rsidR="002E5A4A" w:rsidRPr="00E66FD9" w:rsidRDefault="002E5A4A" w:rsidP="002E5A4A">
      <w:pPr>
        <w:pStyle w:val="Citas"/>
      </w:pPr>
      <w:r w:rsidRPr="00E66FD9">
        <w:rPr>
          <w:spacing w:val="18"/>
        </w:rPr>
        <w:t>L</w:t>
      </w:r>
      <w:r w:rsidRPr="00E66FD9">
        <w:rPr>
          <w:spacing w:val="-1"/>
        </w:rPr>
        <w:t xml:space="preserve">os </w:t>
      </w:r>
      <w:r w:rsidRPr="00E66FD9">
        <w:rPr>
          <w:spacing w:val="1"/>
        </w:rPr>
        <w:t>a</w:t>
      </w:r>
      <w:r w:rsidRPr="00E66FD9">
        <w:t>rt</w:t>
      </w:r>
      <w:r w:rsidRPr="00E66FD9">
        <w:rPr>
          <w:spacing w:val="-2"/>
        </w:rPr>
        <w:t>í</w:t>
      </w:r>
      <w:r w:rsidRPr="00E66FD9">
        <w:t>c</w:t>
      </w:r>
      <w:r w:rsidRPr="00E66FD9">
        <w:rPr>
          <w:spacing w:val="1"/>
        </w:rPr>
        <w:t>u</w:t>
      </w:r>
      <w:r w:rsidRPr="00E66FD9">
        <w:t>los</w:t>
      </w:r>
      <w:r w:rsidRPr="00E66FD9">
        <w:rPr>
          <w:spacing w:val="8"/>
        </w:rPr>
        <w:t xml:space="preserve"> 129 </w:t>
      </w:r>
      <w:r w:rsidRPr="00E66FD9">
        <w:rPr>
          <w:spacing w:val="1"/>
        </w:rPr>
        <w:t>d</w:t>
      </w:r>
      <w:r w:rsidRPr="00E66FD9">
        <w:t>e</w:t>
      </w:r>
      <w:r w:rsidRPr="00E66FD9">
        <w:rPr>
          <w:spacing w:val="9"/>
        </w:rPr>
        <w:t xml:space="preserve"> </w:t>
      </w:r>
      <w:r w:rsidRPr="00E66FD9">
        <w:t>la</w:t>
      </w:r>
      <w:r w:rsidRPr="00E66FD9">
        <w:rPr>
          <w:spacing w:val="10"/>
        </w:rPr>
        <w:t xml:space="preserve"> </w:t>
      </w:r>
      <w:r w:rsidRPr="00E66FD9">
        <w:rPr>
          <w:spacing w:val="-1"/>
        </w:rPr>
        <w:t>L</w:t>
      </w:r>
      <w:r w:rsidRPr="00E66FD9">
        <w:rPr>
          <w:spacing w:val="1"/>
        </w:rPr>
        <w:t>e</w:t>
      </w:r>
      <w:r w:rsidRPr="00E66FD9">
        <w:t>y</w:t>
      </w:r>
      <w:r w:rsidRPr="00E66FD9">
        <w:rPr>
          <w:spacing w:val="8"/>
        </w:rPr>
        <w:t xml:space="preserve"> </w:t>
      </w:r>
      <w:r w:rsidRPr="00E66FD9">
        <w:t>General</w:t>
      </w:r>
      <w:r w:rsidRPr="00E66FD9">
        <w:rPr>
          <w:spacing w:val="10"/>
        </w:rPr>
        <w:t xml:space="preserve"> </w:t>
      </w:r>
      <w:r w:rsidRPr="00E66FD9">
        <w:rPr>
          <w:spacing w:val="-1"/>
        </w:rPr>
        <w:t>d</w:t>
      </w:r>
      <w:r w:rsidRPr="00E66FD9">
        <w:t>e</w:t>
      </w:r>
      <w:r w:rsidRPr="00E66FD9">
        <w:rPr>
          <w:spacing w:val="9"/>
        </w:rPr>
        <w:t xml:space="preserve"> </w:t>
      </w:r>
      <w:r w:rsidRPr="00E66FD9">
        <w:rPr>
          <w:spacing w:val="2"/>
        </w:rPr>
        <w:t>T</w:t>
      </w:r>
      <w:r w:rsidRPr="00E66FD9">
        <w:t>r</w:t>
      </w:r>
      <w:r w:rsidRPr="00E66FD9">
        <w:rPr>
          <w:spacing w:val="-2"/>
        </w:rPr>
        <w:t>a</w:t>
      </w:r>
      <w:r w:rsidRPr="00E66FD9">
        <w:rPr>
          <w:spacing w:val="1"/>
        </w:rPr>
        <w:t>n</w:t>
      </w:r>
      <w:r w:rsidRPr="00E66FD9">
        <w:t>s</w:t>
      </w:r>
      <w:r w:rsidRPr="00E66FD9">
        <w:rPr>
          <w:spacing w:val="1"/>
        </w:rPr>
        <w:t>pa</w:t>
      </w:r>
      <w:r w:rsidRPr="00E66FD9">
        <w:t>r</w:t>
      </w:r>
      <w:r w:rsidRPr="00E66FD9">
        <w:rPr>
          <w:spacing w:val="-2"/>
        </w:rPr>
        <w:t>e</w:t>
      </w:r>
      <w:r w:rsidRPr="00E66FD9">
        <w:rPr>
          <w:spacing w:val="1"/>
        </w:rPr>
        <w:t>n</w:t>
      </w:r>
      <w:r w:rsidRPr="00E66FD9">
        <w:t>cia y Acc</w:t>
      </w:r>
      <w:r w:rsidRPr="00E66FD9">
        <w:rPr>
          <w:spacing w:val="1"/>
        </w:rPr>
        <w:t>e</w:t>
      </w:r>
      <w:r w:rsidRPr="00E66FD9">
        <w:t>so</w:t>
      </w:r>
      <w:r w:rsidRPr="00E66FD9">
        <w:rPr>
          <w:spacing w:val="3"/>
        </w:rPr>
        <w:t xml:space="preserve"> </w:t>
      </w:r>
      <w:r w:rsidRPr="00E66FD9">
        <w:t>a</w:t>
      </w:r>
      <w:r w:rsidRPr="00E66FD9">
        <w:rPr>
          <w:spacing w:val="1"/>
        </w:rPr>
        <w:t xml:space="preserve"> </w:t>
      </w:r>
      <w:r w:rsidRPr="00E66FD9">
        <w:t>la I</w:t>
      </w:r>
      <w:r w:rsidRPr="00E66FD9">
        <w:rPr>
          <w:spacing w:val="-1"/>
        </w:rPr>
        <w:t>n</w:t>
      </w:r>
      <w:r w:rsidRPr="00E66FD9">
        <w:t>f</w:t>
      </w:r>
      <w:r w:rsidRPr="00E66FD9">
        <w:rPr>
          <w:spacing w:val="1"/>
        </w:rPr>
        <w:t>o</w:t>
      </w:r>
      <w:r w:rsidRPr="00E66FD9">
        <w:rPr>
          <w:spacing w:val="-3"/>
        </w:rPr>
        <w:t>r</w:t>
      </w:r>
      <w:r w:rsidRPr="00E66FD9">
        <w:rPr>
          <w:spacing w:val="1"/>
        </w:rPr>
        <w:t>ma</w:t>
      </w:r>
      <w:r w:rsidRPr="00E66FD9">
        <w:t>ci</w:t>
      </w:r>
      <w:r w:rsidRPr="00E66FD9">
        <w:rPr>
          <w:spacing w:val="-2"/>
        </w:rPr>
        <w:t>ó</w:t>
      </w:r>
      <w:r w:rsidRPr="00E66FD9">
        <w:t>n</w:t>
      </w:r>
      <w:r w:rsidRPr="00E66FD9">
        <w:rPr>
          <w:spacing w:val="6"/>
        </w:rPr>
        <w:t xml:space="preserve"> </w:t>
      </w:r>
      <w:r w:rsidRPr="00E66FD9">
        <w:rPr>
          <w:spacing w:val="-2"/>
        </w:rPr>
        <w:t>P</w:t>
      </w:r>
      <w:r w:rsidRPr="00E66FD9">
        <w:rPr>
          <w:spacing w:val="1"/>
        </w:rPr>
        <w:t>úb</w:t>
      </w:r>
      <w:r w:rsidRPr="00E66FD9">
        <w:t>l</w:t>
      </w:r>
      <w:r w:rsidRPr="00E66FD9">
        <w:rPr>
          <w:spacing w:val="-1"/>
        </w:rPr>
        <w:t>i</w:t>
      </w:r>
      <w:r w:rsidRPr="00E66FD9">
        <w:t xml:space="preserve">ca y </w:t>
      </w:r>
      <w:r w:rsidRPr="00E66FD9">
        <w:rPr>
          <w:spacing w:val="8"/>
        </w:rPr>
        <w:t xml:space="preserve">130, párrafo cuarto, </w:t>
      </w:r>
      <w:r w:rsidRPr="00E66FD9">
        <w:rPr>
          <w:spacing w:val="1"/>
        </w:rPr>
        <w:t>d</w:t>
      </w:r>
      <w:r w:rsidRPr="00E66FD9">
        <w:t>e</w:t>
      </w:r>
      <w:r w:rsidRPr="00E66FD9">
        <w:rPr>
          <w:spacing w:val="9"/>
        </w:rPr>
        <w:t xml:space="preserve"> </w:t>
      </w:r>
      <w:r w:rsidRPr="00E66FD9">
        <w:t>la</w:t>
      </w:r>
      <w:r w:rsidRPr="00E66FD9">
        <w:rPr>
          <w:spacing w:val="10"/>
        </w:rPr>
        <w:t xml:space="preserve"> </w:t>
      </w:r>
      <w:r w:rsidRPr="00E66FD9">
        <w:rPr>
          <w:spacing w:val="-1"/>
        </w:rPr>
        <w:t>L</w:t>
      </w:r>
      <w:r w:rsidRPr="00E66FD9">
        <w:rPr>
          <w:spacing w:val="1"/>
        </w:rPr>
        <w:t>e</w:t>
      </w:r>
      <w:r w:rsidRPr="00E66FD9">
        <w:t>y</w:t>
      </w:r>
      <w:r w:rsidRPr="00E66FD9">
        <w:rPr>
          <w:spacing w:val="8"/>
        </w:rPr>
        <w:t xml:space="preserve"> </w:t>
      </w:r>
      <w:r w:rsidRPr="00E66FD9">
        <w:t>Fe</w:t>
      </w:r>
      <w:r w:rsidRPr="00E66FD9">
        <w:rPr>
          <w:spacing w:val="1"/>
        </w:rPr>
        <w:t>de</w:t>
      </w:r>
      <w:r w:rsidRPr="00E66FD9">
        <w:t>ral</w:t>
      </w:r>
      <w:r w:rsidRPr="00E66FD9">
        <w:rPr>
          <w:spacing w:val="10"/>
        </w:rPr>
        <w:t xml:space="preserve"> </w:t>
      </w:r>
      <w:r w:rsidRPr="00E66FD9">
        <w:rPr>
          <w:spacing w:val="-1"/>
        </w:rPr>
        <w:t>d</w:t>
      </w:r>
      <w:r w:rsidRPr="00E66FD9">
        <w:t>e</w:t>
      </w:r>
      <w:r w:rsidRPr="00E66FD9">
        <w:rPr>
          <w:spacing w:val="9"/>
        </w:rPr>
        <w:t xml:space="preserve"> </w:t>
      </w:r>
      <w:r w:rsidRPr="00E66FD9">
        <w:rPr>
          <w:spacing w:val="2"/>
        </w:rPr>
        <w:t>T</w:t>
      </w:r>
      <w:r w:rsidRPr="00E66FD9">
        <w:t>r</w:t>
      </w:r>
      <w:r w:rsidRPr="00E66FD9">
        <w:rPr>
          <w:spacing w:val="-2"/>
        </w:rPr>
        <w:t>a</w:t>
      </w:r>
      <w:r w:rsidRPr="00E66FD9">
        <w:rPr>
          <w:spacing w:val="1"/>
        </w:rPr>
        <w:t>n</w:t>
      </w:r>
      <w:r w:rsidRPr="00E66FD9">
        <w:t>s</w:t>
      </w:r>
      <w:r w:rsidRPr="00E66FD9">
        <w:rPr>
          <w:spacing w:val="1"/>
        </w:rPr>
        <w:t>pa</w:t>
      </w:r>
      <w:r w:rsidRPr="00E66FD9">
        <w:t>r</w:t>
      </w:r>
      <w:r w:rsidRPr="00E66FD9">
        <w:rPr>
          <w:spacing w:val="-2"/>
        </w:rPr>
        <w:t>e</w:t>
      </w:r>
      <w:r w:rsidRPr="00E66FD9">
        <w:rPr>
          <w:spacing w:val="1"/>
        </w:rPr>
        <w:t>n</w:t>
      </w:r>
      <w:r w:rsidRPr="00E66FD9">
        <w:t>cia y Acc</w:t>
      </w:r>
      <w:r w:rsidRPr="00E66FD9">
        <w:rPr>
          <w:spacing w:val="1"/>
        </w:rPr>
        <w:t>e</w:t>
      </w:r>
      <w:r w:rsidRPr="00E66FD9">
        <w:t>so</w:t>
      </w:r>
      <w:r w:rsidRPr="00E66FD9">
        <w:rPr>
          <w:spacing w:val="3"/>
        </w:rPr>
        <w:t xml:space="preserve"> </w:t>
      </w:r>
      <w:r w:rsidRPr="00E66FD9">
        <w:t>a</w:t>
      </w:r>
      <w:r w:rsidRPr="00E66FD9">
        <w:rPr>
          <w:spacing w:val="1"/>
        </w:rPr>
        <w:t xml:space="preserve"> </w:t>
      </w:r>
      <w:r w:rsidRPr="00E66FD9">
        <w:t>la I</w:t>
      </w:r>
      <w:r w:rsidRPr="00E66FD9">
        <w:rPr>
          <w:spacing w:val="-1"/>
        </w:rPr>
        <w:t>n</w:t>
      </w:r>
      <w:r w:rsidRPr="00E66FD9">
        <w:t>f</w:t>
      </w:r>
      <w:r w:rsidRPr="00E66FD9">
        <w:rPr>
          <w:spacing w:val="1"/>
        </w:rPr>
        <w:t>o</w:t>
      </w:r>
      <w:r w:rsidRPr="00E66FD9">
        <w:rPr>
          <w:spacing w:val="-3"/>
        </w:rPr>
        <w:t>r</w:t>
      </w:r>
      <w:r w:rsidRPr="00E66FD9">
        <w:rPr>
          <w:spacing w:val="1"/>
        </w:rPr>
        <w:t>ma</w:t>
      </w:r>
      <w:r w:rsidRPr="00E66FD9">
        <w:t>ci</w:t>
      </w:r>
      <w:r w:rsidRPr="00E66FD9">
        <w:rPr>
          <w:spacing w:val="-2"/>
        </w:rPr>
        <w:t>ó</w:t>
      </w:r>
      <w:r w:rsidRPr="00E66FD9">
        <w:t>n</w:t>
      </w:r>
      <w:r w:rsidRPr="00E66FD9">
        <w:rPr>
          <w:spacing w:val="6"/>
        </w:rPr>
        <w:t xml:space="preserve"> </w:t>
      </w:r>
      <w:r w:rsidRPr="00E66FD9">
        <w:rPr>
          <w:spacing w:val="-2"/>
        </w:rPr>
        <w:t>P</w:t>
      </w:r>
      <w:r w:rsidRPr="00E66FD9">
        <w:rPr>
          <w:spacing w:val="1"/>
        </w:rPr>
        <w:t>úb</w:t>
      </w:r>
      <w:r w:rsidRPr="00E66FD9">
        <w:t>l</w:t>
      </w:r>
      <w:r w:rsidRPr="00E66FD9">
        <w:rPr>
          <w:spacing w:val="-1"/>
        </w:rPr>
        <w:t>i</w:t>
      </w:r>
      <w:r w:rsidRPr="00E66FD9">
        <w:t xml:space="preserve">ca, </w:t>
      </w:r>
      <w:r w:rsidRPr="00E66FD9">
        <w:rPr>
          <w:spacing w:val="-1"/>
        </w:rPr>
        <w:t>señalan</w:t>
      </w:r>
      <w:r w:rsidRPr="00E66FD9">
        <w:rPr>
          <w:spacing w:val="1"/>
        </w:rPr>
        <w:t xml:space="preserve"> </w:t>
      </w:r>
      <w:r w:rsidRPr="00E66FD9">
        <w:rPr>
          <w:spacing w:val="-1"/>
        </w:rPr>
        <w:t>q</w:t>
      </w:r>
      <w:r w:rsidRPr="00E66FD9">
        <w:rPr>
          <w:spacing w:val="1"/>
        </w:rPr>
        <w:t>u</w:t>
      </w:r>
      <w:r w:rsidRPr="00E66FD9">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E66FD9">
        <w:rPr>
          <w:spacing w:val="-1"/>
        </w:rPr>
        <w:t xml:space="preserve"> sin necesidad de</w:t>
      </w:r>
      <w:r w:rsidRPr="00E66FD9">
        <w:rPr>
          <w:spacing w:val="1"/>
        </w:rPr>
        <w:t xml:space="preserve"> e</w:t>
      </w:r>
      <w:r w:rsidRPr="00E66FD9">
        <w:t>la</w:t>
      </w:r>
      <w:r w:rsidRPr="00E66FD9">
        <w:rPr>
          <w:spacing w:val="1"/>
        </w:rPr>
        <w:t>bo</w:t>
      </w:r>
      <w:r w:rsidRPr="00E66FD9">
        <w:t xml:space="preserve">rar </w:t>
      </w:r>
      <w:r w:rsidRPr="00E66FD9">
        <w:rPr>
          <w:spacing w:val="1"/>
        </w:rPr>
        <w:t>do</w:t>
      </w:r>
      <w:r w:rsidRPr="00E66FD9">
        <w:rPr>
          <w:spacing w:val="-2"/>
        </w:rPr>
        <w:t>c</w:t>
      </w:r>
      <w:r w:rsidRPr="00E66FD9">
        <w:rPr>
          <w:spacing w:val="1"/>
        </w:rPr>
        <w:t>u</w:t>
      </w:r>
      <w:r w:rsidRPr="00E66FD9">
        <w:rPr>
          <w:spacing w:val="-1"/>
        </w:rPr>
        <w:t>m</w:t>
      </w:r>
      <w:r w:rsidRPr="00E66FD9">
        <w:rPr>
          <w:spacing w:val="1"/>
        </w:rPr>
        <w:t>en</w:t>
      </w:r>
      <w:r w:rsidRPr="00E66FD9">
        <w:rPr>
          <w:spacing w:val="-2"/>
        </w:rPr>
        <w:t>t</w:t>
      </w:r>
      <w:r w:rsidRPr="00E66FD9">
        <w:rPr>
          <w:spacing w:val="1"/>
        </w:rPr>
        <w:t>o</w:t>
      </w:r>
      <w:r w:rsidRPr="00E66FD9">
        <w:t>s</w:t>
      </w:r>
      <w:r w:rsidRPr="00E66FD9">
        <w:rPr>
          <w:spacing w:val="3"/>
        </w:rPr>
        <w:t xml:space="preserve"> </w:t>
      </w:r>
      <w:r w:rsidRPr="00E66FD9">
        <w:rPr>
          <w:spacing w:val="1"/>
        </w:rPr>
        <w:t>a</w:t>
      </w:r>
      <w:r w:rsidRPr="00E66FD9">
        <w:t>d</w:t>
      </w:r>
      <w:r w:rsidRPr="00E66FD9">
        <w:rPr>
          <w:spacing w:val="1"/>
        </w:rPr>
        <w:t xml:space="preserve"> ho</w:t>
      </w:r>
      <w:r w:rsidRPr="00E66FD9">
        <w:t>c</w:t>
      </w:r>
      <w:r w:rsidRPr="00E66FD9">
        <w:rPr>
          <w:spacing w:val="2"/>
        </w:rPr>
        <w:t xml:space="preserve"> </w:t>
      </w:r>
      <w:r w:rsidRPr="00E66FD9">
        <w:rPr>
          <w:spacing w:val="1"/>
        </w:rPr>
        <w:t>pa</w:t>
      </w:r>
      <w:r w:rsidRPr="00E66FD9">
        <w:t xml:space="preserve">ra </w:t>
      </w:r>
      <w:r w:rsidRPr="00E66FD9">
        <w:rPr>
          <w:spacing w:val="1"/>
        </w:rPr>
        <w:t>a</w:t>
      </w:r>
      <w:r w:rsidRPr="00E66FD9">
        <w:t>t</w:t>
      </w:r>
      <w:r w:rsidRPr="00E66FD9">
        <w:rPr>
          <w:spacing w:val="-1"/>
        </w:rPr>
        <w:t>e</w:t>
      </w:r>
      <w:r w:rsidRPr="00E66FD9">
        <w:rPr>
          <w:spacing w:val="1"/>
        </w:rPr>
        <w:t>n</w:t>
      </w:r>
      <w:r w:rsidRPr="00E66FD9">
        <w:rPr>
          <w:spacing w:val="-1"/>
        </w:rPr>
        <w:t>d</w:t>
      </w:r>
      <w:r w:rsidRPr="00E66FD9">
        <w:rPr>
          <w:spacing w:val="1"/>
        </w:rPr>
        <w:t>e</w:t>
      </w:r>
      <w:r w:rsidRPr="00E66FD9">
        <w:t>r</w:t>
      </w:r>
      <w:r w:rsidRPr="00E66FD9">
        <w:rPr>
          <w:spacing w:val="2"/>
        </w:rPr>
        <w:t xml:space="preserve"> </w:t>
      </w:r>
      <w:r w:rsidRPr="00E66FD9">
        <w:t>l</w:t>
      </w:r>
      <w:r w:rsidRPr="00E66FD9">
        <w:rPr>
          <w:spacing w:val="-2"/>
        </w:rPr>
        <w:t>a</w:t>
      </w:r>
      <w:r w:rsidRPr="00E66FD9">
        <w:t>s</w:t>
      </w:r>
      <w:r w:rsidRPr="00E66FD9">
        <w:rPr>
          <w:spacing w:val="2"/>
        </w:rPr>
        <w:t xml:space="preserve"> </w:t>
      </w:r>
      <w:r w:rsidRPr="00E66FD9">
        <w:t>s</w:t>
      </w:r>
      <w:r w:rsidRPr="00E66FD9">
        <w:rPr>
          <w:spacing w:val="1"/>
        </w:rPr>
        <w:t>o</w:t>
      </w:r>
      <w:r w:rsidRPr="00E66FD9">
        <w:t>l</w:t>
      </w:r>
      <w:r w:rsidRPr="00E66FD9">
        <w:rPr>
          <w:spacing w:val="-1"/>
        </w:rPr>
        <w:t>i</w:t>
      </w:r>
      <w:r w:rsidRPr="00E66FD9">
        <w:t>cit</w:t>
      </w:r>
      <w:r w:rsidRPr="00E66FD9">
        <w:rPr>
          <w:spacing w:val="1"/>
        </w:rPr>
        <w:t>ude</w:t>
      </w:r>
      <w:r w:rsidRPr="00E66FD9">
        <w:t>s</w:t>
      </w:r>
      <w:r w:rsidRPr="00E66FD9">
        <w:rPr>
          <w:spacing w:val="4"/>
        </w:rPr>
        <w:t xml:space="preserve"> </w:t>
      </w:r>
      <w:r w:rsidRPr="00E66FD9">
        <w:rPr>
          <w:spacing w:val="-1"/>
        </w:rPr>
        <w:t>d</w:t>
      </w:r>
      <w:r w:rsidRPr="00E66FD9">
        <w:t>e</w:t>
      </w:r>
      <w:r w:rsidRPr="00E66FD9">
        <w:rPr>
          <w:spacing w:val="3"/>
        </w:rPr>
        <w:t xml:space="preserve"> </w:t>
      </w:r>
      <w:r w:rsidRPr="00E66FD9">
        <w:t>i</w:t>
      </w:r>
      <w:r w:rsidRPr="00E66FD9">
        <w:rPr>
          <w:spacing w:val="-2"/>
        </w:rPr>
        <w:t>n</w:t>
      </w:r>
      <w:r w:rsidRPr="00E66FD9">
        <w:t>f</w:t>
      </w:r>
      <w:r w:rsidRPr="00E66FD9">
        <w:rPr>
          <w:spacing w:val="1"/>
        </w:rPr>
        <w:t>o</w:t>
      </w:r>
      <w:r w:rsidRPr="00E66FD9">
        <w:t>r</w:t>
      </w:r>
      <w:r w:rsidRPr="00E66FD9">
        <w:rPr>
          <w:spacing w:val="-1"/>
        </w:rPr>
        <w:t>m</w:t>
      </w:r>
      <w:r w:rsidRPr="00E66FD9">
        <w:rPr>
          <w:spacing w:val="1"/>
        </w:rPr>
        <w:t>a</w:t>
      </w:r>
      <w:r w:rsidRPr="00E66FD9">
        <w:t>ció</w:t>
      </w:r>
      <w:r w:rsidRPr="00E66FD9">
        <w:rPr>
          <w:spacing w:val="1"/>
        </w:rPr>
        <w:t>n</w:t>
      </w:r>
      <w:r w:rsidRPr="00E66FD9">
        <w:t>.</w:t>
      </w:r>
    </w:p>
    <w:p w14:paraId="026FA916" w14:textId="77777777" w:rsidR="002E5A4A" w:rsidRPr="00E66FD9" w:rsidRDefault="002E5A4A" w:rsidP="002E5A4A">
      <w:pPr>
        <w:pStyle w:val="Citas"/>
        <w:rPr>
          <w:b/>
        </w:rPr>
      </w:pPr>
      <w:r w:rsidRPr="00E66FD9">
        <w:rPr>
          <w:b/>
        </w:rPr>
        <w:t>Resoluciones:</w:t>
      </w:r>
    </w:p>
    <w:p w14:paraId="10B6727C" w14:textId="77777777" w:rsidR="002E5A4A" w:rsidRPr="00E66FD9" w:rsidRDefault="002E5A4A" w:rsidP="002E5A4A">
      <w:pPr>
        <w:pStyle w:val="Citas"/>
      </w:pPr>
      <w:r w:rsidRPr="00E66FD9">
        <w:rPr>
          <w:b/>
        </w:rPr>
        <w:t>RRA 0050/16.</w:t>
      </w:r>
      <w:r w:rsidRPr="00E66FD9">
        <w:t xml:space="preserve"> Instituto Nacional para la Evaluación de la Educación. 13 julio de 2016. Por unanimidad. Comisionado Ponente: Francisco Javier Acuña Llamas.</w:t>
      </w:r>
    </w:p>
    <w:p w14:paraId="4252A916" w14:textId="77777777" w:rsidR="002E5A4A" w:rsidRPr="00E66FD9" w:rsidRDefault="002E5A4A" w:rsidP="002E5A4A">
      <w:pPr>
        <w:pStyle w:val="Citas"/>
        <w:rPr>
          <w:rFonts w:ascii="Times New Roman" w:hAnsi="Times New Roman" w:cs="Times New Roman"/>
        </w:rPr>
      </w:pPr>
      <w:r w:rsidRPr="00E66FD9">
        <w:rPr>
          <w:b/>
        </w:rPr>
        <w:lastRenderedPageBreak/>
        <w:t xml:space="preserve">RRA 0310/16. </w:t>
      </w:r>
      <w:r w:rsidRPr="00E66FD9">
        <w:t>Instituto Nacional de Transparencia, Acceso a la Información y Protección de Datos Personales. 10 de agosto de 2016. Por unanimidad. Comisionada Ponente. Areli Cano Guadiana.</w:t>
      </w:r>
    </w:p>
    <w:p w14:paraId="782D77A5" w14:textId="77777777" w:rsidR="002E5A4A" w:rsidRPr="00E66FD9" w:rsidRDefault="002E5A4A" w:rsidP="002E5A4A">
      <w:pPr>
        <w:pStyle w:val="Citas"/>
        <w:rPr>
          <w:b/>
        </w:rPr>
      </w:pPr>
      <w:r w:rsidRPr="00E66FD9">
        <w:rPr>
          <w:b/>
        </w:rPr>
        <w:t xml:space="preserve">RRA 1889/16. </w:t>
      </w:r>
      <w:r w:rsidRPr="00E66FD9">
        <w:t xml:space="preserve">Secretaría de Hacienda y Crédito Público. 05 de octubre de 2016. Por unanimidad. Comisionada Ponente. Ximena Puente de la Mora” </w:t>
      </w:r>
      <w:r w:rsidRPr="00E66FD9">
        <w:rPr>
          <w:b/>
        </w:rPr>
        <w:t>[Sic]</w:t>
      </w:r>
    </w:p>
    <w:p w14:paraId="6992FF36" w14:textId="77777777" w:rsidR="002E5A4A" w:rsidRPr="00E66FD9" w:rsidRDefault="002E5A4A" w:rsidP="002E5A4A">
      <w:pPr>
        <w:spacing w:before="240" w:line="360" w:lineRule="auto"/>
        <w:jc w:val="both"/>
        <w:rPr>
          <w:rFonts w:ascii="Palatino Linotype" w:hAnsi="Palatino Linotype"/>
          <w:sz w:val="24"/>
          <w:szCs w:val="24"/>
        </w:rPr>
      </w:pPr>
    </w:p>
    <w:p w14:paraId="7C651F0C" w14:textId="4755B832" w:rsidR="002E5A4A" w:rsidRPr="00E66FD9" w:rsidRDefault="002E5A4A" w:rsidP="002E5A4A">
      <w:pPr>
        <w:spacing w:before="240" w:line="360" w:lineRule="auto"/>
        <w:jc w:val="both"/>
        <w:rPr>
          <w:rFonts w:ascii="Palatino Linotype" w:hAnsi="Palatino Linotype"/>
          <w:sz w:val="24"/>
          <w:szCs w:val="24"/>
        </w:rPr>
      </w:pPr>
      <w:r w:rsidRPr="00E66FD9">
        <w:rPr>
          <w:rFonts w:ascii="Palatino Linotype" w:hAnsi="Palatino Linotype"/>
          <w:sz w:val="24"/>
          <w:szCs w:val="24"/>
        </w:rPr>
        <w:t>Resultando procedente ordenar una búsqueda exhaustiva y razonable, a efecto de hacer entrega de la siguiente información:</w:t>
      </w:r>
    </w:p>
    <w:p w14:paraId="0AC0E835" w14:textId="352813CF" w:rsidR="002E5A4A" w:rsidRPr="00E66FD9" w:rsidRDefault="002E5A4A" w:rsidP="002E5A4A">
      <w:pPr>
        <w:pStyle w:val="Prrafodelista"/>
        <w:numPr>
          <w:ilvl w:val="0"/>
          <w:numId w:val="26"/>
        </w:numPr>
        <w:autoSpaceDE w:val="0"/>
        <w:autoSpaceDN w:val="0"/>
        <w:adjustRightInd w:val="0"/>
        <w:spacing w:before="240" w:after="160" w:line="360" w:lineRule="auto"/>
        <w:jc w:val="both"/>
        <w:rPr>
          <w:rFonts w:ascii="Palatino Linotype" w:hAnsi="Palatino Linotype" w:cs="Arial"/>
          <w:b/>
          <w:sz w:val="28"/>
          <w:lang w:val="es-MX"/>
        </w:rPr>
      </w:pPr>
      <w:r w:rsidRPr="00E66FD9">
        <w:rPr>
          <w:rFonts w:ascii="Palatino Linotype" w:hAnsi="Palatino Linotype" w:cs="Arial"/>
          <w:bCs/>
          <w:lang w:val="es-MX"/>
        </w:rPr>
        <w:t xml:space="preserve">El o los documentos donde conste el listado de todos los proveedores </w:t>
      </w:r>
      <w:r w:rsidR="00E748AE" w:rsidRPr="00E66FD9">
        <w:rPr>
          <w:rFonts w:ascii="Palatino Linotype" w:hAnsi="Palatino Linotype" w:cs="Arial"/>
          <w:bCs/>
          <w:lang w:val="es-MX"/>
        </w:rPr>
        <w:t>contratados,</w:t>
      </w:r>
      <w:r w:rsidRPr="00E66FD9">
        <w:rPr>
          <w:rFonts w:ascii="Palatino Linotype" w:hAnsi="Palatino Linotype" w:cs="Arial"/>
          <w:bCs/>
          <w:lang w:val="es-MX"/>
        </w:rPr>
        <w:t xml:space="preserve"> así como el monto total pagado, concepto del gasto, contrato, justificación de adjudicación directa o equivalente, evidencia de entrega de bienes o servicios, del periodo comprendido del uno de enero de dos mil veintidós al dos de diciembre de dos mil veinticinco. </w:t>
      </w:r>
    </w:p>
    <w:p w14:paraId="07F2DACF" w14:textId="77777777" w:rsidR="002E5A4A" w:rsidRPr="00E66FD9" w:rsidRDefault="002E5A4A" w:rsidP="002E5A4A">
      <w:pPr>
        <w:pStyle w:val="Prrafodelista"/>
        <w:autoSpaceDE w:val="0"/>
        <w:autoSpaceDN w:val="0"/>
        <w:adjustRightInd w:val="0"/>
        <w:spacing w:before="240" w:line="360" w:lineRule="auto"/>
        <w:ind w:left="720"/>
        <w:jc w:val="both"/>
        <w:rPr>
          <w:rFonts w:ascii="Palatino Linotype" w:hAnsi="Palatino Linotype" w:cs="Arial"/>
          <w:b/>
          <w:sz w:val="28"/>
          <w:lang w:val="es-MX"/>
        </w:rPr>
      </w:pPr>
    </w:p>
    <w:p w14:paraId="52ECF490" w14:textId="77777777" w:rsidR="002E5A4A" w:rsidRPr="00E66FD9" w:rsidRDefault="002E5A4A" w:rsidP="00566D97">
      <w:pPr>
        <w:spacing w:after="240" w:line="360" w:lineRule="auto"/>
        <w:jc w:val="both"/>
        <w:rPr>
          <w:rFonts w:ascii="Palatino Linotype" w:hAnsi="Palatino Linotype" w:cs="Arial"/>
          <w:color w:val="000000"/>
          <w:sz w:val="24"/>
          <w:lang w:val="es-ES_tradnl"/>
        </w:rPr>
      </w:pPr>
      <w:r w:rsidRPr="00E66FD9">
        <w:rPr>
          <w:rFonts w:ascii="Palatino Linotype" w:hAnsi="Palatino Linotype" w:cs="Arial"/>
          <w:color w:val="000000"/>
          <w:sz w:val="24"/>
          <w:lang w:val="es-ES_tradnl"/>
        </w:rPr>
        <w:t xml:space="preserve">Lo anterior, a efecto de que la particular cuente con todos los elementos y condiciones a efecto de arribar a las inferencias estimadas pertinentes. </w:t>
      </w:r>
    </w:p>
    <w:p w14:paraId="3E53D362" w14:textId="52695D26" w:rsidR="002E5A4A" w:rsidRPr="00E66FD9" w:rsidRDefault="002E5A4A" w:rsidP="00566D97">
      <w:pPr>
        <w:spacing w:after="240" w:line="360" w:lineRule="auto"/>
        <w:jc w:val="both"/>
        <w:rPr>
          <w:rFonts w:ascii="Palatino Linotype" w:hAnsi="Palatino Linotype"/>
        </w:rPr>
      </w:pPr>
      <w:r w:rsidRPr="00E66FD9">
        <w:rPr>
          <w:rFonts w:ascii="Palatino Linotype" w:hAnsi="Palatino Linotype" w:cs="Arial"/>
          <w:color w:val="000000"/>
          <w:sz w:val="24"/>
          <w:lang w:val="es-ES_tradnl"/>
        </w:rPr>
        <w:t>Finalmente, con relación al motivo de inconformidad relativo a “</w:t>
      </w:r>
      <w:r w:rsidRPr="00E66FD9">
        <w:rPr>
          <w:rFonts w:ascii="Palatino Linotype" w:hAnsi="Palatino Linotype"/>
          <w:i/>
          <w:iCs/>
        </w:rPr>
        <w:t xml:space="preserve">Se dé vista al Órgano Interno de Control, por la posible comisión de faltas administrativas derivadas de la simulación de inexistencia documental”, </w:t>
      </w:r>
      <w:r w:rsidR="00E748AE" w:rsidRPr="00E66FD9">
        <w:rPr>
          <w:rFonts w:ascii="Palatino Linotype" w:hAnsi="Palatino Linotype"/>
        </w:rPr>
        <w:t xml:space="preserve">se destaca que el recurso de revisión no es la vía para solicitar dar vista al órgano interno de control con motivo de presuntas violaciones al derecho de acceso a la información pública. </w:t>
      </w:r>
    </w:p>
    <w:p w14:paraId="1E6B41AC" w14:textId="77777777" w:rsidR="00E748AE" w:rsidRPr="00E66FD9" w:rsidRDefault="00E748AE" w:rsidP="00E748AE">
      <w:pPr>
        <w:spacing w:before="240" w:after="240" w:line="360" w:lineRule="auto"/>
        <w:jc w:val="both"/>
        <w:rPr>
          <w:rFonts w:ascii="Palatino Linotype" w:hAnsi="Palatino Linotype"/>
          <w:b/>
          <w:sz w:val="28"/>
          <w:szCs w:val="28"/>
        </w:rPr>
      </w:pPr>
      <w:r w:rsidRPr="00E66FD9">
        <w:rPr>
          <w:rFonts w:ascii="Palatino Linotype" w:hAnsi="Palatino Linotype"/>
          <w:b/>
          <w:bCs/>
          <w:sz w:val="28"/>
          <w:szCs w:val="28"/>
        </w:rPr>
        <w:lastRenderedPageBreak/>
        <w:t>DE LA</w:t>
      </w:r>
      <w:r w:rsidRPr="00E66FD9">
        <w:rPr>
          <w:rFonts w:ascii="Palatino Linotype" w:hAnsi="Palatino Linotype"/>
          <w:bCs/>
          <w:sz w:val="24"/>
          <w:szCs w:val="24"/>
        </w:rPr>
        <w:t xml:space="preserve"> </w:t>
      </w:r>
      <w:r w:rsidRPr="00E66FD9">
        <w:rPr>
          <w:rFonts w:ascii="Palatino Linotype" w:hAnsi="Palatino Linotype"/>
          <w:b/>
          <w:sz w:val="28"/>
          <w:szCs w:val="28"/>
        </w:rPr>
        <w:t xml:space="preserve">VERSIÓN PÚBLICA </w:t>
      </w:r>
    </w:p>
    <w:p w14:paraId="13C32CFE" w14:textId="77777777" w:rsidR="00E748AE" w:rsidRPr="00E66FD9" w:rsidRDefault="00E748AE" w:rsidP="00E748AE">
      <w:pPr>
        <w:tabs>
          <w:tab w:val="left" w:pos="7938"/>
        </w:tabs>
        <w:spacing w:before="240" w:after="240" w:line="360" w:lineRule="auto"/>
        <w:jc w:val="both"/>
        <w:rPr>
          <w:rFonts w:ascii="Palatino Linotype" w:eastAsia="Arial Unicode MS" w:hAnsi="Palatino Linotype" w:cs="Arial"/>
          <w:sz w:val="24"/>
          <w:szCs w:val="24"/>
        </w:rPr>
      </w:pPr>
      <w:r w:rsidRPr="00E66FD9">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41A1C704" w14:textId="77777777" w:rsidR="00E748AE" w:rsidRPr="00E66FD9" w:rsidRDefault="00E748AE" w:rsidP="00E748AE">
      <w:pPr>
        <w:spacing w:before="240" w:line="360" w:lineRule="auto"/>
        <w:ind w:left="851" w:right="851"/>
        <w:jc w:val="both"/>
        <w:rPr>
          <w:rFonts w:ascii="Palatino Linotype" w:hAnsi="Palatino Linotype" w:cs="Arial"/>
          <w:i/>
        </w:rPr>
      </w:pPr>
      <w:r w:rsidRPr="00E66FD9">
        <w:rPr>
          <w:rFonts w:ascii="Palatino Linotype" w:hAnsi="Palatino Linotype" w:cs="Arial"/>
          <w:i/>
        </w:rPr>
        <w:t>“Artículo 3. Para los efectos de la presente Ley se entenderá por:</w:t>
      </w:r>
    </w:p>
    <w:p w14:paraId="765CCDE0" w14:textId="77777777" w:rsidR="00E748AE" w:rsidRPr="00E66FD9" w:rsidRDefault="00E748AE" w:rsidP="00E748AE">
      <w:pPr>
        <w:spacing w:before="240" w:line="360" w:lineRule="auto"/>
        <w:ind w:left="851" w:right="851"/>
        <w:jc w:val="both"/>
        <w:rPr>
          <w:rFonts w:ascii="Palatino Linotype" w:hAnsi="Palatino Linotype" w:cs="Arial"/>
          <w:i/>
        </w:rPr>
      </w:pPr>
      <w:r w:rsidRPr="00E66FD9">
        <w:rPr>
          <w:rFonts w:ascii="Palatino Linotype" w:hAnsi="Palatino Linotype" w:cs="Arial"/>
          <w:i/>
        </w:rPr>
        <w:t>(…)</w:t>
      </w:r>
    </w:p>
    <w:p w14:paraId="6152FA04" w14:textId="77777777" w:rsidR="00E748AE" w:rsidRPr="00E66FD9" w:rsidRDefault="00E748AE" w:rsidP="00E748AE">
      <w:pPr>
        <w:spacing w:before="240" w:line="360" w:lineRule="auto"/>
        <w:ind w:left="851" w:right="851"/>
        <w:jc w:val="both"/>
        <w:rPr>
          <w:rFonts w:ascii="Palatino Linotype" w:hAnsi="Palatino Linotype" w:cs="Arial"/>
          <w:b/>
          <w:i/>
        </w:rPr>
      </w:pPr>
      <w:r w:rsidRPr="00E66FD9">
        <w:rPr>
          <w:rFonts w:ascii="Palatino Linotype" w:hAnsi="Palatino Linotype" w:cs="Arial"/>
          <w:b/>
          <w:i/>
          <w:u w:val="single"/>
        </w:rPr>
        <w:t>IX. Datos personales:</w:t>
      </w:r>
      <w:r w:rsidRPr="00E66FD9">
        <w:rPr>
          <w:rFonts w:ascii="Palatino Linotype" w:hAnsi="Palatino Linotype" w:cs="Arial"/>
          <w:b/>
          <w:i/>
        </w:rPr>
        <w:t xml:space="preserve"> </w:t>
      </w:r>
      <w:r w:rsidRPr="00E66FD9">
        <w:rPr>
          <w:rFonts w:ascii="Palatino Linotype" w:hAnsi="Palatino Linotype" w:cs="Arial"/>
          <w:i/>
        </w:rPr>
        <w:t>La información concerniente a una persona, identificada o identificable según lo dispuesto por la Ley de Protección de Datos Personales del Estado de México;</w:t>
      </w:r>
    </w:p>
    <w:p w14:paraId="474E5E2B" w14:textId="77777777" w:rsidR="00E748AE" w:rsidRPr="00E66FD9" w:rsidRDefault="00E748AE" w:rsidP="00E748AE">
      <w:pPr>
        <w:spacing w:before="240" w:line="360" w:lineRule="auto"/>
        <w:ind w:left="851" w:right="851"/>
        <w:jc w:val="both"/>
        <w:rPr>
          <w:rFonts w:ascii="Palatino Linotype" w:hAnsi="Palatino Linotype" w:cs="Arial"/>
          <w:b/>
          <w:i/>
        </w:rPr>
      </w:pPr>
      <w:r w:rsidRPr="00E66FD9">
        <w:rPr>
          <w:rFonts w:ascii="Palatino Linotype" w:hAnsi="Palatino Linotype" w:cs="Arial"/>
          <w:b/>
          <w:i/>
        </w:rPr>
        <w:t>(…)</w:t>
      </w:r>
    </w:p>
    <w:p w14:paraId="247F74FC" w14:textId="77777777" w:rsidR="00E748AE" w:rsidRPr="00E66FD9" w:rsidRDefault="00E748AE" w:rsidP="00E748AE">
      <w:pPr>
        <w:spacing w:before="240" w:line="360" w:lineRule="auto"/>
        <w:ind w:left="851" w:right="851"/>
        <w:jc w:val="both"/>
        <w:rPr>
          <w:rFonts w:ascii="Palatino Linotype" w:hAnsi="Palatino Linotype" w:cs="Arial"/>
          <w:b/>
          <w:i/>
        </w:rPr>
      </w:pPr>
      <w:r w:rsidRPr="00E66FD9">
        <w:rPr>
          <w:rFonts w:ascii="Palatino Linotype" w:hAnsi="Palatino Linotype" w:cs="Arial"/>
          <w:b/>
          <w:i/>
          <w:u w:val="single"/>
        </w:rPr>
        <w:t>XLV. Versión pública:</w:t>
      </w:r>
      <w:r w:rsidRPr="00E66FD9">
        <w:rPr>
          <w:rFonts w:ascii="Palatino Linotype" w:hAnsi="Palatino Linotype" w:cs="Arial"/>
          <w:b/>
          <w:i/>
        </w:rPr>
        <w:t xml:space="preserve"> </w:t>
      </w:r>
      <w:r w:rsidRPr="00E66FD9">
        <w:rPr>
          <w:rFonts w:ascii="Palatino Linotype" w:hAnsi="Palatino Linotype" w:cs="Arial"/>
          <w:i/>
        </w:rPr>
        <w:t>Documento en el que se elimine, suprime o borra la información clasificada como reservada o confidencial para permitir su acceso.</w:t>
      </w:r>
    </w:p>
    <w:p w14:paraId="48B7A776" w14:textId="77777777" w:rsidR="00E748AE" w:rsidRPr="00E66FD9" w:rsidRDefault="00E748AE" w:rsidP="00E748AE">
      <w:pPr>
        <w:spacing w:before="240" w:line="360" w:lineRule="auto"/>
        <w:ind w:left="851" w:right="851"/>
        <w:jc w:val="both"/>
        <w:rPr>
          <w:rFonts w:ascii="Palatino Linotype" w:hAnsi="Palatino Linotype" w:cs="Arial"/>
          <w:b/>
          <w:i/>
        </w:rPr>
      </w:pPr>
      <w:r w:rsidRPr="00E66FD9">
        <w:rPr>
          <w:rFonts w:ascii="Palatino Linotype" w:hAnsi="Palatino Linotype" w:cs="Arial"/>
          <w:i/>
        </w:rPr>
        <w:t xml:space="preserve">Artículo 122. </w:t>
      </w:r>
      <w:r w:rsidRPr="00E66FD9">
        <w:rPr>
          <w:rFonts w:ascii="Palatino Linotype" w:hAnsi="Palatino Linotype" w:cs="Arial"/>
          <w:b/>
          <w:i/>
          <w:u w:val="single"/>
        </w:rPr>
        <w:t xml:space="preserve">La clasificación es el proceso mediante el cual el sujeto obligado determina que la información en su poder actualiza alguno de los supuestos </w:t>
      </w:r>
      <w:r w:rsidRPr="00E66FD9">
        <w:rPr>
          <w:rFonts w:ascii="Palatino Linotype" w:hAnsi="Palatino Linotype" w:cs="Arial"/>
          <w:b/>
          <w:i/>
          <w:u w:val="single"/>
        </w:rPr>
        <w:lastRenderedPageBreak/>
        <w:t>de reserva o confidencialidad, de conformidad con lo dispuesto en el presente título.</w:t>
      </w:r>
    </w:p>
    <w:p w14:paraId="48A03162" w14:textId="77777777" w:rsidR="00E748AE" w:rsidRPr="00E66FD9" w:rsidRDefault="00E748AE" w:rsidP="00E748AE">
      <w:pPr>
        <w:spacing w:before="240" w:line="360" w:lineRule="auto"/>
        <w:ind w:left="851" w:right="851"/>
        <w:jc w:val="both"/>
        <w:rPr>
          <w:rFonts w:ascii="Palatino Linotype" w:hAnsi="Palatino Linotype" w:cs="Arial"/>
          <w:i/>
        </w:rPr>
      </w:pPr>
      <w:r w:rsidRPr="00E66FD9">
        <w:rPr>
          <w:rFonts w:ascii="Palatino Linotype" w:hAnsi="Palatino Linotype" w:cs="Arial"/>
          <w:i/>
        </w:rPr>
        <w:t>[…]</w:t>
      </w:r>
    </w:p>
    <w:p w14:paraId="44935C6F" w14:textId="77777777" w:rsidR="00E748AE" w:rsidRPr="00E66FD9" w:rsidRDefault="00E748AE" w:rsidP="00E748AE">
      <w:pPr>
        <w:spacing w:before="240" w:line="360" w:lineRule="auto"/>
        <w:ind w:left="851" w:right="851"/>
        <w:jc w:val="both"/>
        <w:rPr>
          <w:rFonts w:ascii="Palatino Linotype" w:hAnsi="Palatino Linotype" w:cs="Arial"/>
          <w:i/>
        </w:rPr>
      </w:pPr>
      <w:r w:rsidRPr="00E66FD9">
        <w:rPr>
          <w:rFonts w:ascii="Palatino Linotype" w:hAnsi="Palatino Linotype" w:cs="Arial"/>
          <w:i/>
        </w:rPr>
        <w:t>Artículo 132. La clasificación de la información se llevará a cabo en el momento en que:</w:t>
      </w:r>
    </w:p>
    <w:p w14:paraId="644DF460" w14:textId="77777777" w:rsidR="00E748AE" w:rsidRPr="00E66FD9" w:rsidRDefault="00E748AE" w:rsidP="00E748AE">
      <w:pPr>
        <w:spacing w:before="240" w:line="360" w:lineRule="auto"/>
        <w:ind w:left="851" w:right="851"/>
        <w:jc w:val="both"/>
        <w:rPr>
          <w:rFonts w:ascii="Palatino Linotype" w:hAnsi="Palatino Linotype" w:cs="Arial"/>
          <w:i/>
        </w:rPr>
      </w:pPr>
      <w:r w:rsidRPr="00E66FD9">
        <w:rPr>
          <w:rFonts w:ascii="Palatino Linotype" w:hAnsi="Palatino Linotype" w:cs="Arial"/>
          <w:i/>
        </w:rPr>
        <w:t>[…]</w:t>
      </w:r>
    </w:p>
    <w:p w14:paraId="1DA4EFDA" w14:textId="77777777" w:rsidR="00E748AE" w:rsidRPr="00E66FD9" w:rsidRDefault="00E748AE" w:rsidP="00E748AE">
      <w:pPr>
        <w:spacing w:before="240" w:line="360" w:lineRule="auto"/>
        <w:ind w:left="851" w:right="851"/>
        <w:jc w:val="both"/>
        <w:rPr>
          <w:rFonts w:ascii="Palatino Linotype" w:hAnsi="Palatino Linotype" w:cs="Arial"/>
          <w:b/>
          <w:i/>
          <w:u w:val="single"/>
        </w:rPr>
      </w:pPr>
      <w:r w:rsidRPr="00E66FD9">
        <w:rPr>
          <w:rFonts w:ascii="Palatino Linotype" w:hAnsi="Palatino Linotype" w:cs="Arial"/>
          <w:b/>
          <w:i/>
          <w:u w:val="single"/>
        </w:rPr>
        <w:t>II. Se determine mediante resolución de autoridad competente; o</w:t>
      </w:r>
    </w:p>
    <w:p w14:paraId="5B924407" w14:textId="77777777" w:rsidR="00E748AE" w:rsidRPr="00E66FD9" w:rsidRDefault="00E748AE" w:rsidP="00E748AE">
      <w:pPr>
        <w:spacing w:before="240" w:line="360" w:lineRule="auto"/>
        <w:ind w:left="851" w:right="851"/>
        <w:jc w:val="both"/>
        <w:rPr>
          <w:rFonts w:ascii="Palatino Linotype" w:hAnsi="Palatino Linotype" w:cs="Arial"/>
          <w:b/>
          <w:i/>
        </w:rPr>
      </w:pPr>
      <w:r w:rsidRPr="00E66FD9">
        <w:rPr>
          <w:rFonts w:ascii="Palatino Linotype" w:hAnsi="Palatino Linotype" w:cs="Arial"/>
          <w:b/>
          <w:i/>
        </w:rPr>
        <w:t>(…)</w:t>
      </w:r>
    </w:p>
    <w:p w14:paraId="1548A579" w14:textId="77777777" w:rsidR="00E748AE" w:rsidRPr="00E66FD9" w:rsidRDefault="00E748AE" w:rsidP="00E748AE">
      <w:pPr>
        <w:spacing w:before="240" w:line="360" w:lineRule="auto"/>
        <w:ind w:left="851" w:right="851"/>
        <w:jc w:val="both"/>
        <w:rPr>
          <w:rFonts w:ascii="Palatino Linotype" w:hAnsi="Palatino Linotype" w:cs="Arial"/>
          <w:b/>
          <w:i/>
        </w:rPr>
      </w:pPr>
      <w:r w:rsidRPr="00E66FD9">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E66FD9">
        <w:rPr>
          <w:rFonts w:ascii="Palatino Linotype" w:hAnsi="Palatino Linotype" w:cs="Arial"/>
          <w:b/>
          <w:i/>
        </w:rPr>
        <w:t xml:space="preserve"> </w:t>
      </w:r>
      <w:r w:rsidRPr="00E66FD9">
        <w:rPr>
          <w:rFonts w:ascii="Palatino Linotype" w:hAnsi="Palatino Linotype" w:cs="Arial"/>
          <w:b/>
          <w:i/>
          <w:u w:val="single"/>
        </w:rPr>
        <w:t xml:space="preserve">de manera genérica y fundando y motivando su clasificación.” </w:t>
      </w:r>
      <w:r w:rsidRPr="00E66FD9">
        <w:rPr>
          <w:rFonts w:ascii="Palatino Linotype" w:hAnsi="Palatino Linotype" w:cs="Arial"/>
          <w:b/>
          <w:i/>
        </w:rPr>
        <w:t>[Sic]</w:t>
      </w:r>
    </w:p>
    <w:p w14:paraId="1F00E023" w14:textId="77777777" w:rsidR="00E748AE" w:rsidRPr="00E66FD9" w:rsidRDefault="00E748AE" w:rsidP="00E748AE">
      <w:pPr>
        <w:spacing w:after="0" w:line="360" w:lineRule="auto"/>
        <w:ind w:right="51"/>
        <w:jc w:val="both"/>
        <w:rPr>
          <w:rFonts w:ascii="Palatino Linotype" w:eastAsia="Arial Unicode MS" w:hAnsi="Palatino Linotype" w:cs="Arial"/>
          <w:sz w:val="24"/>
          <w:szCs w:val="24"/>
        </w:rPr>
      </w:pPr>
    </w:p>
    <w:p w14:paraId="7FA355A2" w14:textId="77777777" w:rsidR="00E748AE" w:rsidRPr="00E66FD9" w:rsidRDefault="00E748AE" w:rsidP="00E748AE">
      <w:pPr>
        <w:spacing w:after="0" w:line="360" w:lineRule="auto"/>
        <w:ind w:right="51"/>
        <w:jc w:val="both"/>
        <w:rPr>
          <w:rFonts w:ascii="Palatino Linotype" w:hAnsi="Palatino Linotype" w:cs="Arial"/>
          <w:sz w:val="24"/>
          <w:szCs w:val="24"/>
        </w:rPr>
      </w:pPr>
      <w:r w:rsidRPr="00E66FD9">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E66FD9">
        <w:rPr>
          <w:rFonts w:ascii="Palatino Linotype" w:hAnsi="Palatino Linotype" w:cs="Arial"/>
          <w:sz w:val="24"/>
          <w:szCs w:val="24"/>
        </w:rPr>
        <w:t xml:space="preserve">el Registro Federal de Contribuyentes </w:t>
      </w:r>
      <w:r w:rsidRPr="00E66FD9">
        <w:rPr>
          <w:rFonts w:ascii="Palatino Linotype" w:hAnsi="Palatino Linotype" w:cs="Arial"/>
          <w:b/>
          <w:bCs/>
          <w:sz w:val="24"/>
          <w:szCs w:val="24"/>
          <w:u w:val="single"/>
        </w:rPr>
        <w:t>(RFC) que no sean de proveedores,</w:t>
      </w:r>
      <w:r w:rsidRPr="00E66FD9">
        <w:rPr>
          <w:rFonts w:ascii="Palatino Linotype" w:hAnsi="Palatino Linotype" w:cs="Arial"/>
          <w:sz w:val="24"/>
          <w:szCs w:val="24"/>
        </w:rPr>
        <w:t xml:space="preserve">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38192D86" w14:textId="77777777" w:rsidR="00E748AE" w:rsidRPr="00E66FD9" w:rsidRDefault="00E748AE" w:rsidP="00E748AE">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E66FD9">
        <w:rPr>
          <w:rFonts w:ascii="Palatino Linotype" w:eastAsia="Times New Roman" w:hAnsi="Palatino Linotype" w:cs="Arial"/>
          <w:sz w:val="24"/>
          <w:szCs w:val="24"/>
          <w:lang w:eastAsia="es-MX"/>
        </w:rPr>
        <w:lastRenderedPageBreak/>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38F44951" w14:textId="77777777" w:rsidR="00E748AE" w:rsidRPr="00E66FD9" w:rsidRDefault="00E748AE" w:rsidP="00E748AE">
      <w:pPr>
        <w:spacing w:before="240" w:after="240" w:line="360" w:lineRule="auto"/>
        <w:ind w:right="-91"/>
        <w:jc w:val="both"/>
        <w:rPr>
          <w:rFonts w:ascii="Palatino Linotype" w:eastAsia="Times New Roman" w:hAnsi="Palatino Linotype" w:cs="Arial"/>
          <w:sz w:val="24"/>
          <w:szCs w:val="24"/>
          <w:lang w:eastAsia="es-MX"/>
        </w:rPr>
      </w:pPr>
      <w:r w:rsidRPr="00E66FD9">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0EAD87E3" w14:textId="77777777" w:rsidR="00E748AE" w:rsidRPr="00E66FD9" w:rsidRDefault="00E748AE" w:rsidP="00E748AE">
      <w:pPr>
        <w:spacing w:before="240" w:after="240" w:line="360" w:lineRule="auto"/>
        <w:ind w:right="-91"/>
        <w:jc w:val="both"/>
        <w:rPr>
          <w:rFonts w:ascii="Palatino Linotype" w:eastAsia="Times New Roman" w:hAnsi="Palatino Linotype" w:cs="Arial"/>
          <w:sz w:val="24"/>
          <w:szCs w:val="24"/>
          <w:lang w:eastAsia="es-MX"/>
        </w:rPr>
      </w:pPr>
      <w:r w:rsidRPr="00E66FD9">
        <w:rPr>
          <w:rFonts w:ascii="Palatino Linotype" w:eastAsia="Times New Roman" w:hAnsi="Palatino Linotype" w:cs="Arial"/>
          <w:sz w:val="24"/>
          <w:szCs w:val="24"/>
          <w:lang w:eastAsia="es-MX"/>
        </w:rPr>
        <w:t xml:space="preserve">Lo anterior es compartido por el ahora </w:t>
      </w:r>
      <w:r w:rsidRPr="00E66FD9">
        <w:rPr>
          <w:rFonts w:ascii="Palatino Linotype" w:eastAsia="Times New Roman" w:hAnsi="Palatino Linotype" w:cs="Arial"/>
          <w:b/>
          <w:bCs/>
          <w:sz w:val="24"/>
          <w:szCs w:val="24"/>
          <w:lang w:eastAsia="es-MX"/>
        </w:rPr>
        <w:t>Instituto Nacional de Transparencia, Acceso a la Información y Protección de Datos Personales</w:t>
      </w:r>
      <w:r w:rsidRPr="00E66FD9">
        <w:rPr>
          <w:rFonts w:ascii="Palatino Linotype" w:eastAsia="Times New Roman" w:hAnsi="Palatino Linotype" w:cs="Arial"/>
          <w:sz w:val="24"/>
          <w:szCs w:val="24"/>
          <w:lang w:eastAsia="es-MX"/>
        </w:rPr>
        <w:t xml:space="preserve"> (INAI), conforme al criterio </w:t>
      </w:r>
      <w:r w:rsidRPr="00E66FD9">
        <w:rPr>
          <w:rFonts w:ascii="Palatino Linotype" w:eastAsia="Times New Roman" w:hAnsi="Palatino Linotype" w:cs="Arial"/>
          <w:b/>
          <w:sz w:val="24"/>
          <w:szCs w:val="24"/>
          <w:lang w:eastAsia="es-MX"/>
        </w:rPr>
        <w:t>19/17,</w:t>
      </w:r>
      <w:r w:rsidRPr="00E66FD9">
        <w:rPr>
          <w:rFonts w:ascii="Palatino Linotype" w:eastAsia="Times New Roman" w:hAnsi="Palatino Linotype" w:cs="Arial"/>
          <w:sz w:val="24"/>
          <w:szCs w:val="24"/>
          <w:lang w:eastAsia="es-MX"/>
        </w:rPr>
        <w:t xml:space="preserve"> el cual es del tenor literal siguiente:</w:t>
      </w:r>
    </w:p>
    <w:p w14:paraId="3242D2AD" w14:textId="77777777" w:rsidR="00E748AE" w:rsidRPr="00E66FD9" w:rsidRDefault="00E748AE" w:rsidP="00E748AE">
      <w:pPr>
        <w:autoSpaceDE w:val="0"/>
        <w:autoSpaceDN w:val="0"/>
        <w:adjustRightInd w:val="0"/>
        <w:spacing w:before="240" w:line="360" w:lineRule="auto"/>
        <w:ind w:left="851" w:right="851"/>
        <w:jc w:val="center"/>
        <w:rPr>
          <w:rFonts w:ascii="Palatino Linotype" w:eastAsia="Times New Roman" w:hAnsi="Palatino Linotype" w:cs="Arial"/>
          <w:b/>
          <w:bCs/>
          <w:i/>
        </w:rPr>
      </w:pPr>
      <w:r w:rsidRPr="00E66FD9">
        <w:rPr>
          <w:rFonts w:ascii="Palatino Linotype" w:eastAsia="Times New Roman" w:hAnsi="Palatino Linotype" w:cs="Arial"/>
          <w:bCs/>
          <w:i/>
        </w:rPr>
        <w:t>“</w:t>
      </w:r>
      <w:r w:rsidRPr="00E66FD9">
        <w:rPr>
          <w:rFonts w:ascii="Palatino Linotype" w:eastAsia="Times New Roman" w:hAnsi="Palatino Linotype" w:cs="Arial"/>
          <w:b/>
          <w:bCs/>
          <w:i/>
        </w:rPr>
        <w:t>REGISTRO FEDERAL DE CONTRIBUYENTES (RFC) DE PERSONAS FÍSICAS.</w:t>
      </w:r>
    </w:p>
    <w:p w14:paraId="48990E10" w14:textId="77777777" w:rsidR="00E748AE" w:rsidRPr="00E66FD9"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Cs/>
          <w:i/>
        </w:rPr>
      </w:pPr>
      <w:r w:rsidRPr="00E66FD9">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32BD6623" w14:textId="77777777" w:rsidR="00E748AE" w:rsidRPr="00E66FD9"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i/>
        </w:rPr>
      </w:pPr>
      <w:r w:rsidRPr="00E66FD9">
        <w:rPr>
          <w:rFonts w:ascii="Palatino Linotype" w:eastAsia="Times New Roman" w:hAnsi="Palatino Linotype" w:cs="Arial"/>
          <w:b/>
          <w:i/>
        </w:rPr>
        <w:t>Resoluciones:</w:t>
      </w:r>
    </w:p>
    <w:p w14:paraId="27041CE4" w14:textId="77777777" w:rsidR="00E748AE" w:rsidRPr="00E66FD9" w:rsidRDefault="00E748AE" w:rsidP="00E748AE">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E66FD9">
        <w:rPr>
          <w:rFonts w:ascii="Palatino Linotype" w:eastAsia="Times New Roman" w:hAnsi="Palatino Linotype" w:cs="Arial"/>
          <w:b/>
          <w:i/>
        </w:rPr>
        <w:t xml:space="preserve">RRA </w:t>
      </w:r>
      <w:r w:rsidRPr="00E66FD9">
        <w:rPr>
          <w:rFonts w:ascii="Palatino Linotype" w:eastAsia="Times New Roman" w:hAnsi="Palatino Linotype" w:cs="Arial"/>
          <w:b/>
          <w:i/>
          <w:lang w:val="es-ES"/>
        </w:rPr>
        <w:t xml:space="preserve">0189/17. </w:t>
      </w:r>
      <w:r w:rsidRPr="00E66FD9">
        <w:rPr>
          <w:rFonts w:ascii="Palatino Linotype" w:eastAsia="Times New Roman" w:hAnsi="Palatino Linotype" w:cs="Arial"/>
          <w:i/>
          <w:lang w:val="es-ES"/>
        </w:rPr>
        <w:t xml:space="preserve">Morena. 08 de febrero de 2017. Por unanimidad. Comisionado Ponente </w:t>
      </w:r>
      <w:r w:rsidRPr="00E66FD9">
        <w:rPr>
          <w:rFonts w:ascii="Palatino Linotype" w:eastAsia="Times New Roman" w:hAnsi="Palatino Linotype" w:cs="Arial"/>
          <w:i/>
        </w:rPr>
        <w:t>Joel Salas Suárez.</w:t>
      </w:r>
    </w:p>
    <w:p w14:paraId="63D517F0" w14:textId="77777777" w:rsidR="00E748AE" w:rsidRPr="00E66FD9" w:rsidRDefault="00E748AE" w:rsidP="00E748AE">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E66FD9">
        <w:rPr>
          <w:rFonts w:ascii="Palatino Linotype" w:eastAsia="Times New Roman" w:hAnsi="Palatino Linotype" w:cs="Arial"/>
          <w:b/>
          <w:i/>
        </w:rPr>
        <w:t xml:space="preserve">RRA </w:t>
      </w:r>
      <w:r w:rsidRPr="00E66FD9">
        <w:rPr>
          <w:rFonts w:ascii="Palatino Linotype" w:eastAsia="Times New Roman" w:hAnsi="Palatino Linotype" w:cs="Arial"/>
          <w:b/>
          <w:bCs/>
          <w:i/>
        </w:rPr>
        <w:t>0677</w:t>
      </w:r>
      <w:r w:rsidRPr="00E66FD9">
        <w:rPr>
          <w:rFonts w:ascii="Palatino Linotype" w:eastAsia="Times New Roman" w:hAnsi="Palatino Linotype" w:cs="Arial"/>
          <w:b/>
          <w:i/>
        </w:rPr>
        <w:t xml:space="preserve">/17. </w:t>
      </w:r>
      <w:r w:rsidRPr="00E66FD9">
        <w:rPr>
          <w:rFonts w:ascii="Palatino Linotype" w:eastAsia="Times New Roman" w:hAnsi="Palatino Linotype" w:cs="Arial"/>
          <w:i/>
          <w:lang w:val="es-ES"/>
        </w:rPr>
        <w:t>Universidad Nacional Autónoma de México. 08 de marzo de 2017. Por unanimidad. Comisionado Ponente Rosendoevgueni Monterrey Chepov</w:t>
      </w:r>
      <w:r w:rsidRPr="00E66FD9">
        <w:rPr>
          <w:rFonts w:ascii="Palatino Linotype" w:eastAsia="Times New Roman" w:hAnsi="Palatino Linotype" w:cs="Arial"/>
          <w:i/>
        </w:rPr>
        <w:t>.</w:t>
      </w:r>
      <w:r w:rsidRPr="00E66FD9">
        <w:rPr>
          <w:rFonts w:ascii="Palatino Linotype" w:eastAsia="Times New Roman" w:hAnsi="Palatino Linotype" w:cs="Arial"/>
          <w:b/>
          <w:i/>
        </w:rPr>
        <w:t xml:space="preserve"> </w:t>
      </w:r>
    </w:p>
    <w:p w14:paraId="01044C7A" w14:textId="77777777" w:rsidR="00E748AE" w:rsidRPr="00E66FD9"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E66FD9">
        <w:rPr>
          <w:rFonts w:ascii="Palatino Linotype" w:eastAsia="Times New Roman" w:hAnsi="Palatino Linotype" w:cs="Arial"/>
          <w:b/>
          <w:i/>
        </w:rPr>
        <w:lastRenderedPageBreak/>
        <w:t>RRA</w:t>
      </w:r>
      <w:r w:rsidRPr="00E66FD9">
        <w:rPr>
          <w:rFonts w:ascii="Palatino Linotype" w:eastAsia="Times New Roman" w:hAnsi="Palatino Linotype" w:cs="Arial"/>
          <w:i/>
          <w:lang w:val="es-ES"/>
        </w:rPr>
        <w:t xml:space="preserve"> </w:t>
      </w:r>
      <w:r w:rsidRPr="00E66FD9">
        <w:rPr>
          <w:rFonts w:ascii="Palatino Linotype" w:eastAsia="Times New Roman" w:hAnsi="Palatino Linotype" w:cs="Arial"/>
          <w:b/>
          <w:i/>
        </w:rPr>
        <w:t xml:space="preserve">1564/17. </w:t>
      </w:r>
      <w:r w:rsidRPr="00E66FD9">
        <w:rPr>
          <w:rFonts w:ascii="Palatino Linotype" w:eastAsia="Times New Roman" w:hAnsi="Palatino Linotype" w:cs="Arial"/>
          <w:i/>
          <w:lang w:val="es-ES"/>
        </w:rPr>
        <w:t>Tribunal Electoral del Poder Judicial de la Federación</w:t>
      </w:r>
      <w:r w:rsidRPr="00E66FD9">
        <w:rPr>
          <w:rFonts w:ascii="Palatino Linotype" w:eastAsia="Times New Roman" w:hAnsi="Palatino Linotype" w:cs="Arial"/>
          <w:i/>
        </w:rPr>
        <w:t xml:space="preserve">. 26 de abril de 2017. Por unanimidad. Comisionado Ponente Oscar Mauricio Guerra Ford.” </w:t>
      </w:r>
      <w:r w:rsidRPr="00E66FD9">
        <w:rPr>
          <w:rFonts w:ascii="Palatino Linotype" w:eastAsia="Times New Roman" w:hAnsi="Palatino Linotype" w:cs="Arial"/>
          <w:b/>
          <w:i/>
        </w:rPr>
        <w:t>[Sic]</w:t>
      </w:r>
    </w:p>
    <w:p w14:paraId="1CF68238" w14:textId="77777777" w:rsidR="00E748AE" w:rsidRPr="00E66FD9" w:rsidRDefault="00E748AE" w:rsidP="00E748AE">
      <w:pPr>
        <w:autoSpaceDE w:val="0"/>
        <w:autoSpaceDN w:val="0"/>
        <w:adjustRightInd w:val="0"/>
        <w:spacing w:before="120" w:after="120"/>
        <w:ind w:left="567" w:right="850"/>
        <w:jc w:val="both"/>
        <w:rPr>
          <w:rFonts w:ascii="Palatino Linotype" w:eastAsia="Times New Roman" w:hAnsi="Palatino Linotype" w:cs="Arial"/>
          <w:i/>
        </w:rPr>
      </w:pPr>
    </w:p>
    <w:p w14:paraId="37EE6407" w14:textId="77777777" w:rsidR="00E748AE" w:rsidRPr="00E66FD9" w:rsidRDefault="00E748AE" w:rsidP="00E748AE">
      <w:pPr>
        <w:spacing w:before="240" w:after="240" w:line="360" w:lineRule="auto"/>
        <w:jc w:val="both"/>
        <w:rPr>
          <w:rFonts w:ascii="Palatino Linotype" w:hAnsi="Palatino Linotype" w:cs="Arial"/>
          <w:sz w:val="24"/>
          <w:szCs w:val="24"/>
          <w:lang w:eastAsia="es-MX"/>
        </w:rPr>
      </w:pPr>
      <w:r w:rsidRPr="00E66FD9">
        <w:rPr>
          <w:rFonts w:ascii="Palatino Linotype" w:hAnsi="Palatino Linotype" w:cs="Arial"/>
          <w:sz w:val="24"/>
          <w:szCs w:val="24"/>
          <w:lang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4F804309" w14:textId="77777777" w:rsidR="00E748AE" w:rsidRPr="00E66FD9" w:rsidRDefault="00E748AE" w:rsidP="00E748AE">
      <w:pPr>
        <w:spacing w:before="240" w:after="240" w:line="360" w:lineRule="auto"/>
        <w:jc w:val="both"/>
        <w:rPr>
          <w:rFonts w:ascii="Palatino Linotype" w:hAnsi="Palatino Linotype" w:cs="Arial"/>
          <w:sz w:val="24"/>
          <w:szCs w:val="24"/>
          <w:lang w:eastAsia="es-MX"/>
        </w:rPr>
      </w:pPr>
      <w:r w:rsidRPr="00E66FD9">
        <w:rPr>
          <w:rFonts w:ascii="Palatino Linotype" w:hAnsi="Palatino Linotype" w:cs="Arial"/>
          <w:sz w:val="24"/>
          <w:szCs w:val="24"/>
          <w:lang w:eastAsia="es-MX"/>
        </w:rPr>
        <w:t xml:space="preserve">No obstante lo anterior, como fue advertido con antelación el Registro Federal de Contribuyentes tratándose de proveedores o contratistas encuadra dentro de las fronteras conceptuales del interés general y el alcance público, al tratarse de un elemento que, en el caso en particular abona a la transparencia y rendición de cuentas. </w:t>
      </w:r>
    </w:p>
    <w:p w14:paraId="06989461" w14:textId="77777777" w:rsidR="00E748AE" w:rsidRPr="00E66FD9" w:rsidRDefault="00E748AE" w:rsidP="00E748AE">
      <w:pPr>
        <w:spacing w:before="240" w:after="240" w:line="360" w:lineRule="auto"/>
        <w:jc w:val="both"/>
        <w:rPr>
          <w:rFonts w:ascii="Palatino Linotype" w:hAnsi="Palatino Linotype" w:cs="Arial"/>
          <w:sz w:val="24"/>
          <w:szCs w:val="24"/>
          <w:lang w:eastAsia="es-MX"/>
        </w:rPr>
      </w:pPr>
      <w:r w:rsidRPr="00E66FD9">
        <w:rPr>
          <w:rFonts w:ascii="Palatino Linotype" w:hAnsi="Palatino Linotype" w:cs="Arial"/>
          <w:sz w:val="24"/>
          <w:szCs w:val="24"/>
          <w:lang w:eastAsia="es-MX"/>
        </w:rPr>
        <w:t xml:space="preserve">Robustece lo anterior, el criterio </w:t>
      </w:r>
      <w:r w:rsidRPr="00E66FD9">
        <w:rPr>
          <w:rFonts w:ascii="Palatino Linotype" w:hAnsi="Palatino Linotype" w:cs="Arial"/>
          <w:b/>
          <w:bCs/>
          <w:sz w:val="24"/>
          <w:szCs w:val="24"/>
          <w:lang w:eastAsia="es-MX"/>
        </w:rPr>
        <w:t xml:space="preserve">04/21 </w:t>
      </w:r>
      <w:r w:rsidRPr="00E66FD9">
        <w:rPr>
          <w:rFonts w:ascii="Palatino Linotype" w:hAnsi="Palatino Linotype" w:cs="Arial"/>
          <w:sz w:val="24"/>
          <w:szCs w:val="24"/>
          <w:lang w:eastAsia="es-MX"/>
        </w:rPr>
        <w:t xml:space="preserve">emitido por el Órgano Garante Nacional, cuyo rubro y texto disponen a la literalidad lo siguiente: </w:t>
      </w:r>
    </w:p>
    <w:p w14:paraId="2680F421" w14:textId="77777777" w:rsidR="00E748AE" w:rsidRPr="00E66FD9" w:rsidRDefault="00E748AE" w:rsidP="00E748AE">
      <w:pPr>
        <w:pStyle w:val="Citas"/>
        <w:rPr>
          <w:b/>
          <w:sz w:val="24"/>
          <w:szCs w:val="24"/>
        </w:rPr>
      </w:pPr>
      <w:r w:rsidRPr="00E66FD9">
        <w:rPr>
          <w:b/>
          <w:sz w:val="24"/>
          <w:szCs w:val="24"/>
        </w:rPr>
        <w:t xml:space="preserve">“REGISTRO FEDERAL DE CONTRIBUYENTES (RFC) DE PERSONAS FÍSICAS PROVEEDORES O CONTRATISTAS. </w:t>
      </w:r>
    </w:p>
    <w:p w14:paraId="3C2253E1" w14:textId="77777777" w:rsidR="00E748AE" w:rsidRPr="00E66FD9" w:rsidRDefault="00E748AE" w:rsidP="00E748AE">
      <w:pPr>
        <w:pStyle w:val="Citas"/>
        <w:rPr>
          <w:color w:val="000000"/>
        </w:rPr>
      </w:pPr>
      <w:r w:rsidRPr="00E66FD9">
        <w:t xml:space="preserve">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14:paraId="0BF8B9EE" w14:textId="77777777" w:rsidR="00E748AE" w:rsidRPr="00E66FD9" w:rsidRDefault="00E748AE" w:rsidP="00E748AE">
      <w:pPr>
        <w:pStyle w:val="Citas"/>
        <w:rPr>
          <w:b/>
        </w:rPr>
      </w:pPr>
      <w:r w:rsidRPr="00E66FD9">
        <w:rPr>
          <w:b/>
        </w:rPr>
        <w:t>Precedentes:</w:t>
      </w:r>
    </w:p>
    <w:p w14:paraId="6001951C" w14:textId="77777777" w:rsidR="00E748AE" w:rsidRPr="00E66FD9" w:rsidRDefault="00E748AE" w:rsidP="00E748AE">
      <w:pPr>
        <w:pStyle w:val="Citas"/>
        <w:numPr>
          <w:ilvl w:val="0"/>
          <w:numId w:val="27"/>
        </w:numPr>
      </w:pPr>
      <w:r w:rsidRPr="00E66FD9">
        <w:lastRenderedPageBreak/>
        <w:t>Acceso a la información Pública. RRA 3639/19.</w:t>
      </w:r>
      <w:r w:rsidRPr="00E66FD9">
        <w:rPr>
          <w:b/>
        </w:rPr>
        <w:t xml:space="preserve"> </w:t>
      </w:r>
      <w:r w:rsidRPr="00E66FD9">
        <w:t>Sesión del 10 de julio de 2019. Votación por mayoría. Con voto disidente del Comisionado Joel Salas Suárez. Instituto para la Protección del Ahorro Bancario. Comisionada Ponente María Patricia Kurczyn Villalobos.</w:t>
      </w:r>
    </w:p>
    <w:p w14:paraId="37C22F1C" w14:textId="77777777" w:rsidR="00E748AE" w:rsidRPr="00E66FD9" w:rsidRDefault="00E748AE" w:rsidP="00E748AE">
      <w:pPr>
        <w:pStyle w:val="Citas"/>
        <w:numPr>
          <w:ilvl w:val="0"/>
          <w:numId w:val="27"/>
        </w:numPr>
        <w:rPr>
          <w:b/>
        </w:rPr>
      </w:pPr>
      <w:r w:rsidRPr="00E66FD9">
        <w:t>Acceso a la información Pública. RRA 7709/19.</w:t>
      </w:r>
      <w:r w:rsidRPr="00E66FD9">
        <w:rPr>
          <w:b/>
        </w:rPr>
        <w:t xml:space="preserve"> </w:t>
      </w:r>
      <w:r w:rsidRPr="00E66FD9">
        <w:t>Sesión del 13 de agosto de 2019. Votación por unanimidad. Con voto particular de la Comisionada Josefina Román Vergara. Suprema Corte de Justicia de la Nación. Comisionada Ponente Josefina Román Vergara.</w:t>
      </w:r>
    </w:p>
    <w:p w14:paraId="2F961A24" w14:textId="77777777" w:rsidR="00E748AE" w:rsidRPr="00E66FD9" w:rsidRDefault="00E748AE" w:rsidP="00E748AE">
      <w:pPr>
        <w:pStyle w:val="Citas"/>
        <w:numPr>
          <w:ilvl w:val="0"/>
          <w:numId w:val="27"/>
        </w:numPr>
        <w:rPr>
          <w:color w:val="000000"/>
        </w:rPr>
      </w:pPr>
      <w:r w:rsidRPr="00E66FD9">
        <w:t>Acceso a la información Pública. RRA 5774/19.</w:t>
      </w:r>
      <w:r w:rsidRPr="00E66FD9">
        <w:rPr>
          <w:b/>
        </w:rPr>
        <w:t xml:space="preserve"> </w:t>
      </w:r>
      <w:r w:rsidRPr="00E66FD9">
        <w:t xml:space="preserve">Sesión del 21 de agosto de 2019. Votación por mayoría. Con voto disidente del Comisionado Joel Salas Suárez. Secretaría de Marina. Comisionada Ponente Blanca Lilia Ibarra Cadena.” </w:t>
      </w:r>
      <w:r w:rsidRPr="00E66FD9">
        <w:rPr>
          <w:b/>
          <w:bCs/>
        </w:rPr>
        <w:t>(Sic)</w:t>
      </w:r>
    </w:p>
    <w:p w14:paraId="4301B011" w14:textId="77777777" w:rsidR="000416AA" w:rsidRPr="00E66FD9" w:rsidRDefault="000416AA" w:rsidP="00E748AE">
      <w:pPr>
        <w:spacing w:before="240" w:after="240" w:line="360" w:lineRule="auto"/>
        <w:jc w:val="both"/>
        <w:rPr>
          <w:rFonts w:ascii="Palatino Linotype" w:hAnsi="Palatino Linotype" w:cs="Arial"/>
          <w:sz w:val="24"/>
          <w:szCs w:val="24"/>
          <w:lang w:eastAsia="es-MX"/>
        </w:rPr>
      </w:pPr>
    </w:p>
    <w:p w14:paraId="2C75B02B" w14:textId="7309334B" w:rsidR="00E748AE" w:rsidRPr="00E66FD9" w:rsidRDefault="00E748AE" w:rsidP="00E748AE">
      <w:pPr>
        <w:spacing w:before="240" w:after="240" w:line="360" w:lineRule="auto"/>
        <w:jc w:val="both"/>
        <w:rPr>
          <w:rFonts w:ascii="Palatino Linotype" w:eastAsia="Calibri" w:hAnsi="Palatino Linotype" w:cs="Arial"/>
          <w:sz w:val="24"/>
          <w:szCs w:val="24"/>
          <w:lang w:eastAsia="es-MX"/>
        </w:rPr>
      </w:pPr>
      <w:r w:rsidRPr="00E66FD9">
        <w:rPr>
          <w:rFonts w:ascii="Palatino Linotype" w:hAnsi="Palatino Linotype" w:cs="Arial"/>
          <w:sz w:val="24"/>
          <w:szCs w:val="24"/>
          <w:lang w:eastAsia="es-MX"/>
        </w:rPr>
        <w:t xml:space="preserve">En cuanto a la </w:t>
      </w:r>
      <w:r w:rsidRPr="00E66FD9">
        <w:rPr>
          <w:rFonts w:ascii="Palatino Linotype" w:hAnsi="Palatino Linotype" w:cs="Arial"/>
          <w:sz w:val="24"/>
          <w:szCs w:val="24"/>
        </w:rPr>
        <w:t xml:space="preserve">Clave Única de Registro de Población (CURP) en virtud de que éste se </w:t>
      </w:r>
      <w:r w:rsidRPr="00E66FD9">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39F43A56" w14:textId="77777777" w:rsidR="00E748AE" w:rsidRPr="00E66FD9" w:rsidRDefault="00E748AE" w:rsidP="00E748AE">
      <w:pPr>
        <w:spacing w:before="240" w:after="240" w:line="360" w:lineRule="auto"/>
        <w:ind w:right="-91"/>
        <w:jc w:val="both"/>
        <w:rPr>
          <w:rFonts w:ascii="Palatino Linotype" w:eastAsia="Times New Roman" w:hAnsi="Palatino Linotype" w:cs="Arial"/>
          <w:sz w:val="24"/>
          <w:szCs w:val="24"/>
        </w:rPr>
      </w:pPr>
      <w:r w:rsidRPr="00E66FD9">
        <w:rPr>
          <w:rFonts w:ascii="Palatino Linotype" w:hAnsi="Palatino Linotype" w:cs="Arial"/>
          <w:sz w:val="24"/>
          <w:szCs w:val="24"/>
        </w:rPr>
        <w:t xml:space="preserve">Argumento que es compartido por el </w:t>
      </w:r>
      <w:r w:rsidRPr="00E66FD9">
        <w:rPr>
          <w:rStyle w:val="Textoennegrita"/>
          <w:rFonts w:ascii="Palatino Linotype" w:hAnsi="Palatino Linotype" w:cs="Arial"/>
          <w:sz w:val="24"/>
          <w:szCs w:val="24"/>
        </w:rPr>
        <w:t xml:space="preserve">Instituto Nacional de Transparencia, Acceso a la Información y Protección de Datos Personales, conforme al </w:t>
      </w:r>
      <w:r w:rsidRPr="00E66FD9">
        <w:rPr>
          <w:rFonts w:ascii="Palatino Linotype" w:eastAsia="Times New Roman" w:hAnsi="Palatino Linotype" w:cs="Arial"/>
          <w:sz w:val="24"/>
          <w:szCs w:val="24"/>
        </w:rPr>
        <w:t xml:space="preserve">criterio número 18/17 el cual refiere: </w:t>
      </w:r>
    </w:p>
    <w:p w14:paraId="696ED17A" w14:textId="77777777" w:rsidR="00E748AE" w:rsidRPr="00E66FD9" w:rsidRDefault="00E748AE" w:rsidP="00E748AE">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E66FD9">
        <w:rPr>
          <w:rFonts w:ascii="Palatino Linotype" w:eastAsia="Times New Roman" w:hAnsi="Palatino Linotype" w:cs="Arial"/>
          <w:bCs/>
          <w:i/>
          <w:lang w:eastAsia="es-MX"/>
        </w:rPr>
        <w:t>“</w:t>
      </w:r>
      <w:r w:rsidRPr="00E66FD9">
        <w:rPr>
          <w:rFonts w:ascii="Palatino Linotype" w:eastAsia="Times New Roman" w:hAnsi="Palatino Linotype" w:cs="Arial"/>
          <w:b/>
          <w:bCs/>
          <w:i/>
          <w:lang w:eastAsia="es-MX"/>
        </w:rPr>
        <w:t>CLAVE ÚNICA DE REGISTRO DE POBLACIÓN (CURP).</w:t>
      </w:r>
    </w:p>
    <w:p w14:paraId="5B672629" w14:textId="77777777" w:rsidR="00E748AE" w:rsidRPr="00E66FD9"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E66FD9">
        <w:rPr>
          <w:rFonts w:ascii="Palatino Linotype" w:eastAsia="Times New Roman" w:hAnsi="Palatino Linotype" w:cs="Arial"/>
          <w:bCs/>
          <w:i/>
          <w:lang w:eastAsia="es-MX"/>
        </w:rPr>
        <w:lastRenderedPageBreak/>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1F2FE1DE" w14:textId="77777777" w:rsidR="00E748AE" w:rsidRPr="00E66FD9"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E66FD9">
        <w:rPr>
          <w:rFonts w:ascii="Palatino Linotype" w:eastAsia="Times New Roman" w:hAnsi="Palatino Linotype" w:cs="Arial"/>
          <w:i/>
          <w:lang w:eastAsia="es-MX"/>
        </w:rPr>
        <w:t xml:space="preserve"> </w:t>
      </w:r>
      <w:r w:rsidRPr="00E66FD9">
        <w:rPr>
          <w:rFonts w:ascii="Palatino Linotype" w:eastAsia="Times New Roman" w:hAnsi="Palatino Linotype" w:cs="Arial"/>
          <w:b/>
          <w:i/>
          <w:lang w:eastAsia="es-MX"/>
        </w:rPr>
        <w:t>Resoluciones:</w:t>
      </w:r>
    </w:p>
    <w:p w14:paraId="0AF8B581" w14:textId="77777777" w:rsidR="00E748AE" w:rsidRPr="00E66FD9"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E66FD9">
        <w:rPr>
          <w:rFonts w:ascii="Palatino Linotype" w:eastAsia="Times New Roman" w:hAnsi="Palatino Linotype" w:cs="Arial"/>
          <w:b/>
          <w:i/>
          <w:lang w:eastAsia="es-MX"/>
        </w:rPr>
        <w:t xml:space="preserve">RRA 3995/16. </w:t>
      </w:r>
      <w:r w:rsidRPr="00E66FD9">
        <w:rPr>
          <w:rFonts w:ascii="Palatino Linotype" w:eastAsia="Times New Roman" w:hAnsi="Palatino Linotype" w:cs="Arial"/>
          <w:i/>
          <w:lang w:eastAsia="es-MX"/>
        </w:rPr>
        <w:t>Secretaría de la Defensa Nacional. 1 de febrero de 2017. Por unanimidad. Comisionado Ponente Rosendoevgueni Monterrey Chepov.</w:t>
      </w:r>
    </w:p>
    <w:p w14:paraId="0257BDA8" w14:textId="77777777" w:rsidR="00E748AE" w:rsidRPr="00E66FD9"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E66FD9">
        <w:rPr>
          <w:rFonts w:ascii="Palatino Linotype" w:eastAsia="Times New Roman" w:hAnsi="Palatino Linotype" w:cs="Arial"/>
          <w:b/>
          <w:i/>
          <w:lang w:eastAsia="es-MX"/>
        </w:rPr>
        <w:t xml:space="preserve">RRA </w:t>
      </w:r>
      <w:r w:rsidRPr="00E66FD9">
        <w:rPr>
          <w:rFonts w:ascii="Palatino Linotype" w:eastAsia="Times New Roman" w:hAnsi="Palatino Linotype" w:cs="Arial"/>
          <w:b/>
          <w:bCs/>
          <w:i/>
          <w:lang w:eastAsia="es-MX"/>
        </w:rPr>
        <w:t xml:space="preserve">0937/17. </w:t>
      </w:r>
      <w:r w:rsidRPr="00E66FD9">
        <w:rPr>
          <w:rFonts w:ascii="Palatino Linotype" w:eastAsia="Times New Roman" w:hAnsi="Palatino Linotype" w:cs="Arial"/>
          <w:bCs/>
          <w:i/>
          <w:lang w:eastAsia="es-MX"/>
        </w:rPr>
        <w:t xml:space="preserve">Senado de la República. </w:t>
      </w:r>
      <w:r w:rsidRPr="00E66FD9">
        <w:rPr>
          <w:rFonts w:ascii="Palatino Linotype" w:eastAsia="Times New Roman" w:hAnsi="Palatino Linotype" w:cs="Arial"/>
          <w:bCs/>
          <w:i/>
          <w:lang w:val="es-ES_tradnl" w:eastAsia="es-MX"/>
        </w:rPr>
        <w:t xml:space="preserve">15 de marzo de 2017. Por unanimidad. Comisionada Ponente Ximena Puente de la Mora. </w:t>
      </w:r>
    </w:p>
    <w:p w14:paraId="7B137473" w14:textId="77777777" w:rsidR="00E748AE" w:rsidRPr="00E66FD9" w:rsidRDefault="00E748AE" w:rsidP="00E748AE">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E66FD9">
        <w:rPr>
          <w:rFonts w:ascii="Palatino Linotype" w:eastAsia="Times New Roman" w:hAnsi="Palatino Linotype" w:cs="Arial"/>
          <w:b/>
          <w:i/>
          <w:lang w:eastAsia="es-MX"/>
        </w:rPr>
        <w:t xml:space="preserve">RRA 0478/17. </w:t>
      </w:r>
      <w:r w:rsidRPr="00E66FD9">
        <w:rPr>
          <w:rFonts w:ascii="Palatino Linotype" w:eastAsia="Times New Roman" w:hAnsi="Palatino Linotype" w:cs="Arial"/>
          <w:i/>
          <w:lang w:eastAsia="es-MX"/>
        </w:rPr>
        <w:t xml:space="preserve">Secretaría de Relaciones Exteriores. 26 de abril de 2017. Por unanimidad. Comisionada Ponente Areli Cano Guadiana.” </w:t>
      </w:r>
      <w:r w:rsidRPr="00E66FD9">
        <w:rPr>
          <w:rFonts w:ascii="Palatino Linotype" w:eastAsia="Times New Roman" w:hAnsi="Palatino Linotype" w:cs="Arial"/>
          <w:b/>
          <w:i/>
          <w:lang w:eastAsia="es-MX"/>
        </w:rPr>
        <w:t>[Sic]</w:t>
      </w:r>
    </w:p>
    <w:p w14:paraId="66400FC6" w14:textId="77777777" w:rsidR="000416AA" w:rsidRPr="00E66FD9" w:rsidRDefault="000416AA" w:rsidP="00E748AE">
      <w:pPr>
        <w:spacing w:after="0" w:line="360" w:lineRule="auto"/>
        <w:ind w:right="51"/>
        <w:jc w:val="both"/>
        <w:rPr>
          <w:rFonts w:ascii="Palatino Linotype" w:hAnsi="Palatino Linotype" w:cs="Arial"/>
          <w:sz w:val="24"/>
          <w:szCs w:val="24"/>
        </w:rPr>
      </w:pPr>
    </w:p>
    <w:p w14:paraId="3467563E" w14:textId="32CC64B4" w:rsidR="00E748AE" w:rsidRPr="00E66FD9" w:rsidRDefault="00E748AE" w:rsidP="00E748AE">
      <w:pPr>
        <w:spacing w:after="0" w:line="360" w:lineRule="auto"/>
        <w:ind w:right="51"/>
        <w:jc w:val="both"/>
        <w:rPr>
          <w:rFonts w:ascii="Palatino Linotype" w:hAnsi="Palatino Linotype" w:cs="Arial"/>
          <w:sz w:val="24"/>
          <w:szCs w:val="24"/>
        </w:rPr>
      </w:pPr>
      <w:r w:rsidRPr="00E66FD9">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E66FD9">
        <w:rPr>
          <w:rFonts w:ascii="Palatino Linotype" w:hAnsi="Palatino Linotype" w:cs="Arial"/>
          <w:b/>
          <w:sz w:val="24"/>
          <w:szCs w:val="24"/>
        </w:rPr>
        <w:t>LINEAMIENTOS GENERALES EN MATERIA DE CLASIFICACIÓN Y DESCLASIFICACIÓN DE LA INFORMACIÓN, ASÍ COMO PARA LA ELABORACIÓN DE VERSIONES PÚBLICAS,</w:t>
      </w:r>
      <w:r w:rsidRPr="00E66FD9">
        <w:rPr>
          <w:rFonts w:ascii="Palatino Linotype" w:hAnsi="Palatino Linotype" w:cs="Arial"/>
          <w:sz w:val="24"/>
          <w:szCs w:val="24"/>
        </w:rPr>
        <w:t xml:space="preserve"> publicados en el Diario Oficial de la Federación en fecha quince de abril </w:t>
      </w:r>
      <w:r w:rsidRPr="00E66FD9">
        <w:rPr>
          <w:rFonts w:ascii="Palatino Linotype" w:hAnsi="Palatino Linotype" w:cs="Arial"/>
          <w:sz w:val="24"/>
          <w:szCs w:val="24"/>
        </w:rPr>
        <w:lastRenderedPageBreak/>
        <w:t xml:space="preserve">de dos mil dieciséis, mediante Acuerdo del Consejo Nacional del Sistema Nacional de Transparencia, Acceso a la Información Pública y Protección de Datos Personales. </w:t>
      </w:r>
    </w:p>
    <w:p w14:paraId="7B6459AB" w14:textId="77777777" w:rsidR="00E748AE" w:rsidRPr="00E66FD9" w:rsidRDefault="00E748AE" w:rsidP="00E748AE">
      <w:pPr>
        <w:spacing w:after="0" w:line="360" w:lineRule="auto"/>
        <w:jc w:val="both"/>
        <w:rPr>
          <w:rFonts w:ascii="Palatino Linotype" w:eastAsia="Times New Roman" w:hAnsi="Palatino Linotype" w:cs="Times New Roman"/>
          <w:sz w:val="24"/>
          <w:szCs w:val="24"/>
          <w:lang w:eastAsia="es-ES"/>
        </w:rPr>
      </w:pPr>
    </w:p>
    <w:p w14:paraId="53D0EA75" w14:textId="73EB0840" w:rsidR="00E748AE" w:rsidRPr="00E66FD9" w:rsidRDefault="00E748AE" w:rsidP="00E748AE">
      <w:pPr>
        <w:spacing w:after="0" w:line="360" w:lineRule="auto"/>
        <w:jc w:val="both"/>
        <w:rPr>
          <w:rFonts w:ascii="Palatino Linotype" w:eastAsia="Times New Roman" w:hAnsi="Palatino Linotype" w:cs="Arial"/>
          <w:sz w:val="24"/>
          <w:szCs w:val="24"/>
          <w:lang w:eastAsia="es-ES"/>
        </w:rPr>
      </w:pPr>
      <w:r w:rsidRPr="00E66FD9">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009F5079" w:rsidRPr="00E66FD9">
        <w:rPr>
          <w:rFonts w:ascii="Palatino Linotype" w:eastAsia="Times New Roman" w:hAnsi="Palatino Linotype" w:cs="Times New Roman"/>
          <w:b/>
          <w:bCs/>
          <w:sz w:val="24"/>
          <w:szCs w:val="24"/>
          <w:lang w:eastAsia="es-ES"/>
        </w:rPr>
        <w:t>La</w:t>
      </w:r>
      <w:r w:rsidRPr="00E66FD9">
        <w:rPr>
          <w:rFonts w:ascii="Palatino Linotype" w:eastAsia="Times New Roman" w:hAnsi="Palatino Linotype" w:cs="Times New Roman"/>
          <w:b/>
          <w:sz w:val="24"/>
          <w:szCs w:val="24"/>
          <w:lang w:eastAsia="es-ES"/>
        </w:rPr>
        <w:t xml:space="preserve"> Recurrente</w:t>
      </w:r>
      <w:r w:rsidRPr="00E66FD9">
        <w:rPr>
          <w:rFonts w:ascii="Palatino Linotype" w:eastAsia="Times New Roman" w:hAnsi="Palatino Linotype" w:cs="Times New Roman"/>
          <w:sz w:val="24"/>
          <w:szCs w:val="24"/>
          <w:lang w:eastAsia="es-ES"/>
        </w:rPr>
        <w:t xml:space="preserve"> en su medio de impugnación que fue materia de estudio, por ello </w:t>
      </w:r>
      <w:r w:rsidRPr="00E66FD9">
        <w:rPr>
          <w:rFonts w:ascii="Palatino Linotype" w:eastAsia="Times New Roman" w:hAnsi="Palatino Linotype" w:cs="Arial"/>
          <w:sz w:val="24"/>
          <w:szCs w:val="24"/>
          <w:lang w:eastAsia="es-ES"/>
        </w:rPr>
        <w:t>con fundamento en la</w:t>
      </w:r>
      <w:r w:rsidRPr="00E66FD9">
        <w:rPr>
          <w:rFonts w:ascii="Palatino Linotype" w:eastAsia="Times New Roman" w:hAnsi="Palatino Linotype" w:cs="Arial"/>
          <w:b/>
          <w:sz w:val="24"/>
          <w:szCs w:val="24"/>
          <w:lang w:eastAsia="es-ES"/>
        </w:rPr>
        <w:t xml:space="preserve"> </w:t>
      </w:r>
      <w:r w:rsidRPr="00E66FD9">
        <w:rPr>
          <w:rFonts w:ascii="Palatino Linotype" w:eastAsia="Times New Roman" w:hAnsi="Palatino Linotype" w:cs="Arial"/>
          <w:b/>
          <w:bCs/>
          <w:i/>
          <w:sz w:val="24"/>
          <w:szCs w:val="24"/>
          <w:lang w:eastAsia="es-ES"/>
        </w:rPr>
        <w:t>primera hipótesis</w:t>
      </w:r>
      <w:r w:rsidRPr="00E66FD9">
        <w:rPr>
          <w:rFonts w:ascii="Palatino Linotype" w:eastAsia="Times New Roman" w:hAnsi="Palatino Linotype" w:cs="Arial"/>
          <w:b/>
          <w:sz w:val="24"/>
          <w:szCs w:val="24"/>
          <w:lang w:eastAsia="es-ES"/>
        </w:rPr>
        <w:t xml:space="preserve"> </w:t>
      </w:r>
      <w:r w:rsidRPr="00E66FD9">
        <w:rPr>
          <w:rFonts w:ascii="Palatino Linotype" w:eastAsia="Times New Roman" w:hAnsi="Palatino Linotype" w:cs="Arial"/>
          <w:sz w:val="24"/>
          <w:szCs w:val="24"/>
          <w:lang w:eastAsia="es-ES"/>
        </w:rPr>
        <w:t>de la fracción</w:t>
      </w:r>
      <w:r w:rsidRPr="00E66FD9">
        <w:rPr>
          <w:rFonts w:ascii="Palatino Linotype" w:eastAsia="Times New Roman" w:hAnsi="Palatino Linotype" w:cs="Arial"/>
          <w:b/>
          <w:sz w:val="24"/>
          <w:szCs w:val="24"/>
          <w:lang w:eastAsia="es-ES"/>
        </w:rPr>
        <w:t xml:space="preserve"> </w:t>
      </w:r>
      <w:r w:rsidRPr="00E66FD9">
        <w:rPr>
          <w:rFonts w:ascii="Palatino Linotype" w:eastAsia="Times New Roman" w:hAnsi="Palatino Linotype" w:cs="Arial"/>
          <w:sz w:val="24"/>
          <w:szCs w:val="24"/>
          <w:lang w:eastAsia="es-ES"/>
        </w:rPr>
        <w:t>III, del artículo 186,</w:t>
      </w:r>
      <w:r w:rsidRPr="00E66FD9">
        <w:rPr>
          <w:rFonts w:ascii="Palatino Linotype" w:eastAsia="Times New Roman" w:hAnsi="Palatino Linotype" w:cs="Arial"/>
          <w:b/>
          <w:sz w:val="24"/>
          <w:szCs w:val="24"/>
          <w:lang w:eastAsia="es-ES"/>
        </w:rPr>
        <w:t xml:space="preserve"> </w:t>
      </w:r>
      <w:r w:rsidRPr="00E66FD9">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E66FD9">
        <w:rPr>
          <w:rFonts w:ascii="Palatino Linotype" w:eastAsia="Times New Roman" w:hAnsi="Palatino Linotype" w:cs="Arial"/>
          <w:b/>
          <w:sz w:val="24"/>
          <w:szCs w:val="24"/>
          <w:lang w:eastAsia="es-ES"/>
        </w:rPr>
        <w:t xml:space="preserve">REVOCA </w:t>
      </w:r>
      <w:r w:rsidRPr="00E66FD9">
        <w:rPr>
          <w:rFonts w:ascii="Palatino Linotype" w:eastAsia="Times New Roman" w:hAnsi="Palatino Linotype" w:cs="Arial"/>
          <w:sz w:val="24"/>
          <w:szCs w:val="24"/>
          <w:lang w:eastAsia="es-ES"/>
        </w:rPr>
        <w:t xml:space="preserve">la respuesta a la solicitud de información número </w:t>
      </w:r>
      <w:r w:rsidRPr="00E66FD9">
        <w:rPr>
          <w:rFonts w:ascii="Palatino Linotype" w:eastAsia="Times New Roman" w:hAnsi="Palatino Linotype" w:cs="Arial"/>
          <w:b/>
          <w:bCs/>
          <w:sz w:val="24"/>
          <w:szCs w:val="24"/>
          <w:lang w:eastAsia="es-ES"/>
        </w:rPr>
        <w:t xml:space="preserve">01638/TEPOTZOT/IP/2025, </w:t>
      </w:r>
      <w:r w:rsidRPr="00E66FD9">
        <w:rPr>
          <w:rFonts w:ascii="Palatino Linotype" w:eastAsia="Times New Roman" w:hAnsi="Palatino Linotype" w:cs="Arial"/>
          <w:sz w:val="24"/>
          <w:szCs w:val="24"/>
          <w:lang w:eastAsia="es-ES"/>
        </w:rPr>
        <w:t xml:space="preserve">que ha sido materia del presente fallo. </w:t>
      </w:r>
    </w:p>
    <w:p w14:paraId="10BF75BB" w14:textId="77777777" w:rsidR="00E748AE" w:rsidRPr="00E66FD9" w:rsidRDefault="00E748AE" w:rsidP="00E748AE">
      <w:pPr>
        <w:spacing w:after="0" w:line="360" w:lineRule="auto"/>
        <w:jc w:val="both"/>
        <w:rPr>
          <w:rFonts w:ascii="Palatino Linotype" w:eastAsia="Times New Roman" w:hAnsi="Palatino Linotype" w:cs="Arial"/>
          <w:sz w:val="24"/>
          <w:szCs w:val="24"/>
          <w:lang w:eastAsia="es-ES"/>
        </w:rPr>
      </w:pPr>
    </w:p>
    <w:p w14:paraId="1C1437A4" w14:textId="77777777" w:rsidR="00E748AE" w:rsidRPr="00E66FD9" w:rsidRDefault="00E748AE" w:rsidP="00E748AE">
      <w:pPr>
        <w:spacing w:after="0" w:line="360" w:lineRule="auto"/>
        <w:jc w:val="both"/>
        <w:rPr>
          <w:rFonts w:ascii="Palatino Linotype" w:eastAsia="Times New Roman" w:hAnsi="Palatino Linotype" w:cs="Times New Roman"/>
          <w:sz w:val="24"/>
          <w:szCs w:val="24"/>
          <w:lang w:eastAsia="es-ES"/>
        </w:rPr>
      </w:pPr>
      <w:r w:rsidRPr="00E66FD9">
        <w:rPr>
          <w:rFonts w:ascii="Palatino Linotype" w:eastAsia="Times New Roman" w:hAnsi="Palatino Linotype" w:cs="Times New Roman"/>
          <w:sz w:val="24"/>
          <w:szCs w:val="24"/>
          <w:lang w:eastAsia="es-ES"/>
        </w:rPr>
        <w:t>Por lo antes expuesto y fundado es de resolverse y,</w:t>
      </w:r>
    </w:p>
    <w:p w14:paraId="4EA7449A" w14:textId="77777777" w:rsidR="00E748AE" w:rsidRPr="00E66FD9" w:rsidRDefault="00E748AE" w:rsidP="00E748AE">
      <w:pPr>
        <w:spacing w:before="240" w:after="240" w:line="360" w:lineRule="auto"/>
        <w:jc w:val="center"/>
        <w:rPr>
          <w:rFonts w:ascii="Palatino Linotype" w:hAnsi="Palatino Linotype"/>
          <w:b/>
          <w:spacing w:val="60"/>
          <w:sz w:val="24"/>
          <w:szCs w:val="24"/>
        </w:rPr>
      </w:pPr>
    </w:p>
    <w:p w14:paraId="46B7D026" w14:textId="77777777" w:rsidR="00E748AE" w:rsidRPr="00E66FD9" w:rsidRDefault="00E748AE" w:rsidP="00E748AE">
      <w:pPr>
        <w:spacing w:before="240" w:after="240" w:line="360" w:lineRule="auto"/>
        <w:jc w:val="center"/>
        <w:rPr>
          <w:rFonts w:ascii="Palatino Linotype" w:hAnsi="Palatino Linotype"/>
          <w:b/>
          <w:spacing w:val="60"/>
          <w:sz w:val="24"/>
          <w:szCs w:val="24"/>
        </w:rPr>
      </w:pPr>
      <w:r w:rsidRPr="00E66FD9">
        <w:rPr>
          <w:rFonts w:ascii="Palatino Linotype" w:hAnsi="Palatino Linotype"/>
          <w:b/>
          <w:spacing w:val="60"/>
          <w:sz w:val="24"/>
          <w:szCs w:val="24"/>
        </w:rPr>
        <w:t>S E RESUELVE</w:t>
      </w:r>
    </w:p>
    <w:p w14:paraId="14B91CC6" w14:textId="5B199D8A" w:rsidR="00E748AE" w:rsidRPr="00E66FD9" w:rsidRDefault="00E748AE" w:rsidP="00E748AE">
      <w:pPr>
        <w:spacing w:before="240" w:line="360" w:lineRule="auto"/>
        <w:jc w:val="both"/>
        <w:rPr>
          <w:rFonts w:ascii="Palatino Linotype" w:hAnsi="Palatino Linotype" w:cs="Arial"/>
          <w:sz w:val="24"/>
          <w:szCs w:val="24"/>
        </w:rPr>
      </w:pPr>
      <w:r w:rsidRPr="00E66FD9">
        <w:rPr>
          <w:rFonts w:ascii="Palatino Linotype" w:hAnsi="Palatino Linotype" w:cs="Arial"/>
          <w:b/>
          <w:sz w:val="28"/>
          <w:szCs w:val="28"/>
          <w:lang w:val="es-ES_tradnl"/>
        </w:rPr>
        <w:t>PRIMERO.</w:t>
      </w:r>
      <w:r w:rsidRPr="00E66FD9">
        <w:rPr>
          <w:rFonts w:ascii="Palatino Linotype" w:hAnsi="Palatino Linotype" w:cs="Arial"/>
          <w:sz w:val="24"/>
          <w:szCs w:val="24"/>
          <w:lang w:val="es-ES_tradnl"/>
        </w:rPr>
        <w:t xml:space="preserve"> </w:t>
      </w:r>
      <w:r w:rsidRPr="00E66FD9">
        <w:rPr>
          <w:rFonts w:ascii="Palatino Linotype" w:hAnsi="Palatino Linotype" w:cs="Arial"/>
          <w:sz w:val="24"/>
          <w:szCs w:val="24"/>
        </w:rPr>
        <w:t xml:space="preserve">Se </w:t>
      </w:r>
      <w:r w:rsidRPr="00E66FD9">
        <w:rPr>
          <w:rFonts w:ascii="Palatino Linotype" w:hAnsi="Palatino Linotype" w:cs="Arial"/>
          <w:b/>
          <w:sz w:val="24"/>
          <w:szCs w:val="24"/>
        </w:rPr>
        <w:t xml:space="preserve">REVOCA </w:t>
      </w:r>
      <w:r w:rsidRPr="00E66FD9">
        <w:rPr>
          <w:rFonts w:ascii="Palatino Linotype" w:hAnsi="Palatino Linotype" w:cs="Arial"/>
          <w:sz w:val="24"/>
          <w:szCs w:val="24"/>
        </w:rPr>
        <w:t xml:space="preserve">la respuesta entregada por </w:t>
      </w:r>
      <w:r w:rsidRPr="00E66FD9">
        <w:rPr>
          <w:rFonts w:ascii="Palatino Linotype" w:hAnsi="Palatino Linotype" w:cs="Arial"/>
          <w:b/>
          <w:sz w:val="24"/>
          <w:szCs w:val="24"/>
        </w:rPr>
        <w:t xml:space="preserve">EL SUJETO OBLIGADO, </w:t>
      </w:r>
      <w:r w:rsidRPr="00E66FD9">
        <w:rPr>
          <w:rFonts w:ascii="Palatino Linotype" w:hAnsi="Palatino Linotype" w:cs="Arial"/>
          <w:sz w:val="24"/>
          <w:szCs w:val="24"/>
        </w:rPr>
        <w:t xml:space="preserve">a la solicitud de información número </w:t>
      </w:r>
      <w:r w:rsidRPr="00E66FD9">
        <w:rPr>
          <w:rFonts w:ascii="Palatino Linotype" w:eastAsia="Times New Roman" w:hAnsi="Palatino Linotype" w:cs="Arial"/>
          <w:b/>
          <w:bCs/>
          <w:sz w:val="24"/>
          <w:szCs w:val="24"/>
          <w:lang w:eastAsia="es-ES"/>
        </w:rPr>
        <w:t xml:space="preserve">01638/TEPOTZOT/IP/2025 </w:t>
      </w:r>
      <w:r w:rsidRPr="00E66FD9">
        <w:rPr>
          <w:rFonts w:ascii="Palatino Linotype" w:eastAsia="Times New Roman" w:hAnsi="Palatino Linotype" w:cs="Times New Roman"/>
          <w:bCs/>
          <w:sz w:val="24"/>
          <w:szCs w:val="24"/>
          <w:lang w:eastAsia="es-ES"/>
        </w:rPr>
        <w:t>por</w:t>
      </w:r>
      <w:r w:rsidRPr="00E66FD9">
        <w:rPr>
          <w:rFonts w:ascii="Palatino Linotype" w:hAnsi="Palatino Linotype" w:cs="Arial"/>
          <w:sz w:val="24"/>
          <w:szCs w:val="24"/>
        </w:rPr>
        <w:t xml:space="preserve"> resultar fundados los motivos de inconformidad que arguye </w:t>
      </w:r>
      <w:r w:rsidR="009F5079" w:rsidRPr="00E66FD9">
        <w:rPr>
          <w:rFonts w:ascii="Palatino Linotype" w:hAnsi="Palatino Linotype" w:cs="Arial"/>
          <w:b/>
          <w:sz w:val="24"/>
          <w:szCs w:val="24"/>
        </w:rPr>
        <w:t>LA</w:t>
      </w:r>
      <w:r w:rsidRPr="00E66FD9">
        <w:rPr>
          <w:rFonts w:ascii="Palatino Linotype" w:hAnsi="Palatino Linotype" w:cs="Arial"/>
          <w:b/>
          <w:sz w:val="24"/>
          <w:szCs w:val="24"/>
        </w:rPr>
        <w:t xml:space="preserve"> RECURRENTE, </w:t>
      </w:r>
      <w:r w:rsidRPr="00E66FD9">
        <w:rPr>
          <w:rFonts w:ascii="Palatino Linotype" w:hAnsi="Palatino Linotype" w:cs="Arial"/>
          <w:sz w:val="24"/>
          <w:szCs w:val="24"/>
        </w:rPr>
        <w:t xml:space="preserve">en términos del considerando </w:t>
      </w:r>
      <w:r w:rsidRPr="00E66FD9">
        <w:rPr>
          <w:rFonts w:ascii="Palatino Linotype" w:hAnsi="Palatino Linotype" w:cs="Arial"/>
          <w:b/>
          <w:sz w:val="24"/>
          <w:szCs w:val="24"/>
        </w:rPr>
        <w:t xml:space="preserve">CUARTO </w:t>
      </w:r>
      <w:r w:rsidRPr="00E66FD9">
        <w:rPr>
          <w:rFonts w:ascii="Palatino Linotype" w:hAnsi="Palatino Linotype" w:cs="Arial"/>
          <w:sz w:val="24"/>
          <w:szCs w:val="24"/>
        </w:rPr>
        <w:t xml:space="preserve">de la presente resolución. </w:t>
      </w:r>
    </w:p>
    <w:p w14:paraId="1C918FAE" w14:textId="77777777" w:rsidR="00E748AE" w:rsidRPr="00E66FD9" w:rsidRDefault="00E748AE" w:rsidP="00E748AE">
      <w:pPr>
        <w:spacing w:before="240" w:line="360" w:lineRule="auto"/>
        <w:jc w:val="both"/>
        <w:rPr>
          <w:rFonts w:ascii="Palatino Linotype" w:hAnsi="Palatino Linotype" w:cs="Arial"/>
          <w:sz w:val="24"/>
          <w:szCs w:val="24"/>
        </w:rPr>
      </w:pPr>
    </w:p>
    <w:p w14:paraId="2C982AFF" w14:textId="5F9557D4" w:rsidR="00E748AE" w:rsidRPr="00E66FD9" w:rsidRDefault="00E748AE" w:rsidP="00E748AE">
      <w:pPr>
        <w:spacing w:before="240" w:line="360" w:lineRule="auto"/>
        <w:jc w:val="both"/>
        <w:rPr>
          <w:rFonts w:ascii="Palatino Linotype" w:hAnsi="Palatino Linotype" w:cs="Arial"/>
          <w:sz w:val="24"/>
          <w:szCs w:val="24"/>
        </w:rPr>
      </w:pPr>
      <w:r w:rsidRPr="00E66FD9">
        <w:rPr>
          <w:rFonts w:ascii="Palatino Linotype" w:hAnsi="Palatino Linotype" w:cs="Arial"/>
          <w:b/>
          <w:sz w:val="28"/>
          <w:szCs w:val="28"/>
        </w:rPr>
        <w:t>SEGUNDO.</w:t>
      </w:r>
      <w:r w:rsidRPr="00E66FD9">
        <w:rPr>
          <w:rFonts w:ascii="Palatino Linotype" w:hAnsi="Palatino Linotype" w:cs="Arial"/>
          <w:sz w:val="24"/>
          <w:szCs w:val="24"/>
        </w:rPr>
        <w:t xml:space="preserve"> Se </w:t>
      </w:r>
      <w:r w:rsidRPr="00E66FD9">
        <w:rPr>
          <w:rFonts w:ascii="Palatino Linotype" w:hAnsi="Palatino Linotype" w:cs="Arial"/>
          <w:b/>
          <w:sz w:val="24"/>
          <w:szCs w:val="24"/>
        </w:rPr>
        <w:t>ORDENA</w:t>
      </w:r>
      <w:r w:rsidRPr="00E66FD9">
        <w:rPr>
          <w:rFonts w:ascii="Palatino Linotype" w:hAnsi="Palatino Linotype" w:cs="Arial"/>
          <w:sz w:val="24"/>
          <w:szCs w:val="24"/>
        </w:rPr>
        <w:t xml:space="preserve"> al </w:t>
      </w:r>
      <w:r w:rsidRPr="00E66FD9">
        <w:rPr>
          <w:rFonts w:ascii="Palatino Linotype" w:hAnsi="Palatino Linotype" w:cs="Arial"/>
          <w:b/>
          <w:sz w:val="24"/>
          <w:szCs w:val="24"/>
        </w:rPr>
        <w:t>SUJETO OBLIGADO</w:t>
      </w:r>
      <w:r w:rsidRPr="00E66FD9">
        <w:rPr>
          <w:rFonts w:ascii="Palatino Linotype" w:hAnsi="Palatino Linotype" w:cs="Arial"/>
          <w:sz w:val="24"/>
          <w:szCs w:val="24"/>
        </w:rPr>
        <w:t xml:space="preserve"> realizar una búsqueda exhaustiva y razonable, a efecto de que haga entrega a</w:t>
      </w:r>
      <w:r w:rsidR="009F5079" w:rsidRPr="00E66FD9">
        <w:rPr>
          <w:rFonts w:ascii="Palatino Linotype" w:hAnsi="Palatino Linotype" w:cs="Arial"/>
          <w:sz w:val="24"/>
          <w:szCs w:val="24"/>
        </w:rPr>
        <w:t xml:space="preserve"> </w:t>
      </w:r>
      <w:r w:rsidR="009F5079" w:rsidRPr="00E66FD9">
        <w:rPr>
          <w:rFonts w:ascii="Palatino Linotype" w:hAnsi="Palatino Linotype" w:cs="Arial"/>
          <w:b/>
          <w:bCs/>
          <w:sz w:val="24"/>
          <w:szCs w:val="24"/>
        </w:rPr>
        <w:t>LA</w:t>
      </w:r>
      <w:r w:rsidRPr="00E66FD9">
        <w:rPr>
          <w:rFonts w:ascii="Palatino Linotype" w:hAnsi="Palatino Linotype" w:cs="Arial"/>
          <w:sz w:val="24"/>
          <w:szCs w:val="24"/>
        </w:rPr>
        <w:t xml:space="preserve"> </w:t>
      </w:r>
      <w:r w:rsidRPr="00E66FD9">
        <w:rPr>
          <w:rFonts w:ascii="Palatino Linotype" w:hAnsi="Palatino Linotype" w:cs="Arial"/>
          <w:b/>
          <w:bCs/>
          <w:sz w:val="24"/>
          <w:szCs w:val="24"/>
        </w:rPr>
        <w:t xml:space="preserve">RECURRENTE, </w:t>
      </w:r>
      <w:r w:rsidRPr="00E66FD9">
        <w:rPr>
          <w:rFonts w:ascii="Palatino Linotype" w:eastAsia="Times New Roman" w:hAnsi="Palatino Linotype" w:cs="Arial"/>
          <w:bCs/>
          <w:sz w:val="24"/>
          <w:szCs w:val="24"/>
          <w:lang w:eastAsia="es-ES"/>
        </w:rPr>
        <w:t>vía</w:t>
      </w:r>
      <w:r w:rsidRPr="00E66FD9">
        <w:rPr>
          <w:rFonts w:ascii="Palatino Linotype" w:eastAsia="Times New Roman" w:hAnsi="Palatino Linotype" w:cs="Arial"/>
          <w:b/>
          <w:sz w:val="24"/>
          <w:szCs w:val="24"/>
          <w:lang w:eastAsia="es-ES"/>
        </w:rPr>
        <w:t xml:space="preserve"> </w:t>
      </w:r>
      <w:r w:rsidRPr="00E66FD9">
        <w:rPr>
          <w:rFonts w:ascii="Palatino Linotype" w:hAnsi="Palatino Linotype" w:cs="Arial"/>
          <w:sz w:val="24"/>
          <w:szCs w:val="24"/>
        </w:rPr>
        <w:t xml:space="preserve">Sistema de Acceso a la Información Mexiquense </w:t>
      </w:r>
      <w:r w:rsidRPr="00E66FD9">
        <w:rPr>
          <w:rFonts w:ascii="Palatino Linotype" w:hAnsi="Palatino Linotype" w:cs="Arial"/>
          <w:b/>
          <w:sz w:val="24"/>
          <w:szCs w:val="24"/>
        </w:rPr>
        <w:t>(SAIMEX),</w:t>
      </w:r>
      <w:r w:rsidRPr="00E66FD9">
        <w:rPr>
          <w:rFonts w:ascii="Palatino Linotype" w:hAnsi="Palatino Linotype" w:cs="Arial"/>
          <w:b/>
          <w:bCs/>
          <w:sz w:val="24"/>
          <w:szCs w:val="24"/>
        </w:rPr>
        <w:t xml:space="preserve"> </w:t>
      </w:r>
      <w:r w:rsidRPr="00E66FD9">
        <w:rPr>
          <w:rFonts w:ascii="Palatino Linotype" w:hAnsi="Palatino Linotype" w:cs="Arial"/>
          <w:sz w:val="24"/>
          <w:szCs w:val="24"/>
        </w:rPr>
        <w:t xml:space="preserve">en versión pública de ser </w:t>
      </w:r>
      <w:r w:rsidRPr="00E66FD9">
        <w:rPr>
          <w:rFonts w:ascii="Palatino Linotype" w:hAnsi="Palatino Linotype" w:cs="Arial"/>
          <w:sz w:val="24"/>
          <w:szCs w:val="24"/>
        </w:rPr>
        <w:lastRenderedPageBreak/>
        <w:t xml:space="preserve">procedente, al mayor grado de desagregación, en términos del Considerando </w:t>
      </w:r>
      <w:r w:rsidRPr="00E66FD9">
        <w:rPr>
          <w:rFonts w:ascii="Palatino Linotype" w:hAnsi="Palatino Linotype" w:cs="Arial"/>
          <w:b/>
          <w:sz w:val="24"/>
          <w:szCs w:val="24"/>
        </w:rPr>
        <w:t xml:space="preserve">CUARTO </w:t>
      </w:r>
      <w:r w:rsidRPr="00E66FD9">
        <w:rPr>
          <w:rFonts w:ascii="Palatino Linotype" w:hAnsi="Palatino Linotype" w:cs="Arial"/>
          <w:sz w:val="24"/>
          <w:szCs w:val="24"/>
        </w:rPr>
        <w:t>de esta resolución</w:t>
      </w:r>
      <w:r w:rsidRPr="00E66FD9">
        <w:rPr>
          <w:rFonts w:ascii="Palatino Linotype" w:hAnsi="Palatino Linotype" w:cs="Arial"/>
          <w:b/>
          <w:sz w:val="24"/>
          <w:szCs w:val="24"/>
        </w:rPr>
        <w:t xml:space="preserve">, </w:t>
      </w:r>
      <w:r w:rsidRPr="00E66FD9">
        <w:rPr>
          <w:rFonts w:ascii="Palatino Linotype" w:hAnsi="Palatino Linotype" w:cs="Arial"/>
          <w:sz w:val="24"/>
          <w:szCs w:val="24"/>
        </w:rPr>
        <w:t>de lo siguiente:</w:t>
      </w:r>
    </w:p>
    <w:p w14:paraId="159D98C7" w14:textId="70F714FB" w:rsidR="00E748AE" w:rsidRPr="00E66FD9" w:rsidRDefault="00E748AE" w:rsidP="00E748AE">
      <w:pPr>
        <w:pStyle w:val="Prrafodelista"/>
        <w:numPr>
          <w:ilvl w:val="0"/>
          <w:numId w:val="28"/>
        </w:numPr>
        <w:autoSpaceDE w:val="0"/>
        <w:autoSpaceDN w:val="0"/>
        <w:adjustRightInd w:val="0"/>
        <w:spacing w:before="240" w:after="160" w:line="360" w:lineRule="auto"/>
        <w:jc w:val="both"/>
        <w:rPr>
          <w:rFonts w:ascii="Palatino Linotype" w:hAnsi="Palatino Linotype" w:cs="Arial"/>
          <w:b/>
          <w:i/>
          <w:iCs/>
          <w:sz w:val="28"/>
          <w:lang w:val="es-MX"/>
        </w:rPr>
      </w:pPr>
      <w:r w:rsidRPr="00E66FD9">
        <w:rPr>
          <w:rFonts w:ascii="Palatino Linotype" w:hAnsi="Palatino Linotype" w:cs="Arial"/>
          <w:bCs/>
          <w:i/>
          <w:iCs/>
          <w:lang w:val="es-MX"/>
        </w:rPr>
        <w:t xml:space="preserve">El o los documentos donde conste el listado de todos los proveedores contratados, así como el monto total pagado, concepto del gasto, contrato, justificación de </w:t>
      </w:r>
      <w:r w:rsidR="000416AA" w:rsidRPr="00E66FD9">
        <w:rPr>
          <w:rFonts w:ascii="Palatino Linotype" w:hAnsi="Palatino Linotype" w:cs="Arial"/>
          <w:bCs/>
          <w:i/>
          <w:iCs/>
          <w:lang w:val="es-MX"/>
        </w:rPr>
        <w:t xml:space="preserve">la </w:t>
      </w:r>
      <w:r w:rsidRPr="00E66FD9">
        <w:rPr>
          <w:rFonts w:ascii="Palatino Linotype" w:hAnsi="Palatino Linotype" w:cs="Arial"/>
          <w:bCs/>
          <w:i/>
          <w:iCs/>
          <w:lang w:val="es-MX"/>
        </w:rPr>
        <w:t xml:space="preserve">adjudicación directa o equivalente, evidencia de entrega de bienes o servicios, del periodo comprendido del uno de enero de dos mil veintidós al dos de diciembre de dos mil veinticinco. </w:t>
      </w:r>
    </w:p>
    <w:p w14:paraId="5D0DEAA3" w14:textId="4A4616E2" w:rsidR="00E748AE" w:rsidRPr="00E66FD9" w:rsidRDefault="00E748AE" w:rsidP="00E748AE">
      <w:pPr>
        <w:pStyle w:val="Sinespaciado"/>
        <w:spacing w:line="360" w:lineRule="auto"/>
        <w:ind w:left="720"/>
        <w:jc w:val="both"/>
        <w:rPr>
          <w:rFonts w:ascii="Palatino Linotype" w:hAnsi="Palatino Linotype" w:cs="Arial"/>
          <w:i/>
        </w:rPr>
      </w:pPr>
      <w:r w:rsidRPr="00E66FD9">
        <w:rPr>
          <w:rFonts w:ascii="Palatino Linotype" w:hAnsi="Palatino Linotype" w:cs="Arial"/>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w:t>
      </w:r>
      <w:r w:rsidR="009F5079" w:rsidRPr="00E66FD9">
        <w:rPr>
          <w:rFonts w:ascii="Palatino Linotype" w:hAnsi="Palatino Linotype" w:cs="Arial"/>
          <w:i/>
        </w:rPr>
        <w:t xml:space="preserve"> la</w:t>
      </w:r>
      <w:r w:rsidRPr="00E66FD9">
        <w:rPr>
          <w:rFonts w:ascii="Palatino Linotype" w:hAnsi="Palatino Linotype" w:cs="Arial"/>
          <w:i/>
        </w:rPr>
        <w:t xml:space="preserve"> recurrente.</w:t>
      </w:r>
    </w:p>
    <w:p w14:paraId="79EF49F3" w14:textId="77777777" w:rsidR="00E748AE" w:rsidRPr="00E66FD9" w:rsidRDefault="00E748AE" w:rsidP="00E748AE">
      <w:pPr>
        <w:pStyle w:val="Sinespaciado"/>
        <w:spacing w:line="360" w:lineRule="auto"/>
        <w:ind w:left="720"/>
        <w:jc w:val="both"/>
        <w:rPr>
          <w:rFonts w:ascii="Palatino Linotype" w:hAnsi="Palatino Linotype" w:cs="Arial"/>
          <w:i/>
        </w:rPr>
      </w:pPr>
    </w:p>
    <w:p w14:paraId="6BF4EE34" w14:textId="77777777" w:rsidR="00E748AE" w:rsidRPr="00E66FD9" w:rsidRDefault="00E748AE" w:rsidP="00E748AE">
      <w:pPr>
        <w:spacing w:line="360" w:lineRule="auto"/>
        <w:jc w:val="both"/>
        <w:rPr>
          <w:rFonts w:ascii="Palatino Linotype" w:hAnsi="Palatino Linotype" w:cs="Tahoma"/>
          <w:bCs/>
          <w:sz w:val="24"/>
          <w:szCs w:val="24"/>
        </w:rPr>
      </w:pPr>
      <w:r w:rsidRPr="00E66FD9">
        <w:rPr>
          <w:rFonts w:ascii="Palatino Linotype" w:hAnsi="Palatino Linotype" w:cs="Arial"/>
          <w:b/>
          <w:sz w:val="24"/>
          <w:szCs w:val="24"/>
        </w:rPr>
        <w:t>TERCERO.</w:t>
      </w:r>
      <w:r w:rsidRPr="00E66FD9">
        <w:rPr>
          <w:rFonts w:ascii="Palatino Linotype" w:hAnsi="Palatino Linotype" w:cs="Arial"/>
          <w:sz w:val="24"/>
          <w:szCs w:val="24"/>
        </w:rPr>
        <w:t xml:space="preserve"> </w:t>
      </w:r>
      <w:r w:rsidRPr="00E66FD9">
        <w:rPr>
          <w:rFonts w:ascii="Palatino Linotype" w:hAnsi="Palatino Linotype" w:cs="Tahoma"/>
          <w:b/>
          <w:sz w:val="24"/>
          <w:szCs w:val="24"/>
        </w:rPr>
        <w:t xml:space="preserve">NOTIFÍQUESE </w:t>
      </w:r>
      <w:r w:rsidRPr="00E66FD9">
        <w:rPr>
          <w:rFonts w:ascii="Palatino Linotype" w:hAnsi="Palatino Linotype" w:cs="Arial"/>
          <w:sz w:val="24"/>
          <w:szCs w:val="24"/>
        </w:rPr>
        <w:t xml:space="preserve">a través del Sistema de Acceso a la Información Mexiquense </w:t>
      </w:r>
      <w:r w:rsidRPr="00E66FD9">
        <w:rPr>
          <w:rFonts w:ascii="Palatino Linotype" w:hAnsi="Palatino Linotype" w:cs="Arial"/>
          <w:b/>
          <w:sz w:val="24"/>
          <w:szCs w:val="24"/>
        </w:rPr>
        <w:t>(SAIMEX)</w:t>
      </w:r>
      <w:r w:rsidRPr="00E66FD9">
        <w:rPr>
          <w:rFonts w:ascii="Palatino Linotype" w:hAnsi="Palatino Linotype" w:cs="Arial"/>
          <w:sz w:val="24"/>
          <w:szCs w:val="24"/>
        </w:rPr>
        <w:t xml:space="preserve">, </w:t>
      </w:r>
      <w:r w:rsidRPr="00E66FD9">
        <w:rPr>
          <w:rFonts w:ascii="Palatino Linotype" w:hAnsi="Palatino Linotype" w:cs="Tahoma"/>
          <w:sz w:val="24"/>
          <w:szCs w:val="24"/>
        </w:rPr>
        <w:t xml:space="preserve">la presente Resolución al Titular de la Unidad de Transparencia del </w:t>
      </w:r>
      <w:r w:rsidRPr="00E66FD9">
        <w:rPr>
          <w:rFonts w:ascii="Palatino Linotype" w:hAnsi="Palatino Linotype" w:cs="Tahoma"/>
          <w:b/>
          <w:sz w:val="24"/>
          <w:szCs w:val="24"/>
        </w:rPr>
        <w:t>Sujeto Obligado</w:t>
      </w:r>
      <w:r w:rsidRPr="00E66FD9">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E66FD9">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F101B20" w14:textId="77777777" w:rsidR="00E748AE" w:rsidRPr="00E66FD9" w:rsidRDefault="00E748AE" w:rsidP="00E748AE">
      <w:pPr>
        <w:autoSpaceDE w:val="0"/>
        <w:autoSpaceDN w:val="0"/>
        <w:adjustRightInd w:val="0"/>
        <w:spacing w:line="360" w:lineRule="auto"/>
        <w:jc w:val="both"/>
        <w:rPr>
          <w:rFonts w:ascii="Palatino Linotype" w:hAnsi="Palatino Linotype" w:cs="Arial"/>
          <w:sz w:val="24"/>
          <w:szCs w:val="24"/>
        </w:rPr>
      </w:pPr>
      <w:r w:rsidRPr="00E66FD9">
        <w:rPr>
          <w:rFonts w:ascii="Palatino Linotype" w:hAnsi="Palatino Linotype" w:cs="Arial"/>
          <w:b/>
          <w:sz w:val="24"/>
          <w:szCs w:val="24"/>
        </w:rPr>
        <w:lastRenderedPageBreak/>
        <w:t xml:space="preserve">CUARTO. </w:t>
      </w:r>
      <w:r w:rsidRPr="00E66FD9">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E66FD9">
        <w:rPr>
          <w:rFonts w:ascii="Palatino Linotype" w:hAnsi="Palatino Linotype" w:cs="Arial"/>
          <w:b/>
          <w:sz w:val="24"/>
          <w:szCs w:val="24"/>
        </w:rPr>
        <w:t>Sujeto Obligado</w:t>
      </w:r>
      <w:r w:rsidRPr="00E66FD9">
        <w:rPr>
          <w:rFonts w:ascii="Palatino Linotype" w:hAnsi="Palatino Linotype" w:cs="Arial"/>
          <w:sz w:val="24"/>
          <w:szCs w:val="24"/>
        </w:rPr>
        <w:t xml:space="preserve"> de manera fundada y motivada, podrá solicitar una ampliación de plazo para el cumplimiento de la presente resolución.</w:t>
      </w:r>
    </w:p>
    <w:p w14:paraId="17ED6136" w14:textId="77777777" w:rsidR="00E748AE" w:rsidRPr="00E66FD9" w:rsidRDefault="00E748AE" w:rsidP="00E748AE">
      <w:pPr>
        <w:autoSpaceDE w:val="0"/>
        <w:autoSpaceDN w:val="0"/>
        <w:adjustRightInd w:val="0"/>
        <w:spacing w:line="360" w:lineRule="auto"/>
        <w:jc w:val="both"/>
        <w:rPr>
          <w:rFonts w:ascii="Palatino Linotype" w:hAnsi="Palatino Linotype" w:cs="Arial"/>
          <w:sz w:val="24"/>
          <w:szCs w:val="24"/>
        </w:rPr>
      </w:pPr>
    </w:p>
    <w:p w14:paraId="08B70C25" w14:textId="352CBEB1" w:rsidR="00E748AE" w:rsidRPr="00E66FD9" w:rsidRDefault="00E748AE" w:rsidP="00E748AE">
      <w:pPr>
        <w:autoSpaceDE w:val="0"/>
        <w:autoSpaceDN w:val="0"/>
        <w:adjustRightInd w:val="0"/>
        <w:spacing w:line="360" w:lineRule="auto"/>
        <w:jc w:val="both"/>
        <w:rPr>
          <w:rFonts w:ascii="Palatino Linotype" w:hAnsi="Palatino Linotype" w:cs="Arial"/>
          <w:sz w:val="24"/>
          <w:szCs w:val="24"/>
        </w:rPr>
      </w:pPr>
      <w:r w:rsidRPr="00E66FD9">
        <w:rPr>
          <w:rFonts w:ascii="Palatino Linotype" w:hAnsi="Palatino Linotype"/>
          <w:b/>
          <w:sz w:val="24"/>
          <w:szCs w:val="24"/>
        </w:rPr>
        <w:t xml:space="preserve">QUINTO. </w:t>
      </w:r>
      <w:r w:rsidRPr="00E66FD9">
        <w:rPr>
          <w:rFonts w:ascii="Palatino Linotype" w:hAnsi="Palatino Linotype" w:cs="Arial"/>
          <w:b/>
          <w:sz w:val="24"/>
          <w:szCs w:val="24"/>
        </w:rPr>
        <w:t>NOTIFÍQUESE</w:t>
      </w:r>
      <w:r w:rsidRPr="00E66FD9">
        <w:rPr>
          <w:rFonts w:ascii="Palatino Linotype" w:hAnsi="Palatino Linotype" w:cs="Arial"/>
          <w:sz w:val="24"/>
          <w:szCs w:val="24"/>
        </w:rPr>
        <w:t xml:space="preserve"> a través del Sistema de Acceso a la Información Mexiquense </w:t>
      </w:r>
      <w:r w:rsidRPr="00E66FD9">
        <w:rPr>
          <w:rFonts w:ascii="Palatino Linotype" w:hAnsi="Palatino Linotype" w:cs="Arial"/>
          <w:b/>
          <w:bCs/>
          <w:sz w:val="24"/>
          <w:szCs w:val="24"/>
        </w:rPr>
        <w:t>(SAIMEX),</w:t>
      </w:r>
      <w:r w:rsidRPr="00E66FD9">
        <w:rPr>
          <w:rFonts w:ascii="Palatino Linotype" w:hAnsi="Palatino Linotype" w:cs="Arial"/>
          <w:sz w:val="24"/>
          <w:szCs w:val="24"/>
        </w:rPr>
        <w:t xml:space="preserve"> a</w:t>
      </w:r>
      <w:r w:rsidR="009F5079" w:rsidRPr="00E66FD9">
        <w:rPr>
          <w:rFonts w:ascii="Palatino Linotype" w:hAnsi="Palatino Linotype" w:cs="Arial"/>
          <w:sz w:val="24"/>
          <w:szCs w:val="24"/>
        </w:rPr>
        <w:t xml:space="preserve"> </w:t>
      </w:r>
      <w:r w:rsidR="009F5079" w:rsidRPr="00E66FD9">
        <w:rPr>
          <w:rFonts w:ascii="Palatino Linotype" w:hAnsi="Palatino Linotype" w:cs="Arial"/>
          <w:b/>
          <w:bCs/>
          <w:sz w:val="24"/>
          <w:szCs w:val="24"/>
        </w:rPr>
        <w:t>LA</w:t>
      </w:r>
      <w:r w:rsidRPr="00E66FD9">
        <w:rPr>
          <w:rFonts w:ascii="Palatino Linotype" w:hAnsi="Palatino Linotype" w:cs="Arial"/>
          <w:sz w:val="24"/>
          <w:szCs w:val="24"/>
        </w:rPr>
        <w:t xml:space="preserve"> </w:t>
      </w:r>
      <w:r w:rsidRPr="00E66FD9">
        <w:rPr>
          <w:rFonts w:ascii="Palatino Linotype" w:hAnsi="Palatino Linotype" w:cs="Arial"/>
          <w:b/>
          <w:sz w:val="24"/>
          <w:szCs w:val="24"/>
        </w:rPr>
        <w:t>RECURRENTE</w:t>
      </w:r>
      <w:r w:rsidRPr="00E66FD9">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1598B68" w14:textId="77777777" w:rsidR="00E748AE" w:rsidRPr="00E66FD9" w:rsidRDefault="00E748AE" w:rsidP="00E748AE">
      <w:pPr>
        <w:autoSpaceDE w:val="0"/>
        <w:autoSpaceDN w:val="0"/>
        <w:adjustRightInd w:val="0"/>
        <w:spacing w:line="360" w:lineRule="auto"/>
        <w:jc w:val="both"/>
        <w:rPr>
          <w:rFonts w:ascii="Palatino Linotype" w:hAnsi="Palatino Linotype" w:cs="Arial"/>
          <w:sz w:val="24"/>
          <w:szCs w:val="24"/>
        </w:rPr>
      </w:pPr>
    </w:p>
    <w:p w14:paraId="1345F5D1" w14:textId="66F2B9C3" w:rsidR="00E748AE" w:rsidRPr="00E66FD9" w:rsidRDefault="00E66FD9" w:rsidP="00E748AE">
      <w:pPr>
        <w:pStyle w:val="Prrafodelista"/>
        <w:autoSpaceDE w:val="0"/>
        <w:autoSpaceDN w:val="0"/>
        <w:adjustRightInd w:val="0"/>
        <w:spacing w:before="240" w:after="160" w:line="360" w:lineRule="auto"/>
        <w:ind w:left="0"/>
        <w:jc w:val="both"/>
        <w:rPr>
          <w:rFonts w:ascii="Palatino Linotype" w:hAnsi="Palatino Linotype" w:cs="Arial"/>
          <w:lang w:val="es-MX"/>
        </w:rPr>
      </w:pPr>
      <w:r w:rsidRPr="00E66FD9">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E748AE" w:rsidRPr="00E66FD9">
        <w:rPr>
          <w:rFonts w:ascii="Palatino Linotype" w:hAnsi="Palatino Linotype" w:cs="Arial"/>
        </w:rPr>
        <w:t xml:space="preserve">. </w:t>
      </w:r>
    </w:p>
    <w:p w14:paraId="7DF40F17" w14:textId="77777777" w:rsidR="00E748AE" w:rsidRDefault="00E748AE" w:rsidP="00E748AE">
      <w:pPr>
        <w:spacing w:line="360" w:lineRule="auto"/>
        <w:rPr>
          <w:rFonts w:ascii="Palatino Linotype" w:hAnsi="Palatino Linotype"/>
        </w:rPr>
      </w:pPr>
      <w:r w:rsidRPr="00E66FD9">
        <w:rPr>
          <w:rFonts w:ascii="Palatino Linotype" w:hAnsi="Palatino Linotype"/>
        </w:rPr>
        <w:t>CCR/JCMA</w:t>
      </w:r>
    </w:p>
    <w:p w14:paraId="16F3E017" w14:textId="07590B05" w:rsidR="00E748AE" w:rsidRDefault="00E748AE" w:rsidP="00E748AE">
      <w:pPr>
        <w:pStyle w:val="Citas"/>
        <w:ind w:left="0" w:right="0"/>
        <w:rPr>
          <w:bCs/>
          <w:i w:val="0"/>
          <w:iCs/>
          <w:sz w:val="18"/>
          <w:szCs w:val="18"/>
        </w:rPr>
      </w:pPr>
    </w:p>
    <w:p w14:paraId="24E89A37" w14:textId="77777777" w:rsidR="00E748AE" w:rsidRDefault="00E748AE" w:rsidP="00E748AE">
      <w:pPr>
        <w:pStyle w:val="Citas"/>
        <w:ind w:left="0" w:right="0"/>
        <w:rPr>
          <w:bCs/>
          <w:i w:val="0"/>
          <w:iCs/>
          <w:sz w:val="18"/>
          <w:szCs w:val="18"/>
        </w:rPr>
      </w:pPr>
    </w:p>
    <w:p w14:paraId="24CBEAAB" w14:textId="77777777" w:rsidR="00E748AE" w:rsidRPr="00E748AE" w:rsidRDefault="00E748AE" w:rsidP="00566D97">
      <w:pPr>
        <w:spacing w:after="240" w:line="360" w:lineRule="auto"/>
        <w:jc w:val="both"/>
        <w:rPr>
          <w:rFonts w:ascii="Palatino Linotype" w:hAnsi="Palatino Linotype" w:cs="Arial"/>
          <w:color w:val="000000"/>
          <w:sz w:val="24"/>
          <w:lang w:val="es-ES_tradnl"/>
        </w:rPr>
      </w:pPr>
    </w:p>
    <w:sectPr w:rsidR="00E748AE" w:rsidRPr="00E748AE" w:rsidSect="00FB4AAD">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A8CD2" w14:textId="77777777" w:rsidR="00446094" w:rsidRDefault="00446094" w:rsidP="006168E4">
      <w:pPr>
        <w:spacing w:after="0" w:line="240" w:lineRule="auto"/>
      </w:pPr>
      <w:r>
        <w:separator/>
      </w:r>
    </w:p>
  </w:endnote>
  <w:endnote w:type="continuationSeparator" w:id="0">
    <w:p w14:paraId="77E326AA" w14:textId="77777777" w:rsidR="00446094" w:rsidRDefault="00446094"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E3C6B">
      <w:rPr>
        <w:rFonts w:ascii="Palatino Linotype" w:hAnsi="Palatino Linotype"/>
        <w:bCs/>
        <w:noProof/>
        <w:sz w:val="20"/>
      </w:rPr>
      <w:t>4</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E3C6B">
      <w:rPr>
        <w:rFonts w:ascii="Palatino Linotype" w:hAnsi="Palatino Linotype"/>
        <w:bCs/>
        <w:noProof/>
        <w:sz w:val="20"/>
      </w:rPr>
      <w:t>40</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6E3C6B">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6E3C6B">
      <w:rPr>
        <w:rFonts w:ascii="Palatino Linotype" w:hAnsi="Palatino Linotype"/>
        <w:bCs/>
        <w:noProof/>
        <w:sz w:val="20"/>
      </w:rPr>
      <w:t>40</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42495" w14:textId="77777777" w:rsidR="00446094" w:rsidRDefault="00446094" w:rsidP="006168E4">
      <w:pPr>
        <w:spacing w:after="0" w:line="240" w:lineRule="auto"/>
      </w:pPr>
      <w:r>
        <w:separator/>
      </w:r>
    </w:p>
  </w:footnote>
  <w:footnote w:type="continuationSeparator" w:id="0">
    <w:p w14:paraId="63CF6B3E" w14:textId="77777777" w:rsidR="00446094" w:rsidRDefault="00446094" w:rsidP="006168E4">
      <w:pPr>
        <w:spacing w:after="0" w:line="240" w:lineRule="auto"/>
      </w:pPr>
      <w:r>
        <w:continuationSeparator/>
      </w:r>
    </w:p>
  </w:footnote>
  <w:footnote w:id="1">
    <w:p w14:paraId="0F86430E" w14:textId="77777777" w:rsidR="00955048" w:rsidRPr="007822E6" w:rsidRDefault="00955048" w:rsidP="00955048">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CC72EF4" w14:textId="77777777" w:rsidR="00955048" w:rsidRPr="005552A8" w:rsidRDefault="00955048" w:rsidP="00955048">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3EB4E5E8" w:rsidR="00C70B4A" w:rsidRPr="00B4142F" w:rsidRDefault="00870B18"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8F5877">
            <w:rPr>
              <w:rFonts w:ascii="Palatino Linotype" w:hAnsi="Palatino Linotype" w:cs="Arial"/>
              <w:bCs/>
              <w:sz w:val="24"/>
              <w:lang w:eastAsia="es-MX"/>
            </w:rPr>
            <w:t>1720</w:t>
          </w:r>
          <w:r w:rsidR="00C70B4A">
            <w:rPr>
              <w:rFonts w:ascii="Palatino Linotype" w:hAnsi="Palatino Linotype" w:cs="Arial"/>
              <w:bCs/>
              <w:sz w:val="24"/>
              <w:lang w:eastAsia="es-MX"/>
            </w:rPr>
            <w:t>/INFOEM/IP/RR/202</w:t>
          </w:r>
          <w:r w:rsidR="008F5877">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02A6D977" w:rsidR="00C70B4A" w:rsidRPr="00F06FED" w:rsidRDefault="008F5877" w:rsidP="00C01E1C">
          <w:pPr>
            <w:spacing w:after="120" w:line="256" w:lineRule="auto"/>
            <w:ind w:left="639" w:right="214"/>
            <w:jc w:val="both"/>
            <w:rPr>
              <w:rFonts w:ascii="Palatino Linotype" w:hAnsi="Palatino Linotype" w:cs="Arial"/>
            </w:rPr>
          </w:pPr>
          <w:r>
            <w:rPr>
              <w:rFonts w:ascii="Palatino Linotype" w:hAnsi="Palatino Linotype" w:cs="Arial"/>
            </w:rPr>
            <w:t>Ayuntamiento de Tepotzotlán</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5549B4D7" w:rsidR="00C70B4A" w:rsidRPr="00B4142F" w:rsidRDefault="00870B18"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w:t>
          </w:r>
          <w:r w:rsidR="008F5877">
            <w:rPr>
              <w:rFonts w:ascii="Palatino Linotype" w:hAnsi="Palatino Linotype" w:cs="Arial"/>
              <w:bCs/>
              <w:sz w:val="24"/>
              <w:lang w:eastAsia="es-MX"/>
            </w:rPr>
            <w:t>1720</w:t>
          </w:r>
          <w:r w:rsidR="00C70B4A">
            <w:rPr>
              <w:rFonts w:ascii="Palatino Linotype" w:hAnsi="Palatino Linotype" w:cs="Arial"/>
              <w:bCs/>
              <w:sz w:val="24"/>
              <w:lang w:eastAsia="es-MX"/>
            </w:rPr>
            <w:t>/INFOEM/IP/RR/202</w:t>
          </w:r>
          <w:r w:rsidR="008F5877">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9B28E9">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59C006B1" w14:textId="141B5CED" w:rsidR="00C70B4A" w:rsidRPr="00F06FED" w:rsidRDefault="006E3C6B" w:rsidP="00870B18">
          <w:pPr>
            <w:spacing w:after="120" w:line="256" w:lineRule="auto"/>
            <w:ind w:left="637" w:right="214"/>
            <w:jc w:val="both"/>
            <w:rPr>
              <w:rFonts w:ascii="Palatino Linotype" w:hAnsi="Palatino Linotype" w:cs="Arial"/>
            </w:rPr>
          </w:pPr>
          <w:r>
            <w:rPr>
              <w:rFonts w:ascii="Palatino Linotype" w:hAnsi="Palatino Linotype" w:cs="Arial"/>
            </w:rPr>
            <w:t>XXXXXXXXXXXXXXX</w:t>
          </w:r>
          <w:r w:rsidR="008F5877">
            <w:rPr>
              <w:rFonts w:ascii="Palatino Linotype" w:hAnsi="Palatino Linotype" w:cs="Arial"/>
            </w:rPr>
            <w:t xml:space="preserve"> </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427FCF8E" w:rsidR="00C70B4A" w:rsidRDefault="008F5877"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Tepotzotlán</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F6271"/>
    <w:multiLevelType w:val="hybridMultilevel"/>
    <w:tmpl w:val="890646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520FD6"/>
    <w:multiLevelType w:val="hybridMultilevel"/>
    <w:tmpl w:val="53206A0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1651516D"/>
    <w:multiLevelType w:val="hybridMultilevel"/>
    <w:tmpl w:val="05AC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1FDE4F93"/>
    <w:multiLevelType w:val="hybridMultilevel"/>
    <w:tmpl w:val="E7D8C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0B7FEA"/>
    <w:multiLevelType w:val="hybridMultilevel"/>
    <w:tmpl w:val="CBB68338"/>
    <w:lvl w:ilvl="0" w:tplc="63C88266">
      <w:start w:val="1"/>
      <w:numFmt w:val="decimal"/>
      <w:lvlText w:val="%1."/>
      <w:lvlJc w:val="left"/>
      <w:pPr>
        <w:ind w:left="720" w:hanging="360"/>
      </w:pPr>
      <w:rPr>
        <w:b w:val="0"/>
        <w:b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8" w15:restartNumberingAfterBreak="0">
    <w:nsid w:val="37DE7809"/>
    <w:multiLevelType w:val="hybridMultilevel"/>
    <w:tmpl w:val="61FA48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D369B9"/>
    <w:multiLevelType w:val="hybridMultilevel"/>
    <w:tmpl w:val="6956A034"/>
    <w:lvl w:ilvl="0" w:tplc="080A0013">
      <w:start w:val="1"/>
      <w:numFmt w:val="upp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2" w15:restartNumberingAfterBreak="0">
    <w:nsid w:val="547550F3"/>
    <w:multiLevelType w:val="hybridMultilevel"/>
    <w:tmpl w:val="A79ED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013DFC"/>
    <w:multiLevelType w:val="hybridMultilevel"/>
    <w:tmpl w:val="45BEE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5C9B6767"/>
    <w:multiLevelType w:val="hybridMultilevel"/>
    <w:tmpl w:val="9042C7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993393"/>
    <w:multiLevelType w:val="hybridMultilevel"/>
    <w:tmpl w:val="08108BAE"/>
    <w:lvl w:ilvl="0" w:tplc="1DF4A00E">
      <w:start w:val="1"/>
      <w:numFmt w:val="decimal"/>
      <w:lvlText w:val="%1)"/>
      <w:lvlJc w:val="left"/>
      <w:pPr>
        <w:ind w:left="720" w:hanging="360"/>
      </w:pPr>
      <w:rPr>
        <w:rFonts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8" w15:restartNumberingAfterBreak="0">
    <w:nsid w:val="6B403C8A"/>
    <w:multiLevelType w:val="hybridMultilevel"/>
    <w:tmpl w:val="818C597C"/>
    <w:lvl w:ilvl="0" w:tplc="080A0013">
      <w:start w:val="1"/>
      <w:numFmt w:val="upp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9" w15:restartNumberingAfterBreak="0">
    <w:nsid w:val="6E685CC4"/>
    <w:multiLevelType w:val="hybridMultilevel"/>
    <w:tmpl w:val="0C86B8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02169A9"/>
    <w:multiLevelType w:val="hybridMultilevel"/>
    <w:tmpl w:val="8392EC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1703776"/>
    <w:multiLevelType w:val="hybridMultilevel"/>
    <w:tmpl w:val="D11221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23A59A2"/>
    <w:multiLevelType w:val="hybridMultilevel"/>
    <w:tmpl w:val="DA600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386340"/>
    <w:multiLevelType w:val="hybridMultilevel"/>
    <w:tmpl w:val="8A901A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4957BE"/>
    <w:multiLevelType w:val="hybridMultilevel"/>
    <w:tmpl w:val="D01A362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9713176"/>
    <w:multiLevelType w:val="hybridMultilevel"/>
    <w:tmpl w:val="62A00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26"/>
  </w:num>
  <w:num w:numId="3">
    <w:abstractNumId w:val="4"/>
  </w:num>
  <w:num w:numId="4">
    <w:abstractNumId w:val="15"/>
  </w:num>
  <w:num w:numId="5">
    <w:abstractNumId w:val="24"/>
  </w:num>
  <w:num w:numId="6">
    <w:abstractNumId w:val="12"/>
  </w:num>
  <w:num w:numId="7">
    <w:abstractNumId w:val="27"/>
  </w:num>
  <w:num w:numId="8">
    <w:abstractNumId w:val="7"/>
  </w:num>
  <w:num w:numId="9">
    <w:abstractNumId w:val="18"/>
  </w:num>
  <w:num w:numId="10">
    <w:abstractNumId w:val="10"/>
  </w:num>
  <w:num w:numId="11">
    <w:abstractNumId w:val="3"/>
  </w:num>
  <w:num w:numId="12">
    <w:abstractNumId w:val="13"/>
  </w:num>
  <w:num w:numId="13">
    <w:abstractNumId w:val="23"/>
  </w:num>
  <w:num w:numId="14">
    <w:abstractNumId w:val="0"/>
  </w:num>
  <w:num w:numId="15">
    <w:abstractNumId w:val="22"/>
  </w:num>
  <w:num w:numId="16">
    <w:abstractNumId w:val="20"/>
  </w:num>
  <w:num w:numId="17">
    <w:abstractNumId w:val="8"/>
  </w:num>
  <w:num w:numId="18">
    <w:abstractNumId w:val="14"/>
  </w:num>
  <w:num w:numId="19">
    <w:abstractNumId w:val="9"/>
  </w:num>
  <w:num w:numId="20">
    <w:abstractNumId w:val="21"/>
  </w:num>
  <w:num w:numId="21">
    <w:abstractNumId w:val="5"/>
  </w:num>
  <w:num w:numId="22">
    <w:abstractNumId w:val="6"/>
  </w:num>
  <w:num w:numId="23">
    <w:abstractNumId w:val="11"/>
  </w:num>
  <w:num w:numId="24">
    <w:abstractNumId w:val="2"/>
  </w:num>
  <w:num w:numId="25">
    <w:abstractNumId w:val="25"/>
  </w:num>
  <w:num w:numId="26">
    <w:abstractNumId w:val="19"/>
  </w:num>
  <w:num w:numId="27">
    <w:abstractNumId w:val="1"/>
  </w:num>
  <w:num w:numId="28">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573A"/>
    <w:rsid w:val="000061F8"/>
    <w:rsid w:val="00007BD9"/>
    <w:rsid w:val="00010F2B"/>
    <w:rsid w:val="00011230"/>
    <w:rsid w:val="0001225E"/>
    <w:rsid w:val="00013759"/>
    <w:rsid w:val="00014564"/>
    <w:rsid w:val="000170DF"/>
    <w:rsid w:val="00020A70"/>
    <w:rsid w:val="00021CBD"/>
    <w:rsid w:val="00022604"/>
    <w:rsid w:val="000236FA"/>
    <w:rsid w:val="0002450B"/>
    <w:rsid w:val="00025509"/>
    <w:rsid w:val="0002766F"/>
    <w:rsid w:val="000306A7"/>
    <w:rsid w:val="00031C92"/>
    <w:rsid w:val="000363A2"/>
    <w:rsid w:val="000416AA"/>
    <w:rsid w:val="0004199A"/>
    <w:rsid w:val="00045379"/>
    <w:rsid w:val="000461DF"/>
    <w:rsid w:val="00046AD8"/>
    <w:rsid w:val="00054BC2"/>
    <w:rsid w:val="00054DD0"/>
    <w:rsid w:val="00055224"/>
    <w:rsid w:val="0005543E"/>
    <w:rsid w:val="0005622A"/>
    <w:rsid w:val="0006076C"/>
    <w:rsid w:val="00060C0C"/>
    <w:rsid w:val="00060FB3"/>
    <w:rsid w:val="00061821"/>
    <w:rsid w:val="000623F9"/>
    <w:rsid w:val="00062482"/>
    <w:rsid w:val="00062D5C"/>
    <w:rsid w:val="00063A10"/>
    <w:rsid w:val="00063EFB"/>
    <w:rsid w:val="00063F93"/>
    <w:rsid w:val="000662F8"/>
    <w:rsid w:val="00073E78"/>
    <w:rsid w:val="000758EF"/>
    <w:rsid w:val="00081988"/>
    <w:rsid w:val="0008582E"/>
    <w:rsid w:val="00090AFC"/>
    <w:rsid w:val="00091552"/>
    <w:rsid w:val="00091C3A"/>
    <w:rsid w:val="000A2D37"/>
    <w:rsid w:val="000A3486"/>
    <w:rsid w:val="000A44C7"/>
    <w:rsid w:val="000A4DD1"/>
    <w:rsid w:val="000A70F8"/>
    <w:rsid w:val="000A71F4"/>
    <w:rsid w:val="000A733E"/>
    <w:rsid w:val="000A79DA"/>
    <w:rsid w:val="000B0B8F"/>
    <w:rsid w:val="000B1702"/>
    <w:rsid w:val="000B4B51"/>
    <w:rsid w:val="000B7158"/>
    <w:rsid w:val="000C1477"/>
    <w:rsid w:val="000C1E76"/>
    <w:rsid w:val="000C309C"/>
    <w:rsid w:val="000C5B8B"/>
    <w:rsid w:val="000C7E6E"/>
    <w:rsid w:val="000D0BC5"/>
    <w:rsid w:val="000D1B55"/>
    <w:rsid w:val="000D3C75"/>
    <w:rsid w:val="000D6116"/>
    <w:rsid w:val="000D7A3D"/>
    <w:rsid w:val="000D7B04"/>
    <w:rsid w:val="000E0557"/>
    <w:rsid w:val="000E0655"/>
    <w:rsid w:val="000E0A71"/>
    <w:rsid w:val="000E686B"/>
    <w:rsid w:val="000F3EE7"/>
    <w:rsid w:val="000F68B1"/>
    <w:rsid w:val="000F6F19"/>
    <w:rsid w:val="000F7AC2"/>
    <w:rsid w:val="00100E19"/>
    <w:rsid w:val="001015C3"/>
    <w:rsid w:val="00102D69"/>
    <w:rsid w:val="00110EDB"/>
    <w:rsid w:val="00111DCD"/>
    <w:rsid w:val="00114CF9"/>
    <w:rsid w:val="0011564C"/>
    <w:rsid w:val="001167AA"/>
    <w:rsid w:val="00117157"/>
    <w:rsid w:val="00123898"/>
    <w:rsid w:val="00124855"/>
    <w:rsid w:val="00124EC6"/>
    <w:rsid w:val="001254F5"/>
    <w:rsid w:val="001336D3"/>
    <w:rsid w:val="001364AA"/>
    <w:rsid w:val="00136FAD"/>
    <w:rsid w:val="00143D5F"/>
    <w:rsid w:val="00144B4A"/>
    <w:rsid w:val="00146B59"/>
    <w:rsid w:val="00146F0A"/>
    <w:rsid w:val="00147B36"/>
    <w:rsid w:val="00150D1D"/>
    <w:rsid w:val="00152124"/>
    <w:rsid w:val="00152C2B"/>
    <w:rsid w:val="001542FC"/>
    <w:rsid w:val="00154C5F"/>
    <w:rsid w:val="001646D0"/>
    <w:rsid w:val="001657E6"/>
    <w:rsid w:val="00170066"/>
    <w:rsid w:val="00172661"/>
    <w:rsid w:val="001742A5"/>
    <w:rsid w:val="00174495"/>
    <w:rsid w:val="00174EE4"/>
    <w:rsid w:val="00175279"/>
    <w:rsid w:val="00175320"/>
    <w:rsid w:val="00175897"/>
    <w:rsid w:val="00175C56"/>
    <w:rsid w:val="00177D2C"/>
    <w:rsid w:val="001804C3"/>
    <w:rsid w:val="00180B9F"/>
    <w:rsid w:val="00181CC5"/>
    <w:rsid w:val="00191926"/>
    <w:rsid w:val="00193784"/>
    <w:rsid w:val="00193FB6"/>
    <w:rsid w:val="001942EE"/>
    <w:rsid w:val="001A02EC"/>
    <w:rsid w:val="001A0906"/>
    <w:rsid w:val="001A22D7"/>
    <w:rsid w:val="001A32F0"/>
    <w:rsid w:val="001A577E"/>
    <w:rsid w:val="001A58DE"/>
    <w:rsid w:val="001A7C9B"/>
    <w:rsid w:val="001B05B9"/>
    <w:rsid w:val="001B1519"/>
    <w:rsid w:val="001B1F55"/>
    <w:rsid w:val="001B7B88"/>
    <w:rsid w:val="001C0BAD"/>
    <w:rsid w:val="001C7319"/>
    <w:rsid w:val="001C7D87"/>
    <w:rsid w:val="001D299A"/>
    <w:rsid w:val="001D3E87"/>
    <w:rsid w:val="001D5F16"/>
    <w:rsid w:val="001D6FAB"/>
    <w:rsid w:val="001E1D18"/>
    <w:rsid w:val="001E2C0F"/>
    <w:rsid w:val="001E668A"/>
    <w:rsid w:val="001F0A4F"/>
    <w:rsid w:val="001F2A14"/>
    <w:rsid w:val="001F3F0E"/>
    <w:rsid w:val="001F4ADC"/>
    <w:rsid w:val="001F5597"/>
    <w:rsid w:val="001F71ED"/>
    <w:rsid w:val="00203D3A"/>
    <w:rsid w:val="00203FF3"/>
    <w:rsid w:val="002044B4"/>
    <w:rsid w:val="00207086"/>
    <w:rsid w:val="00211D60"/>
    <w:rsid w:val="0021501E"/>
    <w:rsid w:val="0021572A"/>
    <w:rsid w:val="002205C0"/>
    <w:rsid w:val="0022494A"/>
    <w:rsid w:val="00225507"/>
    <w:rsid w:val="0023373D"/>
    <w:rsid w:val="00233D7E"/>
    <w:rsid w:val="00233EF7"/>
    <w:rsid w:val="0023423C"/>
    <w:rsid w:val="00237F4F"/>
    <w:rsid w:val="0024112D"/>
    <w:rsid w:val="002428BA"/>
    <w:rsid w:val="00244177"/>
    <w:rsid w:val="00254477"/>
    <w:rsid w:val="00257337"/>
    <w:rsid w:val="002577FE"/>
    <w:rsid w:val="0025780C"/>
    <w:rsid w:val="002609D8"/>
    <w:rsid w:val="00262CBE"/>
    <w:rsid w:val="002642D3"/>
    <w:rsid w:val="002646EF"/>
    <w:rsid w:val="00266AE6"/>
    <w:rsid w:val="00267C18"/>
    <w:rsid w:val="00273D0E"/>
    <w:rsid w:val="002764D6"/>
    <w:rsid w:val="00280B8B"/>
    <w:rsid w:val="00282235"/>
    <w:rsid w:val="00292350"/>
    <w:rsid w:val="00292DC0"/>
    <w:rsid w:val="00293C29"/>
    <w:rsid w:val="00297EF9"/>
    <w:rsid w:val="002A2034"/>
    <w:rsid w:val="002A24F4"/>
    <w:rsid w:val="002A38BF"/>
    <w:rsid w:val="002A429A"/>
    <w:rsid w:val="002A597E"/>
    <w:rsid w:val="002B0FB9"/>
    <w:rsid w:val="002B4382"/>
    <w:rsid w:val="002B5DBD"/>
    <w:rsid w:val="002B72F9"/>
    <w:rsid w:val="002B7D92"/>
    <w:rsid w:val="002C498D"/>
    <w:rsid w:val="002C4FE1"/>
    <w:rsid w:val="002C72D2"/>
    <w:rsid w:val="002D1B28"/>
    <w:rsid w:val="002D2F00"/>
    <w:rsid w:val="002D79E2"/>
    <w:rsid w:val="002D7A5D"/>
    <w:rsid w:val="002E0A4A"/>
    <w:rsid w:val="002E0BC4"/>
    <w:rsid w:val="002E21B4"/>
    <w:rsid w:val="002E2D7B"/>
    <w:rsid w:val="002E4B23"/>
    <w:rsid w:val="002E5A4A"/>
    <w:rsid w:val="002E5E6A"/>
    <w:rsid w:val="002E6FBB"/>
    <w:rsid w:val="002F22FA"/>
    <w:rsid w:val="002F37BE"/>
    <w:rsid w:val="002F41CA"/>
    <w:rsid w:val="002F4C6A"/>
    <w:rsid w:val="002F527C"/>
    <w:rsid w:val="002F70F6"/>
    <w:rsid w:val="00300D0B"/>
    <w:rsid w:val="003043BE"/>
    <w:rsid w:val="00305181"/>
    <w:rsid w:val="00306096"/>
    <w:rsid w:val="00306974"/>
    <w:rsid w:val="00306B80"/>
    <w:rsid w:val="00307014"/>
    <w:rsid w:val="00307CAC"/>
    <w:rsid w:val="00313A1F"/>
    <w:rsid w:val="00314F93"/>
    <w:rsid w:val="0031645D"/>
    <w:rsid w:val="00320A67"/>
    <w:rsid w:val="00324AC9"/>
    <w:rsid w:val="003272FB"/>
    <w:rsid w:val="00330857"/>
    <w:rsid w:val="00331499"/>
    <w:rsid w:val="0033580E"/>
    <w:rsid w:val="00337F09"/>
    <w:rsid w:val="00343D1E"/>
    <w:rsid w:val="0035054D"/>
    <w:rsid w:val="00354258"/>
    <w:rsid w:val="00355593"/>
    <w:rsid w:val="00357E0E"/>
    <w:rsid w:val="00361B9C"/>
    <w:rsid w:val="00361D89"/>
    <w:rsid w:val="003672FB"/>
    <w:rsid w:val="00370588"/>
    <w:rsid w:val="00370797"/>
    <w:rsid w:val="003707FE"/>
    <w:rsid w:val="00370C79"/>
    <w:rsid w:val="003712F3"/>
    <w:rsid w:val="00372D3E"/>
    <w:rsid w:val="003746C6"/>
    <w:rsid w:val="00375763"/>
    <w:rsid w:val="00375BEA"/>
    <w:rsid w:val="00376CEC"/>
    <w:rsid w:val="00380758"/>
    <w:rsid w:val="003810B1"/>
    <w:rsid w:val="003815E5"/>
    <w:rsid w:val="00381E2B"/>
    <w:rsid w:val="003821A1"/>
    <w:rsid w:val="003838B4"/>
    <w:rsid w:val="00384029"/>
    <w:rsid w:val="00385BBD"/>
    <w:rsid w:val="00387929"/>
    <w:rsid w:val="00390988"/>
    <w:rsid w:val="0039347E"/>
    <w:rsid w:val="00393D5B"/>
    <w:rsid w:val="0039460D"/>
    <w:rsid w:val="00394873"/>
    <w:rsid w:val="00394A1E"/>
    <w:rsid w:val="003968C7"/>
    <w:rsid w:val="003A2246"/>
    <w:rsid w:val="003A2658"/>
    <w:rsid w:val="003A4CF6"/>
    <w:rsid w:val="003A61F9"/>
    <w:rsid w:val="003A6975"/>
    <w:rsid w:val="003B0793"/>
    <w:rsid w:val="003B0D66"/>
    <w:rsid w:val="003B1E88"/>
    <w:rsid w:val="003B5E96"/>
    <w:rsid w:val="003C3F7B"/>
    <w:rsid w:val="003C5243"/>
    <w:rsid w:val="003C53ED"/>
    <w:rsid w:val="003D047A"/>
    <w:rsid w:val="003D0B7E"/>
    <w:rsid w:val="003D311E"/>
    <w:rsid w:val="003D4E0F"/>
    <w:rsid w:val="003D55A8"/>
    <w:rsid w:val="003D5C0A"/>
    <w:rsid w:val="003E16E1"/>
    <w:rsid w:val="003E1871"/>
    <w:rsid w:val="003E504D"/>
    <w:rsid w:val="003E656A"/>
    <w:rsid w:val="003E78B7"/>
    <w:rsid w:val="003F0230"/>
    <w:rsid w:val="003F3016"/>
    <w:rsid w:val="003F38EB"/>
    <w:rsid w:val="003F76E5"/>
    <w:rsid w:val="003F7952"/>
    <w:rsid w:val="004012CF"/>
    <w:rsid w:val="004015EE"/>
    <w:rsid w:val="00402FF3"/>
    <w:rsid w:val="0040673A"/>
    <w:rsid w:val="004069EB"/>
    <w:rsid w:val="00410ACB"/>
    <w:rsid w:val="00411E6F"/>
    <w:rsid w:val="00412600"/>
    <w:rsid w:val="004150FE"/>
    <w:rsid w:val="00421D09"/>
    <w:rsid w:val="00422ED2"/>
    <w:rsid w:val="00423213"/>
    <w:rsid w:val="0042416D"/>
    <w:rsid w:val="00424487"/>
    <w:rsid w:val="00424EA1"/>
    <w:rsid w:val="00435290"/>
    <w:rsid w:val="00436802"/>
    <w:rsid w:val="00437E68"/>
    <w:rsid w:val="00442E45"/>
    <w:rsid w:val="00443AD4"/>
    <w:rsid w:val="0044438E"/>
    <w:rsid w:val="00445C0F"/>
    <w:rsid w:val="00446094"/>
    <w:rsid w:val="00451448"/>
    <w:rsid w:val="004516EB"/>
    <w:rsid w:val="004529B6"/>
    <w:rsid w:val="00453DBD"/>
    <w:rsid w:val="00454CE6"/>
    <w:rsid w:val="00455463"/>
    <w:rsid w:val="00457305"/>
    <w:rsid w:val="00457955"/>
    <w:rsid w:val="0046061D"/>
    <w:rsid w:val="00462881"/>
    <w:rsid w:val="004640F2"/>
    <w:rsid w:val="00467337"/>
    <w:rsid w:val="00467C17"/>
    <w:rsid w:val="00471D57"/>
    <w:rsid w:val="00475345"/>
    <w:rsid w:val="00475F48"/>
    <w:rsid w:val="00476790"/>
    <w:rsid w:val="00477CC2"/>
    <w:rsid w:val="00477D47"/>
    <w:rsid w:val="00480C32"/>
    <w:rsid w:val="004814EA"/>
    <w:rsid w:val="0048180A"/>
    <w:rsid w:val="00481C7A"/>
    <w:rsid w:val="00487DB5"/>
    <w:rsid w:val="004906C8"/>
    <w:rsid w:val="00491877"/>
    <w:rsid w:val="00492BC7"/>
    <w:rsid w:val="004938E6"/>
    <w:rsid w:val="0049549B"/>
    <w:rsid w:val="004967E2"/>
    <w:rsid w:val="004975A8"/>
    <w:rsid w:val="004A114B"/>
    <w:rsid w:val="004A2363"/>
    <w:rsid w:val="004A290F"/>
    <w:rsid w:val="004A55D8"/>
    <w:rsid w:val="004A5FFD"/>
    <w:rsid w:val="004A7CE2"/>
    <w:rsid w:val="004B031A"/>
    <w:rsid w:val="004B1236"/>
    <w:rsid w:val="004B1ACE"/>
    <w:rsid w:val="004B234F"/>
    <w:rsid w:val="004B353F"/>
    <w:rsid w:val="004B59BB"/>
    <w:rsid w:val="004B5CCC"/>
    <w:rsid w:val="004C117E"/>
    <w:rsid w:val="004C2845"/>
    <w:rsid w:val="004C3081"/>
    <w:rsid w:val="004C7961"/>
    <w:rsid w:val="004D0658"/>
    <w:rsid w:val="004D08EB"/>
    <w:rsid w:val="004D3B15"/>
    <w:rsid w:val="004D54E3"/>
    <w:rsid w:val="004D6459"/>
    <w:rsid w:val="004D761E"/>
    <w:rsid w:val="004E1A3D"/>
    <w:rsid w:val="004E1A71"/>
    <w:rsid w:val="004E2371"/>
    <w:rsid w:val="004E6BE9"/>
    <w:rsid w:val="004E754F"/>
    <w:rsid w:val="004E7A84"/>
    <w:rsid w:val="004F0538"/>
    <w:rsid w:val="004F17D6"/>
    <w:rsid w:val="004F2337"/>
    <w:rsid w:val="004F3024"/>
    <w:rsid w:val="004F33EA"/>
    <w:rsid w:val="004F4F45"/>
    <w:rsid w:val="005001FE"/>
    <w:rsid w:val="005020E9"/>
    <w:rsid w:val="00503655"/>
    <w:rsid w:val="00504967"/>
    <w:rsid w:val="00504BE3"/>
    <w:rsid w:val="00506F7D"/>
    <w:rsid w:val="00507065"/>
    <w:rsid w:val="005106F9"/>
    <w:rsid w:val="00510D77"/>
    <w:rsid w:val="005128DD"/>
    <w:rsid w:val="00513F18"/>
    <w:rsid w:val="00514207"/>
    <w:rsid w:val="005149BE"/>
    <w:rsid w:val="00515090"/>
    <w:rsid w:val="005179E4"/>
    <w:rsid w:val="00521E57"/>
    <w:rsid w:val="00525093"/>
    <w:rsid w:val="005305EA"/>
    <w:rsid w:val="0053652A"/>
    <w:rsid w:val="00536D71"/>
    <w:rsid w:val="005371E7"/>
    <w:rsid w:val="00537E4B"/>
    <w:rsid w:val="00540538"/>
    <w:rsid w:val="00542664"/>
    <w:rsid w:val="00543933"/>
    <w:rsid w:val="00544216"/>
    <w:rsid w:val="00544CF2"/>
    <w:rsid w:val="0054731A"/>
    <w:rsid w:val="00547B78"/>
    <w:rsid w:val="00551E8B"/>
    <w:rsid w:val="005520FE"/>
    <w:rsid w:val="0055263C"/>
    <w:rsid w:val="005528B9"/>
    <w:rsid w:val="0055472B"/>
    <w:rsid w:val="00555D9A"/>
    <w:rsid w:val="00556513"/>
    <w:rsid w:val="00557F13"/>
    <w:rsid w:val="00561ABC"/>
    <w:rsid w:val="00562653"/>
    <w:rsid w:val="00563CE8"/>
    <w:rsid w:val="00564AD9"/>
    <w:rsid w:val="005662E2"/>
    <w:rsid w:val="00566D97"/>
    <w:rsid w:val="00571389"/>
    <w:rsid w:val="005733EB"/>
    <w:rsid w:val="005734C5"/>
    <w:rsid w:val="0057453A"/>
    <w:rsid w:val="00575268"/>
    <w:rsid w:val="00576D51"/>
    <w:rsid w:val="0057792B"/>
    <w:rsid w:val="00580802"/>
    <w:rsid w:val="00581A22"/>
    <w:rsid w:val="00585EC8"/>
    <w:rsid w:val="005860CB"/>
    <w:rsid w:val="005918F3"/>
    <w:rsid w:val="00593E91"/>
    <w:rsid w:val="0059442D"/>
    <w:rsid w:val="00594D38"/>
    <w:rsid w:val="0059753D"/>
    <w:rsid w:val="005A0B05"/>
    <w:rsid w:val="005A0B49"/>
    <w:rsid w:val="005A1108"/>
    <w:rsid w:val="005A1286"/>
    <w:rsid w:val="005A27AD"/>
    <w:rsid w:val="005A34EE"/>
    <w:rsid w:val="005A353A"/>
    <w:rsid w:val="005A4EBE"/>
    <w:rsid w:val="005A5C79"/>
    <w:rsid w:val="005A6D57"/>
    <w:rsid w:val="005A71FD"/>
    <w:rsid w:val="005A7D4F"/>
    <w:rsid w:val="005B1F52"/>
    <w:rsid w:val="005B5840"/>
    <w:rsid w:val="005B5B70"/>
    <w:rsid w:val="005B5F05"/>
    <w:rsid w:val="005C06AA"/>
    <w:rsid w:val="005C17BF"/>
    <w:rsid w:val="005C57BA"/>
    <w:rsid w:val="005C6982"/>
    <w:rsid w:val="005C6B74"/>
    <w:rsid w:val="005C7AEA"/>
    <w:rsid w:val="005D125D"/>
    <w:rsid w:val="005D29BF"/>
    <w:rsid w:val="005D2B59"/>
    <w:rsid w:val="005D362F"/>
    <w:rsid w:val="005D370F"/>
    <w:rsid w:val="005D3E85"/>
    <w:rsid w:val="005D44D1"/>
    <w:rsid w:val="005D53D6"/>
    <w:rsid w:val="005E1B06"/>
    <w:rsid w:val="005E265D"/>
    <w:rsid w:val="005E3D7D"/>
    <w:rsid w:val="005E4D7C"/>
    <w:rsid w:val="005E5F6A"/>
    <w:rsid w:val="005F048E"/>
    <w:rsid w:val="005F2047"/>
    <w:rsid w:val="005F2C76"/>
    <w:rsid w:val="005F57F0"/>
    <w:rsid w:val="00601010"/>
    <w:rsid w:val="006028C9"/>
    <w:rsid w:val="0060676C"/>
    <w:rsid w:val="00606B79"/>
    <w:rsid w:val="0060721D"/>
    <w:rsid w:val="0061042F"/>
    <w:rsid w:val="006168E4"/>
    <w:rsid w:val="00621F47"/>
    <w:rsid w:val="00622359"/>
    <w:rsid w:val="0062497C"/>
    <w:rsid w:val="00625200"/>
    <w:rsid w:val="006255AA"/>
    <w:rsid w:val="00630846"/>
    <w:rsid w:val="00631806"/>
    <w:rsid w:val="00636FD7"/>
    <w:rsid w:val="00637512"/>
    <w:rsid w:val="00640EE4"/>
    <w:rsid w:val="006456FA"/>
    <w:rsid w:val="006466F5"/>
    <w:rsid w:val="00646C24"/>
    <w:rsid w:val="006523EB"/>
    <w:rsid w:val="00652BC5"/>
    <w:rsid w:val="00656060"/>
    <w:rsid w:val="00661753"/>
    <w:rsid w:val="0066216F"/>
    <w:rsid w:val="00663C3F"/>
    <w:rsid w:val="00664B05"/>
    <w:rsid w:val="0066500E"/>
    <w:rsid w:val="006654F6"/>
    <w:rsid w:val="00666CAF"/>
    <w:rsid w:val="00675390"/>
    <w:rsid w:val="00676CAA"/>
    <w:rsid w:val="006802CF"/>
    <w:rsid w:val="006827AB"/>
    <w:rsid w:val="006831E4"/>
    <w:rsid w:val="00683B62"/>
    <w:rsid w:val="006848B7"/>
    <w:rsid w:val="006868A7"/>
    <w:rsid w:val="00690791"/>
    <w:rsid w:val="006915EA"/>
    <w:rsid w:val="00694828"/>
    <w:rsid w:val="006A016F"/>
    <w:rsid w:val="006A3810"/>
    <w:rsid w:val="006A65EE"/>
    <w:rsid w:val="006A68B8"/>
    <w:rsid w:val="006A6B72"/>
    <w:rsid w:val="006A7CEB"/>
    <w:rsid w:val="006B1953"/>
    <w:rsid w:val="006B1BF1"/>
    <w:rsid w:val="006B20F0"/>
    <w:rsid w:val="006B26E3"/>
    <w:rsid w:val="006B3085"/>
    <w:rsid w:val="006B69CF"/>
    <w:rsid w:val="006B7444"/>
    <w:rsid w:val="006C00DA"/>
    <w:rsid w:val="006C1157"/>
    <w:rsid w:val="006C17FD"/>
    <w:rsid w:val="006C1884"/>
    <w:rsid w:val="006C28CA"/>
    <w:rsid w:val="006C350D"/>
    <w:rsid w:val="006C5E56"/>
    <w:rsid w:val="006C66E4"/>
    <w:rsid w:val="006D23FC"/>
    <w:rsid w:val="006D643D"/>
    <w:rsid w:val="006E063C"/>
    <w:rsid w:val="006E3851"/>
    <w:rsid w:val="006E3C6B"/>
    <w:rsid w:val="006E53FF"/>
    <w:rsid w:val="006E7EEE"/>
    <w:rsid w:val="006F1167"/>
    <w:rsid w:val="006F4044"/>
    <w:rsid w:val="006F46DC"/>
    <w:rsid w:val="006F4CC6"/>
    <w:rsid w:val="00701033"/>
    <w:rsid w:val="00701A3F"/>
    <w:rsid w:val="00702A03"/>
    <w:rsid w:val="00704BD8"/>
    <w:rsid w:val="00704EFD"/>
    <w:rsid w:val="007051A0"/>
    <w:rsid w:val="00705B96"/>
    <w:rsid w:val="007078C8"/>
    <w:rsid w:val="00712E3A"/>
    <w:rsid w:val="00713CE6"/>
    <w:rsid w:val="007169EF"/>
    <w:rsid w:val="00721506"/>
    <w:rsid w:val="007216DB"/>
    <w:rsid w:val="0072323D"/>
    <w:rsid w:val="007246D3"/>
    <w:rsid w:val="00725F5A"/>
    <w:rsid w:val="007274EC"/>
    <w:rsid w:val="00737175"/>
    <w:rsid w:val="00737605"/>
    <w:rsid w:val="007404D5"/>
    <w:rsid w:val="00740BDD"/>
    <w:rsid w:val="007417C8"/>
    <w:rsid w:val="00744287"/>
    <w:rsid w:val="00744EEF"/>
    <w:rsid w:val="00745D76"/>
    <w:rsid w:val="00747109"/>
    <w:rsid w:val="00747487"/>
    <w:rsid w:val="007505EB"/>
    <w:rsid w:val="00751B4B"/>
    <w:rsid w:val="00752A9A"/>
    <w:rsid w:val="00753B42"/>
    <w:rsid w:val="00754CAE"/>
    <w:rsid w:val="00760D70"/>
    <w:rsid w:val="00763EE7"/>
    <w:rsid w:val="00764DB2"/>
    <w:rsid w:val="0076623B"/>
    <w:rsid w:val="00766EFD"/>
    <w:rsid w:val="00767E4B"/>
    <w:rsid w:val="007718AD"/>
    <w:rsid w:val="007742A7"/>
    <w:rsid w:val="00777034"/>
    <w:rsid w:val="00781073"/>
    <w:rsid w:val="007851D5"/>
    <w:rsid w:val="0078766F"/>
    <w:rsid w:val="00793CFD"/>
    <w:rsid w:val="00794589"/>
    <w:rsid w:val="0079486A"/>
    <w:rsid w:val="00794F80"/>
    <w:rsid w:val="007A00E9"/>
    <w:rsid w:val="007A0454"/>
    <w:rsid w:val="007A0E44"/>
    <w:rsid w:val="007A1C9E"/>
    <w:rsid w:val="007A4CA1"/>
    <w:rsid w:val="007A5DFD"/>
    <w:rsid w:val="007B0398"/>
    <w:rsid w:val="007B2C77"/>
    <w:rsid w:val="007B2E78"/>
    <w:rsid w:val="007B5E84"/>
    <w:rsid w:val="007B6549"/>
    <w:rsid w:val="007C3F2F"/>
    <w:rsid w:val="007D10BD"/>
    <w:rsid w:val="007D1A27"/>
    <w:rsid w:val="007D1B24"/>
    <w:rsid w:val="007D1F15"/>
    <w:rsid w:val="007D25B1"/>
    <w:rsid w:val="007D2878"/>
    <w:rsid w:val="007D6FC3"/>
    <w:rsid w:val="007D703A"/>
    <w:rsid w:val="007E319E"/>
    <w:rsid w:val="007E4FA1"/>
    <w:rsid w:val="007E7B07"/>
    <w:rsid w:val="007E7BAB"/>
    <w:rsid w:val="007E7DCE"/>
    <w:rsid w:val="007E7FA9"/>
    <w:rsid w:val="007F20AC"/>
    <w:rsid w:val="007F6623"/>
    <w:rsid w:val="00802C56"/>
    <w:rsid w:val="008053CE"/>
    <w:rsid w:val="008056BC"/>
    <w:rsid w:val="00806EE9"/>
    <w:rsid w:val="00807750"/>
    <w:rsid w:val="00807E35"/>
    <w:rsid w:val="00811205"/>
    <w:rsid w:val="00812C48"/>
    <w:rsid w:val="00814097"/>
    <w:rsid w:val="008146F9"/>
    <w:rsid w:val="00814D7C"/>
    <w:rsid w:val="00821413"/>
    <w:rsid w:val="008218CD"/>
    <w:rsid w:val="00821AEB"/>
    <w:rsid w:val="00821E26"/>
    <w:rsid w:val="00824DCD"/>
    <w:rsid w:val="00827964"/>
    <w:rsid w:val="008311A6"/>
    <w:rsid w:val="008327EA"/>
    <w:rsid w:val="00833E8A"/>
    <w:rsid w:val="00834D2F"/>
    <w:rsid w:val="008357C0"/>
    <w:rsid w:val="00836987"/>
    <w:rsid w:val="00844009"/>
    <w:rsid w:val="00844569"/>
    <w:rsid w:val="00844CDE"/>
    <w:rsid w:val="00845083"/>
    <w:rsid w:val="00847CAF"/>
    <w:rsid w:val="00847D23"/>
    <w:rsid w:val="008556FF"/>
    <w:rsid w:val="00857106"/>
    <w:rsid w:val="00857765"/>
    <w:rsid w:val="00861770"/>
    <w:rsid w:val="00863327"/>
    <w:rsid w:val="00863A40"/>
    <w:rsid w:val="0086704E"/>
    <w:rsid w:val="00867B0E"/>
    <w:rsid w:val="00867F7E"/>
    <w:rsid w:val="00870B18"/>
    <w:rsid w:val="00870F44"/>
    <w:rsid w:val="00872ECB"/>
    <w:rsid w:val="0087456A"/>
    <w:rsid w:val="008763E4"/>
    <w:rsid w:val="00877C8E"/>
    <w:rsid w:val="00884054"/>
    <w:rsid w:val="00890B7A"/>
    <w:rsid w:val="00890C62"/>
    <w:rsid w:val="0089173B"/>
    <w:rsid w:val="0089437B"/>
    <w:rsid w:val="008945F5"/>
    <w:rsid w:val="00895089"/>
    <w:rsid w:val="008951ED"/>
    <w:rsid w:val="0089761E"/>
    <w:rsid w:val="008977EE"/>
    <w:rsid w:val="008A0693"/>
    <w:rsid w:val="008A25E6"/>
    <w:rsid w:val="008A5928"/>
    <w:rsid w:val="008A75BE"/>
    <w:rsid w:val="008B0D6E"/>
    <w:rsid w:val="008B1AD9"/>
    <w:rsid w:val="008B1D2E"/>
    <w:rsid w:val="008B4DF4"/>
    <w:rsid w:val="008B5971"/>
    <w:rsid w:val="008B6C58"/>
    <w:rsid w:val="008B70DC"/>
    <w:rsid w:val="008C08BE"/>
    <w:rsid w:val="008C229F"/>
    <w:rsid w:val="008C32A8"/>
    <w:rsid w:val="008C3445"/>
    <w:rsid w:val="008C366D"/>
    <w:rsid w:val="008C4E94"/>
    <w:rsid w:val="008C5595"/>
    <w:rsid w:val="008C55A3"/>
    <w:rsid w:val="008C7368"/>
    <w:rsid w:val="008D32F0"/>
    <w:rsid w:val="008D595F"/>
    <w:rsid w:val="008E012F"/>
    <w:rsid w:val="008E6375"/>
    <w:rsid w:val="008F17A1"/>
    <w:rsid w:val="008F2158"/>
    <w:rsid w:val="008F3D79"/>
    <w:rsid w:val="008F4670"/>
    <w:rsid w:val="008F4C65"/>
    <w:rsid w:val="008F5877"/>
    <w:rsid w:val="008F5D20"/>
    <w:rsid w:val="008F7579"/>
    <w:rsid w:val="0090019F"/>
    <w:rsid w:val="00902944"/>
    <w:rsid w:val="009041AF"/>
    <w:rsid w:val="00905422"/>
    <w:rsid w:val="009067B3"/>
    <w:rsid w:val="00906BD5"/>
    <w:rsid w:val="0090759E"/>
    <w:rsid w:val="009104D1"/>
    <w:rsid w:val="00911863"/>
    <w:rsid w:val="00913133"/>
    <w:rsid w:val="009131C3"/>
    <w:rsid w:val="0091475B"/>
    <w:rsid w:val="00914DC8"/>
    <w:rsid w:val="0092120C"/>
    <w:rsid w:val="00921AC3"/>
    <w:rsid w:val="00921DB9"/>
    <w:rsid w:val="0092403D"/>
    <w:rsid w:val="00924E40"/>
    <w:rsid w:val="0092524A"/>
    <w:rsid w:val="00925E60"/>
    <w:rsid w:val="00926C36"/>
    <w:rsid w:val="00933BEE"/>
    <w:rsid w:val="00934304"/>
    <w:rsid w:val="00934415"/>
    <w:rsid w:val="009402DB"/>
    <w:rsid w:val="00942E41"/>
    <w:rsid w:val="009440D8"/>
    <w:rsid w:val="009449B8"/>
    <w:rsid w:val="00944DC9"/>
    <w:rsid w:val="00944F1C"/>
    <w:rsid w:val="00945203"/>
    <w:rsid w:val="009454E7"/>
    <w:rsid w:val="0094603F"/>
    <w:rsid w:val="009478D8"/>
    <w:rsid w:val="00951F85"/>
    <w:rsid w:val="00952850"/>
    <w:rsid w:val="00955048"/>
    <w:rsid w:val="009555DC"/>
    <w:rsid w:val="009611E0"/>
    <w:rsid w:val="00961302"/>
    <w:rsid w:val="00962383"/>
    <w:rsid w:val="00963120"/>
    <w:rsid w:val="009645F8"/>
    <w:rsid w:val="0096478F"/>
    <w:rsid w:val="00965FEE"/>
    <w:rsid w:val="0096643B"/>
    <w:rsid w:val="00966B7A"/>
    <w:rsid w:val="00967852"/>
    <w:rsid w:val="009706B5"/>
    <w:rsid w:val="009726B9"/>
    <w:rsid w:val="00972BDF"/>
    <w:rsid w:val="00972CF8"/>
    <w:rsid w:val="009732F5"/>
    <w:rsid w:val="00973AFB"/>
    <w:rsid w:val="00973F49"/>
    <w:rsid w:val="00981203"/>
    <w:rsid w:val="0098182D"/>
    <w:rsid w:val="00982A98"/>
    <w:rsid w:val="009855E2"/>
    <w:rsid w:val="00987C03"/>
    <w:rsid w:val="00990E3D"/>
    <w:rsid w:val="00992977"/>
    <w:rsid w:val="00992B07"/>
    <w:rsid w:val="0099557F"/>
    <w:rsid w:val="009A3511"/>
    <w:rsid w:val="009A3BF9"/>
    <w:rsid w:val="009A686F"/>
    <w:rsid w:val="009A7912"/>
    <w:rsid w:val="009B0094"/>
    <w:rsid w:val="009B28E9"/>
    <w:rsid w:val="009B33A8"/>
    <w:rsid w:val="009B3487"/>
    <w:rsid w:val="009B390A"/>
    <w:rsid w:val="009B7C61"/>
    <w:rsid w:val="009C22B1"/>
    <w:rsid w:val="009C3793"/>
    <w:rsid w:val="009C62BD"/>
    <w:rsid w:val="009C68AC"/>
    <w:rsid w:val="009D26AD"/>
    <w:rsid w:val="009D341C"/>
    <w:rsid w:val="009D3C55"/>
    <w:rsid w:val="009D45BD"/>
    <w:rsid w:val="009D5261"/>
    <w:rsid w:val="009D76A3"/>
    <w:rsid w:val="009E1411"/>
    <w:rsid w:val="009E19FC"/>
    <w:rsid w:val="009E52F2"/>
    <w:rsid w:val="009F1118"/>
    <w:rsid w:val="009F1287"/>
    <w:rsid w:val="009F25EB"/>
    <w:rsid w:val="009F2A10"/>
    <w:rsid w:val="009F3C1F"/>
    <w:rsid w:val="009F5079"/>
    <w:rsid w:val="009F614E"/>
    <w:rsid w:val="009F657D"/>
    <w:rsid w:val="009F762B"/>
    <w:rsid w:val="009F76BA"/>
    <w:rsid w:val="009F7E09"/>
    <w:rsid w:val="00A00604"/>
    <w:rsid w:val="00A02047"/>
    <w:rsid w:val="00A02B9D"/>
    <w:rsid w:val="00A035C0"/>
    <w:rsid w:val="00A036BE"/>
    <w:rsid w:val="00A0575E"/>
    <w:rsid w:val="00A068CE"/>
    <w:rsid w:val="00A06A16"/>
    <w:rsid w:val="00A10F77"/>
    <w:rsid w:val="00A12205"/>
    <w:rsid w:val="00A139AF"/>
    <w:rsid w:val="00A20113"/>
    <w:rsid w:val="00A24B74"/>
    <w:rsid w:val="00A3248C"/>
    <w:rsid w:val="00A339E6"/>
    <w:rsid w:val="00A33EF8"/>
    <w:rsid w:val="00A34362"/>
    <w:rsid w:val="00A358E6"/>
    <w:rsid w:val="00A37C0F"/>
    <w:rsid w:val="00A409B6"/>
    <w:rsid w:val="00A422B7"/>
    <w:rsid w:val="00A424E5"/>
    <w:rsid w:val="00A44291"/>
    <w:rsid w:val="00A453DC"/>
    <w:rsid w:val="00A46457"/>
    <w:rsid w:val="00A47E33"/>
    <w:rsid w:val="00A50182"/>
    <w:rsid w:val="00A50B14"/>
    <w:rsid w:val="00A51024"/>
    <w:rsid w:val="00A51109"/>
    <w:rsid w:val="00A51F37"/>
    <w:rsid w:val="00A544DC"/>
    <w:rsid w:val="00A55818"/>
    <w:rsid w:val="00A56556"/>
    <w:rsid w:val="00A5790A"/>
    <w:rsid w:val="00A625E2"/>
    <w:rsid w:val="00A63DC7"/>
    <w:rsid w:val="00A65B7E"/>
    <w:rsid w:val="00A70289"/>
    <w:rsid w:val="00A72105"/>
    <w:rsid w:val="00A72465"/>
    <w:rsid w:val="00A80C92"/>
    <w:rsid w:val="00A82461"/>
    <w:rsid w:val="00A84417"/>
    <w:rsid w:val="00A851D8"/>
    <w:rsid w:val="00A870C4"/>
    <w:rsid w:val="00A87326"/>
    <w:rsid w:val="00A94568"/>
    <w:rsid w:val="00A953BA"/>
    <w:rsid w:val="00A96F9F"/>
    <w:rsid w:val="00A977B0"/>
    <w:rsid w:val="00AA0848"/>
    <w:rsid w:val="00AA0AAF"/>
    <w:rsid w:val="00AA2C55"/>
    <w:rsid w:val="00AA3C06"/>
    <w:rsid w:val="00AA56F6"/>
    <w:rsid w:val="00AA5D62"/>
    <w:rsid w:val="00AB0571"/>
    <w:rsid w:val="00AB1E84"/>
    <w:rsid w:val="00AB2BF2"/>
    <w:rsid w:val="00AB3710"/>
    <w:rsid w:val="00AB4B0F"/>
    <w:rsid w:val="00AB6C3B"/>
    <w:rsid w:val="00AB7F4A"/>
    <w:rsid w:val="00AC226E"/>
    <w:rsid w:val="00AC722C"/>
    <w:rsid w:val="00AC75C1"/>
    <w:rsid w:val="00AC7906"/>
    <w:rsid w:val="00AD1291"/>
    <w:rsid w:val="00AD134F"/>
    <w:rsid w:val="00AD1F40"/>
    <w:rsid w:val="00AD3428"/>
    <w:rsid w:val="00AD3604"/>
    <w:rsid w:val="00AD3AA2"/>
    <w:rsid w:val="00AD43B8"/>
    <w:rsid w:val="00AD4B1A"/>
    <w:rsid w:val="00AD5295"/>
    <w:rsid w:val="00AE008F"/>
    <w:rsid w:val="00AF0161"/>
    <w:rsid w:val="00AF2A1F"/>
    <w:rsid w:val="00AF2D9B"/>
    <w:rsid w:val="00B00628"/>
    <w:rsid w:val="00B06373"/>
    <w:rsid w:val="00B069CD"/>
    <w:rsid w:val="00B0749B"/>
    <w:rsid w:val="00B10050"/>
    <w:rsid w:val="00B10A1E"/>
    <w:rsid w:val="00B11E08"/>
    <w:rsid w:val="00B12FF9"/>
    <w:rsid w:val="00B14039"/>
    <w:rsid w:val="00B149FA"/>
    <w:rsid w:val="00B177F4"/>
    <w:rsid w:val="00B22242"/>
    <w:rsid w:val="00B2232C"/>
    <w:rsid w:val="00B2330D"/>
    <w:rsid w:val="00B23384"/>
    <w:rsid w:val="00B32CD3"/>
    <w:rsid w:val="00B34CED"/>
    <w:rsid w:val="00B35A93"/>
    <w:rsid w:val="00B3672D"/>
    <w:rsid w:val="00B37E9B"/>
    <w:rsid w:val="00B433C9"/>
    <w:rsid w:val="00B436EA"/>
    <w:rsid w:val="00B437D8"/>
    <w:rsid w:val="00B44ADE"/>
    <w:rsid w:val="00B46B42"/>
    <w:rsid w:val="00B4745C"/>
    <w:rsid w:val="00B52D3E"/>
    <w:rsid w:val="00B52E55"/>
    <w:rsid w:val="00B534F0"/>
    <w:rsid w:val="00B54C62"/>
    <w:rsid w:val="00B55B57"/>
    <w:rsid w:val="00B56CAC"/>
    <w:rsid w:val="00B57980"/>
    <w:rsid w:val="00B601D4"/>
    <w:rsid w:val="00B60DA2"/>
    <w:rsid w:val="00B6166B"/>
    <w:rsid w:val="00B61955"/>
    <w:rsid w:val="00B61C39"/>
    <w:rsid w:val="00B622EF"/>
    <w:rsid w:val="00B63BC9"/>
    <w:rsid w:val="00B653BB"/>
    <w:rsid w:val="00B66E86"/>
    <w:rsid w:val="00B67A20"/>
    <w:rsid w:val="00B710FE"/>
    <w:rsid w:val="00B724E8"/>
    <w:rsid w:val="00B73FE9"/>
    <w:rsid w:val="00B87D50"/>
    <w:rsid w:val="00B91BCB"/>
    <w:rsid w:val="00B9223B"/>
    <w:rsid w:val="00B953BD"/>
    <w:rsid w:val="00B95905"/>
    <w:rsid w:val="00B95E96"/>
    <w:rsid w:val="00B97421"/>
    <w:rsid w:val="00BA2A94"/>
    <w:rsid w:val="00BA4D1F"/>
    <w:rsid w:val="00BA5339"/>
    <w:rsid w:val="00BA6226"/>
    <w:rsid w:val="00BA7AD1"/>
    <w:rsid w:val="00BB2250"/>
    <w:rsid w:val="00BB3132"/>
    <w:rsid w:val="00BB5448"/>
    <w:rsid w:val="00BB68CA"/>
    <w:rsid w:val="00BB721B"/>
    <w:rsid w:val="00BC0FDD"/>
    <w:rsid w:val="00BC130D"/>
    <w:rsid w:val="00BC22E0"/>
    <w:rsid w:val="00BC2A46"/>
    <w:rsid w:val="00BC3FA4"/>
    <w:rsid w:val="00BD004A"/>
    <w:rsid w:val="00BD352C"/>
    <w:rsid w:val="00BD5023"/>
    <w:rsid w:val="00BD5133"/>
    <w:rsid w:val="00BD58AB"/>
    <w:rsid w:val="00BE28ED"/>
    <w:rsid w:val="00BE3339"/>
    <w:rsid w:val="00BF1D3A"/>
    <w:rsid w:val="00C008B2"/>
    <w:rsid w:val="00C00CF6"/>
    <w:rsid w:val="00C0130E"/>
    <w:rsid w:val="00C01ABC"/>
    <w:rsid w:val="00C01E1C"/>
    <w:rsid w:val="00C01F6B"/>
    <w:rsid w:val="00C02A84"/>
    <w:rsid w:val="00C07B2D"/>
    <w:rsid w:val="00C12209"/>
    <w:rsid w:val="00C135B2"/>
    <w:rsid w:val="00C14CD6"/>
    <w:rsid w:val="00C16927"/>
    <w:rsid w:val="00C2082E"/>
    <w:rsid w:val="00C20835"/>
    <w:rsid w:val="00C24A09"/>
    <w:rsid w:val="00C25084"/>
    <w:rsid w:val="00C274BE"/>
    <w:rsid w:val="00C274C6"/>
    <w:rsid w:val="00C310B6"/>
    <w:rsid w:val="00C31785"/>
    <w:rsid w:val="00C321D9"/>
    <w:rsid w:val="00C3330D"/>
    <w:rsid w:val="00C34654"/>
    <w:rsid w:val="00C347FE"/>
    <w:rsid w:val="00C357BE"/>
    <w:rsid w:val="00C4006D"/>
    <w:rsid w:val="00C4530E"/>
    <w:rsid w:val="00C45C21"/>
    <w:rsid w:val="00C53F93"/>
    <w:rsid w:val="00C56C44"/>
    <w:rsid w:val="00C57028"/>
    <w:rsid w:val="00C572BB"/>
    <w:rsid w:val="00C604B3"/>
    <w:rsid w:val="00C6332C"/>
    <w:rsid w:val="00C6721D"/>
    <w:rsid w:val="00C677A9"/>
    <w:rsid w:val="00C678B3"/>
    <w:rsid w:val="00C70B4A"/>
    <w:rsid w:val="00C71CD1"/>
    <w:rsid w:val="00C73143"/>
    <w:rsid w:val="00C77685"/>
    <w:rsid w:val="00C77815"/>
    <w:rsid w:val="00C77977"/>
    <w:rsid w:val="00C77ABA"/>
    <w:rsid w:val="00C8085F"/>
    <w:rsid w:val="00C821B6"/>
    <w:rsid w:val="00C8471E"/>
    <w:rsid w:val="00C850CE"/>
    <w:rsid w:val="00C85378"/>
    <w:rsid w:val="00C90BE5"/>
    <w:rsid w:val="00C91B10"/>
    <w:rsid w:val="00C925E0"/>
    <w:rsid w:val="00C9271F"/>
    <w:rsid w:val="00C9297C"/>
    <w:rsid w:val="00C976C0"/>
    <w:rsid w:val="00CA5334"/>
    <w:rsid w:val="00CA6A85"/>
    <w:rsid w:val="00CA6FDA"/>
    <w:rsid w:val="00CB0886"/>
    <w:rsid w:val="00CB2CC0"/>
    <w:rsid w:val="00CB3B6F"/>
    <w:rsid w:val="00CB5099"/>
    <w:rsid w:val="00CC0C5F"/>
    <w:rsid w:val="00CC2F3D"/>
    <w:rsid w:val="00CC4CF6"/>
    <w:rsid w:val="00CC51A7"/>
    <w:rsid w:val="00CC5FF3"/>
    <w:rsid w:val="00CC6072"/>
    <w:rsid w:val="00CD1612"/>
    <w:rsid w:val="00CD262A"/>
    <w:rsid w:val="00CD365B"/>
    <w:rsid w:val="00CD4BFA"/>
    <w:rsid w:val="00CE0E72"/>
    <w:rsid w:val="00CE2ADF"/>
    <w:rsid w:val="00CE367D"/>
    <w:rsid w:val="00CE6D6A"/>
    <w:rsid w:val="00CF1C84"/>
    <w:rsid w:val="00CF1D7D"/>
    <w:rsid w:val="00CF45D3"/>
    <w:rsid w:val="00CF51F9"/>
    <w:rsid w:val="00CF6B6C"/>
    <w:rsid w:val="00CF7EA2"/>
    <w:rsid w:val="00D0159B"/>
    <w:rsid w:val="00D04204"/>
    <w:rsid w:val="00D042BB"/>
    <w:rsid w:val="00D05FAE"/>
    <w:rsid w:val="00D06CA0"/>
    <w:rsid w:val="00D0731B"/>
    <w:rsid w:val="00D115BB"/>
    <w:rsid w:val="00D11797"/>
    <w:rsid w:val="00D12C68"/>
    <w:rsid w:val="00D134FB"/>
    <w:rsid w:val="00D14FEC"/>
    <w:rsid w:val="00D15546"/>
    <w:rsid w:val="00D16C97"/>
    <w:rsid w:val="00D17789"/>
    <w:rsid w:val="00D21565"/>
    <w:rsid w:val="00D2277C"/>
    <w:rsid w:val="00D22F7D"/>
    <w:rsid w:val="00D257C6"/>
    <w:rsid w:val="00D25BEE"/>
    <w:rsid w:val="00D27079"/>
    <w:rsid w:val="00D2737E"/>
    <w:rsid w:val="00D274A9"/>
    <w:rsid w:val="00D302CF"/>
    <w:rsid w:val="00D32644"/>
    <w:rsid w:val="00D33619"/>
    <w:rsid w:val="00D400F4"/>
    <w:rsid w:val="00D43CF1"/>
    <w:rsid w:val="00D449AE"/>
    <w:rsid w:val="00D477C3"/>
    <w:rsid w:val="00D508EB"/>
    <w:rsid w:val="00D51B89"/>
    <w:rsid w:val="00D52AC7"/>
    <w:rsid w:val="00D54CA9"/>
    <w:rsid w:val="00D54D64"/>
    <w:rsid w:val="00D55FBE"/>
    <w:rsid w:val="00D604FD"/>
    <w:rsid w:val="00D6340F"/>
    <w:rsid w:val="00D6535E"/>
    <w:rsid w:val="00D654EC"/>
    <w:rsid w:val="00D6681B"/>
    <w:rsid w:val="00D66C0C"/>
    <w:rsid w:val="00D720DC"/>
    <w:rsid w:val="00D72D16"/>
    <w:rsid w:val="00D742B9"/>
    <w:rsid w:val="00D7492C"/>
    <w:rsid w:val="00D766CC"/>
    <w:rsid w:val="00D81029"/>
    <w:rsid w:val="00D8195B"/>
    <w:rsid w:val="00D821F8"/>
    <w:rsid w:val="00D832FA"/>
    <w:rsid w:val="00D848F9"/>
    <w:rsid w:val="00D84DDC"/>
    <w:rsid w:val="00D85695"/>
    <w:rsid w:val="00D857BA"/>
    <w:rsid w:val="00D8619F"/>
    <w:rsid w:val="00D86764"/>
    <w:rsid w:val="00D870AC"/>
    <w:rsid w:val="00D90B92"/>
    <w:rsid w:val="00D95611"/>
    <w:rsid w:val="00DA0DF2"/>
    <w:rsid w:val="00DA1152"/>
    <w:rsid w:val="00DA41D7"/>
    <w:rsid w:val="00DA494B"/>
    <w:rsid w:val="00DA5B72"/>
    <w:rsid w:val="00DB5C0A"/>
    <w:rsid w:val="00DC0220"/>
    <w:rsid w:val="00DC0A85"/>
    <w:rsid w:val="00DC6FF8"/>
    <w:rsid w:val="00DD01FC"/>
    <w:rsid w:val="00DD13E2"/>
    <w:rsid w:val="00DD435C"/>
    <w:rsid w:val="00DE47A1"/>
    <w:rsid w:val="00DE7DCC"/>
    <w:rsid w:val="00DF003C"/>
    <w:rsid w:val="00DF0E8B"/>
    <w:rsid w:val="00DF0F8A"/>
    <w:rsid w:val="00DF137F"/>
    <w:rsid w:val="00DF4501"/>
    <w:rsid w:val="00DF5C75"/>
    <w:rsid w:val="00DF65E5"/>
    <w:rsid w:val="00DF6971"/>
    <w:rsid w:val="00DF78AE"/>
    <w:rsid w:val="00DF799D"/>
    <w:rsid w:val="00E00E78"/>
    <w:rsid w:val="00E0759A"/>
    <w:rsid w:val="00E076C1"/>
    <w:rsid w:val="00E11E2E"/>
    <w:rsid w:val="00E1235F"/>
    <w:rsid w:val="00E13C83"/>
    <w:rsid w:val="00E15555"/>
    <w:rsid w:val="00E15B7D"/>
    <w:rsid w:val="00E231B8"/>
    <w:rsid w:val="00E23477"/>
    <w:rsid w:val="00E2408E"/>
    <w:rsid w:val="00E27CDB"/>
    <w:rsid w:val="00E371EC"/>
    <w:rsid w:val="00E43116"/>
    <w:rsid w:val="00E444DA"/>
    <w:rsid w:val="00E470D2"/>
    <w:rsid w:val="00E51A48"/>
    <w:rsid w:val="00E550AA"/>
    <w:rsid w:val="00E571F8"/>
    <w:rsid w:val="00E57E5A"/>
    <w:rsid w:val="00E63C1D"/>
    <w:rsid w:val="00E64F0A"/>
    <w:rsid w:val="00E66FD9"/>
    <w:rsid w:val="00E67668"/>
    <w:rsid w:val="00E70AEE"/>
    <w:rsid w:val="00E7107E"/>
    <w:rsid w:val="00E71C93"/>
    <w:rsid w:val="00E725D5"/>
    <w:rsid w:val="00E72AE3"/>
    <w:rsid w:val="00E73B51"/>
    <w:rsid w:val="00E748AE"/>
    <w:rsid w:val="00E76B98"/>
    <w:rsid w:val="00E812E4"/>
    <w:rsid w:val="00E8151C"/>
    <w:rsid w:val="00E81A88"/>
    <w:rsid w:val="00E81E9C"/>
    <w:rsid w:val="00E82E15"/>
    <w:rsid w:val="00E83FE9"/>
    <w:rsid w:val="00E84151"/>
    <w:rsid w:val="00E86FA6"/>
    <w:rsid w:val="00E91409"/>
    <w:rsid w:val="00E91D17"/>
    <w:rsid w:val="00E936FF"/>
    <w:rsid w:val="00E939C8"/>
    <w:rsid w:val="00E93A33"/>
    <w:rsid w:val="00E93B6B"/>
    <w:rsid w:val="00E96C74"/>
    <w:rsid w:val="00EA1F89"/>
    <w:rsid w:val="00EA2512"/>
    <w:rsid w:val="00EA5177"/>
    <w:rsid w:val="00EA7FEF"/>
    <w:rsid w:val="00EB117B"/>
    <w:rsid w:val="00EB2BEB"/>
    <w:rsid w:val="00EB40D6"/>
    <w:rsid w:val="00EB4222"/>
    <w:rsid w:val="00EB5F75"/>
    <w:rsid w:val="00EB79CD"/>
    <w:rsid w:val="00EC52A5"/>
    <w:rsid w:val="00ED4C91"/>
    <w:rsid w:val="00ED5985"/>
    <w:rsid w:val="00EE0648"/>
    <w:rsid w:val="00EE0F2E"/>
    <w:rsid w:val="00EE1868"/>
    <w:rsid w:val="00EE2610"/>
    <w:rsid w:val="00EE2A41"/>
    <w:rsid w:val="00EE354B"/>
    <w:rsid w:val="00EE3C1D"/>
    <w:rsid w:val="00EE6EC2"/>
    <w:rsid w:val="00EF0144"/>
    <w:rsid w:val="00EF09FB"/>
    <w:rsid w:val="00EF102E"/>
    <w:rsid w:val="00EF1925"/>
    <w:rsid w:val="00EF2489"/>
    <w:rsid w:val="00EF697A"/>
    <w:rsid w:val="00F02923"/>
    <w:rsid w:val="00F0351B"/>
    <w:rsid w:val="00F06472"/>
    <w:rsid w:val="00F10D6B"/>
    <w:rsid w:val="00F123C0"/>
    <w:rsid w:val="00F13254"/>
    <w:rsid w:val="00F1465C"/>
    <w:rsid w:val="00F177B1"/>
    <w:rsid w:val="00F2135A"/>
    <w:rsid w:val="00F22566"/>
    <w:rsid w:val="00F226B2"/>
    <w:rsid w:val="00F226DB"/>
    <w:rsid w:val="00F22963"/>
    <w:rsid w:val="00F22BA4"/>
    <w:rsid w:val="00F232C2"/>
    <w:rsid w:val="00F24599"/>
    <w:rsid w:val="00F278FA"/>
    <w:rsid w:val="00F30F82"/>
    <w:rsid w:val="00F342B2"/>
    <w:rsid w:val="00F367F2"/>
    <w:rsid w:val="00F370A2"/>
    <w:rsid w:val="00F403EA"/>
    <w:rsid w:val="00F42452"/>
    <w:rsid w:val="00F42753"/>
    <w:rsid w:val="00F42E10"/>
    <w:rsid w:val="00F440D8"/>
    <w:rsid w:val="00F44A7B"/>
    <w:rsid w:val="00F44FFA"/>
    <w:rsid w:val="00F45B6F"/>
    <w:rsid w:val="00F510DB"/>
    <w:rsid w:val="00F516E3"/>
    <w:rsid w:val="00F5627B"/>
    <w:rsid w:val="00F567CC"/>
    <w:rsid w:val="00F5724D"/>
    <w:rsid w:val="00F6021E"/>
    <w:rsid w:val="00F60AB3"/>
    <w:rsid w:val="00F62329"/>
    <w:rsid w:val="00F635AC"/>
    <w:rsid w:val="00F63ABB"/>
    <w:rsid w:val="00F65A74"/>
    <w:rsid w:val="00F727B0"/>
    <w:rsid w:val="00F72A12"/>
    <w:rsid w:val="00F76A74"/>
    <w:rsid w:val="00F81124"/>
    <w:rsid w:val="00F816C6"/>
    <w:rsid w:val="00F817C5"/>
    <w:rsid w:val="00F841CB"/>
    <w:rsid w:val="00F858D5"/>
    <w:rsid w:val="00F909A9"/>
    <w:rsid w:val="00F91AEE"/>
    <w:rsid w:val="00F97C07"/>
    <w:rsid w:val="00FA047C"/>
    <w:rsid w:val="00FA19D2"/>
    <w:rsid w:val="00FA2545"/>
    <w:rsid w:val="00FA2625"/>
    <w:rsid w:val="00FA7EF6"/>
    <w:rsid w:val="00FB2524"/>
    <w:rsid w:val="00FB4AAD"/>
    <w:rsid w:val="00FB4E3D"/>
    <w:rsid w:val="00FB5F2A"/>
    <w:rsid w:val="00FB6CF8"/>
    <w:rsid w:val="00FC16E9"/>
    <w:rsid w:val="00FC279C"/>
    <w:rsid w:val="00FC45DE"/>
    <w:rsid w:val="00FC48CB"/>
    <w:rsid w:val="00FC4F9B"/>
    <w:rsid w:val="00FC59F0"/>
    <w:rsid w:val="00FD0B6D"/>
    <w:rsid w:val="00FD2DEC"/>
    <w:rsid w:val="00FD40CE"/>
    <w:rsid w:val="00FD4599"/>
    <w:rsid w:val="00FD4784"/>
    <w:rsid w:val="00FD51A0"/>
    <w:rsid w:val="00FD65FE"/>
    <w:rsid w:val="00FD74EB"/>
    <w:rsid w:val="00FE009C"/>
    <w:rsid w:val="00FE01E5"/>
    <w:rsid w:val="00FE214F"/>
    <w:rsid w:val="00FE3DA3"/>
    <w:rsid w:val="00FE4094"/>
    <w:rsid w:val="00FE6BC1"/>
    <w:rsid w:val="00FE73F0"/>
    <w:rsid w:val="00FF1082"/>
    <w:rsid w:val="00FF3652"/>
    <w:rsid w:val="00FF465F"/>
    <w:rsid w:val="00FF76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character" w:styleId="Hipervnculovisitado">
    <w:name w:val="FollowedHyperlink"/>
    <w:basedOn w:val="Fuentedeprrafopredeter"/>
    <w:uiPriority w:val="99"/>
    <w:semiHidden/>
    <w:unhideWhenUsed/>
    <w:rsid w:val="000C7E6E"/>
    <w:rPr>
      <w:color w:val="954F72" w:themeColor="followedHyperlink"/>
      <w:u w:val="single"/>
    </w:rPr>
  </w:style>
  <w:style w:type="paragraph" w:customStyle="1" w:styleId="infoem0">
    <w:name w:val="infoem"/>
    <w:basedOn w:val="Sinespaciado"/>
    <w:qFormat/>
    <w:rsid w:val="00870B18"/>
    <w:pPr>
      <w:spacing w:before="240" w:after="160" w:line="360" w:lineRule="auto"/>
      <w:ind w:left="851" w:right="851"/>
      <w:jc w:val="both"/>
    </w:pPr>
    <w:rPr>
      <w:rFonts w:ascii="Palatino Linotype" w:eastAsiaTheme="minorHAnsi" w:hAnsi="Palatino Linotype" w:cs="Arial"/>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8084699">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6895545">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37214639">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01336326">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E0255-8B86-446C-8839-723638C6C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40</Pages>
  <Words>8193</Words>
  <Characters>45065</Characters>
  <Application>Microsoft Office Word</Application>
  <DocSecurity>0</DocSecurity>
  <Lines>375</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12</cp:revision>
  <cp:lastPrinted>2026-03-06T18:48:00Z</cp:lastPrinted>
  <dcterms:created xsi:type="dcterms:W3CDTF">2026-02-23T22:22:00Z</dcterms:created>
  <dcterms:modified xsi:type="dcterms:W3CDTF">2026-04-08T16:07:00Z</dcterms:modified>
</cp:coreProperties>
</file>