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B59E1" w:rsidRPr="002C7D19" w:rsidRDefault="002B59E1" w:rsidP="002B59E1">
      <w:pPr>
        <w:tabs>
          <w:tab w:val="left" w:pos="567"/>
        </w:tabs>
        <w:spacing w:line="360" w:lineRule="auto"/>
        <w:ind w:right="-518"/>
        <w:jc w:val="both"/>
        <w:rPr>
          <w:rFonts w:ascii="Palatino Linotype" w:eastAsia="Palatino Linotype" w:hAnsi="Palatino Linotype" w:cs="Palatino Linotype"/>
          <w:b/>
          <w:sz w:val="24"/>
          <w:szCs w:val="24"/>
        </w:rPr>
      </w:pPr>
      <w:bookmarkStart w:id="0" w:name="_GoBack"/>
      <w:bookmarkEnd w:id="0"/>
      <w:r w:rsidRPr="002C7D19">
        <w:rPr>
          <w:rFonts w:ascii="Palatino Linotype" w:eastAsia="Palatino Linotype" w:hAnsi="Palatino Linotype" w:cs="Palatino Linotype"/>
          <w:sz w:val="24"/>
          <w:szCs w:val="24"/>
        </w:rPr>
        <w:t xml:space="preserve">Resolución del Pleno del Instituto de Transparencia, Acceso a la Información Pública y Protección de Datos Personales del Estado de México y Municipios, con domicilio en Metepec, Estado de México; de fecha </w:t>
      </w:r>
      <w:r w:rsidRPr="002C7D19">
        <w:rPr>
          <w:rFonts w:ascii="Palatino Linotype" w:eastAsia="Palatino Linotype" w:hAnsi="Palatino Linotype" w:cs="Palatino Linotype"/>
          <w:b/>
          <w:sz w:val="24"/>
          <w:szCs w:val="24"/>
        </w:rPr>
        <w:t xml:space="preserve">siete </w:t>
      </w:r>
      <w:r w:rsidR="002C7D19">
        <w:rPr>
          <w:rFonts w:ascii="Palatino Linotype" w:eastAsia="Palatino Linotype" w:hAnsi="Palatino Linotype" w:cs="Palatino Linotype"/>
          <w:b/>
          <w:sz w:val="24"/>
          <w:szCs w:val="24"/>
        </w:rPr>
        <w:t xml:space="preserve">(07) </w:t>
      </w:r>
      <w:r w:rsidRPr="002C7D19">
        <w:rPr>
          <w:rFonts w:ascii="Palatino Linotype" w:eastAsia="Palatino Linotype" w:hAnsi="Palatino Linotype" w:cs="Palatino Linotype"/>
          <w:b/>
          <w:sz w:val="24"/>
          <w:szCs w:val="24"/>
        </w:rPr>
        <w:t>de mayo de dos mil veintiséis.</w:t>
      </w:r>
    </w:p>
    <w:p w:rsidR="002B59E1" w:rsidRPr="002C7D19" w:rsidRDefault="002B59E1" w:rsidP="002B59E1">
      <w:pPr>
        <w:tabs>
          <w:tab w:val="left" w:pos="567"/>
        </w:tabs>
        <w:spacing w:line="360" w:lineRule="auto"/>
        <w:ind w:right="-518"/>
        <w:jc w:val="both"/>
        <w:rPr>
          <w:rFonts w:ascii="Palatino Linotype" w:eastAsia="Palatino Linotype" w:hAnsi="Palatino Linotype" w:cs="Palatino Linotype"/>
          <w:sz w:val="24"/>
          <w:szCs w:val="24"/>
        </w:rPr>
      </w:pPr>
    </w:p>
    <w:p w:rsidR="002B59E1" w:rsidRPr="002C7D19" w:rsidRDefault="002B59E1" w:rsidP="002B59E1">
      <w:pPr>
        <w:spacing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b/>
          <w:sz w:val="24"/>
          <w:szCs w:val="24"/>
        </w:rPr>
        <w:t>VISTO</w:t>
      </w:r>
      <w:r w:rsidRPr="002C7D19">
        <w:rPr>
          <w:rFonts w:ascii="Palatino Linotype" w:eastAsia="Palatino Linotype" w:hAnsi="Palatino Linotype" w:cs="Palatino Linotype"/>
          <w:sz w:val="24"/>
          <w:szCs w:val="24"/>
        </w:rPr>
        <w:t xml:space="preserve"> el expediente electrónico formado con motivo del recurso de revisión </w:t>
      </w:r>
      <w:r w:rsidRPr="002C7D19">
        <w:rPr>
          <w:rFonts w:ascii="Palatino Linotype" w:eastAsia="Palatino Linotype" w:hAnsi="Palatino Linotype" w:cs="Palatino Linotype"/>
          <w:b/>
          <w:bCs/>
          <w:sz w:val="24"/>
          <w:szCs w:val="24"/>
        </w:rPr>
        <w:t>14698/INFOEM/IP/RR/2025</w:t>
      </w:r>
      <w:r w:rsidRPr="002C7D19">
        <w:rPr>
          <w:rFonts w:ascii="Palatino Linotype" w:eastAsia="Palatino Linotype" w:hAnsi="Palatino Linotype" w:cs="Palatino Linotype"/>
          <w:sz w:val="24"/>
          <w:szCs w:val="24"/>
        </w:rPr>
        <w:t>,</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sz w:val="24"/>
          <w:szCs w:val="24"/>
        </w:rPr>
        <w:t xml:space="preserve">promovido por </w:t>
      </w:r>
      <w:r w:rsidRPr="002C7D19">
        <w:rPr>
          <w:rFonts w:ascii="Palatino Linotype" w:eastAsia="Palatino Linotype" w:hAnsi="Palatino Linotype" w:cs="Palatino Linotype"/>
          <w:b/>
          <w:sz w:val="24"/>
          <w:szCs w:val="24"/>
        </w:rPr>
        <w:t> </w:t>
      </w:r>
      <w:r w:rsidR="004007DA" w:rsidRPr="002C7D19">
        <w:rPr>
          <w:rFonts w:ascii="Palatino Linotype" w:eastAsia="Palatino Linotype" w:hAnsi="Palatino Linotype" w:cs="Palatino Linotype"/>
          <w:b/>
          <w:sz w:val="24"/>
          <w:szCs w:val="24"/>
        </w:rPr>
        <w:t>una persona que no proporcionó datos</w:t>
      </w:r>
      <w:r w:rsidRPr="002C7D19">
        <w:rPr>
          <w:rFonts w:ascii="Palatino Linotype" w:eastAsia="Palatino Linotype" w:hAnsi="Palatino Linotype" w:cs="Palatino Linotype"/>
          <w:sz w:val="24"/>
          <w:szCs w:val="24"/>
        </w:rPr>
        <w:t xml:space="preserve">, a quien en lo sucesivo se le identificará como </w:t>
      </w:r>
      <w:r w:rsidRPr="002C7D19">
        <w:rPr>
          <w:rFonts w:ascii="Palatino Linotype" w:eastAsia="Palatino Linotype" w:hAnsi="Palatino Linotype" w:cs="Palatino Linotype"/>
          <w:b/>
          <w:sz w:val="24"/>
          <w:szCs w:val="24"/>
        </w:rPr>
        <w:t>EL RECURRENTE</w:t>
      </w:r>
      <w:r w:rsidRPr="002C7D19">
        <w:rPr>
          <w:rFonts w:ascii="Palatino Linotype" w:eastAsia="Palatino Linotype" w:hAnsi="Palatino Linotype" w:cs="Palatino Linotype"/>
          <w:sz w:val="24"/>
          <w:szCs w:val="24"/>
        </w:rPr>
        <w:t xml:space="preserve">, en contra de la respuesta del </w:t>
      </w:r>
      <w:r w:rsidRPr="002C7D19">
        <w:rPr>
          <w:rFonts w:ascii="Palatino Linotype" w:eastAsia="Palatino Linotype" w:hAnsi="Palatino Linotype" w:cs="Palatino Linotype"/>
          <w:b/>
          <w:bCs/>
          <w:sz w:val="24"/>
          <w:szCs w:val="24"/>
        </w:rPr>
        <w:t>Sistema Municipal Para el Desarrollo Integral de la Familia de Huehuetoca</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sz w:val="24"/>
          <w:szCs w:val="24"/>
        </w:rPr>
        <w:t>en adelante el</w:t>
      </w:r>
      <w:r w:rsidRPr="002C7D19">
        <w:rPr>
          <w:rFonts w:ascii="Palatino Linotype" w:eastAsia="Palatino Linotype" w:hAnsi="Palatino Linotype" w:cs="Palatino Linotype"/>
          <w:b/>
          <w:sz w:val="24"/>
          <w:szCs w:val="24"/>
        </w:rPr>
        <w:t xml:space="preserve"> SUJETO OBLIGADO</w:t>
      </w:r>
      <w:r w:rsidRPr="002C7D19">
        <w:rPr>
          <w:rFonts w:ascii="Palatino Linotype" w:eastAsia="Palatino Linotype" w:hAnsi="Palatino Linotype" w:cs="Palatino Linotype"/>
          <w:sz w:val="24"/>
          <w:szCs w:val="24"/>
        </w:rPr>
        <w:t>, se procede a dictar la presente resolución, con base en los siguientes:</w:t>
      </w:r>
    </w:p>
    <w:p w:rsidR="002B59E1" w:rsidRPr="002C7D19" w:rsidRDefault="002B59E1" w:rsidP="002B59E1">
      <w:pPr>
        <w:spacing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A N T E C E D E N T E S</w:t>
      </w:r>
    </w:p>
    <w:p w:rsidR="002B59E1" w:rsidRPr="002C7D19" w:rsidRDefault="002B59E1" w:rsidP="002B59E1">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SOLICITUD</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El </w:t>
      </w:r>
      <w:r w:rsidRPr="002C7D19">
        <w:rPr>
          <w:rFonts w:ascii="Palatino Linotype" w:eastAsia="Palatino Linotype" w:hAnsi="Palatino Linotype" w:cs="Palatino Linotype"/>
          <w:b/>
          <w:sz w:val="24"/>
          <w:szCs w:val="24"/>
        </w:rPr>
        <w:t xml:space="preserve">veintiséis de noviembre de dos mil veinticinco, </w:t>
      </w:r>
      <w:r w:rsidRPr="002C7D19">
        <w:rPr>
          <w:rFonts w:ascii="Palatino Linotype" w:eastAsia="Palatino Linotype" w:hAnsi="Palatino Linotype" w:cs="Palatino Linotype"/>
          <w:sz w:val="24"/>
          <w:szCs w:val="24"/>
        </w:rPr>
        <w:t xml:space="preserve">se presentó ante el </w:t>
      </w:r>
      <w:r w:rsidRPr="002C7D19">
        <w:rPr>
          <w:rFonts w:ascii="Palatino Linotype" w:eastAsia="Palatino Linotype" w:hAnsi="Palatino Linotype" w:cs="Palatino Linotype"/>
          <w:b/>
          <w:sz w:val="24"/>
          <w:szCs w:val="24"/>
        </w:rPr>
        <w:t>SUJETO OBLIGADO</w:t>
      </w:r>
      <w:r w:rsidRPr="002C7D19">
        <w:rPr>
          <w:rFonts w:ascii="Palatino Linotype" w:eastAsia="Palatino Linotype" w:hAnsi="Palatino Linotype" w:cs="Palatino Linotype"/>
          <w:sz w:val="24"/>
          <w:szCs w:val="24"/>
        </w:rPr>
        <w:t xml:space="preserve"> vía SAIMEX, la solicitud de información pública registrada con el número</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b/>
          <w:bCs/>
          <w:sz w:val="24"/>
          <w:szCs w:val="24"/>
        </w:rPr>
        <w:t>00270/DIFHUEHUET/IP/2025</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sz w:val="24"/>
          <w:szCs w:val="24"/>
        </w:rPr>
        <w:t>en la que se solicitó la siguiente información:</w:t>
      </w:r>
    </w:p>
    <w:p w:rsidR="002B59E1" w:rsidRPr="002C7D19" w:rsidRDefault="002B59E1" w:rsidP="002B59E1">
      <w:pPr>
        <w:pBdr>
          <w:top w:val="nil"/>
          <w:left w:val="nil"/>
          <w:bottom w:val="nil"/>
          <w:right w:val="nil"/>
          <w:between w:val="nil"/>
        </w:pBdr>
        <w:spacing w:line="360" w:lineRule="auto"/>
        <w:ind w:right="-518"/>
        <w:jc w:val="both"/>
        <w:rPr>
          <w:rFonts w:ascii="Palatino Linotype" w:eastAsia="Palatino Linotype" w:hAnsi="Palatino Linotype" w:cs="Palatino Linotype"/>
          <w:sz w:val="24"/>
          <w:szCs w:val="24"/>
        </w:rPr>
      </w:pPr>
    </w:p>
    <w:p w:rsidR="002B59E1" w:rsidRPr="002C7D19" w:rsidRDefault="002B59E1" w:rsidP="002B59E1">
      <w:pPr>
        <w:pBdr>
          <w:top w:val="nil"/>
          <w:left w:val="nil"/>
          <w:bottom w:val="nil"/>
          <w:right w:val="nil"/>
          <w:between w:val="nil"/>
        </w:pBdr>
        <w:ind w:left="426"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“SOLICITO VIA SAIMEX Y SI ES EL CASO EN LA CORRECTA VERSION PUBLICA, DE TODOS LOS COMPROBANTES DE GASTOS DEL DEPARTAMENTO DE TESORERIA CORRESPONDIENTE AL SEGUNDO Y TERCER TRIMESTRE DEL AÑO 2025” </w:t>
      </w:r>
      <w:r w:rsidRPr="002C7D19">
        <w:rPr>
          <w:rFonts w:ascii="Palatino Linotype" w:eastAsia="Palatino Linotype" w:hAnsi="Palatino Linotype" w:cs="Palatino Linotype"/>
          <w:sz w:val="24"/>
          <w:szCs w:val="24"/>
        </w:rPr>
        <w:t>(Sic)</w:t>
      </w:r>
    </w:p>
    <w:p w:rsidR="002B59E1" w:rsidRPr="002C7D19" w:rsidRDefault="002B59E1" w:rsidP="002B59E1">
      <w:pPr>
        <w:pBdr>
          <w:top w:val="nil"/>
          <w:left w:val="nil"/>
          <w:bottom w:val="nil"/>
          <w:right w:val="nil"/>
          <w:between w:val="nil"/>
        </w:pBdr>
        <w:ind w:left="426" w:right="-93"/>
        <w:jc w:val="both"/>
        <w:rPr>
          <w:rFonts w:ascii="Palatino Linotype" w:eastAsia="Palatino Linotype" w:hAnsi="Palatino Linotype" w:cs="Palatino Linotype"/>
          <w:i/>
          <w:sz w:val="24"/>
          <w:szCs w:val="24"/>
        </w:rPr>
      </w:pPr>
    </w:p>
    <w:p w:rsidR="002B59E1" w:rsidRPr="002C7D19" w:rsidRDefault="002B59E1" w:rsidP="002B59E1">
      <w:pPr>
        <w:numPr>
          <w:ilvl w:val="0"/>
          <w:numId w:val="2"/>
        </w:num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Se eligió como modalidad de entrega de la información: A través del </w:t>
      </w:r>
      <w:r w:rsidRPr="002C7D19">
        <w:rPr>
          <w:rFonts w:ascii="Palatino Linotype" w:eastAsia="Palatino Linotype" w:hAnsi="Palatino Linotype" w:cs="Palatino Linotype"/>
          <w:b/>
          <w:sz w:val="24"/>
          <w:szCs w:val="24"/>
        </w:rPr>
        <w:t>SAIMEX.</w:t>
      </w:r>
    </w:p>
    <w:p w:rsidR="002B59E1" w:rsidRPr="002C7D19" w:rsidRDefault="002B59E1" w:rsidP="002B59E1">
      <w:p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lastRenderedPageBreak/>
        <w:t>RESPUESTA</w:t>
      </w:r>
    </w:p>
    <w:p w:rsidR="002B59E1" w:rsidRPr="002C7D19" w:rsidRDefault="002B59E1" w:rsidP="002B59E1">
      <w:pPr>
        <w:pBdr>
          <w:top w:val="nil"/>
          <w:left w:val="nil"/>
          <w:bottom w:val="nil"/>
          <w:right w:val="nil"/>
          <w:between w:val="nil"/>
        </w:pBdr>
        <w:spacing w:after="0" w:line="240" w:lineRule="auto"/>
        <w:ind w:left="851"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2C7D19">
        <w:rPr>
          <w:rFonts w:ascii="Palatino Linotype" w:eastAsia="Palatino Linotype" w:hAnsi="Palatino Linotype" w:cs="Palatino Linotype"/>
          <w:sz w:val="24"/>
          <w:szCs w:val="24"/>
        </w:rPr>
        <w:t xml:space="preserve">El </w:t>
      </w:r>
      <w:r w:rsidRPr="002C7D19">
        <w:rPr>
          <w:rFonts w:ascii="Palatino Linotype" w:eastAsia="Palatino Linotype" w:hAnsi="Palatino Linotype" w:cs="Palatino Linotype"/>
          <w:b/>
          <w:sz w:val="24"/>
          <w:szCs w:val="24"/>
        </w:rPr>
        <w:t xml:space="preserve">diecisiete de diciembre de dos mil veinticinco, el SUJETO OBLIGADO, </w:t>
      </w:r>
      <w:r w:rsidRPr="002C7D19">
        <w:rPr>
          <w:rFonts w:ascii="Palatino Linotype" w:eastAsia="Palatino Linotype" w:hAnsi="Palatino Linotype" w:cs="Palatino Linotype"/>
          <w:sz w:val="24"/>
          <w:szCs w:val="24"/>
        </w:rPr>
        <w:t>dio respuesta a través del archivo siguiente:</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p>
    <w:p w:rsidR="002B59E1" w:rsidRPr="002C7D19" w:rsidRDefault="002B59E1" w:rsidP="002B59E1">
      <w:pPr>
        <w:pStyle w:val="Prrafodelista"/>
        <w:numPr>
          <w:ilvl w:val="0"/>
          <w:numId w:val="10"/>
        </w:numPr>
        <w:pBdr>
          <w:top w:val="nil"/>
          <w:left w:val="nil"/>
          <w:bottom w:val="nil"/>
          <w:right w:val="nil"/>
          <w:between w:val="nil"/>
        </w:pBdr>
        <w:spacing w:line="276" w:lineRule="auto"/>
        <w:ind w:right="49"/>
        <w:jc w:val="both"/>
        <w:rPr>
          <w:rFonts w:ascii="Palatino Linotype" w:hAnsi="Palatino Linotype"/>
          <w:b/>
          <w:sz w:val="24"/>
          <w:szCs w:val="24"/>
        </w:rPr>
      </w:pPr>
      <w:r w:rsidRPr="002C7D19">
        <w:rPr>
          <w:rFonts w:ascii="Palatino Linotype" w:hAnsi="Palatino Linotype"/>
          <w:b/>
          <w:sz w:val="24"/>
          <w:szCs w:val="24"/>
        </w:rPr>
        <w:t>CamScanner 17-12-2025 08.24.pdf</w:t>
      </w:r>
    </w:p>
    <w:p w:rsidR="002B59E1" w:rsidRPr="002C7D19" w:rsidRDefault="002B59E1" w:rsidP="002B59E1">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Oficio firmado por el Encargado de Despacho de la Tesorería Municipal, por el que informo lo siguiente:</w:t>
      </w:r>
    </w:p>
    <w:p w:rsidR="002B59E1" w:rsidRPr="002C7D19" w:rsidRDefault="002B59E1" w:rsidP="002B59E1">
      <w:pPr>
        <w:pBdr>
          <w:top w:val="nil"/>
          <w:left w:val="nil"/>
          <w:bottom w:val="nil"/>
          <w:right w:val="nil"/>
          <w:between w:val="nil"/>
        </w:pBdr>
        <w:spacing w:line="276" w:lineRule="auto"/>
        <w:ind w:left="426" w:right="49"/>
        <w:jc w:val="both"/>
        <w:rPr>
          <w:rFonts w:ascii="Palatino Linotype" w:eastAsia="Palatino Linotype" w:hAnsi="Palatino Linotype" w:cs="Palatino Linotype"/>
          <w:sz w:val="24"/>
          <w:szCs w:val="24"/>
          <w:u w:val="single"/>
        </w:rPr>
      </w:pPr>
      <w:r w:rsidRPr="002C7D19">
        <w:rPr>
          <w:rFonts w:ascii="Palatino Linotype" w:eastAsia="Palatino Linotype" w:hAnsi="Palatino Linotype" w:cs="Palatino Linotype"/>
          <w:sz w:val="24"/>
          <w:szCs w:val="24"/>
        </w:rPr>
        <w:t>“</w:t>
      </w:r>
      <w:r w:rsidRPr="002C7D19">
        <w:rPr>
          <w:rFonts w:ascii="Palatino Linotype" w:hAnsi="Palatino Linotype"/>
          <w:i/>
          <w:sz w:val="24"/>
          <w:szCs w:val="24"/>
        </w:rPr>
        <w:t>RESPUESTA: En relación a su solicitud, ponemos a su disposición la información que le correspondiente a la Tesorería para consulta o si requiere reproducción de la misma, le informo que de acuerdo con la Ley de transparencia y acceso en la información pública del Estado de México y Municipios, sustentado en su artículo 17 "La búsqueda y acceso a la información es gratuita y solo se cubrirán los gastos de reproducción o por la modalidad de entrega solicitada, así como por el envío, que en su caso genere, de conformidad con los derechos productos y aprovechamientos establecidos en la legislación aplicable, sin que exceda de los límites establecidos en la presente Ley". Por lo antes expuesto si requiere la reproducción de la información solicitada deberá acudir en nuestras oficinas centrales del Sistema Municipal DIF de Huehuetoca ubicado en Av. Juárez S/N Col. Centro Huehuetoca Estado de México a cubrir el costo de estas en un horario de 9 a 17 hrs. de lunes a viernes.</w:t>
      </w:r>
      <w:r w:rsidRPr="002C7D19">
        <w:rPr>
          <w:rFonts w:ascii="Palatino Linotype" w:hAnsi="Palatino Linotype"/>
          <w:i/>
          <w:sz w:val="24"/>
          <w:szCs w:val="24"/>
          <w:u w:val="single"/>
        </w:rPr>
        <w:t>.”</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t>INCONFORMIDAD</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Inconforme con lo anterior, el </w:t>
      </w:r>
      <w:r w:rsidRPr="002C7D19">
        <w:rPr>
          <w:rFonts w:ascii="Palatino Linotype" w:eastAsia="Palatino Linotype" w:hAnsi="Palatino Linotype" w:cs="Palatino Linotype"/>
          <w:b/>
          <w:sz w:val="24"/>
          <w:szCs w:val="24"/>
        </w:rPr>
        <w:t>PARTICULAR</w:t>
      </w:r>
      <w:r w:rsidRPr="002C7D19">
        <w:rPr>
          <w:rFonts w:ascii="Palatino Linotype" w:eastAsia="Palatino Linotype" w:hAnsi="Palatino Linotype" w:cs="Palatino Linotype"/>
          <w:sz w:val="24"/>
          <w:szCs w:val="24"/>
        </w:rPr>
        <w:t xml:space="preserve"> en fecha </w:t>
      </w:r>
      <w:r w:rsidRPr="002C7D19">
        <w:rPr>
          <w:rFonts w:ascii="Palatino Linotype" w:eastAsia="Palatino Linotype" w:hAnsi="Palatino Linotype" w:cs="Palatino Linotype"/>
          <w:b/>
          <w:sz w:val="24"/>
          <w:szCs w:val="24"/>
        </w:rPr>
        <w:t xml:space="preserve">diecinueve de diciembre de dos mil veinticinco, </w:t>
      </w:r>
      <w:r w:rsidRPr="002C7D19">
        <w:rPr>
          <w:rFonts w:ascii="Palatino Linotype" w:eastAsia="Palatino Linotype" w:hAnsi="Palatino Linotype" w:cs="Palatino Linotype"/>
          <w:sz w:val="24"/>
          <w:szCs w:val="24"/>
        </w:rPr>
        <w:t>interpuso el recurso de revisión en contra de la respuesta, manifestando las siguientes razones o motivos de inconformidad:</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Prrafodelista"/>
        <w:numPr>
          <w:ilvl w:val="0"/>
          <w:numId w:val="7"/>
        </w:numPr>
        <w:pBdr>
          <w:top w:val="nil"/>
          <w:left w:val="nil"/>
          <w:bottom w:val="nil"/>
          <w:right w:val="nil"/>
          <w:between w:val="nil"/>
        </w:pBdr>
        <w:spacing w:after="0" w:line="240" w:lineRule="auto"/>
        <w:ind w:right="49"/>
        <w:jc w:val="both"/>
        <w:rPr>
          <w:rFonts w:ascii="Palatino Linotype" w:eastAsia="Palatino Linotype" w:hAnsi="Palatino Linotype" w:cs="Palatino Linotype"/>
          <w:b/>
          <w:i/>
          <w:sz w:val="24"/>
          <w:szCs w:val="24"/>
        </w:rPr>
      </w:pPr>
      <w:r w:rsidRPr="002C7D19">
        <w:rPr>
          <w:rFonts w:ascii="Palatino Linotype" w:eastAsia="Palatino Linotype" w:hAnsi="Palatino Linotype" w:cs="Palatino Linotype"/>
          <w:b/>
          <w:sz w:val="24"/>
          <w:szCs w:val="24"/>
        </w:rPr>
        <w:t>Acto impugnado</w:t>
      </w:r>
      <w:r w:rsidRPr="002C7D19">
        <w:rPr>
          <w:rFonts w:ascii="Palatino Linotype" w:eastAsia="Palatino Linotype" w:hAnsi="Palatino Linotype" w:cs="Palatino Linotype"/>
          <w:sz w:val="24"/>
          <w:szCs w:val="24"/>
        </w:rPr>
        <w:t xml:space="preserve">: </w:t>
      </w:r>
      <w:r w:rsidRPr="002C7D19">
        <w:rPr>
          <w:rFonts w:ascii="Palatino Linotype" w:eastAsia="Palatino Linotype" w:hAnsi="Palatino Linotype" w:cs="Palatino Linotype"/>
          <w:i/>
          <w:sz w:val="24"/>
          <w:szCs w:val="24"/>
        </w:rPr>
        <w:t>“No contestaron a lo solicitado” (sic)</w:t>
      </w:r>
    </w:p>
    <w:p w:rsidR="002B59E1" w:rsidRPr="002C7D19" w:rsidRDefault="002B59E1" w:rsidP="002B59E1">
      <w:pPr>
        <w:pStyle w:val="Prrafodelista"/>
        <w:numPr>
          <w:ilvl w:val="0"/>
          <w:numId w:val="7"/>
        </w:numPr>
        <w:pBdr>
          <w:top w:val="nil"/>
          <w:left w:val="nil"/>
          <w:bottom w:val="nil"/>
          <w:right w:val="nil"/>
          <w:between w:val="nil"/>
        </w:pBdr>
        <w:spacing w:after="0" w:line="240" w:lineRule="auto"/>
        <w:ind w:right="49"/>
        <w:jc w:val="both"/>
        <w:rPr>
          <w:rFonts w:ascii="Palatino Linotype" w:eastAsia="Palatino Linotype" w:hAnsi="Palatino Linotype" w:cs="Palatino Linotype"/>
          <w:i/>
          <w:sz w:val="24"/>
          <w:szCs w:val="24"/>
        </w:rPr>
      </w:pPr>
      <w:bookmarkStart w:id="1" w:name="_heading=h.3znysh7" w:colFirst="0" w:colLast="0"/>
      <w:bookmarkEnd w:id="1"/>
      <w:r w:rsidRPr="002C7D19">
        <w:rPr>
          <w:rFonts w:ascii="Palatino Linotype" w:eastAsia="Palatino Linotype" w:hAnsi="Palatino Linotype" w:cs="Palatino Linotype"/>
          <w:b/>
          <w:sz w:val="24"/>
          <w:szCs w:val="24"/>
        </w:rPr>
        <w:lastRenderedPageBreak/>
        <w:t xml:space="preserve">Razones o Motivos de inconformidad: </w:t>
      </w:r>
      <w:r w:rsidRPr="002C7D19">
        <w:rPr>
          <w:rFonts w:ascii="Palatino Linotype" w:eastAsia="Palatino Linotype" w:hAnsi="Palatino Linotype" w:cs="Palatino Linotype"/>
          <w:i/>
          <w:sz w:val="24"/>
          <w:szCs w:val="24"/>
        </w:rPr>
        <w:t>“No contestaron a lo solicitado, quieren dar información a un formato distinto al solicitado” (sic)</w:t>
      </w:r>
    </w:p>
    <w:p w:rsidR="002B59E1" w:rsidRPr="002C7D19" w:rsidRDefault="002B59E1" w:rsidP="002B59E1">
      <w:pPr>
        <w:spacing w:line="360" w:lineRule="auto"/>
        <w:ind w:right="-518"/>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t xml:space="preserve">ADMISIÓN </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La Comisionada Ponente con fundamento en lo dispuesto por el artículo 185 fracción II de la ley de la materia, a través del acuerdo de admisión notificado en fecha </w:t>
      </w:r>
      <w:r w:rsidRPr="002C7D19">
        <w:rPr>
          <w:rFonts w:ascii="Palatino Linotype" w:eastAsia="Palatino Linotype" w:hAnsi="Palatino Linotype" w:cs="Palatino Linotype"/>
          <w:b/>
          <w:sz w:val="24"/>
          <w:szCs w:val="24"/>
        </w:rPr>
        <w:t>doce de enero de dos mil veintiséis</w:t>
      </w:r>
      <w:r w:rsidRPr="002C7D19">
        <w:rPr>
          <w:rFonts w:ascii="Palatino Linotype" w:eastAsia="Palatino Linotype" w:hAnsi="Palatino Linotype" w:cs="Palatino Linotype"/>
          <w:sz w:val="24"/>
          <w:szCs w:val="24"/>
        </w:rPr>
        <w:t xml:space="preserve">, puso a disposición de las partes el expediente electrónico vía </w:t>
      </w:r>
      <w:r w:rsidRPr="002C7D19">
        <w:rPr>
          <w:rFonts w:ascii="Palatino Linotype" w:eastAsia="Palatino Linotype" w:hAnsi="Palatino Linotype" w:cs="Palatino Linotype"/>
          <w:b/>
          <w:sz w:val="24"/>
          <w:szCs w:val="24"/>
        </w:rPr>
        <w:t xml:space="preserve">SAIMEX </w:t>
      </w:r>
      <w:r w:rsidRPr="002C7D19">
        <w:rPr>
          <w:rFonts w:ascii="Palatino Linotype" w:eastAsia="Palatino Linotype" w:hAnsi="Palatino Linotype" w:cs="Palatino Linotype"/>
          <w:sz w:val="24"/>
          <w:szCs w:val="24"/>
        </w:rPr>
        <w:t xml:space="preserve">a efecto de que en un plazo máximo de siete días manifestara lo que a su derecho conviniera, ofreciera pruebas y alegatos según corresponda a los casos concretos, y el </w:t>
      </w:r>
      <w:r w:rsidRPr="002C7D19">
        <w:rPr>
          <w:rFonts w:ascii="Palatino Linotype" w:eastAsia="Palatino Linotype" w:hAnsi="Palatino Linotype" w:cs="Palatino Linotype"/>
          <w:b/>
          <w:sz w:val="24"/>
          <w:szCs w:val="24"/>
        </w:rPr>
        <w:t>SUJETO OBLIGADO</w:t>
      </w:r>
      <w:r w:rsidRPr="002C7D19">
        <w:rPr>
          <w:rFonts w:ascii="Palatino Linotype" w:eastAsia="Palatino Linotype" w:hAnsi="Palatino Linotype" w:cs="Palatino Linotype"/>
          <w:sz w:val="24"/>
          <w:szCs w:val="24"/>
        </w:rPr>
        <w:t xml:space="preserve"> presentará el Informe Justificado procedente.</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t>MANIFESTACIONES</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El </w:t>
      </w:r>
      <w:r w:rsidRPr="002C7D19">
        <w:rPr>
          <w:rFonts w:ascii="Palatino Linotype" w:eastAsia="Palatino Linotype" w:hAnsi="Palatino Linotype" w:cs="Palatino Linotype"/>
          <w:b/>
          <w:sz w:val="24"/>
          <w:szCs w:val="24"/>
        </w:rPr>
        <w:t xml:space="preserve">SUJETO OBLIGADO </w:t>
      </w:r>
      <w:r w:rsidRPr="002C7D19">
        <w:rPr>
          <w:rFonts w:ascii="Palatino Linotype" w:eastAsia="Palatino Linotype" w:hAnsi="Palatino Linotype" w:cs="Palatino Linotype"/>
          <w:sz w:val="24"/>
          <w:szCs w:val="24"/>
        </w:rPr>
        <w:t xml:space="preserve">y el </w:t>
      </w:r>
      <w:r w:rsidRPr="002C7D19">
        <w:rPr>
          <w:rFonts w:ascii="Palatino Linotype" w:eastAsia="Palatino Linotype" w:hAnsi="Palatino Linotype" w:cs="Palatino Linotype"/>
          <w:b/>
          <w:sz w:val="24"/>
          <w:szCs w:val="24"/>
        </w:rPr>
        <w:t xml:space="preserve">RECURRENTE, </w:t>
      </w:r>
      <w:r w:rsidRPr="002C7D19">
        <w:rPr>
          <w:rFonts w:ascii="Palatino Linotype" w:eastAsia="Palatino Linotype" w:hAnsi="Palatino Linotype" w:cs="Palatino Linotype"/>
          <w:sz w:val="24"/>
          <w:szCs w:val="24"/>
        </w:rPr>
        <w:t>fueron omisos en realizar manifestaciones conforme a su derecho conviniera y/o asistiera.</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t>AMPLIACIÓN</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El </w:t>
      </w:r>
      <w:r w:rsidRPr="002C7D19">
        <w:rPr>
          <w:rFonts w:ascii="Palatino Linotype" w:eastAsia="Palatino Linotype" w:hAnsi="Palatino Linotype" w:cs="Palatino Linotype"/>
          <w:b/>
          <w:sz w:val="24"/>
          <w:szCs w:val="24"/>
        </w:rPr>
        <w:t>veinticuatro de abril de dos mil veintiséis</w:t>
      </w:r>
      <w:r w:rsidRPr="002C7D19">
        <w:rPr>
          <w:rFonts w:ascii="Palatino Linotype" w:eastAsia="Palatino Linotype" w:hAnsi="Palatino Linotype" w:cs="Palatino Linotype"/>
          <w:sz w:val="24"/>
          <w:szCs w:val="24"/>
        </w:rPr>
        <w:t xml:space="preserve">, se notificó el acuerdo mediante el cual se aprobó la ampliación de plazo para emitir resolución. </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spacing w:before="0" w:line="360" w:lineRule="auto"/>
        <w:jc w:val="center"/>
        <w:rPr>
          <w:rFonts w:ascii="Palatino Linotype" w:eastAsia="Palatino Linotype" w:hAnsi="Palatino Linotype" w:cs="Palatino Linotype"/>
          <w:b/>
          <w:bCs/>
          <w:color w:val="000000"/>
          <w:sz w:val="24"/>
          <w:szCs w:val="24"/>
        </w:rPr>
      </w:pPr>
      <w:r w:rsidRPr="002C7D19">
        <w:rPr>
          <w:rFonts w:ascii="Palatino Linotype" w:eastAsia="Palatino Linotype" w:hAnsi="Palatino Linotype" w:cs="Palatino Linotype"/>
          <w:b/>
          <w:bCs/>
          <w:color w:val="000000"/>
          <w:sz w:val="24"/>
          <w:szCs w:val="24"/>
        </w:rPr>
        <w:t>CIERRE  DE  INSTRUCCIÓN</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2C7D19">
        <w:rPr>
          <w:rFonts w:ascii="Palatino Linotype" w:eastAsia="Palatino Linotype" w:hAnsi="Palatino Linotype" w:cs="Palatino Linotype"/>
          <w:sz w:val="24"/>
          <w:szCs w:val="24"/>
        </w:rPr>
        <w:t xml:space="preserve">Mediante acuerdo de </w:t>
      </w:r>
      <w:r w:rsidRPr="002C7D19">
        <w:rPr>
          <w:rFonts w:ascii="Palatino Linotype" w:eastAsia="Palatino Linotype" w:hAnsi="Palatino Linotype" w:cs="Palatino Linotype"/>
          <w:b/>
          <w:sz w:val="24"/>
          <w:szCs w:val="24"/>
        </w:rPr>
        <w:t>veinticuatro de abril de dos mil veintiséis</w:t>
      </w:r>
      <w:r w:rsidRPr="002C7D19">
        <w:rPr>
          <w:rFonts w:ascii="Palatino Linotype" w:eastAsia="Palatino Linotype" w:hAnsi="Palatino Linotype" w:cs="Palatino Linotype"/>
          <w:sz w:val="24"/>
          <w:szCs w:val="24"/>
        </w:rPr>
        <w:t>, se  decretó el cierre de instrucción, por lo que no habiendo más que hacer constar, y</w:t>
      </w:r>
      <w:r w:rsidR="00076606">
        <w:rPr>
          <w:rFonts w:ascii="Palatino Linotype" w:eastAsia="Palatino Linotype" w:hAnsi="Palatino Linotype" w:cs="Palatino Linotype"/>
          <w:sz w:val="24"/>
          <w:szCs w:val="24"/>
        </w:rPr>
        <w:t xml:space="preserve"> --------------------------------------</w:t>
      </w:r>
    </w:p>
    <w:p w:rsidR="002B59E1" w:rsidRPr="002C7D19" w:rsidRDefault="002B59E1" w:rsidP="002B59E1">
      <w:pPr>
        <w:pStyle w:val="Ttulo1"/>
        <w:tabs>
          <w:tab w:val="left" w:pos="567"/>
        </w:tabs>
        <w:spacing w:before="0" w:line="360" w:lineRule="auto"/>
        <w:ind w:right="-518"/>
        <w:jc w:val="center"/>
        <w:rPr>
          <w:rFonts w:ascii="Palatino Linotype" w:eastAsia="Palatino Linotype" w:hAnsi="Palatino Linotype" w:cs="Palatino Linotype"/>
          <w:b/>
          <w:color w:val="000000"/>
          <w:sz w:val="24"/>
          <w:szCs w:val="24"/>
        </w:rPr>
      </w:pPr>
      <w:bookmarkStart w:id="2" w:name="_heading=h.tyjcwt" w:colFirst="0" w:colLast="0"/>
      <w:bookmarkEnd w:id="2"/>
      <w:r w:rsidRPr="002C7D19">
        <w:rPr>
          <w:rFonts w:ascii="Palatino Linotype" w:eastAsia="Palatino Linotype" w:hAnsi="Palatino Linotype" w:cs="Palatino Linotype"/>
          <w:b/>
          <w:color w:val="000000"/>
          <w:sz w:val="24"/>
          <w:szCs w:val="24"/>
        </w:rPr>
        <w:lastRenderedPageBreak/>
        <w:t>C O N S I D E R A N D O</w:t>
      </w:r>
    </w:p>
    <w:p w:rsidR="002B59E1" w:rsidRPr="002C7D19" w:rsidRDefault="002B59E1" w:rsidP="002B59E1">
      <w:pPr>
        <w:ind w:right="-518"/>
        <w:rPr>
          <w:rFonts w:ascii="Palatino Linotype" w:eastAsia="Palatino Linotype" w:hAnsi="Palatino Linotype" w:cs="Palatino Linotype"/>
          <w:sz w:val="24"/>
          <w:szCs w:val="24"/>
        </w:rPr>
      </w:pPr>
    </w:p>
    <w:p w:rsidR="002B59E1" w:rsidRPr="002C7D19" w:rsidRDefault="002B59E1" w:rsidP="002B59E1">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3" w:name="_heading=h.3dy6vkm" w:colFirst="0" w:colLast="0"/>
      <w:bookmarkEnd w:id="3"/>
      <w:r w:rsidRPr="002C7D19">
        <w:rPr>
          <w:rFonts w:ascii="Palatino Linotype" w:eastAsia="Palatino Linotype" w:hAnsi="Palatino Linotype" w:cs="Palatino Linotype"/>
          <w:b/>
          <w:color w:val="000000"/>
          <w:sz w:val="24"/>
          <w:szCs w:val="24"/>
        </w:rPr>
        <w:t>PRIMERO. De la competencia</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lang w:val="es-MX"/>
        </w:rPr>
      </w:pPr>
      <w:r w:rsidRPr="002C7D19">
        <w:rPr>
          <w:rFonts w:ascii="Palatino Linotype" w:eastAsia="Palatino Linotype" w:hAnsi="Palatino Linotype" w:cs="Palatino Linotype"/>
          <w:sz w:val="24"/>
          <w:szCs w:val="24"/>
          <w:lang w:val="es-MX"/>
        </w:rPr>
        <w:t>Este Instituto de Transparencia, Acceso a la Información Pública y Protección de Datos Personales del Estado de México y Municipios, es competente para conocer y resolver del presente recurso de conformidad con el artículo: 6, apartado A, fracción IV de la Constitución Política de los Estados Unidos Mexicanos; 5, párrafos trigésimo segundo, trigésimo tercero y trigésimo cuarto, fracciones IV y V, de la Constitución Política del Estado Libre y Soberano de México; artículos 1, 2 fracción II, 13, 29, 36 fracciones I y II, 176, 178, 179, 181 párrafo tercero y 185 de la Ley de Transparencia y Acceso a la Información Pública del Estado de México y Municipios; y 7, 9 fracciones I y XXIV, y 11 del Reglamento Interior del Instituto de Transparencia, Acceso a la Información Pública y Protección de Datos Personales del Estado de México y Municipios.</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pStyle w:val="Ttulo1"/>
        <w:tabs>
          <w:tab w:val="left" w:pos="567"/>
        </w:tabs>
        <w:spacing w:before="0" w:line="360" w:lineRule="auto"/>
        <w:ind w:right="-518"/>
        <w:rPr>
          <w:rFonts w:ascii="Palatino Linotype" w:eastAsia="Palatino Linotype" w:hAnsi="Palatino Linotype" w:cs="Palatino Linotype"/>
          <w:b/>
          <w:color w:val="000000"/>
          <w:sz w:val="24"/>
          <w:szCs w:val="24"/>
        </w:rPr>
      </w:pPr>
      <w:bookmarkStart w:id="4" w:name="_heading=h.1t3h5sf" w:colFirst="0" w:colLast="0"/>
      <w:bookmarkEnd w:id="4"/>
      <w:r w:rsidRPr="002C7D19">
        <w:rPr>
          <w:rFonts w:ascii="Palatino Linotype" w:eastAsia="Palatino Linotype" w:hAnsi="Palatino Linotype" w:cs="Palatino Linotype"/>
          <w:b/>
          <w:color w:val="000000"/>
          <w:sz w:val="24"/>
          <w:szCs w:val="24"/>
        </w:rPr>
        <w:t>SEGUNDO. De la oportunidad y procedencia.</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 El medio de impugnación fue presentado a través del </w:t>
      </w:r>
      <w:r w:rsidRPr="002C7D19">
        <w:rPr>
          <w:rFonts w:ascii="Palatino Linotype" w:eastAsia="Palatino Linotype" w:hAnsi="Palatino Linotype" w:cs="Palatino Linotype"/>
          <w:b/>
          <w:sz w:val="24"/>
          <w:szCs w:val="24"/>
        </w:rPr>
        <w:t>SAIMEX,</w:t>
      </w:r>
      <w:r w:rsidRPr="002C7D19">
        <w:rPr>
          <w:rFonts w:ascii="Palatino Linotype" w:eastAsia="Palatino Linotype" w:hAnsi="Palatino Linotype" w:cs="Palatino Linotype"/>
          <w:sz w:val="24"/>
          <w:szCs w:val="24"/>
        </w:rPr>
        <w:t xml:space="preserve"> en el formato previamente aprobado para tal efecto y dentro del plazo legal de quince días hábiles otorgados; para el caso en particular es de señalar que el </w:t>
      </w:r>
      <w:r w:rsidRPr="002C7D19">
        <w:rPr>
          <w:rFonts w:ascii="Palatino Linotype" w:eastAsia="Palatino Linotype" w:hAnsi="Palatino Linotype" w:cs="Palatino Linotype"/>
          <w:b/>
          <w:sz w:val="24"/>
          <w:szCs w:val="24"/>
        </w:rPr>
        <w:t>SUJETO OBLIGADO</w:t>
      </w:r>
      <w:r w:rsidRPr="002C7D19">
        <w:rPr>
          <w:rFonts w:ascii="Palatino Linotype" w:eastAsia="Palatino Linotype" w:hAnsi="Palatino Linotype" w:cs="Palatino Linotype"/>
          <w:sz w:val="24"/>
          <w:szCs w:val="24"/>
        </w:rPr>
        <w:t xml:space="preserve"> entregó su respuesta el </w:t>
      </w:r>
      <w:r w:rsidRPr="002C7D19">
        <w:rPr>
          <w:rFonts w:ascii="Palatino Linotype" w:eastAsia="Palatino Linotype" w:hAnsi="Palatino Linotype" w:cs="Palatino Linotype"/>
          <w:b/>
          <w:sz w:val="24"/>
          <w:szCs w:val="24"/>
        </w:rPr>
        <w:t>diecisiete de diciembre de dos mil veinticinco</w:t>
      </w:r>
      <w:r w:rsidRPr="002C7D19">
        <w:rPr>
          <w:rFonts w:ascii="Palatino Linotype" w:eastAsia="Palatino Linotype" w:hAnsi="Palatino Linotype" w:cs="Palatino Linotype"/>
          <w:sz w:val="24"/>
          <w:szCs w:val="24"/>
        </w:rPr>
        <w:t xml:space="preserve">, de tal forma que el plazo para interponer el recurso de revisión transcurrió del </w:t>
      </w:r>
      <w:r w:rsidRPr="002C7D19">
        <w:rPr>
          <w:rFonts w:ascii="Palatino Linotype" w:eastAsia="Palatino Linotype" w:hAnsi="Palatino Linotype" w:cs="Palatino Linotype"/>
          <w:b/>
          <w:sz w:val="24"/>
          <w:szCs w:val="24"/>
        </w:rPr>
        <w:t xml:space="preserve">dieciocho de diciembre </w:t>
      </w:r>
      <w:r w:rsidR="00604D72" w:rsidRPr="002C7D19">
        <w:rPr>
          <w:rFonts w:ascii="Palatino Linotype" w:eastAsia="Palatino Linotype" w:hAnsi="Palatino Linotype" w:cs="Palatino Linotype"/>
          <w:b/>
          <w:sz w:val="24"/>
          <w:szCs w:val="24"/>
        </w:rPr>
        <w:t>al veintiocho de enero d</w:t>
      </w:r>
      <w:r w:rsidRPr="002C7D19">
        <w:rPr>
          <w:rFonts w:ascii="Palatino Linotype" w:eastAsia="Palatino Linotype" w:hAnsi="Palatino Linotype" w:cs="Palatino Linotype"/>
          <w:b/>
          <w:sz w:val="24"/>
          <w:szCs w:val="24"/>
        </w:rPr>
        <w:t>e noviembre  de dos mil veinticinco</w:t>
      </w:r>
      <w:r w:rsidRPr="002C7D19">
        <w:rPr>
          <w:rFonts w:ascii="Palatino Linotype" w:eastAsia="Palatino Linotype" w:hAnsi="Palatino Linotype" w:cs="Palatino Linotype"/>
          <w:sz w:val="24"/>
          <w:szCs w:val="24"/>
        </w:rPr>
        <w:t xml:space="preserve">; en consecuencia, el ahora </w:t>
      </w:r>
      <w:r w:rsidRPr="002C7D19">
        <w:rPr>
          <w:rFonts w:ascii="Palatino Linotype" w:eastAsia="Palatino Linotype" w:hAnsi="Palatino Linotype" w:cs="Palatino Linotype"/>
          <w:b/>
          <w:sz w:val="24"/>
          <w:szCs w:val="24"/>
        </w:rPr>
        <w:t>RECURRENTE</w:t>
      </w:r>
      <w:r w:rsidRPr="002C7D19">
        <w:rPr>
          <w:rFonts w:ascii="Palatino Linotype" w:eastAsia="Palatino Linotype" w:hAnsi="Palatino Linotype" w:cs="Palatino Linotype"/>
          <w:sz w:val="24"/>
          <w:szCs w:val="24"/>
        </w:rPr>
        <w:t xml:space="preserve"> presentó su inconformidad el </w:t>
      </w:r>
      <w:r w:rsidR="00604D72" w:rsidRPr="002C7D19">
        <w:rPr>
          <w:rFonts w:ascii="Palatino Linotype" w:eastAsia="Palatino Linotype" w:hAnsi="Palatino Linotype" w:cs="Palatino Linotype"/>
          <w:b/>
          <w:sz w:val="24"/>
          <w:szCs w:val="24"/>
        </w:rPr>
        <w:t>diecinueve de diciembre</w:t>
      </w:r>
      <w:r w:rsidRPr="002C7D19">
        <w:rPr>
          <w:rFonts w:ascii="Palatino Linotype" w:eastAsia="Palatino Linotype" w:hAnsi="Palatino Linotype" w:cs="Palatino Linotype"/>
          <w:b/>
          <w:sz w:val="24"/>
          <w:szCs w:val="24"/>
        </w:rPr>
        <w:t xml:space="preserve"> de dos mil veinticinco</w:t>
      </w:r>
      <w:r w:rsidRPr="002C7D19">
        <w:rPr>
          <w:rFonts w:ascii="Palatino Linotype" w:eastAsia="Palatino Linotype" w:hAnsi="Palatino Linotype" w:cs="Palatino Linotype"/>
          <w:sz w:val="24"/>
          <w:szCs w:val="24"/>
        </w:rPr>
        <w:t>; por lo que se estima que la inconformidad se presentó dentro del lapso legalmente establecido para tal efecto.</w:t>
      </w:r>
    </w:p>
    <w:p w:rsidR="002B59E1" w:rsidRPr="002C7D19" w:rsidRDefault="002B59E1" w:rsidP="002B59E1">
      <w:pPr>
        <w:keepNext/>
        <w:keepLines/>
        <w:spacing w:after="0" w:line="360" w:lineRule="auto"/>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lastRenderedPageBreak/>
        <w:t xml:space="preserve">TERCERO. Del planteamiento de la </w:t>
      </w:r>
      <w:r w:rsidRPr="002C7D19">
        <w:rPr>
          <w:rFonts w:ascii="Palatino Linotype" w:eastAsia="Palatino Linotype" w:hAnsi="Palatino Linotype" w:cs="Palatino Linotype"/>
          <w:b/>
          <w:i/>
          <w:color w:val="000000"/>
          <w:sz w:val="24"/>
          <w:szCs w:val="24"/>
        </w:rPr>
        <w:t>Litis</w:t>
      </w:r>
      <w:r w:rsidRPr="002C7D19">
        <w:rPr>
          <w:rFonts w:ascii="Palatino Linotype" w:eastAsia="Palatino Linotype" w:hAnsi="Palatino Linotype" w:cs="Palatino Linotype"/>
          <w:b/>
          <w:color w:val="000000"/>
          <w:sz w:val="24"/>
          <w:szCs w:val="24"/>
        </w:rPr>
        <w:t>.</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color w:val="000000"/>
          <w:sz w:val="24"/>
          <w:szCs w:val="24"/>
        </w:rPr>
        <w:t>De las constancias en el expediente al rubro indicado, se desprende que la particular solicitó la información que a continuación se desagrega:</w:t>
      </w:r>
    </w:p>
    <w:p w:rsidR="002B59E1" w:rsidRPr="002C7D19" w:rsidRDefault="002B59E1" w:rsidP="002B59E1">
      <w:pPr>
        <w:pBdr>
          <w:top w:val="nil"/>
          <w:left w:val="nil"/>
          <w:bottom w:val="nil"/>
          <w:right w:val="nil"/>
          <w:between w:val="nil"/>
        </w:pBdr>
        <w:spacing w:after="0" w:line="240" w:lineRule="auto"/>
        <w:rPr>
          <w:rFonts w:ascii="Palatino Linotype" w:eastAsia="Palatino Linotype" w:hAnsi="Palatino Linotype" w:cs="Palatino Linotype"/>
          <w:b/>
          <w:sz w:val="24"/>
          <w:szCs w:val="24"/>
        </w:rPr>
      </w:pPr>
    </w:p>
    <w:p w:rsidR="002B59E1" w:rsidRPr="002C7D19" w:rsidRDefault="002B59E1" w:rsidP="002B59E1">
      <w:pPr>
        <w:pBdr>
          <w:top w:val="nil"/>
          <w:left w:val="nil"/>
          <w:bottom w:val="nil"/>
          <w:right w:val="nil"/>
          <w:between w:val="nil"/>
        </w:pBdr>
        <w:spacing w:after="0" w:line="276" w:lineRule="auto"/>
        <w:ind w:left="778"/>
        <w:jc w:val="both"/>
        <w:rPr>
          <w:rFonts w:ascii="Palatino Linotype" w:eastAsia="Palatino Linotype" w:hAnsi="Palatino Linotype" w:cs="Palatino Linotype"/>
          <w:color w:val="000000"/>
          <w:sz w:val="24"/>
          <w:szCs w:val="24"/>
        </w:rPr>
      </w:pPr>
    </w:p>
    <w:p w:rsidR="002B59E1" w:rsidRPr="002C7D19" w:rsidRDefault="002B59E1" w:rsidP="00604D72">
      <w:pPr>
        <w:pStyle w:val="Prrafodelista"/>
        <w:numPr>
          <w:ilvl w:val="0"/>
          <w:numId w:val="8"/>
        </w:numPr>
        <w:pBdr>
          <w:top w:val="nil"/>
          <w:left w:val="nil"/>
          <w:bottom w:val="nil"/>
          <w:right w:val="nil"/>
          <w:between w:val="nil"/>
        </w:pBdr>
        <w:spacing w:after="0" w:line="276" w:lineRule="auto"/>
        <w:ind w:left="567" w:right="474"/>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color w:val="000000"/>
          <w:sz w:val="24"/>
          <w:szCs w:val="24"/>
        </w:rPr>
        <w:t>“</w:t>
      </w:r>
      <w:r w:rsidR="00604D72" w:rsidRPr="002C7D19">
        <w:rPr>
          <w:rFonts w:ascii="Palatino Linotype" w:eastAsia="Palatino Linotype" w:hAnsi="Palatino Linotype" w:cs="Palatino Linotype"/>
          <w:i/>
          <w:color w:val="000000"/>
          <w:sz w:val="24"/>
          <w:szCs w:val="24"/>
        </w:rPr>
        <w:t>SOLICITO VIA SAIMEX Y SI ES EL CASO EN LA CORRECTA VERSION PUBLICA, DE TODOS LOS COMPROBANTES DE GASTOS DEL DEPARTAMENTO DE TESORERIA CORRESPONDIENTE AL SEGUNDO Y TERCER TRIMESTRE DEL AÑO 2025</w:t>
      </w:r>
      <w:r w:rsidRPr="002C7D19">
        <w:rPr>
          <w:rFonts w:ascii="Palatino Linotype" w:eastAsia="Palatino Linotype" w:hAnsi="Palatino Linotype" w:cs="Palatino Linotype"/>
          <w:i/>
          <w:color w:val="000000"/>
          <w:sz w:val="24"/>
          <w:szCs w:val="24"/>
        </w:rPr>
        <w:t>.”</w:t>
      </w:r>
    </w:p>
    <w:p w:rsidR="002B59E1" w:rsidRPr="002C7D19" w:rsidRDefault="002B59E1" w:rsidP="002B59E1">
      <w:pPr>
        <w:pBdr>
          <w:top w:val="nil"/>
          <w:left w:val="nil"/>
          <w:bottom w:val="nil"/>
          <w:right w:val="nil"/>
          <w:between w:val="nil"/>
        </w:pBdr>
        <w:spacing w:after="0" w:line="360" w:lineRule="auto"/>
        <w:jc w:val="both"/>
        <w:rPr>
          <w:rFonts w:ascii="Palatino Linotype" w:eastAsia="Palatino Linotype" w:hAnsi="Palatino Linotype" w:cs="Palatino Linotype"/>
          <w:b/>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El </w:t>
      </w:r>
      <w:r w:rsidRPr="002C7D19">
        <w:rPr>
          <w:rFonts w:ascii="Palatino Linotype" w:eastAsia="Palatino Linotype" w:hAnsi="Palatino Linotype" w:cs="Palatino Linotype"/>
          <w:b/>
          <w:color w:val="000000"/>
          <w:sz w:val="24"/>
          <w:szCs w:val="24"/>
        </w:rPr>
        <w:t>SUJETO OBLIGADO,</w:t>
      </w:r>
      <w:r w:rsidRPr="002C7D19">
        <w:rPr>
          <w:rFonts w:ascii="Palatino Linotype" w:eastAsia="Palatino Linotype" w:hAnsi="Palatino Linotype" w:cs="Palatino Linotype"/>
          <w:color w:val="000000"/>
          <w:sz w:val="24"/>
          <w:szCs w:val="24"/>
        </w:rPr>
        <w:t xml:space="preserve"> ofreció el cambio de modalidad en consulta directa o bien en caso de reproducción o envío informo que se debe cubrir un costo. </w:t>
      </w:r>
    </w:p>
    <w:p w:rsidR="002B59E1" w:rsidRPr="002C7D19" w:rsidRDefault="002B59E1" w:rsidP="002B59E1">
      <w:pPr>
        <w:pBdr>
          <w:top w:val="nil"/>
          <w:left w:val="nil"/>
          <w:bottom w:val="nil"/>
          <w:right w:val="nil"/>
          <w:between w:val="nil"/>
        </w:pBdr>
        <w:spacing w:after="0" w:line="360" w:lineRule="auto"/>
        <w:ind w:right="48"/>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Inconforme con la respuesta proporcionada por el </w:t>
      </w:r>
      <w:r w:rsidRPr="002C7D19">
        <w:rPr>
          <w:rFonts w:ascii="Palatino Linotype" w:eastAsia="Palatino Linotype" w:hAnsi="Palatino Linotype" w:cs="Palatino Linotype"/>
          <w:b/>
          <w:color w:val="000000"/>
          <w:sz w:val="24"/>
          <w:szCs w:val="24"/>
        </w:rPr>
        <w:t xml:space="preserve">SUJETO OBLIGADO, </w:t>
      </w:r>
      <w:r w:rsidRPr="002C7D19">
        <w:rPr>
          <w:rFonts w:ascii="Palatino Linotype" w:eastAsia="Palatino Linotype" w:hAnsi="Palatino Linotype" w:cs="Palatino Linotype"/>
          <w:color w:val="000000"/>
          <w:sz w:val="24"/>
          <w:szCs w:val="24"/>
        </w:rPr>
        <w:t xml:space="preserve">interpuso recurso de revisión arguyendo la negativa de la entrega de la entrega de la información. </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En dichas condiciones, la </w:t>
      </w:r>
      <w:r w:rsidRPr="002C7D19">
        <w:rPr>
          <w:rFonts w:ascii="Palatino Linotype" w:eastAsia="Palatino Linotype" w:hAnsi="Palatino Linotype" w:cs="Palatino Linotype"/>
          <w:i/>
          <w:color w:val="000000"/>
          <w:sz w:val="24"/>
          <w:szCs w:val="24"/>
        </w:rPr>
        <w:t>Litis</w:t>
      </w:r>
      <w:r w:rsidRPr="002C7D19">
        <w:rPr>
          <w:rFonts w:ascii="Palatino Linotype" w:eastAsia="Palatino Linotype" w:hAnsi="Palatino Linotype" w:cs="Palatino Linotype"/>
          <w:color w:val="000000"/>
          <w:sz w:val="24"/>
          <w:szCs w:val="24"/>
        </w:rPr>
        <w:t xml:space="preserve"> a resolver en este recurso se circunscribe a determinar si se actualizan las causales de procedencia previstas en el artículo 179, </w:t>
      </w:r>
      <w:r w:rsidRPr="002C7D19">
        <w:rPr>
          <w:rFonts w:ascii="Palatino Linotype" w:eastAsia="Palatino Linotype" w:hAnsi="Palatino Linotype" w:cs="Palatino Linotype"/>
          <w:b/>
          <w:color w:val="000000"/>
          <w:sz w:val="24"/>
          <w:szCs w:val="24"/>
        </w:rPr>
        <w:t xml:space="preserve">fracción I </w:t>
      </w:r>
      <w:r w:rsidRPr="002C7D19">
        <w:rPr>
          <w:rFonts w:ascii="Palatino Linotype" w:eastAsia="Palatino Linotype" w:hAnsi="Palatino Linotype" w:cs="Palatino Linotype"/>
          <w:color w:val="000000"/>
          <w:sz w:val="24"/>
          <w:szCs w:val="24"/>
        </w:rPr>
        <w:t>de la Ley</w:t>
      </w:r>
      <w:r w:rsidRPr="002C7D19">
        <w:rPr>
          <w:rFonts w:ascii="Palatino Linotype" w:eastAsia="Palatino Linotype" w:hAnsi="Palatino Linotype" w:cs="Palatino Linotype"/>
          <w:b/>
          <w:color w:val="000000"/>
          <w:sz w:val="24"/>
          <w:szCs w:val="24"/>
        </w:rPr>
        <w:t xml:space="preserve"> de Transparencia y Acceso a la Información Pública del Estado de </w:t>
      </w:r>
      <w:r w:rsidRPr="002C7D19">
        <w:rPr>
          <w:rFonts w:ascii="Palatino Linotype" w:eastAsia="Palatino Linotype" w:hAnsi="Palatino Linotype" w:cs="Palatino Linotype"/>
          <w:color w:val="000000"/>
          <w:sz w:val="24"/>
          <w:szCs w:val="24"/>
        </w:rPr>
        <w:t>México</w:t>
      </w:r>
      <w:r w:rsidRPr="002C7D19">
        <w:rPr>
          <w:rFonts w:ascii="Palatino Linotype" w:eastAsia="Palatino Linotype" w:hAnsi="Palatino Linotype" w:cs="Palatino Linotype"/>
          <w:b/>
          <w:color w:val="000000"/>
          <w:sz w:val="24"/>
          <w:szCs w:val="24"/>
        </w:rPr>
        <w:t xml:space="preserve"> y Municipios</w:t>
      </w:r>
      <w:r w:rsidRPr="002C7D19">
        <w:rPr>
          <w:rFonts w:ascii="Palatino Linotype" w:eastAsia="Palatino Linotype" w:hAnsi="Palatino Linotype" w:cs="Palatino Linotype"/>
          <w:color w:val="000000"/>
          <w:sz w:val="24"/>
          <w:szCs w:val="24"/>
        </w:rPr>
        <w:t xml:space="preserve">; fracción que determina la hipótesis jurídica relativa a la negativa a la información solicitada; contexto del cual se dolió </w:t>
      </w:r>
      <w:r w:rsidRPr="002C7D19">
        <w:rPr>
          <w:rFonts w:ascii="Palatino Linotype" w:eastAsia="Palatino Linotype" w:hAnsi="Palatino Linotype" w:cs="Palatino Linotype"/>
          <w:b/>
          <w:color w:val="000000"/>
          <w:sz w:val="24"/>
          <w:szCs w:val="24"/>
        </w:rPr>
        <w:t xml:space="preserve">EL RECURRENTE </w:t>
      </w:r>
      <w:r w:rsidRPr="002C7D19">
        <w:rPr>
          <w:rFonts w:ascii="Palatino Linotype" w:eastAsia="Palatino Linotype" w:hAnsi="Palatino Linotype" w:cs="Palatino Linotype"/>
          <w:color w:val="000000"/>
          <w:sz w:val="24"/>
          <w:szCs w:val="24"/>
        </w:rPr>
        <w:t>al momento de interponer su inconformidad.</w:t>
      </w:r>
    </w:p>
    <w:p w:rsidR="002B59E1" w:rsidRPr="002C7D19" w:rsidRDefault="002B59E1" w:rsidP="002B59E1">
      <w:pPr>
        <w:pBdr>
          <w:top w:val="nil"/>
          <w:left w:val="nil"/>
          <w:bottom w:val="nil"/>
          <w:right w:val="nil"/>
          <w:between w:val="nil"/>
        </w:pBdr>
        <w:spacing w:after="0" w:line="360" w:lineRule="auto"/>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De modo tal que el presente recurso de revisión se abocara en determinar si el </w:t>
      </w:r>
      <w:r w:rsidRPr="002C7D19">
        <w:rPr>
          <w:rFonts w:ascii="Palatino Linotype" w:eastAsia="Palatino Linotype" w:hAnsi="Palatino Linotype" w:cs="Palatino Linotype"/>
          <w:b/>
          <w:color w:val="000000"/>
          <w:sz w:val="24"/>
          <w:szCs w:val="24"/>
        </w:rPr>
        <w:t>SUJETO OBLIGADO</w:t>
      </w:r>
      <w:r w:rsidRPr="002C7D19">
        <w:rPr>
          <w:rFonts w:ascii="Palatino Linotype" w:eastAsia="Palatino Linotype" w:hAnsi="Palatino Linotype" w:cs="Palatino Linotype"/>
          <w:color w:val="000000"/>
          <w:sz w:val="24"/>
          <w:szCs w:val="24"/>
        </w:rPr>
        <w:t xml:space="preserve"> con su respuesta ciertamente actualizan las causales de procedencia</w:t>
      </w:r>
      <w:r w:rsidRPr="002C7D19">
        <w:rPr>
          <w:rFonts w:ascii="Palatino Linotype" w:eastAsia="Palatino Linotype" w:hAnsi="Palatino Linotype" w:cs="Palatino Linotype"/>
          <w:b/>
          <w:color w:val="000000"/>
          <w:sz w:val="24"/>
          <w:szCs w:val="24"/>
        </w:rPr>
        <w:t xml:space="preserve"> </w:t>
      </w:r>
      <w:r w:rsidRPr="002C7D19">
        <w:rPr>
          <w:rFonts w:ascii="Palatino Linotype" w:eastAsia="Palatino Linotype" w:hAnsi="Palatino Linotype" w:cs="Palatino Linotype"/>
          <w:color w:val="000000"/>
          <w:sz w:val="24"/>
          <w:szCs w:val="24"/>
        </w:rPr>
        <w:t xml:space="preserve">antes señalada; asimismo, determinar si se vulnera el derecho de acceso a la información del particular por la inobservancia a los principios contenidos en el artículo 11 de la Ley de </w:t>
      </w:r>
      <w:r w:rsidRPr="002C7D19">
        <w:rPr>
          <w:rFonts w:ascii="Palatino Linotype" w:eastAsia="Palatino Linotype" w:hAnsi="Palatino Linotype" w:cs="Palatino Linotype"/>
          <w:color w:val="000000"/>
          <w:sz w:val="24"/>
          <w:szCs w:val="24"/>
        </w:rPr>
        <w:lastRenderedPageBreak/>
        <w:t>Transparencia y Acceso a la Información Pública del Estado de México y Municipios, los cuales señala entre otros, que en la generación y entrega de información se deberá garantizar que sea oportuna, expedita, completa e integral.</w:t>
      </w:r>
    </w:p>
    <w:p w:rsidR="002B59E1" w:rsidRPr="002C7D19" w:rsidRDefault="002B59E1" w:rsidP="002B59E1">
      <w:pPr>
        <w:pBdr>
          <w:top w:val="nil"/>
          <w:left w:val="nil"/>
          <w:bottom w:val="nil"/>
          <w:right w:val="nil"/>
          <w:between w:val="nil"/>
        </w:pBdr>
        <w:spacing w:after="0" w:line="240" w:lineRule="auto"/>
        <w:ind w:left="708"/>
        <w:rPr>
          <w:rFonts w:ascii="Palatino Linotype" w:eastAsia="Palatino Linotype" w:hAnsi="Palatino Linotype" w:cs="Palatino Linotype"/>
          <w:color w:val="000000"/>
          <w:sz w:val="24"/>
          <w:szCs w:val="24"/>
        </w:rPr>
      </w:pPr>
    </w:p>
    <w:p w:rsidR="002B59E1" w:rsidRPr="002C7D19" w:rsidRDefault="002B59E1" w:rsidP="002B59E1">
      <w:pPr>
        <w:keepNext/>
        <w:keepLines/>
        <w:spacing w:after="0" w:line="360" w:lineRule="auto"/>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CUARTO. Del estudio y resolución del asunto.</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Acotada la </w:t>
      </w:r>
      <w:r w:rsidRPr="002C7D19">
        <w:rPr>
          <w:rFonts w:ascii="Palatino Linotype" w:eastAsia="Palatino Linotype" w:hAnsi="Palatino Linotype" w:cs="Palatino Linotype"/>
          <w:i/>
          <w:color w:val="000000"/>
          <w:sz w:val="24"/>
          <w:szCs w:val="24"/>
        </w:rPr>
        <w:t>Litis</w:t>
      </w:r>
      <w:r w:rsidRPr="002C7D19">
        <w:rPr>
          <w:rFonts w:ascii="Palatino Linotype" w:eastAsia="Palatino Linotype" w:hAnsi="Palatino Linotype" w:cs="Palatino Linotype"/>
          <w:color w:val="000000"/>
          <w:sz w:val="24"/>
          <w:szCs w:val="24"/>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2B59E1" w:rsidRPr="002C7D19" w:rsidRDefault="002B59E1" w:rsidP="002B59E1">
      <w:pPr>
        <w:pBdr>
          <w:top w:val="nil"/>
          <w:left w:val="nil"/>
          <w:bottom w:val="nil"/>
          <w:right w:val="nil"/>
          <w:between w:val="nil"/>
        </w:pBdr>
        <w:tabs>
          <w:tab w:val="left" w:pos="426"/>
          <w:tab w:val="left" w:pos="567"/>
        </w:tabs>
        <w:spacing w:after="0" w:line="360" w:lineRule="auto"/>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2B59E1" w:rsidRPr="002C7D19" w:rsidRDefault="002B59E1" w:rsidP="002B59E1">
      <w:pPr>
        <w:spacing w:after="0" w:line="360" w:lineRule="auto"/>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En el mismo sentido, la Ley de Transparencia y Acceso a la Información Pública del Estado de México y Municipios (Reglamentaria del artículo 5° de la Constitución Local), </w:t>
      </w:r>
      <w:r w:rsidRPr="002C7D19">
        <w:rPr>
          <w:rFonts w:ascii="Palatino Linotype" w:eastAsia="Palatino Linotype" w:hAnsi="Palatino Linotype" w:cs="Palatino Linotype"/>
          <w:color w:val="000000"/>
          <w:sz w:val="24"/>
          <w:szCs w:val="24"/>
        </w:rPr>
        <w:lastRenderedPageBreak/>
        <w:t>establece en su artículo 12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2B59E1" w:rsidRPr="002C7D19" w:rsidRDefault="002B59E1" w:rsidP="002B59E1">
      <w:pPr>
        <w:pBdr>
          <w:top w:val="nil"/>
          <w:left w:val="nil"/>
          <w:bottom w:val="nil"/>
          <w:right w:val="nil"/>
          <w:between w:val="nil"/>
        </w:pBdr>
        <w:spacing w:after="0" w:line="360" w:lineRule="auto"/>
        <w:ind w:left="708"/>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2B59E1" w:rsidRPr="002C7D19" w:rsidRDefault="002B59E1" w:rsidP="002B59E1">
      <w:pPr>
        <w:spacing w:after="0" w:line="360" w:lineRule="auto"/>
        <w:rPr>
          <w:rFonts w:ascii="Palatino Linotype" w:eastAsia="Palatino Linotype" w:hAnsi="Palatino Linotype" w:cs="Palatino Linotype"/>
          <w:sz w:val="24"/>
          <w:szCs w:val="24"/>
        </w:rPr>
      </w:pPr>
    </w:p>
    <w:p w:rsidR="002B59E1" w:rsidRPr="002C7D19" w:rsidRDefault="002B59E1" w:rsidP="002B59E1">
      <w:pPr>
        <w:numPr>
          <w:ilvl w:val="0"/>
          <w:numId w:val="4"/>
        </w:numPr>
        <w:pBdr>
          <w:top w:val="nil"/>
          <w:left w:val="nil"/>
          <w:bottom w:val="nil"/>
          <w:right w:val="nil"/>
          <w:between w:val="nil"/>
        </w:pBdr>
        <w:spacing w:after="0" w:line="360" w:lineRule="auto"/>
        <w:ind w:right="757"/>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Estudio de fondo</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Acotada la Litis, primeramente, respecto la fuente obligacional, se advierte que el </w:t>
      </w:r>
      <w:r w:rsidRPr="002C7D19">
        <w:rPr>
          <w:rFonts w:ascii="Palatino Linotype" w:eastAsia="Palatino Linotype" w:hAnsi="Palatino Linotype" w:cs="Palatino Linotype"/>
          <w:b/>
          <w:color w:val="000000"/>
          <w:sz w:val="24"/>
          <w:szCs w:val="24"/>
        </w:rPr>
        <w:t xml:space="preserve">SUJETO OBLIGADO, </w:t>
      </w:r>
      <w:r w:rsidRPr="002C7D19">
        <w:rPr>
          <w:rFonts w:ascii="Palatino Linotype" w:eastAsia="Palatino Linotype" w:hAnsi="Palatino Linotype" w:cs="Palatino Linotype"/>
          <w:color w:val="000000"/>
          <w:sz w:val="24"/>
          <w:szCs w:val="24"/>
        </w:rPr>
        <w:t xml:space="preserve">asume que genera, posee y/o administra la información solicitada, tan es así que la pone a disposición del ahora </w:t>
      </w:r>
      <w:r w:rsidRPr="002C7D19">
        <w:rPr>
          <w:rFonts w:ascii="Palatino Linotype" w:eastAsia="Palatino Linotype" w:hAnsi="Palatino Linotype" w:cs="Palatino Linotype"/>
          <w:b/>
          <w:color w:val="000000"/>
          <w:sz w:val="24"/>
          <w:szCs w:val="24"/>
        </w:rPr>
        <w:t>RECURRENTE,</w:t>
      </w:r>
      <w:r w:rsidRPr="002C7D19">
        <w:rPr>
          <w:rFonts w:ascii="Palatino Linotype" w:hAnsi="Palatino Linotype"/>
          <w:sz w:val="24"/>
          <w:szCs w:val="24"/>
        </w:rPr>
        <w:t xml:space="preserve"> en consulta directa dentro de sus oficinas, por lo que se considera innecesario realizar el estudio correspondiente pues –se insiste- este asume contar con la información solicitada.</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2B59E1" w:rsidRPr="002C7D19" w:rsidRDefault="002B59E1" w:rsidP="00604D72">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color w:val="000000"/>
          <w:sz w:val="24"/>
          <w:szCs w:val="24"/>
        </w:rPr>
        <w:t xml:space="preserve">Ahora bien, por lo que hace al cambio de modalidad planteado, se advierte que el </w:t>
      </w:r>
      <w:r w:rsidRPr="002C7D19">
        <w:rPr>
          <w:rFonts w:ascii="Palatino Linotype" w:eastAsia="Palatino Linotype" w:hAnsi="Palatino Linotype" w:cs="Palatino Linotype"/>
          <w:b/>
          <w:color w:val="000000"/>
          <w:sz w:val="24"/>
          <w:szCs w:val="24"/>
        </w:rPr>
        <w:t xml:space="preserve">SUJETO OBLIGADO </w:t>
      </w:r>
      <w:r w:rsidRPr="002C7D19">
        <w:rPr>
          <w:rFonts w:ascii="Palatino Linotype" w:eastAsia="Palatino Linotype" w:hAnsi="Palatino Linotype" w:cs="Palatino Linotype"/>
          <w:color w:val="000000"/>
          <w:sz w:val="24"/>
          <w:szCs w:val="24"/>
        </w:rPr>
        <w:t>únicamente puso a disposición en consulta directa la información sin proporcionar mayores datos que permitan justificar dicho cambio de modalidad</w:t>
      </w:r>
      <w:bookmarkStart w:id="5" w:name="_heading=h.2s8eyo1" w:colFirst="0" w:colLast="0"/>
      <w:bookmarkStart w:id="6" w:name="_heading=h.w2nqffyjkagd" w:colFirst="0" w:colLast="0"/>
      <w:bookmarkEnd w:id="5"/>
      <w:bookmarkEnd w:id="6"/>
      <w:r w:rsidR="00604D72" w:rsidRPr="002C7D19">
        <w:rPr>
          <w:rFonts w:ascii="Palatino Linotype" w:eastAsia="Palatino Linotype" w:hAnsi="Palatino Linotype" w:cs="Palatino Linotype"/>
          <w:color w:val="000000"/>
          <w:sz w:val="24"/>
          <w:szCs w:val="24"/>
        </w:rPr>
        <w:t>.</w:t>
      </w:r>
    </w:p>
    <w:p w:rsidR="002C7D19" w:rsidRPr="002C7D19" w:rsidRDefault="002C7D19" w:rsidP="002C7D19">
      <w:pPr>
        <w:pBdr>
          <w:top w:val="nil"/>
          <w:left w:val="nil"/>
          <w:bottom w:val="nil"/>
          <w:right w:val="nil"/>
          <w:between w:val="nil"/>
        </w:pBdr>
        <w:spacing w:after="0" w:line="360" w:lineRule="auto"/>
        <w:ind w:right="-518"/>
        <w:jc w:val="both"/>
        <w:rPr>
          <w:rFonts w:ascii="Palatino Linotype" w:eastAsia="Palatino Linotype" w:hAnsi="Palatino Linotype" w:cs="Palatino Linotype"/>
          <w:b/>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bCs/>
          <w:i/>
          <w:iCs/>
          <w:sz w:val="24"/>
          <w:szCs w:val="24"/>
        </w:rPr>
      </w:pPr>
      <w:r w:rsidRPr="002C7D19">
        <w:rPr>
          <w:rFonts w:ascii="Palatino Linotype" w:eastAsia="Palatino Linotype" w:hAnsi="Palatino Linotype" w:cs="Palatino Linotype"/>
          <w:bCs/>
          <w:iCs/>
          <w:sz w:val="24"/>
          <w:szCs w:val="24"/>
        </w:rPr>
        <w:lastRenderedPageBreak/>
        <w:t>Precisado lo anterior, resulta necesario referir que la</w:t>
      </w:r>
      <w:r w:rsidRPr="002C7D19">
        <w:rPr>
          <w:rFonts w:ascii="Palatino Linotype" w:eastAsia="Palatino Linotype" w:hAnsi="Palatino Linotype" w:cs="Palatino Linotype"/>
          <w:sz w:val="24"/>
          <w:szCs w:val="24"/>
        </w:rPr>
        <w:t xml:space="preserve"> Ley de Transparencia y Acceso a la Información Pública del Estado de México y Municipios establece en los artículos 155 fracción V, 158 y 164 lo siguiente:</w:t>
      </w:r>
    </w:p>
    <w:p w:rsidR="002B59E1" w:rsidRPr="002C7D19" w:rsidRDefault="002B59E1" w:rsidP="002B59E1">
      <w:pPr>
        <w:pBdr>
          <w:top w:val="nil"/>
          <w:left w:val="nil"/>
          <w:bottom w:val="nil"/>
          <w:right w:val="nil"/>
          <w:between w:val="nil"/>
        </w:pBdr>
        <w:tabs>
          <w:tab w:val="left" w:pos="851"/>
        </w:tabs>
        <w:spacing w:before="240"/>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Artículo 155. Para presentar una solicitud por escrito, no se podrán exigir mayores requisitos que los siguientes:</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I. a IV. …</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b/>
          <w:i/>
          <w:color w:val="000000"/>
          <w:sz w:val="24"/>
          <w:szCs w:val="24"/>
        </w:rPr>
        <w:t>V. La modalidad en la que prefiere se otorgue el acceso a la información</w:t>
      </w:r>
      <w:r w:rsidRPr="002C7D19">
        <w:rPr>
          <w:rFonts w:ascii="Palatino Linotype" w:eastAsia="Palatino Linotype" w:hAnsi="Palatino Linotype" w:cs="Palatino Linotype"/>
          <w:i/>
          <w:color w:val="000000"/>
          <w:sz w:val="24"/>
          <w:szCs w:val="24"/>
        </w:rPr>
        <w:t>, la cual podrá ser verbal, siempre y cuando sea para fines de orientación, mediante consulta directa, mediante la expedición de copias simples o certificadas o la reproducción en cualquier otro medio, incluidos los electrónicos</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 xml:space="preserve">Artículo 158. De manera excepcional, cuando de forma fundada y motivada así lo determine el sujeto obligado, en aquellos casos en que la información solicitada que ya se encuentre en su posesión implique análisis, estudio o procesamiento de documentos cuya entrega o reproducción sobrepase las capacidades técnicas administrativas y humanas del sujeto obligado para cumplir con la solicitud, en los plazos establecidos para dichos efectos, se podrá poner a disposición del solicitante los documentos en consulta directa, salvo la información clasificada. </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En todo caso, se facilitará su copia simple o certificada, así como su reproducción por cualquier medio disponible en las instalaciones del sujeto obligado o que, en su caso, aporte el solicitante</w:t>
      </w:r>
    </w:p>
    <w:p w:rsidR="002B59E1" w:rsidRPr="002C7D19" w:rsidRDefault="002B59E1" w:rsidP="002B59E1">
      <w:pPr>
        <w:pBdr>
          <w:top w:val="nil"/>
          <w:left w:val="nil"/>
          <w:bottom w:val="nil"/>
          <w:right w:val="nil"/>
          <w:between w:val="nil"/>
        </w:pBdr>
        <w:tabs>
          <w:tab w:val="left" w:pos="851"/>
        </w:tabs>
        <w:ind w:left="1134" w:right="1106"/>
        <w:jc w:val="both"/>
        <w:rPr>
          <w:rFonts w:ascii="Palatino Linotype" w:eastAsia="Palatino Linotype" w:hAnsi="Palatino Linotype" w:cs="Palatino Linotype"/>
          <w:i/>
          <w:color w:val="000000"/>
          <w:sz w:val="24"/>
          <w:szCs w:val="24"/>
        </w:rPr>
      </w:pPr>
      <w:r w:rsidRPr="002C7D19">
        <w:rPr>
          <w:rFonts w:ascii="Palatino Linotype" w:eastAsia="Palatino Linotype" w:hAnsi="Palatino Linotype" w:cs="Palatino Linotype"/>
          <w:i/>
          <w:color w:val="000000"/>
          <w:sz w:val="24"/>
          <w:szCs w:val="24"/>
        </w:rPr>
        <w:t>Artículo 164. El acceso se dará en la modalidad de entrega y, en su caso, de envío elegidos por el solicitante. Cuando la información no pueda entregarse o enviarse en la modalidad solicitada, el sujeto obligado deberá ofrecer otra u otras modalidades de entrega.</w:t>
      </w:r>
    </w:p>
    <w:p w:rsidR="002B59E1" w:rsidRPr="002C7D19" w:rsidRDefault="002B59E1" w:rsidP="002B59E1">
      <w:pPr>
        <w:pBdr>
          <w:top w:val="nil"/>
          <w:left w:val="nil"/>
          <w:bottom w:val="nil"/>
          <w:right w:val="nil"/>
          <w:between w:val="nil"/>
        </w:pBdr>
        <w:tabs>
          <w:tab w:val="left" w:pos="851"/>
        </w:tabs>
        <w:spacing w:line="360" w:lineRule="auto"/>
        <w:ind w:right="49"/>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u w:val="single"/>
        </w:rPr>
      </w:pPr>
      <w:r w:rsidRPr="002C7D19">
        <w:rPr>
          <w:rFonts w:ascii="Palatino Linotype" w:eastAsia="Palatino Linotype" w:hAnsi="Palatino Linotype" w:cs="Palatino Linotype"/>
          <w:color w:val="000000"/>
          <w:sz w:val="24"/>
          <w:szCs w:val="24"/>
        </w:rPr>
        <w:lastRenderedPageBreak/>
        <w:t xml:space="preserve">La normatividad en materia establece que se privilegiará la modalidad de entrega elegida por el </w:t>
      </w:r>
      <w:r w:rsidRPr="002C7D19">
        <w:rPr>
          <w:rFonts w:ascii="Palatino Linotype" w:eastAsia="Palatino Linotype" w:hAnsi="Palatino Linotype" w:cs="Palatino Linotype"/>
          <w:b/>
          <w:smallCaps/>
          <w:color w:val="000000"/>
          <w:sz w:val="24"/>
          <w:szCs w:val="24"/>
        </w:rPr>
        <w:t>RECURRENTE</w:t>
      </w:r>
      <w:r w:rsidRPr="002C7D19">
        <w:rPr>
          <w:rFonts w:ascii="Palatino Linotype" w:eastAsia="Palatino Linotype" w:hAnsi="Palatino Linotype" w:cs="Palatino Linotype"/>
          <w:color w:val="000000"/>
          <w:sz w:val="24"/>
          <w:szCs w:val="24"/>
        </w:rPr>
        <w:t xml:space="preserve"> y será excepcional un cambio de modalidad cuando la información </w:t>
      </w:r>
      <w:r w:rsidRPr="002C7D19">
        <w:rPr>
          <w:rFonts w:ascii="Palatino Linotype" w:eastAsia="Palatino Linotype" w:hAnsi="Palatino Linotype" w:cs="Palatino Linotype"/>
          <w:color w:val="000000"/>
          <w:sz w:val="24"/>
          <w:szCs w:val="24"/>
          <w:u w:val="single"/>
        </w:rPr>
        <w:t xml:space="preserve">sobrepase las capacidades técnicas administrativas </w:t>
      </w:r>
      <w:r w:rsidRPr="002C7D19">
        <w:rPr>
          <w:rFonts w:ascii="Palatino Linotype" w:eastAsia="Palatino Linotype" w:hAnsi="Palatino Linotype" w:cs="Palatino Linotype"/>
          <w:b/>
          <w:color w:val="000000"/>
          <w:sz w:val="24"/>
          <w:szCs w:val="24"/>
          <w:u w:val="single"/>
        </w:rPr>
        <w:t xml:space="preserve">y </w:t>
      </w:r>
      <w:r w:rsidRPr="002C7D19">
        <w:rPr>
          <w:rFonts w:ascii="Palatino Linotype" w:eastAsia="Palatino Linotype" w:hAnsi="Palatino Linotype" w:cs="Palatino Linotype"/>
          <w:color w:val="000000"/>
          <w:sz w:val="24"/>
          <w:szCs w:val="24"/>
          <w:u w:val="single"/>
        </w:rPr>
        <w:t>humanas,</w:t>
      </w:r>
      <w:r w:rsidRPr="002C7D19">
        <w:rPr>
          <w:rFonts w:ascii="Palatino Linotype" w:eastAsia="Palatino Linotype" w:hAnsi="Palatino Linotype" w:cs="Palatino Linotype"/>
          <w:color w:val="000000"/>
          <w:sz w:val="24"/>
          <w:szCs w:val="24"/>
        </w:rPr>
        <w:t xml:space="preserve"> </w:t>
      </w:r>
      <w:r w:rsidRPr="002C7D19">
        <w:rPr>
          <w:rFonts w:ascii="Palatino Linotype" w:eastAsia="Palatino Linotype" w:hAnsi="Palatino Linotype" w:cs="Palatino Linotype"/>
          <w:color w:val="000000"/>
          <w:sz w:val="24"/>
          <w:szCs w:val="24"/>
          <w:u w:val="single"/>
        </w:rPr>
        <w:t xml:space="preserve">dicho cambio será debidamente fundado y motivado, </w:t>
      </w:r>
      <w:r w:rsidRPr="002C7D19">
        <w:rPr>
          <w:rFonts w:ascii="Palatino Linotype" w:eastAsia="Palatino Linotype" w:hAnsi="Palatino Linotype" w:cs="Palatino Linotype"/>
          <w:color w:val="000000"/>
          <w:sz w:val="24"/>
          <w:szCs w:val="24"/>
        </w:rPr>
        <w:t>situación que no aconteció dentro del recurso que nos ocupa.</w:t>
      </w:r>
    </w:p>
    <w:p w:rsidR="002B59E1" w:rsidRPr="002C7D19" w:rsidRDefault="002B59E1" w:rsidP="002B59E1">
      <w:pPr>
        <w:pBdr>
          <w:top w:val="nil"/>
          <w:left w:val="nil"/>
          <w:bottom w:val="nil"/>
          <w:right w:val="nil"/>
          <w:between w:val="nil"/>
        </w:pBdr>
        <w:spacing w:after="0" w:line="360" w:lineRule="auto"/>
        <w:ind w:right="-518"/>
        <w:jc w:val="both"/>
        <w:rPr>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color w:val="000000"/>
          <w:sz w:val="24"/>
          <w:szCs w:val="24"/>
        </w:rPr>
      </w:pPr>
      <w:r w:rsidRPr="002C7D19">
        <w:rPr>
          <w:rFonts w:ascii="Palatino Linotype" w:eastAsia="Palatino Linotype" w:hAnsi="Palatino Linotype" w:cs="Palatino Linotype"/>
          <w:color w:val="000000"/>
          <w:sz w:val="24"/>
          <w:szCs w:val="24"/>
        </w:rPr>
        <w:t xml:space="preserve">Precisado lo anterior, respecto de las modalidades de entrega, se debe de mencionar que de acuerdo Criterio número 8/2013 del entonces Instituto Federal de Acceso a la Información, el </w:t>
      </w:r>
      <w:r w:rsidRPr="002C7D19">
        <w:rPr>
          <w:rFonts w:ascii="Palatino Linotype" w:eastAsia="Palatino Linotype" w:hAnsi="Palatino Linotype" w:cs="Palatino Linotype"/>
          <w:b/>
          <w:color w:val="000000"/>
          <w:sz w:val="24"/>
          <w:szCs w:val="24"/>
        </w:rPr>
        <w:t xml:space="preserve">SUJETO OBLIGADO </w:t>
      </w:r>
      <w:r w:rsidRPr="002C7D19">
        <w:rPr>
          <w:rFonts w:ascii="Palatino Linotype" w:eastAsia="Palatino Linotype" w:hAnsi="Palatino Linotype" w:cs="Palatino Linotype"/>
          <w:color w:val="000000"/>
          <w:sz w:val="24"/>
          <w:szCs w:val="24"/>
        </w:rPr>
        <w:t>debe de ofrecer todas las opciones de modalidades de consulta.</w:t>
      </w:r>
    </w:p>
    <w:p w:rsidR="002B59E1" w:rsidRPr="002C7D19" w:rsidRDefault="002B59E1" w:rsidP="002B59E1">
      <w:pPr>
        <w:pBdr>
          <w:top w:val="nil"/>
          <w:left w:val="nil"/>
          <w:bottom w:val="nil"/>
          <w:right w:val="nil"/>
          <w:between w:val="nil"/>
        </w:pBdr>
        <w:ind w:left="720"/>
        <w:rPr>
          <w:rFonts w:ascii="Palatino Linotype" w:eastAsia="Palatino Linotype" w:hAnsi="Palatino Linotype" w:cs="Palatino Linotype"/>
          <w:b/>
          <w:i/>
          <w:color w:val="000000"/>
          <w:sz w:val="24"/>
          <w:szCs w:val="24"/>
        </w:rPr>
      </w:pPr>
    </w:p>
    <w:p w:rsidR="002B59E1" w:rsidRPr="002C7D19" w:rsidRDefault="002B59E1" w:rsidP="002B59E1">
      <w:pPr>
        <w:pBdr>
          <w:top w:val="nil"/>
          <w:left w:val="nil"/>
          <w:bottom w:val="nil"/>
          <w:right w:val="nil"/>
          <w:between w:val="nil"/>
        </w:pBdr>
        <w:tabs>
          <w:tab w:val="left" w:pos="851"/>
        </w:tabs>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b/>
          <w:i/>
          <w:sz w:val="24"/>
          <w:szCs w:val="24"/>
        </w:rPr>
        <w:t>Cuando exista impedimento justificado de atender la modalidad de entrega elegida por el solicitante, procede ofrecer todas las demás opciones previstas en la Ley.</w:t>
      </w:r>
      <w:r w:rsidRPr="002C7D19">
        <w:rPr>
          <w:rFonts w:ascii="Palatino Linotype" w:eastAsia="Palatino Linotype" w:hAnsi="Palatino Linotype" w:cs="Palatino Linotype"/>
          <w:i/>
          <w:sz w:val="24"/>
          <w:szCs w:val="24"/>
        </w:rPr>
        <w:t xml:space="preserve"> </w:t>
      </w:r>
      <w:r w:rsidRPr="002C7D19">
        <w:rPr>
          <w:rFonts w:ascii="Palatino Linotype" w:eastAsia="Palatino Linotype" w:hAnsi="Palatino Linotype" w:cs="Palatino Linotype"/>
          <w:i/>
          <w:sz w:val="24"/>
          <w:szCs w:val="24"/>
          <w:u w:val="single"/>
        </w:rPr>
        <w:t>De conformidad con lo dispuesto en los artículos 42 y 44 de la Ley Federal de Transparencia y Acceso a la Información Pública Gubernamental, y 54 de su Reglamento, la entrega de la información debe hacerse, en la medida de lo posible, en la forma solicitada por el interesado</w:t>
      </w:r>
      <w:r w:rsidRPr="002C7D19">
        <w:rPr>
          <w:rFonts w:ascii="Palatino Linotype" w:eastAsia="Palatino Linotype" w:hAnsi="Palatino Linotype" w:cs="Palatino Linotype"/>
          <w:i/>
          <w:sz w:val="24"/>
          <w:szCs w:val="24"/>
        </w:rPr>
        <w:t xml:space="preserve">, salvo que exista un impedimento justificado para atenderla, en cuyo caso, deberán exponerse las razones por las cuales no es posible utilizar el medio de reproducción solicitado. </w:t>
      </w:r>
      <w:r w:rsidRPr="002C7D19">
        <w:rPr>
          <w:rFonts w:ascii="Palatino Linotype" w:eastAsia="Palatino Linotype" w:hAnsi="Palatino Linotype" w:cs="Palatino Linotype"/>
          <w:i/>
          <w:sz w:val="24"/>
          <w:szCs w:val="24"/>
          <w:u w:val="single"/>
        </w:rPr>
        <w:t>En este sentido, la entrega de la información en una modalidad distinta a la elegida por el particular sólo procede, en caso de que se acredite la imposibilidad de atenderla. Lo anterior, ya que si bien, los sujetos obligados deben privilegiar, en todo momento, el derecho de acceso a la información, ello no implica que desvíen su objeto sustancial en la atención y trámite de las solicitudes efectuadas bajo la tutela de dicho derecho</w:t>
      </w:r>
      <w:r w:rsidRPr="002C7D19">
        <w:rPr>
          <w:rFonts w:ascii="Palatino Linotype" w:eastAsia="Palatino Linotype" w:hAnsi="Palatino Linotype" w:cs="Palatino Linotype"/>
          <w:i/>
          <w:sz w:val="24"/>
          <w:szCs w:val="24"/>
        </w:rPr>
        <w:t xml:space="preserve">. Así, cuando se justifique el impedimento, los sujetos obligados deberán notificar al particular la disposición de la información en todas las </w:t>
      </w:r>
      <w:r w:rsidRPr="002C7D19">
        <w:rPr>
          <w:rFonts w:ascii="Palatino Linotype" w:eastAsia="Palatino Linotype" w:hAnsi="Palatino Linotype" w:cs="Palatino Linotype"/>
          <w:b/>
          <w:i/>
          <w:sz w:val="24"/>
          <w:szCs w:val="24"/>
          <w:u w:val="single"/>
        </w:rPr>
        <w:t>modalidades de entrega que permita el documento, tales como consulta directa, copias simples y certificadas, así como la reproducción en cualquier otro medio e indicarle</w:t>
      </w:r>
      <w:r w:rsidRPr="002C7D19">
        <w:rPr>
          <w:rFonts w:ascii="Palatino Linotype" w:eastAsia="Palatino Linotype" w:hAnsi="Palatino Linotype" w:cs="Palatino Linotype"/>
          <w:i/>
          <w:sz w:val="24"/>
          <w:szCs w:val="24"/>
        </w:rPr>
        <w:t xml:space="preserve">, en su caso, los costos de reproducción y envío, para que pueda estar en aptitud de elegir la que sea de su interés o la que más le convenga. En estos casos, los sujetos </w:t>
      </w:r>
      <w:r w:rsidRPr="002C7D19">
        <w:rPr>
          <w:rFonts w:ascii="Palatino Linotype" w:eastAsia="Palatino Linotype" w:hAnsi="Palatino Linotype" w:cs="Palatino Linotype"/>
          <w:i/>
          <w:sz w:val="24"/>
          <w:szCs w:val="24"/>
        </w:rPr>
        <w:lastRenderedPageBreak/>
        <w:t xml:space="preserve">obligados deberán intentar reducir, en todo momento, los costos de entrega de la información y garantizar el debido equilibrio entre el legítimo derecho de acceso a la información y las posibilidades materiales de otorgar acceso a los documentos.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Resoluciones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RDA 2012/12. Interpuesto en contra de la Secretaría de Comunicaciones y Transportes. Comisionada Ponente Jacqueline Peschard Mariscal.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RDA 0973/12. Interpuesto en contra de la Secretaría de Educación Pública. Comisionada Ponente Sigrid Arzt Colunga.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RDA 0112/12. Interpuesto en contra de Petróleos Mexicanos. Comisionado Ponente Ángel Trinidad Zaldívar.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 xml:space="preserve">RDA 0085/12. Interpuesto en contra del Instituto Nacional de Ciencias Médicas y Nutrición Salvador Zubirán. Comisionada Ponente Sigrid Arzt Colunga. </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3068/11. Interpuesto en contra de la Presidencia de la República. Comisionada Ponente María Elena Pérez-Jaén Zermeño. “</w:t>
      </w:r>
    </w:p>
    <w:p w:rsidR="002B59E1" w:rsidRPr="002C7D19" w:rsidRDefault="002B59E1" w:rsidP="002B59E1">
      <w:pPr>
        <w:ind w:left="567" w:right="333"/>
        <w:jc w:val="both"/>
        <w:rPr>
          <w:rFonts w:ascii="Palatino Linotype" w:eastAsia="Palatino Linotype" w:hAnsi="Palatino Linotype" w:cs="Palatino Linotype"/>
          <w:i/>
          <w:sz w:val="24"/>
          <w:szCs w:val="24"/>
        </w:rPr>
      </w:pP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b/>
          <w:i/>
          <w:sz w:val="24"/>
          <w:szCs w:val="24"/>
        </w:rPr>
        <w:t>Criterio 02/2004 INFORMACIÓN DISPERSA</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b/>
          <w:i/>
          <w:sz w:val="24"/>
          <w:szCs w:val="24"/>
        </w:rPr>
        <w:t>EN DIVERSOS DOCUMENTOS. PARA RESPETAR EL DERECHO DE ACCESO A LA INFORMACIÓN BASTA CON QUE SE PERMITA LA CONSULTA FÍSICA DE AQUÉLLOS, SALVO EN EL CASO DE QUE EL RESPECTIVO ÓRGANO DEL ESTADO TENGA LA OBLIGACIÓN DE CONTAR CON UN DOCUMENTO QUE CONCENTRÉ AQUÉLLA.</w:t>
      </w:r>
      <w:r w:rsidRPr="002C7D19">
        <w:rPr>
          <w:rFonts w:ascii="Palatino Linotype" w:eastAsia="Palatino Linotype" w:hAnsi="Palatino Linotype" w:cs="Palatino Linotype"/>
          <w:i/>
          <w:sz w:val="24"/>
          <w:szCs w:val="24"/>
        </w:rPr>
        <w:t xml:space="preserve"> </w:t>
      </w:r>
      <w:r w:rsidRPr="002C7D19">
        <w:rPr>
          <w:rFonts w:ascii="Palatino Linotype" w:eastAsia="Palatino Linotype" w:hAnsi="Palatino Linotype" w:cs="Palatino Linotype"/>
          <w:i/>
          <w:sz w:val="24"/>
          <w:szCs w:val="24"/>
          <w:u w:val="single"/>
        </w:rPr>
        <w:t xml:space="preserve">Si bien para cumplir con el derecho de acceso a la información tratándose de la que se encuentra en diferentes documentos, basta con que se permita a los gobernados la consulta física de éstos, dado que tal prerrogativa no implica el procesamiento de los datos contenidos en diversos documentos, </w:t>
      </w:r>
      <w:r w:rsidRPr="002C7D19">
        <w:rPr>
          <w:rFonts w:ascii="Palatino Linotype" w:eastAsia="Palatino Linotype" w:hAnsi="Palatino Linotype" w:cs="Palatino Linotype"/>
          <w:i/>
          <w:sz w:val="24"/>
          <w:szCs w:val="24"/>
        </w:rPr>
        <w:t xml:space="preserve">como lo prevé el artículo 29 del Reglamento de la Suprema Corte de Justicia de la Nación y del Consejo de la Judicatura Federal para la aplicación de la Ley Federal de Transparencia y Acceso a la Información Pública Gubernamental, </w:t>
      </w:r>
      <w:r w:rsidRPr="002C7D19">
        <w:rPr>
          <w:rFonts w:ascii="Palatino Linotype" w:eastAsia="Palatino Linotype" w:hAnsi="Palatino Linotype" w:cs="Palatino Linotype"/>
          <w:i/>
          <w:sz w:val="24"/>
          <w:szCs w:val="24"/>
          <w:u w:val="single"/>
        </w:rPr>
        <w:t xml:space="preserve">ello no obsta para reconocer que si el órgano que tiene bajo su resguardo numerosos documentos en los que están dispersos los datos solicitados, cuenta con algún área o unidad que conforme a su regulación interna debe elaborar un documento en el que concentre esa información, para respetar el derecho en </w:t>
      </w:r>
      <w:r w:rsidRPr="002C7D19">
        <w:rPr>
          <w:rFonts w:ascii="Palatino Linotype" w:eastAsia="Palatino Linotype" w:hAnsi="Palatino Linotype" w:cs="Palatino Linotype"/>
          <w:i/>
          <w:sz w:val="24"/>
          <w:szCs w:val="24"/>
          <w:u w:val="single"/>
        </w:rPr>
        <w:lastRenderedPageBreak/>
        <w:t>comento no basta que se permita la mencionada consulta física, ya que en este supuesto el derecho de acceso a la información tiene el alcance de obligar a los órganos del Estado a poner a disposición de los gobernados la información que conforme a lo previsto en el marco jurídico que los regula deben tener bajo su resguardo, c</w:t>
      </w:r>
      <w:r w:rsidRPr="002C7D19">
        <w:rPr>
          <w:rFonts w:ascii="Palatino Linotype" w:eastAsia="Palatino Linotype" w:hAnsi="Palatino Linotype" w:cs="Palatino Linotype"/>
          <w:i/>
          <w:sz w:val="24"/>
          <w:szCs w:val="24"/>
        </w:rPr>
        <w:t>on lo que además se reconoce que para realizar la referida consulta física el solicitante enfrentará limitantes temporales y económicas que difícilmente podrá superar, lo que finalmente le impedirá conocer los datos que le permitan evaluar las actividades desarrolladas por el respectivo órgano del Estado. Clasificación de Información 6/2004-J. 29 de abril de 2004. Unanimidad de votos.”</w:t>
      </w:r>
    </w:p>
    <w:p w:rsidR="002B59E1" w:rsidRPr="002C7D19" w:rsidRDefault="002B59E1" w:rsidP="002B59E1">
      <w:pPr>
        <w:ind w:left="567" w:right="333"/>
        <w:jc w:val="both"/>
        <w:rPr>
          <w:rFonts w:ascii="Palatino Linotype" w:eastAsia="Palatino Linotype" w:hAnsi="Palatino Linotype" w:cs="Palatino Linotype"/>
          <w:i/>
          <w:sz w:val="24"/>
          <w:szCs w:val="24"/>
        </w:rPr>
      </w:pPr>
      <w:r w:rsidRPr="002C7D19">
        <w:rPr>
          <w:rFonts w:ascii="Palatino Linotype" w:eastAsia="Palatino Linotype" w:hAnsi="Palatino Linotype" w:cs="Palatino Linotype"/>
          <w:i/>
          <w:sz w:val="24"/>
          <w:szCs w:val="24"/>
        </w:rPr>
        <w:t>(Énfasis añadido)</w:t>
      </w:r>
    </w:p>
    <w:p w:rsidR="002B59E1" w:rsidRPr="002C7D19" w:rsidRDefault="002B59E1" w:rsidP="002B59E1">
      <w:pPr>
        <w:ind w:left="1134" w:right="1106"/>
        <w:jc w:val="both"/>
        <w:rPr>
          <w:rFonts w:ascii="Palatino Linotype" w:eastAsia="Palatino Linotype" w:hAnsi="Palatino Linotype" w:cs="Palatino Linotype"/>
          <w:i/>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t xml:space="preserve">Los criterios refieren puntualmente que, cuando exista </w:t>
      </w:r>
      <w:r w:rsidRPr="002C7D19">
        <w:rPr>
          <w:rFonts w:ascii="Palatino Linotype" w:eastAsia="Palatino Linotype" w:hAnsi="Palatino Linotype" w:cs="Palatino Linotype"/>
          <w:b/>
          <w:color w:val="000000"/>
          <w:sz w:val="24"/>
          <w:szCs w:val="24"/>
        </w:rPr>
        <w:t xml:space="preserve">impedimento justificado </w:t>
      </w:r>
      <w:r w:rsidRPr="002C7D19">
        <w:rPr>
          <w:rFonts w:ascii="Palatino Linotype" w:eastAsia="Palatino Linotype" w:hAnsi="Palatino Linotype" w:cs="Palatino Linotype"/>
          <w:color w:val="000000"/>
          <w:sz w:val="24"/>
          <w:szCs w:val="24"/>
        </w:rPr>
        <w:t>para entregar la información solicitada, sólo entonces se procederá a ofrecer otras modalidades disponibles tales como consulta directa, mediante la expedición de copias simples o certificadas o la reproducción en cualquier otro medio, incluidos los electrónicos.</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Es así que, para el cumplimiento de la entrega de la información, el </w:t>
      </w:r>
      <w:r w:rsidRPr="002C7D19">
        <w:rPr>
          <w:rFonts w:ascii="Palatino Linotype" w:eastAsia="Palatino Linotype" w:hAnsi="Palatino Linotype" w:cs="Palatino Linotype"/>
          <w:b/>
          <w:sz w:val="24"/>
          <w:szCs w:val="24"/>
        </w:rPr>
        <w:t>SUJETO OBLIGADO,</w:t>
      </w:r>
      <w:r w:rsidRPr="002C7D19">
        <w:rPr>
          <w:rFonts w:ascii="Palatino Linotype" w:eastAsia="Palatino Linotype" w:hAnsi="Palatino Linotype" w:cs="Palatino Linotype"/>
          <w:sz w:val="24"/>
          <w:szCs w:val="24"/>
        </w:rPr>
        <w:t xml:space="preserve"> deberá ofrecer las modalidades con las que pueda poner a disposición la información al </w:t>
      </w:r>
      <w:r w:rsidRPr="002C7D19">
        <w:rPr>
          <w:rFonts w:ascii="Palatino Linotype" w:eastAsia="Palatino Linotype" w:hAnsi="Palatino Linotype" w:cs="Palatino Linotype"/>
          <w:b/>
          <w:sz w:val="24"/>
          <w:szCs w:val="24"/>
        </w:rPr>
        <w:t xml:space="preserve">RECURRENTE, </w:t>
      </w:r>
      <w:r w:rsidRPr="002C7D19">
        <w:rPr>
          <w:rFonts w:ascii="Palatino Linotype" w:eastAsia="Palatino Linotype" w:hAnsi="Palatino Linotype" w:cs="Palatino Linotype"/>
          <w:sz w:val="24"/>
          <w:szCs w:val="24"/>
        </w:rPr>
        <w:t xml:space="preserve"> que atendiendo a la naturaleza del asunto, de manera enunciativa, más no limitativa, puede ser a través de: </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b/>
          <w:color w:val="000000"/>
          <w:sz w:val="24"/>
          <w:szCs w:val="24"/>
        </w:rPr>
        <w:t>Consulta Directa.</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b/>
          <w:color w:val="000000"/>
          <w:sz w:val="24"/>
          <w:szCs w:val="24"/>
        </w:rPr>
        <w:t>Entrega de Copia Simple.</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b/>
          <w:color w:val="000000"/>
          <w:sz w:val="24"/>
          <w:szCs w:val="24"/>
        </w:rPr>
        <w:t>Entrega de Copia Certificada.</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USB, Disco Compacto (CD) o cualquier medio de almacenamiento externo.</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Correo/envío certificado.</w:t>
      </w:r>
    </w:p>
    <w:p w:rsidR="002B59E1" w:rsidRPr="002C7D19" w:rsidRDefault="002B59E1" w:rsidP="002B59E1">
      <w:pPr>
        <w:numPr>
          <w:ilvl w:val="0"/>
          <w:numId w:val="5"/>
        </w:numPr>
        <w:pBdr>
          <w:top w:val="nil"/>
          <w:left w:val="nil"/>
          <w:bottom w:val="nil"/>
          <w:right w:val="nil"/>
          <w:between w:val="nil"/>
        </w:pBdr>
        <w:tabs>
          <w:tab w:val="left" w:pos="284"/>
        </w:tabs>
        <w:spacing w:after="0" w:line="360" w:lineRule="auto"/>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Correo electrónico/drive.</w:t>
      </w:r>
    </w:p>
    <w:p w:rsidR="002B59E1" w:rsidRPr="002C7D19" w:rsidRDefault="002B59E1" w:rsidP="002B59E1">
      <w:pPr>
        <w:numPr>
          <w:ilvl w:val="0"/>
          <w:numId w:val="5"/>
        </w:numPr>
        <w:pBdr>
          <w:top w:val="nil"/>
          <w:left w:val="nil"/>
          <w:bottom w:val="nil"/>
          <w:right w:val="nil"/>
          <w:between w:val="nil"/>
        </w:pBdr>
        <w:tabs>
          <w:tab w:val="left" w:pos="284"/>
        </w:tabs>
        <w:spacing w:after="240" w:line="360" w:lineRule="auto"/>
        <w:jc w:val="both"/>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lastRenderedPageBreak/>
        <w:t>Correo/envío certificado.</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 xml:space="preserve">Para cualquiera de las modalidades, el </w:t>
      </w:r>
      <w:r w:rsidRPr="002C7D19">
        <w:rPr>
          <w:rFonts w:ascii="Palatino Linotype" w:eastAsia="Palatino Linotype" w:hAnsi="Palatino Linotype" w:cs="Palatino Linotype"/>
          <w:b/>
          <w:sz w:val="24"/>
          <w:szCs w:val="24"/>
        </w:rPr>
        <w:t xml:space="preserve">SUJETO OBLIGADO, </w:t>
      </w:r>
      <w:r w:rsidRPr="002C7D19">
        <w:rPr>
          <w:rFonts w:ascii="Palatino Linotype" w:eastAsia="Palatino Linotype" w:hAnsi="Palatino Linotype" w:cs="Palatino Linotype"/>
          <w:sz w:val="24"/>
          <w:szCs w:val="24"/>
        </w:rPr>
        <w:t xml:space="preserve">vía </w:t>
      </w:r>
      <w:r w:rsidRPr="002C7D19">
        <w:rPr>
          <w:rFonts w:ascii="Palatino Linotype" w:eastAsia="Palatino Linotype" w:hAnsi="Palatino Linotype" w:cs="Palatino Linotype"/>
          <w:b/>
          <w:sz w:val="24"/>
          <w:szCs w:val="24"/>
        </w:rPr>
        <w:t xml:space="preserve">SAIMEX, </w:t>
      </w:r>
      <w:r w:rsidRPr="002C7D19">
        <w:rPr>
          <w:rFonts w:ascii="Palatino Linotype" w:eastAsia="Palatino Linotype" w:hAnsi="Palatino Linotype" w:cs="Palatino Linotype"/>
          <w:sz w:val="24"/>
          <w:szCs w:val="24"/>
        </w:rPr>
        <w:t xml:space="preserve">deberá indicar el procedimiento que tendrá que seguir el </w:t>
      </w:r>
      <w:r w:rsidRPr="002C7D19">
        <w:rPr>
          <w:rFonts w:ascii="Palatino Linotype" w:eastAsia="Palatino Linotype" w:hAnsi="Palatino Linotype" w:cs="Palatino Linotype"/>
          <w:b/>
          <w:sz w:val="24"/>
          <w:szCs w:val="24"/>
        </w:rPr>
        <w:t>PARTICULAR</w:t>
      </w:r>
      <w:r w:rsidRPr="002C7D19">
        <w:rPr>
          <w:rFonts w:ascii="Palatino Linotype" w:eastAsia="Palatino Linotype" w:hAnsi="Palatino Linotype" w:cs="Palatino Linotype"/>
          <w:sz w:val="24"/>
          <w:szCs w:val="24"/>
        </w:rPr>
        <w:t>, para acceder a la documentación, es decir, los pasos para realizar el pago de derechos</w:t>
      </w:r>
      <w:r w:rsidRPr="002C7D19">
        <w:rPr>
          <w:rFonts w:ascii="Palatino Linotype" w:eastAsia="Palatino Linotype" w:hAnsi="Palatino Linotype" w:cs="Palatino Linotype"/>
          <w:sz w:val="24"/>
          <w:szCs w:val="24"/>
          <w:u w:val="single"/>
        </w:rPr>
        <w:t xml:space="preserve">, en caso de proceder, </w:t>
      </w:r>
      <w:r w:rsidRPr="002C7D19">
        <w:rPr>
          <w:rFonts w:ascii="Palatino Linotype" w:eastAsia="Palatino Linotype" w:hAnsi="Palatino Linotype" w:cs="Palatino Linotype"/>
          <w:sz w:val="24"/>
          <w:szCs w:val="24"/>
        </w:rPr>
        <w:t xml:space="preserve">y la manera de obtener la información como domicilio de la Unidad de Transparencia, días y horarios de atención, así como el nombre del servidor público que le atenderá. </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Además, deberá señalar que en caso de que el</w:t>
      </w:r>
      <w:r w:rsidRPr="002C7D19">
        <w:rPr>
          <w:rFonts w:ascii="Palatino Linotype" w:eastAsia="Palatino Linotype" w:hAnsi="Palatino Linotype" w:cs="Palatino Linotype"/>
          <w:b/>
          <w:sz w:val="24"/>
          <w:szCs w:val="24"/>
        </w:rPr>
        <w:t xml:space="preserve"> RECURRENTE</w:t>
      </w:r>
      <w:r w:rsidRPr="002C7D19">
        <w:rPr>
          <w:rFonts w:ascii="Palatino Linotype" w:eastAsia="Palatino Linotype" w:hAnsi="Palatino Linotype" w:cs="Palatino Linotype"/>
          <w:sz w:val="24"/>
          <w:szCs w:val="24"/>
        </w:rPr>
        <w:t xml:space="preserve"> proporcione el dispositivo electrónico y acuda por la información a la Unidad de Transparencia, la entrega de la información, será sin costo así como informar e al </w:t>
      </w:r>
      <w:r w:rsidRPr="002C7D19">
        <w:rPr>
          <w:rFonts w:ascii="Palatino Linotype" w:eastAsia="Palatino Linotype" w:hAnsi="Palatino Linotype" w:cs="Palatino Linotype"/>
          <w:b/>
          <w:sz w:val="24"/>
          <w:szCs w:val="24"/>
        </w:rPr>
        <w:t xml:space="preserve">PARTICULAR, </w:t>
      </w:r>
      <w:r w:rsidRPr="002C7D19">
        <w:rPr>
          <w:rFonts w:ascii="Palatino Linotype" w:eastAsia="Palatino Linotype" w:hAnsi="Palatino Linotype" w:cs="Palatino Linotype"/>
          <w:sz w:val="24"/>
          <w:szCs w:val="24"/>
        </w:rPr>
        <w:t>que la información estará disponible</w:t>
      </w:r>
      <w:r w:rsidRPr="002C7D19">
        <w:rPr>
          <w:rFonts w:ascii="Palatino Linotype" w:eastAsia="Palatino Linotype" w:hAnsi="Palatino Linotype" w:cs="Palatino Linotype"/>
          <w:b/>
          <w:sz w:val="24"/>
          <w:szCs w:val="24"/>
        </w:rPr>
        <w:t xml:space="preserve"> </w:t>
      </w:r>
      <w:r w:rsidRPr="002C7D19">
        <w:rPr>
          <w:rFonts w:ascii="Palatino Linotype" w:eastAsia="Palatino Linotype" w:hAnsi="Palatino Linotype" w:cs="Palatino Linotype"/>
          <w:sz w:val="24"/>
          <w:szCs w:val="24"/>
        </w:rPr>
        <w:t xml:space="preserve">por un periodo de sesenta días hábiles, </w:t>
      </w:r>
      <w:r w:rsidRPr="002C7D19">
        <w:rPr>
          <w:rFonts w:ascii="Palatino Linotype" w:eastAsia="Palatino Linotype" w:hAnsi="Palatino Linotype" w:cs="Palatino Linotype"/>
          <w:b/>
          <w:sz w:val="24"/>
          <w:szCs w:val="24"/>
          <w:u w:val="single"/>
        </w:rPr>
        <w:t>contados a partir del día siguiente al que se notifique la presente resolución</w:t>
      </w:r>
      <w:r w:rsidRPr="002C7D19">
        <w:rPr>
          <w:rFonts w:ascii="Palatino Linotype" w:eastAsia="Palatino Linotype" w:hAnsi="Palatino Linotype" w:cs="Palatino Linotype"/>
          <w:sz w:val="24"/>
          <w:szCs w:val="24"/>
        </w:rPr>
        <w:t>; en términos del segundo párrafo del artículo 166, de la Ley de Transparencia y Acceso a la Información Pública del Estado de México y Municipios.</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2B59E1"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Es así que, en virtud de no contar con los medios suficientes y pertinentes para poder validar el cambio de modalidad, se ordena se haga entrega de la información solicitada da a través del SAIMEX, de ser procedente en versión pública. </w:t>
      </w:r>
    </w:p>
    <w:p w:rsidR="00076606" w:rsidRPr="002C7D19" w:rsidRDefault="00076606" w:rsidP="00076606">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Asimismo, resulta necesario precisar que, el peso máximo de archivos que soporta el SAIMEX para adjuntar como respuesta a las solicitudes de información tiene el soporte tecnológico para que se puedan adjuntar archivos con un peso aprox. de hasta 500Mb o un equivalente de hasta 8,000 hojas, garantizando que el Ciudadano no tenga problemas en la descarga de la información usando conexiones a internet convencionales bajo parámetros de </w:t>
      </w:r>
      <w:r w:rsidRPr="002C7D19">
        <w:rPr>
          <w:rFonts w:ascii="Palatino Linotype" w:eastAsia="Palatino Linotype" w:hAnsi="Palatino Linotype" w:cs="Palatino Linotype"/>
          <w:color w:val="000000"/>
          <w:sz w:val="24"/>
          <w:szCs w:val="24"/>
        </w:rPr>
        <w:lastRenderedPageBreak/>
        <w:t>escaneo en resolución máxima de 150Dpi's, escala de grises y formato "PDF" extraído directamente del escáner.</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eastAsia="Palatino Linotype" w:hAnsi="Palatino Linotype" w:cs="Palatino Linotype"/>
          <w:b/>
          <w:sz w:val="24"/>
          <w:szCs w:val="24"/>
        </w:rPr>
      </w:pPr>
      <w:r w:rsidRPr="002C7D19">
        <w:rPr>
          <w:rFonts w:ascii="Palatino Linotype" w:eastAsia="Palatino Linotype" w:hAnsi="Palatino Linotype" w:cs="Palatino Linotype"/>
          <w:sz w:val="24"/>
          <w:szCs w:val="24"/>
        </w:rPr>
        <w:t xml:space="preserve">Establecido lo anterior, las razones o motivos de inconformidad hechos valer en el recurso de revisión resultan </w:t>
      </w:r>
      <w:r w:rsidRPr="002C7D19">
        <w:rPr>
          <w:rFonts w:ascii="Palatino Linotype" w:eastAsia="Palatino Linotype" w:hAnsi="Palatino Linotype" w:cs="Palatino Linotype"/>
          <w:b/>
          <w:sz w:val="24"/>
          <w:szCs w:val="24"/>
        </w:rPr>
        <w:t>fundadas y procedentes</w:t>
      </w:r>
      <w:r w:rsidRPr="002C7D19">
        <w:rPr>
          <w:rFonts w:ascii="Palatino Linotype" w:eastAsia="Palatino Linotype" w:hAnsi="Palatino Linotype" w:cs="Palatino Linotype"/>
          <w:sz w:val="24"/>
          <w:szCs w:val="24"/>
        </w:rPr>
        <w:t xml:space="preserve">, resultando dable </w:t>
      </w:r>
      <w:r w:rsidRPr="002C7D19">
        <w:rPr>
          <w:rFonts w:ascii="Palatino Linotype" w:eastAsia="Palatino Linotype" w:hAnsi="Palatino Linotype" w:cs="Palatino Linotype"/>
          <w:b/>
          <w:sz w:val="24"/>
          <w:szCs w:val="24"/>
        </w:rPr>
        <w:t xml:space="preserve">REVOCAR </w:t>
      </w:r>
      <w:r w:rsidRPr="002C7D19">
        <w:rPr>
          <w:rFonts w:ascii="Palatino Linotype" w:eastAsia="Palatino Linotype" w:hAnsi="Palatino Linotype" w:cs="Palatino Linotype"/>
          <w:sz w:val="24"/>
          <w:szCs w:val="24"/>
        </w:rPr>
        <w:t xml:space="preserve">la respuesta proporcionada por el </w:t>
      </w:r>
      <w:r w:rsidRPr="002C7D19">
        <w:rPr>
          <w:rFonts w:ascii="Palatino Linotype" w:eastAsia="Palatino Linotype" w:hAnsi="Palatino Linotype" w:cs="Palatino Linotype"/>
          <w:b/>
          <w:sz w:val="24"/>
          <w:szCs w:val="24"/>
        </w:rPr>
        <w:t xml:space="preserve">SUJETO OBLIGADO, </w:t>
      </w:r>
      <w:r w:rsidRPr="002C7D19">
        <w:rPr>
          <w:rFonts w:ascii="Palatino Linotype" w:eastAsia="Palatino Linotype" w:hAnsi="Palatino Linotype" w:cs="Palatino Linotype"/>
          <w:sz w:val="24"/>
          <w:szCs w:val="24"/>
        </w:rPr>
        <w:t>ordenando haga entrega de lo solicitado a través del SAIMEX.</w:t>
      </w:r>
    </w:p>
    <w:p w:rsidR="002B59E1" w:rsidRPr="002C7D19" w:rsidRDefault="002B59E1" w:rsidP="002B59E1">
      <w:pPr>
        <w:ind w:right="-929"/>
        <w:jc w:val="both"/>
        <w:rPr>
          <w:rFonts w:ascii="Palatino Linotype" w:eastAsia="Palatino Linotype" w:hAnsi="Palatino Linotype" w:cs="Palatino Linotype"/>
          <w:sz w:val="24"/>
          <w:szCs w:val="24"/>
        </w:rPr>
      </w:pPr>
    </w:p>
    <w:p w:rsidR="002B59E1" w:rsidRPr="002C7D19" w:rsidRDefault="002B59E1" w:rsidP="002B59E1">
      <w:pPr>
        <w:keepNext/>
        <w:keepLines/>
        <w:spacing w:line="360" w:lineRule="auto"/>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QUINTO. De la versión pública.</w:t>
      </w:r>
    </w:p>
    <w:p w:rsidR="002B59E1" w:rsidRPr="002C7D19" w:rsidRDefault="002B59E1" w:rsidP="002B59E1">
      <w:pPr>
        <w:keepNext/>
        <w:keepLines/>
        <w:numPr>
          <w:ilvl w:val="0"/>
          <w:numId w:val="6"/>
        </w:numPr>
        <w:tabs>
          <w:tab w:val="left" w:pos="284"/>
        </w:tabs>
        <w:spacing w:line="360" w:lineRule="auto"/>
        <w:ind w:left="0" w:firstLine="0"/>
        <w:rPr>
          <w:rFonts w:ascii="Palatino Linotype" w:eastAsia="Palatino Linotype" w:hAnsi="Palatino Linotype" w:cs="Palatino Linotype"/>
          <w:b/>
          <w:color w:val="000000"/>
          <w:sz w:val="24"/>
          <w:szCs w:val="24"/>
        </w:rPr>
      </w:pPr>
      <w:r w:rsidRPr="002C7D19">
        <w:rPr>
          <w:rFonts w:ascii="Palatino Linotype" w:eastAsia="Palatino Linotype" w:hAnsi="Palatino Linotype" w:cs="Palatino Linotype"/>
          <w:b/>
          <w:color w:val="000000"/>
          <w:sz w:val="24"/>
          <w:szCs w:val="24"/>
        </w:rPr>
        <w:t xml:space="preserve">Nociones generales. </w:t>
      </w: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color w:val="000000"/>
          <w:sz w:val="24"/>
          <w:szCs w:val="24"/>
        </w:rPr>
      </w:pPr>
      <w:r w:rsidRPr="002C7D19">
        <w:rPr>
          <w:rFonts w:ascii="Palatino Linotype" w:eastAsia="Palatino Linotype" w:hAnsi="Palatino Linotype" w:cs="Palatino Linotype"/>
          <w:color w:val="000000"/>
          <w:sz w:val="24"/>
          <w:szCs w:val="24"/>
        </w:rPr>
        <w:t xml:space="preserve">Debe destacarse, que debido a la información solicitada por el </w:t>
      </w:r>
      <w:r w:rsidRPr="002C7D19">
        <w:rPr>
          <w:rFonts w:ascii="Palatino Linotype" w:eastAsia="Palatino Linotype" w:hAnsi="Palatino Linotype" w:cs="Palatino Linotype"/>
          <w:b/>
          <w:color w:val="000000"/>
          <w:sz w:val="24"/>
          <w:szCs w:val="24"/>
        </w:rPr>
        <w:t xml:space="preserve">RECURRENTE, pueden obrar </w:t>
      </w:r>
      <w:r w:rsidRPr="002C7D19">
        <w:rPr>
          <w:rFonts w:ascii="Palatino Linotype" w:eastAsia="Palatino Linotype" w:hAnsi="Palatino Linotype" w:cs="Palatino Linotype"/>
          <w:color w:val="000000"/>
          <w:sz w:val="24"/>
          <w:szCs w:val="24"/>
        </w:rPr>
        <w:t xml:space="preserve">datos personales susceptibles de protegerse, así como información susceptible de clasificarse como confidenciales,  por lo que el </w:t>
      </w:r>
      <w:r w:rsidRPr="002C7D19">
        <w:rPr>
          <w:rFonts w:ascii="Palatino Linotype" w:eastAsia="Palatino Linotype" w:hAnsi="Palatino Linotype" w:cs="Palatino Linotype"/>
          <w:b/>
          <w:color w:val="000000"/>
          <w:sz w:val="24"/>
          <w:szCs w:val="24"/>
        </w:rPr>
        <w:t xml:space="preserve">SUJETO OBLIGADO </w:t>
      </w:r>
      <w:r w:rsidRPr="002C7D19">
        <w:rPr>
          <w:rFonts w:ascii="Palatino Linotype" w:eastAsia="Palatino Linotype" w:hAnsi="Palatino Linotype" w:cs="Palatino Linotype"/>
          <w:color w:val="000000"/>
          <w:sz w:val="24"/>
          <w:szCs w:val="24"/>
        </w:rPr>
        <w:t xml:space="preserve">deberá de hacer la adecuada versión pública, protegiendo los datos que no son susceptibles de ser proporcionados. </w:t>
      </w:r>
    </w:p>
    <w:p w:rsidR="002B59E1" w:rsidRPr="002C7D19" w:rsidRDefault="002B59E1" w:rsidP="002B59E1">
      <w:pPr>
        <w:tabs>
          <w:tab w:val="left" w:pos="0"/>
          <w:tab w:val="left" w:pos="284"/>
        </w:tabs>
        <w:spacing w:line="360" w:lineRule="auto"/>
        <w:ind w:right="49"/>
        <w:jc w:val="both"/>
        <w:rPr>
          <w:rFonts w:ascii="Palatino Linotype" w:eastAsia="Palatino Linotype" w:hAnsi="Palatino Linotype" w:cs="Palatino Linotype"/>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color w:val="000000"/>
          <w:sz w:val="24"/>
          <w:szCs w:val="24"/>
        </w:rPr>
      </w:pPr>
      <w:r w:rsidRPr="002C7D19">
        <w:rPr>
          <w:rFonts w:ascii="Palatino Linotype" w:eastAsia="Palatino Linotype" w:hAnsi="Palatino Linotype" w:cs="Palatino Linotype"/>
          <w:color w:val="000000"/>
          <w:sz w:val="24"/>
          <w:szCs w:val="24"/>
        </w:rPr>
        <w:t>No pasa desapercibido para este Órgano Garante que los sujetos obligados</w:t>
      </w:r>
      <w:r w:rsidRPr="002C7D19">
        <w:rPr>
          <w:rFonts w:ascii="Palatino Linotype" w:eastAsia="Palatino Linotype" w:hAnsi="Palatino Linotype" w:cs="Palatino Linotype"/>
          <w:b/>
          <w:color w:val="000000"/>
          <w:sz w:val="24"/>
          <w:szCs w:val="24"/>
        </w:rPr>
        <w:t xml:space="preserve"> </w:t>
      </w:r>
      <w:r w:rsidRPr="002C7D19">
        <w:rPr>
          <w:rFonts w:ascii="Palatino Linotype" w:eastAsia="Palatino Linotype" w:hAnsi="Palatino Linotype" w:cs="Palatino Linotype"/>
          <w:color w:val="000000"/>
          <w:sz w:val="24"/>
          <w:szCs w:val="24"/>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p w:rsidR="002B59E1" w:rsidRPr="002C7D19" w:rsidRDefault="002B59E1" w:rsidP="002B59E1">
      <w:pPr>
        <w:tabs>
          <w:tab w:val="left" w:pos="284"/>
        </w:tabs>
        <w:spacing w:line="360" w:lineRule="auto"/>
        <w:ind w:right="49"/>
        <w:jc w:val="both"/>
        <w:rPr>
          <w:rFonts w:ascii="Palatino Linotype" w:eastAsia="Palatino Linotype" w:hAnsi="Palatino Linotype" w:cs="Palatino Linotype"/>
          <w:color w:val="000000"/>
          <w:sz w:val="24"/>
          <w:szCs w:val="24"/>
        </w:rPr>
      </w:pPr>
    </w:p>
    <w:tbl>
      <w:tblPr>
        <w:tblW w:w="10038" w:type="dxa"/>
        <w:tblInd w:w="-12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349"/>
      </w:tblGrid>
      <w:tr w:rsidR="002B59E1" w:rsidRPr="002C7D19" w:rsidTr="002C7D19">
        <w:tc>
          <w:tcPr>
            <w:tcW w:w="2689" w:type="dxa"/>
          </w:tcPr>
          <w:p w:rsidR="002B59E1" w:rsidRPr="002C7D19" w:rsidRDefault="002B59E1" w:rsidP="00F35F49">
            <w:pPr>
              <w:tabs>
                <w:tab w:val="left" w:pos="284"/>
              </w:tabs>
              <w:spacing w:line="360" w:lineRule="auto"/>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lastRenderedPageBreak/>
              <w:t>a) Requisitos previos.</w:t>
            </w:r>
          </w:p>
        </w:tc>
        <w:tc>
          <w:tcPr>
            <w:tcW w:w="734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Al hacerlo tienen que precisar de qué información se trata, señalando el supuesto de clasificación (confidencialidad o reserva).</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Además, se debe señalar el procedimiento, de los tres que establecen los artículos 132 y 106 de la Ley Estatal y General, respectivamente.</w:t>
            </w:r>
          </w:p>
          <w:p w:rsidR="002B59E1" w:rsidRPr="002C7D19" w:rsidRDefault="002B59E1" w:rsidP="00F35F49">
            <w:pPr>
              <w:tabs>
                <w:tab w:val="left" w:pos="284"/>
              </w:tabs>
              <w:spacing w:line="360" w:lineRule="auto"/>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t xml:space="preserve">El último de estos requisitos previos consiste en que no se pueden emitir acuerdos de carácter general ni particular, esto es, </w:t>
            </w:r>
            <w:r w:rsidRPr="002C7D19">
              <w:rPr>
                <w:rFonts w:ascii="Palatino Linotype" w:eastAsia="Palatino Linotype" w:hAnsi="Palatino Linotype" w:cs="Palatino Linotype"/>
                <w:color w:val="000000"/>
                <w:sz w:val="24"/>
                <w:szCs w:val="24"/>
                <w:u w:val="single"/>
              </w:rPr>
              <w:t>no se puede hacer un acuerdo para clasificar de manera general todos los documentos de un expediente o área, sin</w:t>
            </w:r>
            <w:r w:rsidRPr="002C7D19">
              <w:rPr>
                <w:rFonts w:ascii="Palatino Linotype" w:eastAsia="Palatino Linotype" w:hAnsi="Palatino Linotype" w:cs="Palatino Linotype"/>
                <w:color w:val="000000"/>
                <w:sz w:val="24"/>
                <w:szCs w:val="24"/>
              </w:rPr>
              <w:t xml:space="preserve"> individualizar su análisis y tampoco se puede hacer un acuerdo por cada dato que se vaya a clasificar dentro de un documento con diez datos, por ejemplo, susceptibles de ser clasificados.</w:t>
            </w:r>
          </w:p>
        </w:tc>
      </w:tr>
      <w:tr w:rsidR="002B59E1" w:rsidRPr="002C7D19" w:rsidTr="002C7D19">
        <w:tc>
          <w:tcPr>
            <w:tcW w:w="2689" w:type="dxa"/>
          </w:tcPr>
          <w:p w:rsidR="002B59E1" w:rsidRPr="002C7D19" w:rsidRDefault="002B59E1" w:rsidP="00F35F49">
            <w:pPr>
              <w:tabs>
                <w:tab w:val="left" w:pos="284"/>
              </w:tabs>
              <w:spacing w:line="360" w:lineRule="auto"/>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t>b) Supuestos de clasificación.</w:t>
            </w:r>
          </w:p>
        </w:tc>
        <w:tc>
          <w:tcPr>
            <w:tcW w:w="734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Las disposiciones constitucionales y legales en la materia establecen los dos supuestos generales para clasificar la información: por reserva y por confidencialidad.</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Los artículos 116 y 143 de la Ley Estatal y de la Ley General, respectivamente, señalan los supuestos para que la información </w:t>
            </w:r>
            <w:r w:rsidRPr="002C7D19">
              <w:rPr>
                <w:rFonts w:ascii="Palatino Linotype" w:eastAsia="Palatino Linotype" w:hAnsi="Palatino Linotype" w:cs="Palatino Linotype"/>
                <w:color w:val="000000"/>
                <w:sz w:val="24"/>
                <w:szCs w:val="24"/>
              </w:rPr>
              <w:lastRenderedPageBreak/>
              <w:t>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no se pueden ampliar las excepciones o supuestos de clasificación aduciendo analogía o mayoría de razón.</w:t>
            </w:r>
          </w:p>
          <w:p w:rsidR="002B59E1" w:rsidRPr="002C7D19" w:rsidRDefault="002B59E1" w:rsidP="00F35F49">
            <w:pPr>
              <w:tabs>
                <w:tab w:val="left" w:pos="284"/>
              </w:tabs>
              <w:spacing w:line="360" w:lineRule="auto"/>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t xml:space="preserve">El </w:t>
            </w:r>
            <w:r w:rsidRPr="002C7D19">
              <w:rPr>
                <w:rFonts w:ascii="Palatino Linotype" w:eastAsia="Palatino Linotype" w:hAnsi="Palatino Linotype" w:cs="Palatino Linotype"/>
                <w:b/>
                <w:color w:val="000000"/>
                <w:sz w:val="24"/>
                <w:szCs w:val="24"/>
              </w:rPr>
              <w:t>Sujeto Obligado</w:t>
            </w:r>
            <w:r w:rsidRPr="002C7D19">
              <w:rPr>
                <w:rFonts w:ascii="Palatino Linotype" w:eastAsia="Palatino Linotype" w:hAnsi="Palatino Linotype" w:cs="Palatino Linotype"/>
                <w:color w:val="000000"/>
                <w:sz w:val="24"/>
                <w:szCs w:val="24"/>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2B59E1" w:rsidRPr="002C7D19" w:rsidTr="002C7D19">
        <w:tc>
          <w:tcPr>
            <w:tcW w:w="2689" w:type="dxa"/>
          </w:tcPr>
          <w:p w:rsidR="002B59E1" w:rsidRPr="002C7D19" w:rsidRDefault="002B59E1" w:rsidP="00F35F49">
            <w:pPr>
              <w:tabs>
                <w:tab w:val="left" w:pos="284"/>
              </w:tabs>
              <w:spacing w:line="360" w:lineRule="auto"/>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lastRenderedPageBreak/>
              <w:t>c) Formalidades para emitir el acuerdo de clasificación.</w:t>
            </w:r>
          </w:p>
        </w:tc>
        <w:tc>
          <w:tcPr>
            <w:tcW w:w="734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El Comité de Transparencia, según lo dispuesto en los artículos cuenta con las facultades para aprobar, modificar o revocar la clasificación de la información que haya propuesto. </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Es necesario que </w:t>
            </w:r>
            <w:r w:rsidRPr="002C7D19">
              <w:rPr>
                <w:rFonts w:ascii="Palatino Linotype" w:eastAsia="Palatino Linotype" w:hAnsi="Palatino Linotype" w:cs="Palatino Linotype"/>
                <w:b/>
                <w:color w:val="000000"/>
                <w:sz w:val="24"/>
                <w:szCs w:val="24"/>
                <w:u w:val="single"/>
              </w:rPr>
              <w:t>el acto reúna con los requisitos elementales</w:t>
            </w:r>
            <w:r w:rsidRPr="002C7D19">
              <w:rPr>
                <w:rFonts w:ascii="Palatino Linotype" w:eastAsia="Palatino Linotype" w:hAnsi="Palatino Linotype" w:cs="Palatino Linotype"/>
                <w:color w:val="000000"/>
                <w:sz w:val="24"/>
                <w:szCs w:val="24"/>
              </w:rPr>
              <w:t>, entre ellos, que la autoridad que va a emitir el acto de autoridad sea la legalmente facultada para ello.</w:t>
            </w:r>
          </w:p>
          <w:p w:rsidR="002B59E1" w:rsidRPr="002C7D19" w:rsidRDefault="002B59E1" w:rsidP="00F35F49">
            <w:pPr>
              <w:tabs>
                <w:tab w:val="left" w:pos="284"/>
              </w:tabs>
              <w:spacing w:line="360" w:lineRule="auto"/>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t xml:space="preserve">La decisión de aprobar, modificar o revocar la clasificación deberá de asentarse en un documento que registre la determinación a la que se llegue después de un análisis minucioso a partir de lo propuesto por el Titular del I. área que administra la información, cuyo análisis </w:t>
            </w:r>
            <w:r w:rsidRPr="002C7D19">
              <w:rPr>
                <w:rFonts w:ascii="Palatino Linotype" w:eastAsia="Palatino Linotype" w:hAnsi="Palatino Linotype" w:cs="Palatino Linotype"/>
                <w:color w:val="000000"/>
                <w:sz w:val="24"/>
                <w:szCs w:val="24"/>
              </w:rPr>
              <w:lastRenderedPageBreak/>
              <w:t>debe integrarse en la agenda de los asuntos a tratar en las sesiones, se insiste, a partir de las decisiones adoptadas previamente por los titulares de áreas y que son sujetas a control, en primera instancia, por el Comité de Transparencia.</w:t>
            </w:r>
          </w:p>
        </w:tc>
      </w:tr>
      <w:tr w:rsidR="002B59E1" w:rsidRPr="002C7D19" w:rsidTr="002C7D19">
        <w:tc>
          <w:tcPr>
            <w:tcW w:w="2689" w:type="dxa"/>
          </w:tcPr>
          <w:p w:rsidR="002B59E1" w:rsidRPr="002C7D19" w:rsidRDefault="002B59E1" w:rsidP="00F35F49">
            <w:pPr>
              <w:tabs>
                <w:tab w:val="left" w:pos="284"/>
              </w:tabs>
              <w:spacing w:line="360" w:lineRule="auto"/>
              <w:rPr>
                <w:rFonts w:ascii="Palatino Linotype" w:eastAsia="Palatino Linotype" w:hAnsi="Palatino Linotype" w:cs="Palatino Linotype"/>
                <w:sz w:val="24"/>
                <w:szCs w:val="24"/>
              </w:rPr>
            </w:pPr>
          </w:p>
          <w:p w:rsidR="002B59E1" w:rsidRPr="002C7D19" w:rsidRDefault="002B59E1" w:rsidP="00F35F49">
            <w:pPr>
              <w:tabs>
                <w:tab w:val="left" w:pos="284"/>
              </w:tabs>
              <w:spacing w:line="360" w:lineRule="auto"/>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t xml:space="preserve">d) Requisitos de fondo del acuerdo de clasificación. </w:t>
            </w:r>
          </w:p>
        </w:tc>
        <w:tc>
          <w:tcPr>
            <w:tcW w:w="734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2C7D19">
              <w:rPr>
                <w:rFonts w:ascii="Palatino Linotype" w:eastAsia="Palatino Linotype" w:hAnsi="Palatino Linotype" w:cs="Palatino Linotype"/>
                <w:b/>
                <w:color w:val="000000"/>
                <w:sz w:val="24"/>
                <w:szCs w:val="24"/>
              </w:rPr>
              <w:t>Sujetos Obligados</w:t>
            </w:r>
            <w:r w:rsidRPr="002C7D19">
              <w:rPr>
                <w:rFonts w:ascii="Palatino Linotype" w:eastAsia="Palatino Linotype" w:hAnsi="Palatino Linotype" w:cs="Palatino Linotype"/>
                <w:color w:val="000000"/>
                <w:sz w:val="24"/>
                <w:szCs w:val="24"/>
              </w:rPr>
              <w:t xml:space="preserve">, por lo que deberán fundar y motivar debidamente la clasificación. </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De lo anterior, se desprende que para una correcta </w:t>
            </w:r>
            <w:r w:rsidRPr="002C7D19">
              <w:rPr>
                <w:rFonts w:ascii="Palatino Linotype" w:eastAsia="Palatino Linotype" w:hAnsi="Palatino Linotype" w:cs="Palatino Linotype"/>
                <w:b/>
                <w:color w:val="000000"/>
                <w:sz w:val="24"/>
                <w:szCs w:val="24"/>
              </w:rPr>
              <w:t>clasificación total o parcial</w:t>
            </w:r>
            <w:r w:rsidRPr="002C7D19">
              <w:rPr>
                <w:rFonts w:ascii="Palatino Linotype" w:eastAsia="Palatino Linotype" w:hAnsi="Palatino Linotype" w:cs="Palatino Linotype"/>
                <w:color w:val="000000"/>
                <w:sz w:val="24"/>
                <w:szCs w:val="24"/>
              </w:rPr>
              <w:t>, esto es determinar los datos que se suprimen en las versiones públicas, es necesario fundar y motivar, de manera correcta, la clasificación; considerando que todo acto que la autoridad pronuncie en el ejercicio de sus atribuciones, debe expresar los fundamentos legales que le dieron origen y las razones por las que se deben aplicar al caso concreto.</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w:t>
            </w:r>
            <w:r w:rsidRPr="002C7D19">
              <w:rPr>
                <w:rFonts w:ascii="Palatino Linotype" w:eastAsia="Palatino Linotype" w:hAnsi="Palatino Linotype" w:cs="Palatino Linotype"/>
                <w:color w:val="000000"/>
                <w:sz w:val="24"/>
                <w:szCs w:val="24"/>
              </w:rPr>
              <w:lastRenderedPageBreak/>
              <w:t>persona que se sienta afectada pueda impugnar la decisión, permitiéndole una real y auténtica defensa.</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En ese mismo sentido, el numeral trigésimo tercero fracción V de los Lineamientos Generales, precisa que para motivar la clasificación se deben acreditar las circunstancias de tiempo, modo y lugar.</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Ahora bien, </w:t>
            </w:r>
            <w:r w:rsidRPr="002C7D19">
              <w:rPr>
                <w:rFonts w:ascii="Palatino Linotype" w:eastAsia="Palatino Linotype" w:hAnsi="Palatino Linotype" w:cs="Palatino Linotype"/>
                <w:b/>
                <w:color w:val="000000"/>
                <w:sz w:val="24"/>
                <w:szCs w:val="24"/>
                <w:u w:val="single"/>
              </w:rPr>
              <w:t>para cada caso además de fundar y motivar</w:t>
            </w:r>
            <w:r w:rsidRPr="002C7D19">
              <w:rPr>
                <w:rFonts w:ascii="Palatino Linotype" w:eastAsia="Palatino Linotype" w:hAnsi="Palatino Linotype" w:cs="Palatino Linotype"/>
                <w:color w:val="000000"/>
                <w:sz w:val="24"/>
                <w:szCs w:val="24"/>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2B59E1" w:rsidRPr="002C7D19" w:rsidTr="002C7D19">
        <w:tc>
          <w:tcPr>
            <w:tcW w:w="268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sz w:val="24"/>
                <w:szCs w:val="24"/>
              </w:rPr>
            </w:pPr>
            <w:r w:rsidRPr="002C7D19">
              <w:rPr>
                <w:rFonts w:ascii="Palatino Linotype" w:eastAsia="Palatino Linotype" w:hAnsi="Palatino Linotype" w:cs="Palatino Linotype"/>
                <w:sz w:val="24"/>
                <w:szCs w:val="24"/>
              </w:rPr>
              <w:lastRenderedPageBreak/>
              <w:t xml:space="preserve">e) Condiciones especiales de la clasificación de la información como confidencial. </w:t>
            </w:r>
          </w:p>
        </w:tc>
        <w:tc>
          <w:tcPr>
            <w:tcW w:w="7349" w:type="dxa"/>
          </w:tcPr>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Los artículos 148 y 120 de la Ley Estatal y de la Ley General, respectivamente, establecen que aun tratándose de datos personales, se podrán proporcionar, incluso sin solicitar el consentimiento de su titular. </w:t>
            </w:r>
          </w:p>
          <w:p w:rsidR="002B59E1" w:rsidRPr="002C7D19" w:rsidRDefault="002B59E1" w:rsidP="00F35F49">
            <w:pPr>
              <w:tabs>
                <w:tab w:val="left" w:pos="284"/>
              </w:tabs>
              <w:spacing w:line="360" w:lineRule="auto"/>
              <w:ind w:right="49"/>
              <w:jc w:val="both"/>
              <w:rPr>
                <w:rFonts w:ascii="Palatino Linotype" w:eastAsia="Palatino Linotype" w:hAnsi="Palatino Linotype" w:cs="Palatino Linotype"/>
                <w:color w:val="000000"/>
                <w:sz w:val="24"/>
                <w:szCs w:val="24"/>
              </w:rPr>
            </w:pPr>
            <w:r w:rsidRPr="002C7D19">
              <w:rPr>
                <w:rFonts w:ascii="Palatino Linotype" w:eastAsia="Palatino Linotype" w:hAnsi="Palatino Linotype" w:cs="Palatino Linotype"/>
                <w:color w:val="000000"/>
                <w:sz w:val="24"/>
                <w:szCs w:val="24"/>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2B59E1" w:rsidRPr="002C7D19" w:rsidRDefault="002B59E1" w:rsidP="00F35F49">
            <w:pPr>
              <w:tabs>
                <w:tab w:val="left" w:pos="284"/>
              </w:tabs>
              <w:spacing w:line="360" w:lineRule="auto"/>
              <w:rPr>
                <w:rFonts w:ascii="Palatino Linotype" w:eastAsia="Palatino Linotype" w:hAnsi="Palatino Linotype" w:cs="Palatino Linotype"/>
                <w:sz w:val="24"/>
                <w:szCs w:val="24"/>
              </w:rPr>
            </w:pPr>
            <w:r w:rsidRPr="002C7D19">
              <w:rPr>
                <w:rFonts w:ascii="Palatino Linotype" w:eastAsia="Palatino Linotype" w:hAnsi="Palatino Linotype" w:cs="Palatino Linotype"/>
                <w:color w:val="000000"/>
                <w:sz w:val="24"/>
                <w:szCs w:val="24"/>
              </w:rPr>
              <w:lastRenderedPageBreak/>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2B59E1" w:rsidRPr="002C7D19" w:rsidRDefault="002B59E1" w:rsidP="002B59E1">
      <w:pPr>
        <w:tabs>
          <w:tab w:val="left" w:pos="284"/>
        </w:tabs>
        <w:spacing w:line="360" w:lineRule="auto"/>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sz w:val="24"/>
          <w:szCs w:val="24"/>
        </w:rPr>
      </w:pPr>
      <w:r w:rsidRPr="002C7D19">
        <w:rPr>
          <w:rFonts w:ascii="Palatino Linotype" w:eastAsia="Palatino Linotype" w:hAnsi="Palatino Linotype" w:cs="Palatino Linotype"/>
          <w:sz w:val="24"/>
          <w:szCs w:val="24"/>
        </w:rPr>
        <w:t>Si el servidor público incumple con estas formalidades y entrega la información sin proteger los datos personales incumple con lo que estipula las disposiciones legales establecidas.</w:t>
      </w:r>
    </w:p>
    <w:p w:rsidR="002B59E1" w:rsidRPr="002C7D19" w:rsidRDefault="002B59E1" w:rsidP="002B59E1">
      <w:pPr>
        <w:pBdr>
          <w:top w:val="nil"/>
          <w:left w:val="nil"/>
          <w:bottom w:val="nil"/>
          <w:right w:val="nil"/>
          <w:between w:val="nil"/>
        </w:pBdr>
        <w:spacing w:after="0" w:line="360" w:lineRule="auto"/>
        <w:ind w:right="-518"/>
        <w:jc w:val="both"/>
        <w:rPr>
          <w:rFonts w:ascii="Palatino Linotype" w:eastAsia="Palatino Linotype" w:hAnsi="Palatino Linotype" w:cs="Palatino Linotype"/>
          <w:color w:val="000000"/>
          <w:sz w:val="24"/>
          <w:szCs w:val="24"/>
        </w:rPr>
      </w:pPr>
    </w:p>
    <w:p w:rsidR="002B59E1" w:rsidRPr="002C7D19" w:rsidRDefault="002B59E1" w:rsidP="002B59E1">
      <w:pPr>
        <w:numPr>
          <w:ilvl w:val="0"/>
          <w:numId w:val="1"/>
        </w:numPr>
        <w:pBdr>
          <w:top w:val="nil"/>
          <w:left w:val="nil"/>
          <w:bottom w:val="nil"/>
          <w:right w:val="nil"/>
          <w:between w:val="nil"/>
        </w:pBdr>
        <w:spacing w:after="0" w:line="360" w:lineRule="auto"/>
        <w:ind w:right="-518"/>
        <w:jc w:val="both"/>
        <w:rPr>
          <w:rFonts w:ascii="Palatino Linotype" w:hAnsi="Palatino Linotype"/>
          <w:color w:val="000000"/>
          <w:sz w:val="24"/>
          <w:szCs w:val="24"/>
        </w:rPr>
      </w:pPr>
      <w:r w:rsidRPr="002C7D19">
        <w:rPr>
          <w:rFonts w:ascii="Palatino Linotype" w:eastAsia="Palatino Linotype" w:hAnsi="Palatino Linotype" w:cs="Palatino Linotype"/>
          <w:sz w:val="24"/>
          <w:szCs w:val="24"/>
        </w:rPr>
        <w:t xml:space="preserve">Por lo anteriormente expuesto, este Órgano Garante considera parcialmente fundadas las </w:t>
      </w:r>
      <w:r w:rsidRPr="002C7D19">
        <w:rPr>
          <w:rFonts w:ascii="Palatino Linotype" w:hAnsi="Palatino Linotype" w:cs="Arial"/>
          <w:sz w:val="24"/>
          <w:szCs w:val="24"/>
        </w:rPr>
        <w:t>razones</w:t>
      </w:r>
      <w:r w:rsidRPr="002C7D19">
        <w:rPr>
          <w:rFonts w:ascii="Palatino Linotype" w:eastAsia="Palatino Linotype" w:hAnsi="Palatino Linotype" w:cs="Palatino Linotype"/>
          <w:sz w:val="24"/>
          <w:szCs w:val="24"/>
        </w:rPr>
        <w:t xml:space="preserve"> o motivos de inconformidad que plantea el</w:t>
      </w:r>
      <w:r w:rsidRPr="002C7D19">
        <w:rPr>
          <w:rFonts w:ascii="Palatino Linotype" w:eastAsia="Palatino Linotype" w:hAnsi="Palatino Linotype" w:cs="Palatino Linotype"/>
          <w:b/>
          <w:sz w:val="24"/>
          <w:szCs w:val="24"/>
        </w:rPr>
        <w:t xml:space="preserve"> RECURRENTE</w:t>
      </w:r>
      <w:r w:rsidRPr="002C7D19">
        <w:rPr>
          <w:rFonts w:ascii="Palatino Linotype" w:eastAsia="Palatino Linotype" w:hAnsi="Palatino Linotype" w:cs="Palatino Linotype"/>
          <w:sz w:val="24"/>
          <w:szCs w:val="24"/>
        </w:rPr>
        <w:t xml:space="preserve">, determinando </w:t>
      </w:r>
      <w:r w:rsidRPr="002C7D19">
        <w:rPr>
          <w:rFonts w:ascii="Palatino Linotype" w:eastAsia="Palatino Linotype" w:hAnsi="Palatino Linotype" w:cs="Palatino Linotype"/>
          <w:b/>
          <w:smallCaps/>
          <w:sz w:val="24"/>
          <w:szCs w:val="24"/>
        </w:rPr>
        <w:t xml:space="preserve">REVOCAR  </w:t>
      </w:r>
      <w:r w:rsidRPr="002C7D19">
        <w:rPr>
          <w:rFonts w:ascii="Palatino Linotype" w:eastAsia="Palatino Linotype" w:hAnsi="Palatino Linotype" w:cs="Palatino Linotype"/>
          <w:sz w:val="24"/>
          <w:szCs w:val="24"/>
        </w:rPr>
        <w:t xml:space="preserve">la respuesta del </w:t>
      </w:r>
      <w:r w:rsidRPr="002C7D19">
        <w:rPr>
          <w:rFonts w:ascii="Palatino Linotype" w:eastAsia="Palatino Linotype" w:hAnsi="Palatino Linotype" w:cs="Palatino Linotype"/>
          <w:b/>
          <w:sz w:val="24"/>
          <w:szCs w:val="24"/>
        </w:rPr>
        <w:t>SUJETO OBLIGADO</w:t>
      </w:r>
      <w:r w:rsidRPr="002C7D19">
        <w:rPr>
          <w:rFonts w:ascii="Palatino Linotype" w:eastAsia="Palatino Linotype" w:hAnsi="Palatino Linotype" w:cs="Palatino Linotype"/>
          <w:sz w:val="24"/>
          <w:szCs w:val="24"/>
        </w:rPr>
        <w:t xml:space="preserve">, por lo que con fundamento en lo prescrito en los artículos 5 párrafos vigésimo noveno, trigésimo y trigésimo primero fracciones IV y V de la Constitución Política del Estado Libre y Soberano de México; 2, fracción II; 29, 36 fracciones I y II; 176, 178, 181, 185 de la Ley de Transparencia y Acceso a la Información Pública del Estado de México y Municipios, </w:t>
      </w:r>
      <w:r w:rsidRPr="002C7D19">
        <w:rPr>
          <w:rFonts w:ascii="Palatino Linotype" w:eastAsia="Palatino Linotype" w:hAnsi="Palatino Linotype" w:cs="Palatino Linotype"/>
          <w:color w:val="000000"/>
          <w:sz w:val="24"/>
          <w:szCs w:val="24"/>
        </w:rPr>
        <w:t xml:space="preserve">este </w:t>
      </w:r>
      <w:r w:rsidRPr="002C7D19">
        <w:rPr>
          <w:rFonts w:ascii="Palatino Linotype" w:eastAsia="Palatino Linotype" w:hAnsi="Palatino Linotype" w:cs="Palatino Linotype"/>
          <w:b/>
          <w:color w:val="000000"/>
          <w:sz w:val="24"/>
          <w:szCs w:val="24"/>
        </w:rPr>
        <w:t>ÓRGANO GARANTE</w:t>
      </w:r>
      <w:r w:rsidRPr="002C7D19">
        <w:rPr>
          <w:rFonts w:ascii="Palatino Linotype" w:eastAsia="Palatino Linotype" w:hAnsi="Palatino Linotype" w:cs="Palatino Linotype"/>
          <w:color w:val="000000"/>
          <w:sz w:val="24"/>
          <w:szCs w:val="24"/>
        </w:rPr>
        <w:t xml:space="preserve"> emite los siguientes.</w:t>
      </w:r>
    </w:p>
    <w:p w:rsidR="002B59E1" w:rsidRPr="002C7D19" w:rsidRDefault="002B59E1" w:rsidP="002B59E1">
      <w:pPr>
        <w:spacing w:line="360" w:lineRule="auto"/>
        <w:ind w:right="113"/>
        <w:contextualSpacing/>
        <w:jc w:val="both"/>
        <w:rPr>
          <w:rFonts w:ascii="Palatino Linotype" w:hAnsi="Palatino Linotype"/>
          <w:i/>
          <w:color w:val="000000"/>
          <w:sz w:val="24"/>
          <w:szCs w:val="24"/>
        </w:rPr>
      </w:pPr>
    </w:p>
    <w:p w:rsidR="002B59E1" w:rsidRPr="002C7D19" w:rsidRDefault="002B59E1" w:rsidP="002B59E1">
      <w:pPr>
        <w:pStyle w:val="Ttulo1"/>
        <w:spacing w:before="0" w:line="360" w:lineRule="auto"/>
        <w:ind w:right="113"/>
        <w:jc w:val="center"/>
        <w:rPr>
          <w:rFonts w:ascii="Palatino Linotype" w:eastAsia="Calibri" w:hAnsi="Palatino Linotype"/>
          <w:b/>
          <w:color w:val="000000" w:themeColor="text1"/>
          <w:sz w:val="24"/>
          <w:szCs w:val="24"/>
        </w:rPr>
      </w:pPr>
      <w:r w:rsidRPr="002C7D19">
        <w:rPr>
          <w:rFonts w:ascii="Palatino Linotype" w:eastAsia="Calibri" w:hAnsi="Palatino Linotype"/>
          <w:b/>
          <w:color w:val="000000" w:themeColor="text1"/>
          <w:sz w:val="24"/>
          <w:szCs w:val="24"/>
        </w:rPr>
        <w:t>R E S O L U T I V O S</w:t>
      </w:r>
    </w:p>
    <w:p w:rsidR="002B59E1" w:rsidRPr="002C7D19" w:rsidRDefault="002B59E1" w:rsidP="002B59E1">
      <w:pPr>
        <w:spacing w:line="360" w:lineRule="auto"/>
        <w:ind w:right="113"/>
        <w:rPr>
          <w:rFonts w:ascii="Palatino Linotype" w:hAnsi="Palatino Linotype"/>
          <w:sz w:val="24"/>
          <w:szCs w:val="24"/>
        </w:rPr>
      </w:pPr>
    </w:p>
    <w:p w:rsidR="002B59E1" w:rsidRPr="002C7D19" w:rsidRDefault="002B59E1" w:rsidP="002B59E1">
      <w:pPr>
        <w:spacing w:line="360" w:lineRule="auto"/>
        <w:ind w:right="-518"/>
        <w:jc w:val="both"/>
        <w:rPr>
          <w:rFonts w:ascii="Palatino Linotype" w:hAnsi="Palatino Linotype" w:cs="Arial"/>
          <w:bCs/>
          <w:sz w:val="24"/>
          <w:szCs w:val="24"/>
        </w:rPr>
      </w:pPr>
      <w:r w:rsidRPr="002C7D19">
        <w:rPr>
          <w:rFonts w:ascii="Palatino Linotype" w:hAnsi="Palatino Linotype" w:cs="Arial"/>
          <w:b/>
          <w:bCs/>
          <w:sz w:val="24"/>
          <w:szCs w:val="24"/>
        </w:rPr>
        <w:t>PRIMERO</w:t>
      </w:r>
      <w:r w:rsidRPr="002C7D19">
        <w:rPr>
          <w:rFonts w:ascii="Palatino Linotype" w:hAnsi="Palatino Linotype" w:cs="Arial"/>
          <w:sz w:val="24"/>
          <w:szCs w:val="24"/>
        </w:rPr>
        <w:t>. Resultan fundadas las</w:t>
      </w:r>
      <w:r w:rsidRPr="002C7D19">
        <w:rPr>
          <w:rFonts w:ascii="Palatino Linotype" w:hAnsi="Palatino Linotype" w:cs="Arial"/>
          <w:b/>
          <w:sz w:val="24"/>
          <w:szCs w:val="24"/>
        </w:rPr>
        <w:t xml:space="preserve"> </w:t>
      </w:r>
      <w:r w:rsidRPr="002C7D19">
        <w:rPr>
          <w:rFonts w:ascii="Palatino Linotype" w:hAnsi="Palatino Linotype" w:cs="Arial"/>
          <w:sz w:val="24"/>
          <w:szCs w:val="24"/>
        </w:rPr>
        <w:t xml:space="preserve">razones o motivos de inconformidad hechos valer </w:t>
      </w:r>
      <w:r w:rsidR="00604D72" w:rsidRPr="002C7D19">
        <w:rPr>
          <w:rFonts w:ascii="Palatino Linotype" w:hAnsi="Palatino Linotype" w:cs="Arial"/>
          <w:sz w:val="24"/>
          <w:szCs w:val="24"/>
        </w:rPr>
        <w:t xml:space="preserve">en el Recurso de Revisión </w:t>
      </w:r>
      <w:r w:rsidR="00604D72" w:rsidRPr="002C7D19">
        <w:rPr>
          <w:rFonts w:ascii="Palatino Linotype" w:hAnsi="Palatino Linotype" w:cs="Arial"/>
          <w:b/>
          <w:sz w:val="24"/>
          <w:szCs w:val="24"/>
        </w:rPr>
        <w:t>1</w:t>
      </w:r>
      <w:r w:rsidR="00604D72" w:rsidRPr="002C7D19">
        <w:rPr>
          <w:rFonts w:ascii="Palatino Linotype" w:hAnsi="Palatino Linotype"/>
          <w:b/>
          <w:bCs/>
          <w:sz w:val="24"/>
          <w:szCs w:val="24"/>
        </w:rPr>
        <w:t>4698/INFOEM/IP/RR/2025</w:t>
      </w:r>
      <w:r w:rsidRPr="002C7D19">
        <w:rPr>
          <w:rFonts w:ascii="Palatino Linotype" w:hAnsi="Palatino Linotype" w:cs="Arial"/>
          <w:b/>
          <w:bCs/>
          <w:sz w:val="24"/>
          <w:szCs w:val="24"/>
        </w:rPr>
        <w:t xml:space="preserve">, </w:t>
      </w:r>
      <w:r w:rsidRPr="002C7D19">
        <w:rPr>
          <w:rFonts w:ascii="Palatino Linotype" w:hAnsi="Palatino Linotype" w:cs="Arial"/>
          <w:bCs/>
          <w:sz w:val="24"/>
          <w:szCs w:val="24"/>
        </w:rPr>
        <w:t xml:space="preserve">en términos del </w:t>
      </w:r>
      <w:r w:rsidRPr="002C7D19">
        <w:rPr>
          <w:rFonts w:ascii="Palatino Linotype" w:hAnsi="Palatino Linotype" w:cs="Arial"/>
          <w:b/>
          <w:bCs/>
          <w:sz w:val="24"/>
          <w:szCs w:val="24"/>
        </w:rPr>
        <w:t xml:space="preserve">Considerando Cuarto y Quinto </w:t>
      </w:r>
      <w:r w:rsidRPr="002C7D19">
        <w:rPr>
          <w:rFonts w:ascii="Palatino Linotype" w:hAnsi="Palatino Linotype" w:cs="Arial"/>
          <w:bCs/>
          <w:sz w:val="24"/>
          <w:szCs w:val="24"/>
        </w:rPr>
        <w:t>de la presente resolución.</w:t>
      </w:r>
    </w:p>
    <w:p w:rsidR="002B59E1" w:rsidRPr="002C7D19" w:rsidRDefault="002B59E1" w:rsidP="002B59E1">
      <w:pPr>
        <w:spacing w:line="360" w:lineRule="auto"/>
        <w:ind w:right="-518"/>
        <w:jc w:val="both"/>
        <w:rPr>
          <w:rFonts w:ascii="Palatino Linotype" w:eastAsia="MS Mincho" w:hAnsi="Palatino Linotype"/>
          <w:b/>
          <w:bCs/>
          <w:color w:val="000000" w:themeColor="text1"/>
          <w:sz w:val="24"/>
          <w:szCs w:val="24"/>
        </w:rPr>
      </w:pPr>
      <w:r w:rsidRPr="002C7D19">
        <w:rPr>
          <w:rFonts w:ascii="Palatino Linotype" w:hAnsi="Palatino Linotype"/>
          <w:b/>
          <w:sz w:val="24"/>
          <w:szCs w:val="24"/>
        </w:rPr>
        <w:lastRenderedPageBreak/>
        <w:t>SEGUNDO.</w:t>
      </w:r>
      <w:r w:rsidRPr="002C7D19">
        <w:rPr>
          <w:rStyle w:val="Ttulo2Car"/>
          <w:rFonts w:ascii="Palatino Linotype" w:hAnsi="Palatino Linotype"/>
          <w:sz w:val="24"/>
          <w:szCs w:val="24"/>
        </w:rPr>
        <w:t xml:space="preserve"> </w:t>
      </w:r>
      <w:r w:rsidRPr="002C7D19">
        <w:rPr>
          <w:rFonts w:ascii="Palatino Linotype" w:eastAsia="MS Mincho" w:hAnsi="Palatino Linotype"/>
          <w:color w:val="000000" w:themeColor="text1"/>
          <w:sz w:val="24"/>
          <w:szCs w:val="24"/>
        </w:rPr>
        <w:t xml:space="preserve">Se </w:t>
      </w:r>
      <w:r w:rsidRPr="002C7D19">
        <w:rPr>
          <w:rFonts w:ascii="Palatino Linotype" w:eastAsia="MS Mincho" w:hAnsi="Palatino Linotype"/>
          <w:b/>
          <w:color w:val="000000" w:themeColor="text1"/>
          <w:sz w:val="24"/>
          <w:szCs w:val="24"/>
        </w:rPr>
        <w:t xml:space="preserve">REVOCA </w:t>
      </w:r>
      <w:r w:rsidRPr="002C7D19">
        <w:rPr>
          <w:rFonts w:ascii="Palatino Linotype" w:eastAsia="MS Mincho" w:hAnsi="Palatino Linotype"/>
          <w:color w:val="000000" w:themeColor="text1"/>
          <w:sz w:val="24"/>
          <w:szCs w:val="24"/>
        </w:rPr>
        <w:t xml:space="preserve">la respuesta emitida por el </w:t>
      </w:r>
      <w:r w:rsidRPr="002C7D19">
        <w:rPr>
          <w:rFonts w:ascii="Palatino Linotype" w:eastAsia="MS Mincho" w:hAnsi="Palatino Linotype"/>
          <w:b/>
          <w:bCs/>
          <w:color w:val="000000" w:themeColor="text1"/>
          <w:sz w:val="24"/>
          <w:szCs w:val="24"/>
        </w:rPr>
        <w:t xml:space="preserve">Sistema Municipal Para el Desarrollo Integral de la Familia de Huehuetoca </w:t>
      </w:r>
      <w:r w:rsidRPr="002C7D19">
        <w:rPr>
          <w:rFonts w:ascii="Palatino Linotype" w:eastAsia="MS Mincho" w:hAnsi="Palatino Linotype"/>
          <w:color w:val="000000" w:themeColor="text1"/>
          <w:sz w:val="24"/>
          <w:szCs w:val="24"/>
        </w:rPr>
        <w:t xml:space="preserve">y se </w:t>
      </w:r>
      <w:r w:rsidRPr="002C7D19">
        <w:rPr>
          <w:rFonts w:ascii="Palatino Linotype" w:eastAsia="MS Mincho" w:hAnsi="Palatino Linotype"/>
          <w:b/>
          <w:color w:val="000000" w:themeColor="text1"/>
          <w:sz w:val="24"/>
          <w:szCs w:val="24"/>
        </w:rPr>
        <w:t>ORDENA</w:t>
      </w:r>
      <w:r w:rsidRPr="002C7D19">
        <w:rPr>
          <w:rFonts w:ascii="Palatino Linotype" w:eastAsia="MS Mincho" w:hAnsi="Palatino Linotype"/>
          <w:color w:val="000000" w:themeColor="text1"/>
          <w:sz w:val="24"/>
          <w:szCs w:val="24"/>
        </w:rPr>
        <w:t xml:space="preserve"> entregar vía Sistema de Acceso a la Información Mexiquense </w:t>
      </w:r>
      <w:r w:rsidRPr="002C7D19">
        <w:rPr>
          <w:rFonts w:ascii="Palatino Linotype" w:eastAsia="MS Mincho" w:hAnsi="Palatino Linotype"/>
          <w:b/>
          <w:color w:val="000000" w:themeColor="text1"/>
          <w:sz w:val="24"/>
          <w:szCs w:val="24"/>
        </w:rPr>
        <w:t xml:space="preserve">(SAIMEX), </w:t>
      </w:r>
      <w:r w:rsidRPr="002C7D19">
        <w:rPr>
          <w:rFonts w:ascii="Palatino Linotype" w:eastAsia="MS Mincho" w:hAnsi="Palatino Linotype"/>
          <w:color w:val="000000" w:themeColor="text1"/>
          <w:sz w:val="24"/>
          <w:szCs w:val="24"/>
        </w:rPr>
        <w:t>de ser procedente en versión pública, lo siguiente:</w:t>
      </w:r>
    </w:p>
    <w:p w:rsidR="002B59E1" w:rsidRPr="002C7D19" w:rsidRDefault="00604D72" w:rsidP="002B59E1">
      <w:pPr>
        <w:pStyle w:val="Prrafodelista"/>
        <w:numPr>
          <w:ilvl w:val="0"/>
          <w:numId w:val="8"/>
        </w:numPr>
        <w:spacing w:line="276" w:lineRule="auto"/>
        <w:ind w:left="993" w:right="191"/>
        <w:jc w:val="both"/>
        <w:rPr>
          <w:rFonts w:ascii="Palatino Linotype" w:hAnsi="Palatino Linotype" w:cs="Arial"/>
          <w:b/>
          <w:sz w:val="24"/>
          <w:szCs w:val="24"/>
        </w:rPr>
      </w:pPr>
      <w:r w:rsidRPr="002C7D19">
        <w:rPr>
          <w:rFonts w:ascii="Palatino Linotype" w:hAnsi="Palatino Linotype" w:cs="Arial"/>
          <w:b/>
          <w:sz w:val="24"/>
          <w:szCs w:val="24"/>
        </w:rPr>
        <w:t xml:space="preserve">Los comprobantes de gastos de la </w:t>
      </w:r>
      <w:r w:rsidR="00EE727F" w:rsidRPr="002C7D19">
        <w:rPr>
          <w:rFonts w:ascii="Palatino Linotype" w:hAnsi="Palatino Linotype" w:cs="Arial"/>
          <w:b/>
          <w:sz w:val="24"/>
          <w:szCs w:val="24"/>
        </w:rPr>
        <w:t xml:space="preserve">Tesorería Municipal del Segundo y Tercer </w:t>
      </w:r>
      <w:r w:rsidR="00D467F8" w:rsidRPr="002C7D19">
        <w:rPr>
          <w:rFonts w:ascii="Palatino Linotype" w:hAnsi="Palatino Linotype" w:cs="Arial"/>
          <w:b/>
          <w:sz w:val="24"/>
          <w:szCs w:val="24"/>
        </w:rPr>
        <w:t>Trimestr</w:t>
      </w:r>
      <w:r w:rsidR="00EE727F" w:rsidRPr="002C7D19">
        <w:rPr>
          <w:rFonts w:ascii="Palatino Linotype" w:hAnsi="Palatino Linotype" w:cs="Arial"/>
          <w:b/>
          <w:sz w:val="24"/>
          <w:szCs w:val="24"/>
        </w:rPr>
        <w:t>e del año dos mil veinticinco.</w:t>
      </w:r>
    </w:p>
    <w:p w:rsidR="002B59E1" w:rsidRPr="002C7D19" w:rsidRDefault="002B59E1" w:rsidP="002B59E1">
      <w:pPr>
        <w:pStyle w:val="Prrafodelista"/>
        <w:spacing w:line="276" w:lineRule="auto"/>
        <w:ind w:left="1498" w:right="-518"/>
        <w:jc w:val="both"/>
        <w:rPr>
          <w:rFonts w:ascii="Palatino Linotype" w:hAnsi="Palatino Linotype" w:cs="Arial"/>
          <w:b/>
          <w:sz w:val="24"/>
          <w:szCs w:val="24"/>
        </w:rPr>
      </w:pPr>
    </w:p>
    <w:p w:rsidR="002B59E1" w:rsidRPr="002C7D19" w:rsidRDefault="002B59E1" w:rsidP="002B59E1">
      <w:pPr>
        <w:spacing w:line="360" w:lineRule="auto"/>
        <w:ind w:right="-518"/>
        <w:jc w:val="both"/>
        <w:rPr>
          <w:rFonts w:ascii="Palatino Linotype" w:eastAsia="Palatino Linotype" w:hAnsi="Palatino Linotype" w:cs="Palatino Linotype"/>
          <w:b/>
          <w:sz w:val="24"/>
          <w:szCs w:val="24"/>
        </w:rPr>
      </w:pPr>
      <w:r w:rsidRPr="002C7D19">
        <w:rPr>
          <w:rFonts w:ascii="Palatino Linotype" w:eastAsia="Palatino Linotype" w:hAnsi="Palatino Linotype" w:cs="Palatino Linotype"/>
          <w:sz w:val="24"/>
          <w:szCs w:val="24"/>
        </w:rPr>
        <w:t xml:space="preserve">Para efectos de lo anterior,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2C7D19">
        <w:rPr>
          <w:rFonts w:ascii="Palatino Linotype" w:eastAsia="Palatino Linotype" w:hAnsi="Palatino Linotype" w:cs="Palatino Linotype"/>
          <w:b/>
          <w:sz w:val="24"/>
          <w:szCs w:val="24"/>
        </w:rPr>
        <w:t>RECURRENTE.</w:t>
      </w:r>
    </w:p>
    <w:p w:rsidR="002B59E1" w:rsidRPr="002C7D19" w:rsidRDefault="002B59E1" w:rsidP="002B59E1">
      <w:pPr>
        <w:tabs>
          <w:tab w:val="left" w:pos="8080"/>
        </w:tabs>
        <w:spacing w:line="360" w:lineRule="auto"/>
        <w:ind w:right="-518"/>
        <w:jc w:val="both"/>
        <w:rPr>
          <w:rFonts w:ascii="Palatino Linotype" w:eastAsia="Palatino Linotype" w:hAnsi="Palatino Linotype" w:cs="Palatino Linotype"/>
          <w:color w:val="222222"/>
          <w:sz w:val="24"/>
          <w:szCs w:val="24"/>
        </w:rPr>
      </w:pPr>
      <w:r w:rsidRPr="002C7D19">
        <w:rPr>
          <w:rFonts w:ascii="Palatino Linotype" w:hAnsi="Palatino Linotype" w:cs="Arial"/>
          <w:b/>
          <w:bCs/>
          <w:sz w:val="24"/>
          <w:szCs w:val="24"/>
        </w:rPr>
        <w:t xml:space="preserve">TERCERO. </w:t>
      </w:r>
      <w:r w:rsidRPr="002C7D19">
        <w:rPr>
          <w:rFonts w:ascii="Palatino Linotype" w:eastAsia="Palatino Linotype" w:hAnsi="Palatino Linotype" w:cs="Palatino Linotype"/>
          <w:b/>
          <w:color w:val="222222"/>
          <w:sz w:val="24"/>
          <w:szCs w:val="24"/>
        </w:rPr>
        <w:t xml:space="preserve">NOTIFÍQUESE </w:t>
      </w:r>
      <w:r w:rsidRPr="002C7D19">
        <w:rPr>
          <w:rFonts w:ascii="Palatino Linotype" w:eastAsia="Palatino Linotype" w:hAnsi="Palatino Linotype" w:cs="Palatino Linotype"/>
          <w:color w:val="222222"/>
          <w:sz w:val="24"/>
          <w:szCs w:val="24"/>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2C7D19">
        <w:rPr>
          <w:rFonts w:ascii="Palatino Linotype" w:eastAsia="Palatino Linotype" w:hAnsi="Palatino Linotype" w:cs="Palatino Linotype"/>
          <w:b/>
          <w:color w:val="222222"/>
          <w:sz w:val="24"/>
          <w:szCs w:val="24"/>
        </w:rPr>
        <w:t xml:space="preserve">dé cumplimiento a lo ordenado dentro del plazo de diez días hábiles, </w:t>
      </w:r>
      <w:r w:rsidRPr="002C7D19">
        <w:rPr>
          <w:rFonts w:ascii="Palatino Linotype" w:eastAsia="Palatino Linotype" w:hAnsi="Palatino Linotype" w:cs="Palatino Linotype"/>
          <w:color w:val="222222"/>
          <w:sz w:val="24"/>
          <w:szCs w:val="24"/>
        </w:rPr>
        <w:t xml:space="preserve">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 </w:t>
      </w:r>
    </w:p>
    <w:p w:rsidR="002B59E1" w:rsidRPr="002C7D19" w:rsidRDefault="002B59E1" w:rsidP="002B59E1">
      <w:pPr>
        <w:spacing w:line="360" w:lineRule="auto"/>
        <w:ind w:right="-518"/>
        <w:jc w:val="both"/>
        <w:rPr>
          <w:rFonts w:ascii="Palatino Linotype" w:hAnsi="Palatino Linotype" w:cs="Arial"/>
          <w:bCs/>
          <w:sz w:val="24"/>
          <w:szCs w:val="24"/>
        </w:rPr>
      </w:pPr>
    </w:p>
    <w:p w:rsidR="002B59E1" w:rsidRPr="002C7D19" w:rsidRDefault="002B59E1" w:rsidP="002B59E1">
      <w:pPr>
        <w:spacing w:line="360" w:lineRule="auto"/>
        <w:ind w:right="-518"/>
        <w:jc w:val="both"/>
        <w:rPr>
          <w:rFonts w:ascii="Palatino Linotype" w:hAnsi="Palatino Linotype" w:cs="Arial"/>
          <w:bCs/>
          <w:sz w:val="24"/>
          <w:szCs w:val="24"/>
        </w:rPr>
      </w:pPr>
      <w:r w:rsidRPr="002C7D19">
        <w:rPr>
          <w:rFonts w:ascii="Palatino Linotype" w:hAnsi="Palatino Linotype" w:cs="Arial"/>
          <w:b/>
          <w:sz w:val="24"/>
          <w:szCs w:val="24"/>
        </w:rPr>
        <w:t xml:space="preserve">CUARTO. </w:t>
      </w:r>
      <w:r w:rsidRPr="002C7D19">
        <w:rPr>
          <w:rFonts w:ascii="Palatino Linotype" w:hAnsi="Palatino Linotype" w:cs="Arial"/>
          <w:bCs/>
          <w:sz w:val="24"/>
          <w:szCs w:val="24"/>
        </w:rPr>
        <w:t xml:space="preserve">De conformidad con el artículo 198 de la Ley de Transparencia y Acceso a la Información Pública del Estado de México y Municipios, de considerarlo procedente, el Sujeto </w:t>
      </w:r>
      <w:r w:rsidRPr="002C7D19">
        <w:rPr>
          <w:rFonts w:ascii="Palatino Linotype" w:hAnsi="Palatino Linotype" w:cs="Arial"/>
          <w:bCs/>
          <w:sz w:val="24"/>
          <w:szCs w:val="24"/>
        </w:rPr>
        <w:lastRenderedPageBreak/>
        <w:t>Obligado de manera fundada y motivada, podrá solicitar una ampliación de plazo para el cumplimiento de la presente resolución.</w:t>
      </w:r>
    </w:p>
    <w:p w:rsidR="002B59E1" w:rsidRPr="002C7D19" w:rsidRDefault="002B59E1" w:rsidP="002B59E1">
      <w:pPr>
        <w:autoSpaceDE w:val="0"/>
        <w:autoSpaceDN w:val="0"/>
        <w:adjustRightInd w:val="0"/>
        <w:spacing w:line="360" w:lineRule="auto"/>
        <w:ind w:right="-518"/>
        <w:jc w:val="both"/>
        <w:rPr>
          <w:rFonts w:ascii="Palatino Linotype" w:hAnsi="Palatino Linotype"/>
          <w:sz w:val="24"/>
          <w:szCs w:val="24"/>
        </w:rPr>
      </w:pPr>
      <w:r w:rsidRPr="002C7D19">
        <w:rPr>
          <w:rFonts w:ascii="Palatino Linotype" w:hAnsi="Palatino Linotype" w:cs="Arial"/>
          <w:b/>
          <w:sz w:val="24"/>
          <w:szCs w:val="24"/>
        </w:rPr>
        <w:t xml:space="preserve">QUINTO. </w:t>
      </w:r>
      <w:r w:rsidRPr="002C7D19">
        <w:rPr>
          <w:rFonts w:ascii="Palatino Linotype" w:hAnsi="Palatino Linotype"/>
          <w:b/>
          <w:bCs/>
          <w:color w:val="222222"/>
          <w:sz w:val="24"/>
          <w:szCs w:val="24"/>
        </w:rPr>
        <w:t xml:space="preserve">Notifíquese </w:t>
      </w:r>
      <w:r w:rsidR="004007DA" w:rsidRPr="002C7D19">
        <w:rPr>
          <w:rFonts w:ascii="Palatino Linotype" w:hAnsi="Palatino Linotype"/>
          <w:bCs/>
          <w:color w:val="222222"/>
          <w:sz w:val="24"/>
          <w:szCs w:val="24"/>
        </w:rPr>
        <w:t>al</w:t>
      </w:r>
      <w:r w:rsidRPr="002C7D19">
        <w:rPr>
          <w:rFonts w:ascii="Palatino Linotype" w:hAnsi="Palatino Linotype" w:cs="Arial"/>
          <w:b/>
          <w:sz w:val="24"/>
          <w:szCs w:val="24"/>
        </w:rPr>
        <w:t xml:space="preserve"> RECURRENTE</w:t>
      </w:r>
      <w:r w:rsidRPr="002C7D19">
        <w:rPr>
          <w:rFonts w:ascii="Palatino Linotype" w:hAnsi="Palatino Linotype"/>
          <w:sz w:val="24"/>
          <w:szCs w:val="24"/>
        </w:rPr>
        <w:t xml:space="preserve"> la presente resolución, vía SAIMEX.</w:t>
      </w:r>
    </w:p>
    <w:p w:rsidR="002B59E1" w:rsidRPr="002C7D19" w:rsidRDefault="002B59E1" w:rsidP="002B59E1">
      <w:pPr>
        <w:autoSpaceDE w:val="0"/>
        <w:autoSpaceDN w:val="0"/>
        <w:adjustRightInd w:val="0"/>
        <w:spacing w:line="360" w:lineRule="auto"/>
        <w:ind w:right="-518"/>
        <w:jc w:val="both"/>
        <w:rPr>
          <w:rFonts w:ascii="Palatino Linotype" w:eastAsia="Palatino Linotype" w:hAnsi="Palatino Linotype" w:cs="Palatino Linotype"/>
          <w:sz w:val="24"/>
          <w:szCs w:val="24"/>
        </w:rPr>
      </w:pPr>
      <w:r w:rsidRPr="002C7D19">
        <w:rPr>
          <w:rFonts w:ascii="Palatino Linotype" w:eastAsia="MS Mincho" w:hAnsi="Palatino Linotype"/>
          <w:b/>
          <w:sz w:val="24"/>
          <w:szCs w:val="24"/>
        </w:rPr>
        <w:t>SEXTO.</w:t>
      </w:r>
      <w:r w:rsidRPr="002C7D19">
        <w:rPr>
          <w:rFonts w:ascii="Palatino Linotype" w:eastAsia="MS Mincho" w:hAnsi="Palatino Linotype"/>
          <w:sz w:val="24"/>
          <w:szCs w:val="24"/>
        </w:rPr>
        <w:t xml:space="preserve"> </w:t>
      </w:r>
      <w:r w:rsidR="004007DA" w:rsidRPr="002C7D19">
        <w:rPr>
          <w:rFonts w:ascii="Palatino Linotype" w:hAnsi="Palatino Linotype"/>
          <w:sz w:val="24"/>
          <w:szCs w:val="24"/>
        </w:rPr>
        <w:t>Se hace del conocimiento del</w:t>
      </w:r>
      <w:r w:rsidRPr="002C7D19">
        <w:rPr>
          <w:rFonts w:ascii="Palatino Linotype" w:hAnsi="Palatino Linotype"/>
          <w:b/>
          <w:sz w:val="24"/>
          <w:szCs w:val="24"/>
        </w:rPr>
        <w:t xml:space="preserve"> RECURRENTE</w:t>
      </w:r>
      <w:r w:rsidRPr="002C7D19">
        <w:rPr>
          <w:rFonts w:ascii="Palatino Linotype" w:hAnsi="Palatino Linotype"/>
          <w:sz w:val="24"/>
          <w:szCs w:val="24"/>
        </w:rPr>
        <w:t xml:space="preserve"> que, de conformidad con lo establecido en el artículo 196 de la Ley de Transparencia y Acceso a la Información Pública del Estado de México y Municipios, en caso de que considere que la resolución le cause algún perjuicio podrá impugnarla </w:t>
      </w:r>
      <w:r w:rsidRPr="002C7D19">
        <w:rPr>
          <w:rFonts w:ascii="Palatino Linotype" w:hAnsi="Palatino Linotype"/>
          <w:bCs/>
          <w:sz w:val="24"/>
          <w:szCs w:val="24"/>
        </w:rPr>
        <w:t>vía juicio de amparo</w:t>
      </w:r>
      <w:r w:rsidRPr="002C7D19">
        <w:rPr>
          <w:rFonts w:ascii="Palatino Linotype" w:hAnsi="Palatino Linotype"/>
          <w:sz w:val="24"/>
          <w:szCs w:val="24"/>
        </w:rPr>
        <w:t> en los términos de las leyes aplicables</w:t>
      </w:r>
      <w:r w:rsidRPr="002C7D19">
        <w:rPr>
          <w:rFonts w:ascii="Palatino Linotype" w:eastAsia="Palatino Linotype" w:hAnsi="Palatino Linotype" w:cs="Palatino Linotype"/>
          <w:sz w:val="24"/>
          <w:szCs w:val="24"/>
        </w:rPr>
        <w:t>.</w:t>
      </w:r>
    </w:p>
    <w:p w:rsidR="004007DA" w:rsidRPr="002C7D19" w:rsidRDefault="004007DA" w:rsidP="004007DA">
      <w:pPr>
        <w:spacing w:before="240" w:after="240" w:line="360" w:lineRule="auto"/>
        <w:ind w:right="-518" w:firstLine="1"/>
        <w:jc w:val="both"/>
        <w:rPr>
          <w:rFonts w:ascii="Palatino Linotype" w:hAnsi="Palatino Linotype"/>
          <w:sz w:val="24"/>
          <w:szCs w:val="24"/>
        </w:rPr>
      </w:pPr>
      <w:bookmarkStart w:id="7" w:name="_Hlk99014733"/>
      <w:r w:rsidRPr="002C7D19">
        <w:rPr>
          <w:rFonts w:ascii="Palatino Linotype" w:hAnsi="Palatino Linotype" w:cs="Palatino Linotype"/>
          <w:sz w:val="24"/>
          <w:szCs w:val="24"/>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SESIÓN ORDINARIA, CELEBRADA EL SIETE (07) DE MAYO DE DOS MIL VEINTISÉIS, ANTE EL SECRETARIO TÉCNICO DEL PLENO </w:t>
      </w:r>
      <w:r w:rsidRPr="002C7D19">
        <w:rPr>
          <w:rFonts w:ascii="Palatino Linotype" w:hAnsi="Palatino Linotype" w:cs="Palatino Linotype"/>
          <w:color w:val="000000" w:themeColor="text1"/>
          <w:sz w:val="24"/>
          <w:szCs w:val="24"/>
        </w:rPr>
        <w:t>ALEXIS TAPIA RAMÍREZ.</w:t>
      </w:r>
    </w:p>
    <w:bookmarkEnd w:id="7"/>
    <w:p w:rsidR="002B59E1" w:rsidRPr="002C7D19" w:rsidRDefault="002B59E1" w:rsidP="002B59E1">
      <w:pPr>
        <w:spacing w:before="240" w:after="240" w:line="360" w:lineRule="auto"/>
        <w:ind w:firstLine="1"/>
        <w:jc w:val="both"/>
        <w:rPr>
          <w:rFonts w:ascii="Palatino Linotype" w:eastAsia="Palatino Linotype" w:hAnsi="Palatino Linotype" w:cs="Palatino Linotype"/>
          <w:sz w:val="24"/>
          <w:szCs w:val="24"/>
        </w:rPr>
      </w:pPr>
    </w:p>
    <w:p w:rsidR="002B59E1" w:rsidRDefault="002B59E1"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C7D19" w:rsidRPr="002C7D19" w:rsidRDefault="002C7D19" w:rsidP="002B59E1">
      <w:pPr>
        <w:spacing w:before="240" w:after="240" w:line="360" w:lineRule="auto"/>
        <w:ind w:firstLine="1"/>
        <w:jc w:val="both"/>
        <w:rPr>
          <w:rFonts w:ascii="Palatino Linotype" w:eastAsia="Palatino Linotype" w:hAnsi="Palatino Linotype" w:cs="Palatino Linotype"/>
          <w:sz w:val="24"/>
          <w:szCs w:val="24"/>
        </w:rPr>
      </w:pPr>
    </w:p>
    <w:p w:rsidR="002B59E1" w:rsidRPr="002C7D19" w:rsidRDefault="002B59E1" w:rsidP="002B59E1">
      <w:pPr>
        <w:spacing w:after="0" w:line="360" w:lineRule="auto"/>
        <w:jc w:val="both"/>
        <w:rPr>
          <w:rFonts w:ascii="Palatino Linotype" w:eastAsia="Palatino Linotype" w:hAnsi="Palatino Linotype" w:cs="Palatino Linotype"/>
          <w:sz w:val="24"/>
          <w:szCs w:val="24"/>
        </w:rPr>
      </w:pPr>
    </w:p>
    <w:p w:rsidR="002B59E1" w:rsidRPr="002C7D19" w:rsidRDefault="002B59E1" w:rsidP="002B59E1">
      <w:pPr>
        <w:keepNext/>
        <w:keepLines/>
        <w:spacing w:after="0" w:line="360" w:lineRule="auto"/>
        <w:rPr>
          <w:rFonts w:ascii="Palatino Linotype" w:eastAsia="Palatino Linotype" w:hAnsi="Palatino Linotype" w:cs="Palatino Linotype"/>
          <w:b/>
          <w:color w:val="000000"/>
          <w:sz w:val="24"/>
          <w:szCs w:val="24"/>
        </w:rPr>
      </w:pPr>
    </w:p>
    <w:p w:rsidR="002B59E1" w:rsidRPr="002C7D19" w:rsidRDefault="002B59E1" w:rsidP="002B59E1">
      <w:pPr>
        <w:spacing w:line="360" w:lineRule="auto"/>
        <w:ind w:right="-518"/>
        <w:jc w:val="both"/>
        <w:rPr>
          <w:rFonts w:ascii="Palatino Linotype" w:eastAsia="Palatino Linotype" w:hAnsi="Palatino Linotype" w:cs="Palatino Linotype"/>
          <w:sz w:val="24"/>
          <w:szCs w:val="24"/>
        </w:rPr>
      </w:pPr>
    </w:p>
    <w:p w:rsidR="002B59E1" w:rsidRPr="002C7D19" w:rsidRDefault="002B59E1" w:rsidP="002B59E1">
      <w:pPr>
        <w:spacing w:line="360" w:lineRule="auto"/>
        <w:ind w:right="-518"/>
        <w:jc w:val="both"/>
        <w:rPr>
          <w:rFonts w:ascii="Palatino Linotype" w:eastAsia="Palatino Linotype" w:hAnsi="Palatino Linotype" w:cs="Palatino Linotype"/>
          <w:sz w:val="24"/>
          <w:szCs w:val="24"/>
        </w:rPr>
      </w:pPr>
    </w:p>
    <w:p w:rsidR="002B59E1" w:rsidRPr="002C7D19" w:rsidRDefault="002B59E1" w:rsidP="002B59E1">
      <w:pPr>
        <w:tabs>
          <w:tab w:val="left" w:pos="0"/>
        </w:tabs>
        <w:spacing w:after="0" w:line="360" w:lineRule="auto"/>
        <w:ind w:right="-518"/>
        <w:jc w:val="both"/>
        <w:rPr>
          <w:rFonts w:ascii="Palatino Linotype" w:eastAsia="Palatino Linotype" w:hAnsi="Palatino Linotype" w:cs="Palatino Linotype"/>
          <w:color w:val="000000"/>
          <w:sz w:val="24"/>
          <w:szCs w:val="24"/>
        </w:rPr>
      </w:pPr>
    </w:p>
    <w:p w:rsidR="002B59E1" w:rsidRPr="002C7D19" w:rsidRDefault="002B59E1" w:rsidP="002B59E1">
      <w:pPr>
        <w:rPr>
          <w:sz w:val="24"/>
          <w:szCs w:val="24"/>
        </w:rPr>
      </w:pPr>
    </w:p>
    <w:p w:rsidR="002B59E1" w:rsidRPr="002C7D19" w:rsidRDefault="002B59E1" w:rsidP="002B59E1">
      <w:pPr>
        <w:rPr>
          <w:sz w:val="24"/>
          <w:szCs w:val="24"/>
        </w:rPr>
      </w:pPr>
    </w:p>
    <w:p w:rsidR="00B130FE" w:rsidRPr="002C7D19" w:rsidRDefault="00B130FE">
      <w:pPr>
        <w:rPr>
          <w:sz w:val="24"/>
          <w:szCs w:val="24"/>
        </w:rPr>
      </w:pPr>
    </w:p>
    <w:sectPr w:rsidR="00B130FE" w:rsidRPr="002C7D19" w:rsidSect="002C7D19">
      <w:headerReference w:type="even" r:id="rId7"/>
      <w:headerReference w:type="default" r:id="rId8"/>
      <w:footerReference w:type="default" r:id="rId9"/>
      <w:headerReference w:type="first" r:id="rId10"/>
      <w:footerReference w:type="first" r:id="rId11"/>
      <w:pgSz w:w="12240" w:h="15840"/>
      <w:pgMar w:top="2268" w:right="1183" w:bottom="1702" w:left="1701" w:header="709" w:footer="709"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8413C" w:rsidRDefault="0098413C" w:rsidP="002B59E1">
      <w:pPr>
        <w:spacing w:after="0" w:line="240" w:lineRule="auto"/>
      </w:pPr>
      <w:r>
        <w:separator/>
      </w:r>
    </w:p>
  </w:endnote>
  <w:endnote w:type="continuationSeparator" w:id="0">
    <w:p w:rsidR="0098413C" w:rsidRDefault="0098413C" w:rsidP="002B59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erriweather">
    <w:altName w:val="Times New Roman"/>
    <w:charset w:val="00"/>
    <w:family w:val="auto"/>
    <w:pitch w:val="default"/>
  </w:font>
  <w:font w:name="Noto Sans Symbols">
    <w:altName w:val="Times New Roman"/>
    <w:charset w:val="00"/>
    <w:family w:val="auto"/>
    <w:pitch w:val="default"/>
  </w:font>
  <w:font w:name="Palatino Linotype">
    <w:panose1 w:val="02040502050505030304"/>
    <w:charset w:val="00"/>
    <w:family w:val="roman"/>
    <w:pitch w:val="variable"/>
    <w:sig w:usb0="E0000287" w:usb1="4000001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2C7D19" w:rsidRDefault="00A20182">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2C7D19">
      <w:rPr>
        <w:rFonts w:ascii="Palatino Linotype" w:eastAsia="Palatino Linotype" w:hAnsi="Palatino Linotype" w:cs="Palatino Linotype"/>
        <w:color w:val="000000"/>
        <w:szCs w:val="20"/>
      </w:rPr>
      <w:t xml:space="preserve">Página </w:t>
    </w:r>
    <w:r w:rsidRPr="002C7D19">
      <w:rPr>
        <w:rFonts w:ascii="Palatino Linotype" w:eastAsia="Palatino Linotype" w:hAnsi="Palatino Linotype" w:cs="Palatino Linotype"/>
        <w:color w:val="000000"/>
        <w:szCs w:val="20"/>
      </w:rPr>
      <w:fldChar w:fldCharType="begin"/>
    </w:r>
    <w:r w:rsidRPr="002C7D19">
      <w:rPr>
        <w:rFonts w:ascii="Palatino Linotype" w:eastAsia="Palatino Linotype" w:hAnsi="Palatino Linotype" w:cs="Palatino Linotype"/>
        <w:color w:val="000000"/>
        <w:szCs w:val="20"/>
      </w:rPr>
      <w:instrText>PAGE</w:instrText>
    </w:r>
    <w:r w:rsidRPr="002C7D19">
      <w:rPr>
        <w:rFonts w:ascii="Palatino Linotype" w:eastAsia="Palatino Linotype" w:hAnsi="Palatino Linotype" w:cs="Palatino Linotype"/>
        <w:color w:val="000000"/>
        <w:szCs w:val="20"/>
      </w:rPr>
      <w:fldChar w:fldCharType="separate"/>
    </w:r>
    <w:r w:rsidR="00076606">
      <w:rPr>
        <w:rFonts w:ascii="Palatino Linotype" w:eastAsia="Palatino Linotype" w:hAnsi="Palatino Linotype" w:cs="Palatino Linotype"/>
        <w:noProof/>
        <w:color w:val="000000"/>
        <w:szCs w:val="20"/>
      </w:rPr>
      <w:t>21</w:t>
    </w:r>
    <w:r w:rsidRPr="002C7D19">
      <w:rPr>
        <w:rFonts w:ascii="Palatino Linotype" w:eastAsia="Palatino Linotype" w:hAnsi="Palatino Linotype" w:cs="Palatino Linotype"/>
        <w:color w:val="000000"/>
        <w:szCs w:val="20"/>
      </w:rPr>
      <w:fldChar w:fldCharType="end"/>
    </w:r>
    <w:r w:rsidRPr="002C7D19">
      <w:rPr>
        <w:rFonts w:ascii="Palatino Linotype" w:eastAsia="Palatino Linotype" w:hAnsi="Palatino Linotype" w:cs="Palatino Linotype"/>
        <w:color w:val="000000"/>
        <w:szCs w:val="20"/>
      </w:rPr>
      <w:t xml:space="preserve"> de </w:t>
    </w:r>
    <w:r w:rsidRPr="002C7D19">
      <w:rPr>
        <w:rFonts w:ascii="Palatino Linotype" w:eastAsia="Palatino Linotype" w:hAnsi="Palatino Linotype" w:cs="Palatino Linotype"/>
        <w:color w:val="000000"/>
        <w:szCs w:val="20"/>
      </w:rPr>
      <w:fldChar w:fldCharType="begin"/>
    </w:r>
    <w:r w:rsidRPr="002C7D19">
      <w:rPr>
        <w:rFonts w:ascii="Palatino Linotype" w:eastAsia="Palatino Linotype" w:hAnsi="Palatino Linotype" w:cs="Palatino Linotype"/>
        <w:color w:val="000000"/>
        <w:szCs w:val="20"/>
      </w:rPr>
      <w:instrText>NUMPAGES</w:instrText>
    </w:r>
    <w:r w:rsidRPr="002C7D19">
      <w:rPr>
        <w:rFonts w:ascii="Palatino Linotype" w:eastAsia="Palatino Linotype" w:hAnsi="Palatino Linotype" w:cs="Palatino Linotype"/>
        <w:color w:val="000000"/>
        <w:szCs w:val="20"/>
      </w:rPr>
      <w:fldChar w:fldCharType="separate"/>
    </w:r>
    <w:r w:rsidR="00076606">
      <w:rPr>
        <w:rFonts w:ascii="Palatino Linotype" w:eastAsia="Palatino Linotype" w:hAnsi="Palatino Linotype" w:cs="Palatino Linotype"/>
        <w:noProof/>
        <w:color w:val="000000"/>
        <w:szCs w:val="20"/>
      </w:rPr>
      <w:t>21</w:t>
    </w:r>
    <w:r w:rsidRPr="002C7D19">
      <w:rPr>
        <w:rFonts w:ascii="Palatino Linotype" w:eastAsia="Palatino Linotype" w:hAnsi="Palatino Linotype" w:cs="Palatino Linotype"/>
        <w:color w:val="000000"/>
        <w:szCs w:val="20"/>
      </w:rPr>
      <w:fldChar w:fldCharType="end"/>
    </w:r>
  </w:p>
  <w:p w:rsidR="009C12CB" w:rsidRDefault="0098413C">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Pr="002C7D19" w:rsidRDefault="00A20182">
    <w:pPr>
      <w:pBdr>
        <w:top w:val="nil"/>
        <w:left w:val="nil"/>
        <w:bottom w:val="nil"/>
        <w:right w:val="nil"/>
        <w:between w:val="nil"/>
      </w:pBdr>
      <w:tabs>
        <w:tab w:val="center" w:pos="4419"/>
        <w:tab w:val="right" w:pos="8838"/>
      </w:tabs>
      <w:spacing w:after="0" w:line="240" w:lineRule="auto"/>
      <w:jc w:val="right"/>
      <w:rPr>
        <w:rFonts w:ascii="Palatino Linotype" w:eastAsia="Palatino Linotype" w:hAnsi="Palatino Linotype" w:cs="Palatino Linotype"/>
        <w:color w:val="000000"/>
        <w:szCs w:val="20"/>
      </w:rPr>
    </w:pPr>
    <w:r w:rsidRPr="002C7D19">
      <w:rPr>
        <w:rFonts w:ascii="Palatino Linotype" w:eastAsia="Palatino Linotype" w:hAnsi="Palatino Linotype" w:cs="Palatino Linotype"/>
        <w:color w:val="000000"/>
        <w:szCs w:val="20"/>
      </w:rPr>
      <w:t xml:space="preserve">Página </w:t>
    </w:r>
    <w:r w:rsidRPr="002C7D19">
      <w:rPr>
        <w:rFonts w:ascii="Palatino Linotype" w:eastAsia="Palatino Linotype" w:hAnsi="Palatino Linotype" w:cs="Palatino Linotype"/>
        <w:color w:val="000000"/>
        <w:szCs w:val="20"/>
      </w:rPr>
      <w:fldChar w:fldCharType="begin"/>
    </w:r>
    <w:r w:rsidRPr="002C7D19">
      <w:rPr>
        <w:rFonts w:ascii="Palatino Linotype" w:eastAsia="Palatino Linotype" w:hAnsi="Palatino Linotype" w:cs="Palatino Linotype"/>
        <w:color w:val="000000"/>
        <w:szCs w:val="20"/>
      </w:rPr>
      <w:instrText>PAGE</w:instrText>
    </w:r>
    <w:r w:rsidRPr="002C7D19">
      <w:rPr>
        <w:rFonts w:ascii="Palatino Linotype" w:eastAsia="Palatino Linotype" w:hAnsi="Palatino Linotype" w:cs="Palatino Linotype"/>
        <w:color w:val="000000"/>
        <w:szCs w:val="20"/>
      </w:rPr>
      <w:fldChar w:fldCharType="separate"/>
    </w:r>
    <w:r w:rsidR="00076606">
      <w:rPr>
        <w:rFonts w:ascii="Palatino Linotype" w:eastAsia="Palatino Linotype" w:hAnsi="Palatino Linotype" w:cs="Palatino Linotype"/>
        <w:noProof/>
        <w:color w:val="000000"/>
        <w:szCs w:val="20"/>
      </w:rPr>
      <w:t>1</w:t>
    </w:r>
    <w:r w:rsidRPr="002C7D19">
      <w:rPr>
        <w:rFonts w:ascii="Palatino Linotype" w:eastAsia="Palatino Linotype" w:hAnsi="Palatino Linotype" w:cs="Palatino Linotype"/>
        <w:color w:val="000000"/>
        <w:szCs w:val="20"/>
      </w:rPr>
      <w:fldChar w:fldCharType="end"/>
    </w:r>
    <w:r w:rsidRPr="002C7D19">
      <w:rPr>
        <w:rFonts w:ascii="Palatino Linotype" w:eastAsia="Palatino Linotype" w:hAnsi="Palatino Linotype" w:cs="Palatino Linotype"/>
        <w:color w:val="000000"/>
        <w:szCs w:val="20"/>
      </w:rPr>
      <w:t xml:space="preserve"> de </w:t>
    </w:r>
    <w:r w:rsidRPr="002C7D19">
      <w:rPr>
        <w:rFonts w:ascii="Palatino Linotype" w:eastAsia="Palatino Linotype" w:hAnsi="Palatino Linotype" w:cs="Palatino Linotype"/>
        <w:color w:val="000000"/>
        <w:szCs w:val="20"/>
      </w:rPr>
      <w:fldChar w:fldCharType="begin"/>
    </w:r>
    <w:r w:rsidRPr="002C7D19">
      <w:rPr>
        <w:rFonts w:ascii="Palatino Linotype" w:eastAsia="Palatino Linotype" w:hAnsi="Palatino Linotype" w:cs="Palatino Linotype"/>
        <w:color w:val="000000"/>
        <w:szCs w:val="20"/>
      </w:rPr>
      <w:instrText>NUMPAGES</w:instrText>
    </w:r>
    <w:r w:rsidRPr="002C7D19">
      <w:rPr>
        <w:rFonts w:ascii="Palatino Linotype" w:eastAsia="Palatino Linotype" w:hAnsi="Palatino Linotype" w:cs="Palatino Linotype"/>
        <w:color w:val="000000"/>
        <w:szCs w:val="20"/>
      </w:rPr>
      <w:fldChar w:fldCharType="separate"/>
    </w:r>
    <w:r w:rsidR="00076606">
      <w:rPr>
        <w:rFonts w:ascii="Palatino Linotype" w:eastAsia="Palatino Linotype" w:hAnsi="Palatino Linotype" w:cs="Palatino Linotype"/>
        <w:noProof/>
        <w:color w:val="000000"/>
        <w:szCs w:val="20"/>
      </w:rPr>
      <w:t>21</w:t>
    </w:r>
    <w:r w:rsidRPr="002C7D19">
      <w:rPr>
        <w:rFonts w:ascii="Palatino Linotype" w:eastAsia="Palatino Linotype" w:hAnsi="Palatino Linotype" w:cs="Palatino Linotype"/>
        <w:color w:val="000000"/>
        <w:szCs w:val="20"/>
      </w:rPr>
      <w:fldChar w:fldCharType="end"/>
    </w:r>
  </w:p>
  <w:p w:rsidR="009C12CB" w:rsidRDefault="0098413C">
    <w:pPr>
      <w:pBdr>
        <w:top w:val="nil"/>
        <w:left w:val="nil"/>
        <w:bottom w:val="nil"/>
        <w:right w:val="nil"/>
        <w:between w:val="nil"/>
      </w:pBdr>
      <w:tabs>
        <w:tab w:val="center" w:pos="4419"/>
        <w:tab w:val="right" w:pos="8838"/>
      </w:tabs>
      <w:spacing w:after="0" w:line="240" w:lineRule="auto"/>
      <w:rPr>
        <w:color w:val="000000"/>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8413C" w:rsidRDefault="0098413C" w:rsidP="002B59E1">
      <w:pPr>
        <w:spacing w:after="0" w:line="240" w:lineRule="auto"/>
      </w:pPr>
      <w:r>
        <w:separator/>
      </w:r>
    </w:p>
  </w:footnote>
  <w:footnote w:type="continuationSeparator" w:id="0">
    <w:p w:rsidR="0098413C" w:rsidRDefault="0098413C" w:rsidP="002B59E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C12CB" w:rsidRDefault="0098413C">
    <w:pPr>
      <w:pBdr>
        <w:top w:val="nil"/>
        <w:left w:val="nil"/>
        <w:bottom w:val="nil"/>
        <w:right w:val="nil"/>
        <w:between w:val="nil"/>
      </w:pBdr>
      <w:tabs>
        <w:tab w:val="center" w:pos="4419"/>
        <w:tab w:val="right" w:pos="8838"/>
      </w:tabs>
      <w:spacing w:after="0" w:line="240" w:lineRule="auto"/>
      <w:rPr>
        <w:color w:val="000000"/>
        <w:sz w:val="24"/>
        <w:szCs w:val="24"/>
      </w:rPr>
    </w:pPr>
    <w:r>
      <w:rPr>
        <w:color w:val="000000"/>
        <w:sz w:val="24"/>
        <w:szCs w:val="2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 o:spid="_x0000_s2049" type="#_x0000_t75" alt="" style="position:absolute;margin-left:0;margin-top:0;width:609.4pt;height:793.75pt;z-index:-251657216;mso-position-horizontal:center;mso-position-horizontal-relative:margin;mso-position-vertical:center;mso-position-vertical-relative:margin">
          <v:imagedata r:id="rId1" o:title="image5"/>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229" w:type="dxa"/>
      <w:tblInd w:w="2694" w:type="dxa"/>
      <w:tblLayout w:type="fixed"/>
      <w:tblLook w:val="0400" w:firstRow="0" w:lastRow="0" w:firstColumn="0" w:lastColumn="0" w:noHBand="0" w:noVBand="1"/>
    </w:tblPr>
    <w:tblGrid>
      <w:gridCol w:w="2970"/>
      <w:gridCol w:w="4259"/>
    </w:tblGrid>
    <w:tr w:rsidR="009C12CB" w:rsidTr="000509CE">
      <w:trPr>
        <w:trHeight w:val="227"/>
      </w:trPr>
      <w:tc>
        <w:tcPr>
          <w:tcW w:w="2970" w:type="dxa"/>
          <w:vAlign w:val="center"/>
        </w:tcPr>
        <w:p w:rsidR="009C12CB" w:rsidRPr="002C7D19" w:rsidRDefault="00A20182">
          <w:pPr>
            <w:spacing w:after="0"/>
            <w:ind w:right="34"/>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Recurso de Revisión:</w:t>
          </w:r>
        </w:p>
      </w:tc>
      <w:tc>
        <w:tcPr>
          <w:tcW w:w="4259" w:type="dxa"/>
          <w:vAlign w:val="center"/>
        </w:tcPr>
        <w:p w:rsidR="009C12CB" w:rsidRPr="002C7D19" w:rsidRDefault="002B59E1">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2C7D19">
            <w:rPr>
              <w:rFonts w:ascii="Palatino Linotype" w:eastAsia="Palatino Linotype" w:hAnsi="Palatino Linotype" w:cs="Palatino Linotype"/>
              <w:b/>
              <w:bCs/>
              <w:color w:val="000000"/>
              <w:sz w:val="24"/>
            </w:rPr>
            <w:t>14698/INFOEM/IP/RR/2025</w:t>
          </w:r>
        </w:p>
      </w:tc>
    </w:tr>
    <w:tr w:rsidR="009C12CB" w:rsidTr="000509CE">
      <w:trPr>
        <w:trHeight w:val="242"/>
      </w:trPr>
      <w:tc>
        <w:tcPr>
          <w:tcW w:w="2970" w:type="dxa"/>
          <w:vAlign w:val="center"/>
        </w:tcPr>
        <w:p w:rsidR="009C12CB" w:rsidRPr="002C7D19" w:rsidRDefault="00A20182">
          <w:pPr>
            <w:spacing w:after="0"/>
            <w:ind w:right="34"/>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Sujeto Obligado:</w:t>
          </w:r>
        </w:p>
      </w:tc>
      <w:tc>
        <w:tcPr>
          <w:tcW w:w="4259" w:type="dxa"/>
          <w:vAlign w:val="center"/>
        </w:tcPr>
        <w:p w:rsidR="009C12CB" w:rsidRPr="002C7D19" w:rsidRDefault="00A20182" w:rsidP="00604D72">
          <w:pPr>
            <w:pBdr>
              <w:top w:val="nil"/>
              <w:left w:val="nil"/>
              <w:bottom w:val="nil"/>
              <w:right w:val="nil"/>
              <w:between w:val="nil"/>
            </w:pBdr>
            <w:tabs>
              <w:tab w:val="left" w:pos="2592"/>
              <w:tab w:val="center" w:pos="4419"/>
              <w:tab w:val="right" w:pos="8838"/>
            </w:tabs>
            <w:spacing w:after="0" w:line="240" w:lineRule="auto"/>
            <w:ind w:right="-108"/>
            <w:rPr>
              <w:rFonts w:ascii="Palatino Linotype" w:eastAsia="Palatino Linotype" w:hAnsi="Palatino Linotype" w:cs="Palatino Linotype"/>
              <w:color w:val="000000"/>
              <w:sz w:val="24"/>
            </w:rPr>
          </w:pPr>
          <w:r w:rsidRPr="002C7D19">
            <w:rPr>
              <w:rFonts w:ascii="Palatino Linotype" w:eastAsia="Palatino Linotype" w:hAnsi="Palatino Linotype" w:cs="Palatino Linotype"/>
              <w:b/>
              <w:bCs/>
              <w:color w:val="000000"/>
              <w:sz w:val="24"/>
            </w:rPr>
            <w:t>Sistema Municipal Para el Desarrollo Integral de la Familia de Huehuetoca</w:t>
          </w:r>
        </w:p>
      </w:tc>
    </w:tr>
    <w:tr w:rsidR="009C12CB" w:rsidTr="000509CE">
      <w:trPr>
        <w:trHeight w:val="342"/>
      </w:trPr>
      <w:tc>
        <w:tcPr>
          <w:tcW w:w="2970" w:type="dxa"/>
          <w:vAlign w:val="center"/>
        </w:tcPr>
        <w:p w:rsidR="009C12CB" w:rsidRPr="002C7D19" w:rsidRDefault="00A20182">
          <w:pPr>
            <w:spacing w:after="0"/>
            <w:ind w:right="34"/>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Comisionada Ponente:</w:t>
          </w:r>
        </w:p>
      </w:tc>
      <w:tc>
        <w:tcPr>
          <w:tcW w:w="4259" w:type="dxa"/>
          <w:vAlign w:val="center"/>
        </w:tcPr>
        <w:p w:rsidR="009C12CB" w:rsidRPr="002C7D19" w:rsidRDefault="00A20182">
          <w:pPr>
            <w:pBdr>
              <w:top w:val="nil"/>
              <w:left w:val="nil"/>
              <w:bottom w:val="nil"/>
              <w:right w:val="nil"/>
              <w:between w:val="nil"/>
            </w:pBdr>
            <w:tabs>
              <w:tab w:val="center" w:pos="4419"/>
              <w:tab w:val="right" w:pos="8838"/>
            </w:tabs>
            <w:spacing w:after="0" w:line="240" w:lineRule="auto"/>
            <w:ind w:right="-861"/>
            <w:rPr>
              <w:rFonts w:ascii="Palatino Linotype" w:eastAsia="Palatino Linotype" w:hAnsi="Palatino Linotype" w:cs="Palatino Linotype"/>
              <w:color w:val="000000"/>
              <w:sz w:val="24"/>
            </w:rPr>
          </w:pPr>
          <w:r w:rsidRPr="002C7D19">
            <w:rPr>
              <w:rFonts w:ascii="Palatino Linotype" w:eastAsia="Palatino Linotype" w:hAnsi="Palatino Linotype" w:cs="Palatino Linotype"/>
              <w:color w:val="000000"/>
              <w:sz w:val="24"/>
            </w:rPr>
            <w:t>María del Rosario Mejía Ayala</w:t>
          </w:r>
        </w:p>
      </w:tc>
    </w:tr>
  </w:tbl>
  <w:p w:rsidR="009C12CB" w:rsidRDefault="0098413C">
    <w:pPr>
      <w:rPr>
        <w:color w:val="000000"/>
        <w:sz w:val="14"/>
        <w:szCs w:val="14"/>
      </w:rPr>
    </w:pPr>
    <w:r>
      <w:rPr>
        <w:color w:val="000000"/>
        <w:sz w:val="14"/>
        <w:szCs w:val="14"/>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2050" type="#_x0000_t75" alt="" style="position:absolute;margin-left:-82.3pt;margin-top:-124.35pt;width:609.4pt;height:793.75pt;z-index:-251656192;mso-position-horizontal-relative:margin;mso-position-vertical-relative:margin">
          <v:imagedata r:id="rId1" o:title="image5"/>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7513" w:type="dxa"/>
      <w:tblInd w:w="2694" w:type="dxa"/>
      <w:tblLayout w:type="fixed"/>
      <w:tblLook w:val="0400" w:firstRow="0" w:lastRow="0" w:firstColumn="0" w:lastColumn="0" w:noHBand="0" w:noVBand="1"/>
    </w:tblPr>
    <w:tblGrid>
      <w:gridCol w:w="2977"/>
      <w:gridCol w:w="4536"/>
    </w:tblGrid>
    <w:tr w:rsidR="009C12CB" w:rsidTr="002C7D19">
      <w:trPr>
        <w:trHeight w:val="227"/>
      </w:trPr>
      <w:tc>
        <w:tcPr>
          <w:tcW w:w="2977" w:type="dxa"/>
          <w:vAlign w:val="center"/>
        </w:tcPr>
        <w:p w:rsidR="009C12CB" w:rsidRPr="002C7D19" w:rsidRDefault="00A20182" w:rsidP="002C7D19">
          <w:pPr>
            <w:spacing w:after="0" w:line="240" w:lineRule="auto"/>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Recurso de Revisión:</w:t>
          </w:r>
        </w:p>
      </w:tc>
      <w:tc>
        <w:tcPr>
          <w:tcW w:w="4536" w:type="dxa"/>
          <w:vAlign w:val="center"/>
        </w:tcPr>
        <w:p w:rsidR="009C12CB" w:rsidRPr="002C7D19" w:rsidRDefault="002B59E1" w:rsidP="002C7D19">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rPr>
          </w:pPr>
          <w:r w:rsidRPr="002C7D19">
            <w:rPr>
              <w:rFonts w:ascii="Palatino Linotype" w:eastAsia="Palatino Linotype" w:hAnsi="Palatino Linotype" w:cs="Palatino Linotype"/>
              <w:b/>
              <w:bCs/>
              <w:color w:val="000000"/>
              <w:sz w:val="24"/>
            </w:rPr>
            <w:t>14698/INFOEM/IP/RR/2025</w:t>
          </w:r>
        </w:p>
      </w:tc>
    </w:tr>
    <w:tr w:rsidR="009C12CB" w:rsidTr="002C7D19">
      <w:trPr>
        <w:trHeight w:val="242"/>
      </w:trPr>
      <w:tc>
        <w:tcPr>
          <w:tcW w:w="2977" w:type="dxa"/>
          <w:vAlign w:val="center"/>
        </w:tcPr>
        <w:p w:rsidR="009C12CB" w:rsidRPr="002C7D19" w:rsidRDefault="00A20182" w:rsidP="002C7D19">
          <w:pPr>
            <w:spacing w:after="0" w:line="240" w:lineRule="auto"/>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Recurrente:</w:t>
          </w:r>
        </w:p>
      </w:tc>
      <w:tc>
        <w:tcPr>
          <w:tcW w:w="4536" w:type="dxa"/>
        </w:tcPr>
        <w:p w:rsidR="009C12CB" w:rsidRPr="002C7D19" w:rsidRDefault="0098413C" w:rsidP="002C7D19">
          <w:pPr>
            <w:spacing w:after="0"/>
            <w:rPr>
              <w:rFonts w:ascii="Palatino Linotype" w:eastAsia="Palatino Linotype" w:hAnsi="Palatino Linotype" w:cs="Palatino Linotype"/>
              <w:color w:val="000000"/>
              <w:sz w:val="24"/>
            </w:rPr>
          </w:pPr>
        </w:p>
      </w:tc>
    </w:tr>
    <w:tr w:rsidR="009C12CB" w:rsidTr="002C7D19">
      <w:trPr>
        <w:trHeight w:val="342"/>
      </w:trPr>
      <w:tc>
        <w:tcPr>
          <w:tcW w:w="2977" w:type="dxa"/>
          <w:vAlign w:val="center"/>
        </w:tcPr>
        <w:p w:rsidR="009C12CB" w:rsidRPr="002C7D19" w:rsidRDefault="00A20182" w:rsidP="002C7D19">
          <w:pPr>
            <w:spacing w:after="0" w:line="240" w:lineRule="auto"/>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Sujeto Obligado:</w:t>
          </w:r>
        </w:p>
      </w:tc>
      <w:tc>
        <w:tcPr>
          <w:tcW w:w="4536" w:type="dxa"/>
          <w:vAlign w:val="center"/>
        </w:tcPr>
        <w:p w:rsidR="009C12CB" w:rsidRPr="002C7D19" w:rsidRDefault="002B59E1" w:rsidP="002C7D19">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rPr>
          </w:pPr>
          <w:r w:rsidRPr="002C7D19">
            <w:rPr>
              <w:rFonts w:ascii="Palatino Linotype" w:eastAsia="Palatino Linotype" w:hAnsi="Palatino Linotype" w:cs="Palatino Linotype"/>
              <w:b/>
              <w:bCs/>
              <w:color w:val="000000"/>
              <w:sz w:val="24"/>
            </w:rPr>
            <w:t>Sistema Municipal Para el Desarrollo Integral de la Familia de Huehuetoca</w:t>
          </w:r>
        </w:p>
      </w:tc>
    </w:tr>
    <w:tr w:rsidR="009C12CB" w:rsidTr="002C7D19">
      <w:trPr>
        <w:trHeight w:val="342"/>
      </w:trPr>
      <w:tc>
        <w:tcPr>
          <w:tcW w:w="2977" w:type="dxa"/>
          <w:vAlign w:val="center"/>
        </w:tcPr>
        <w:p w:rsidR="009C12CB" w:rsidRPr="002C7D19" w:rsidRDefault="00A20182" w:rsidP="002C7D19">
          <w:pPr>
            <w:spacing w:after="0" w:line="240" w:lineRule="auto"/>
            <w:jc w:val="right"/>
            <w:rPr>
              <w:rFonts w:ascii="Palatino Linotype" w:eastAsia="Palatino Linotype" w:hAnsi="Palatino Linotype" w:cs="Palatino Linotype"/>
              <w:b/>
              <w:sz w:val="24"/>
            </w:rPr>
          </w:pPr>
          <w:r w:rsidRPr="002C7D19">
            <w:rPr>
              <w:rFonts w:ascii="Palatino Linotype" w:eastAsia="Palatino Linotype" w:hAnsi="Palatino Linotype" w:cs="Palatino Linotype"/>
              <w:b/>
              <w:sz w:val="24"/>
            </w:rPr>
            <w:t>Comisionada Ponente:</w:t>
          </w:r>
        </w:p>
      </w:tc>
      <w:tc>
        <w:tcPr>
          <w:tcW w:w="4536" w:type="dxa"/>
          <w:vAlign w:val="center"/>
        </w:tcPr>
        <w:p w:rsidR="009C12CB" w:rsidRPr="002C7D19" w:rsidRDefault="00A20182" w:rsidP="002C7D19">
          <w:pPr>
            <w:pBdr>
              <w:top w:val="nil"/>
              <w:left w:val="nil"/>
              <w:bottom w:val="nil"/>
              <w:right w:val="nil"/>
              <w:between w:val="nil"/>
            </w:pBdr>
            <w:tabs>
              <w:tab w:val="center" w:pos="4419"/>
              <w:tab w:val="right" w:pos="8838"/>
            </w:tabs>
            <w:spacing w:after="0" w:line="276" w:lineRule="auto"/>
            <w:rPr>
              <w:rFonts w:ascii="Palatino Linotype" w:eastAsia="Palatino Linotype" w:hAnsi="Palatino Linotype" w:cs="Palatino Linotype"/>
              <w:color w:val="000000"/>
              <w:sz w:val="24"/>
            </w:rPr>
          </w:pPr>
          <w:r w:rsidRPr="002C7D19">
            <w:rPr>
              <w:rFonts w:ascii="Palatino Linotype" w:eastAsia="Palatino Linotype" w:hAnsi="Palatino Linotype" w:cs="Palatino Linotype"/>
              <w:color w:val="000000"/>
              <w:sz w:val="24"/>
            </w:rPr>
            <w:t>María del Rosario Mejía Ayala</w:t>
          </w:r>
        </w:p>
      </w:tc>
    </w:tr>
  </w:tbl>
  <w:p w:rsidR="009C12CB" w:rsidRDefault="0098413C">
    <w:pPr>
      <w:pBdr>
        <w:top w:val="nil"/>
        <w:left w:val="nil"/>
        <w:bottom w:val="nil"/>
        <w:right w:val="nil"/>
        <w:between w:val="nil"/>
      </w:pBdr>
      <w:tabs>
        <w:tab w:val="center" w:pos="4419"/>
        <w:tab w:val="right" w:pos="8838"/>
      </w:tabs>
      <w:spacing w:after="0" w:line="240" w:lineRule="auto"/>
      <w:rPr>
        <w:color w:val="000000"/>
        <w:sz w:val="16"/>
        <w:szCs w:val="16"/>
      </w:rPr>
    </w:pPr>
    <w:r>
      <w:rPr>
        <w:color w:val="000000"/>
        <w:sz w:val="16"/>
        <w:szCs w:val="1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 o:spid="_x0000_s2051" type="#_x0000_t75" alt="" style="position:absolute;margin-left:-84.55pt;margin-top:-132.2pt;width:609.4pt;height:793.75pt;z-index:-251655168;mso-position-horizontal:absolute;mso-position-horizontal-relative:margin;mso-position-vertical:absolute;mso-position-vertical-relative:margin">
          <v:imagedata r:id="rId1" o:title="image5"/>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D644868"/>
    <w:multiLevelType w:val="hybridMultilevel"/>
    <w:tmpl w:val="0F3CDF32"/>
    <w:lvl w:ilvl="0" w:tplc="080A0001">
      <w:start w:val="1"/>
      <w:numFmt w:val="bullet"/>
      <w:lvlText w:val=""/>
      <w:lvlJc w:val="left"/>
      <w:pPr>
        <w:ind w:left="1146" w:hanging="360"/>
      </w:pPr>
      <w:rPr>
        <w:rFonts w:ascii="Symbol" w:hAnsi="Symbol" w:hint="default"/>
      </w:rPr>
    </w:lvl>
    <w:lvl w:ilvl="1" w:tplc="080A0003" w:tentative="1">
      <w:start w:val="1"/>
      <w:numFmt w:val="bullet"/>
      <w:lvlText w:val="o"/>
      <w:lvlJc w:val="left"/>
      <w:pPr>
        <w:ind w:left="1866" w:hanging="360"/>
      </w:pPr>
      <w:rPr>
        <w:rFonts w:ascii="Courier New" w:hAnsi="Courier New" w:cs="Courier New" w:hint="default"/>
      </w:rPr>
    </w:lvl>
    <w:lvl w:ilvl="2" w:tplc="080A0005" w:tentative="1">
      <w:start w:val="1"/>
      <w:numFmt w:val="bullet"/>
      <w:lvlText w:val=""/>
      <w:lvlJc w:val="left"/>
      <w:pPr>
        <w:ind w:left="2586" w:hanging="360"/>
      </w:pPr>
      <w:rPr>
        <w:rFonts w:ascii="Wingdings" w:hAnsi="Wingdings" w:hint="default"/>
      </w:rPr>
    </w:lvl>
    <w:lvl w:ilvl="3" w:tplc="080A0001" w:tentative="1">
      <w:start w:val="1"/>
      <w:numFmt w:val="bullet"/>
      <w:lvlText w:val=""/>
      <w:lvlJc w:val="left"/>
      <w:pPr>
        <w:ind w:left="3306" w:hanging="360"/>
      </w:pPr>
      <w:rPr>
        <w:rFonts w:ascii="Symbol" w:hAnsi="Symbol" w:hint="default"/>
      </w:rPr>
    </w:lvl>
    <w:lvl w:ilvl="4" w:tplc="080A0003" w:tentative="1">
      <w:start w:val="1"/>
      <w:numFmt w:val="bullet"/>
      <w:lvlText w:val="o"/>
      <w:lvlJc w:val="left"/>
      <w:pPr>
        <w:ind w:left="4026" w:hanging="360"/>
      </w:pPr>
      <w:rPr>
        <w:rFonts w:ascii="Courier New" w:hAnsi="Courier New" w:cs="Courier New" w:hint="default"/>
      </w:rPr>
    </w:lvl>
    <w:lvl w:ilvl="5" w:tplc="080A0005" w:tentative="1">
      <w:start w:val="1"/>
      <w:numFmt w:val="bullet"/>
      <w:lvlText w:val=""/>
      <w:lvlJc w:val="left"/>
      <w:pPr>
        <w:ind w:left="4746" w:hanging="360"/>
      </w:pPr>
      <w:rPr>
        <w:rFonts w:ascii="Wingdings" w:hAnsi="Wingdings" w:hint="default"/>
      </w:rPr>
    </w:lvl>
    <w:lvl w:ilvl="6" w:tplc="080A0001" w:tentative="1">
      <w:start w:val="1"/>
      <w:numFmt w:val="bullet"/>
      <w:lvlText w:val=""/>
      <w:lvlJc w:val="left"/>
      <w:pPr>
        <w:ind w:left="5466" w:hanging="360"/>
      </w:pPr>
      <w:rPr>
        <w:rFonts w:ascii="Symbol" w:hAnsi="Symbol" w:hint="default"/>
      </w:rPr>
    </w:lvl>
    <w:lvl w:ilvl="7" w:tplc="080A0003" w:tentative="1">
      <w:start w:val="1"/>
      <w:numFmt w:val="bullet"/>
      <w:lvlText w:val="o"/>
      <w:lvlJc w:val="left"/>
      <w:pPr>
        <w:ind w:left="6186" w:hanging="360"/>
      </w:pPr>
      <w:rPr>
        <w:rFonts w:ascii="Courier New" w:hAnsi="Courier New" w:cs="Courier New" w:hint="default"/>
      </w:rPr>
    </w:lvl>
    <w:lvl w:ilvl="8" w:tplc="080A0005" w:tentative="1">
      <w:start w:val="1"/>
      <w:numFmt w:val="bullet"/>
      <w:lvlText w:val=""/>
      <w:lvlJc w:val="left"/>
      <w:pPr>
        <w:ind w:left="6906" w:hanging="360"/>
      </w:pPr>
      <w:rPr>
        <w:rFonts w:ascii="Wingdings" w:hAnsi="Wingdings" w:hint="default"/>
      </w:rPr>
    </w:lvl>
  </w:abstractNum>
  <w:abstractNum w:abstractNumId="1" w15:restartNumberingAfterBreak="0">
    <w:nsid w:val="1DCE2D1D"/>
    <w:multiLevelType w:val="multilevel"/>
    <w:tmpl w:val="EBBC2100"/>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1EF148B0"/>
    <w:multiLevelType w:val="hybridMultilevel"/>
    <w:tmpl w:val="96163E66"/>
    <w:lvl w:ilvl="0" w:tplc="080A0001">
      <w:start w:val="1"/>
      <w:numFmt w:val="bullet"/>
      <w:lvlText w:val=""/>
      <w:lvlJc w:val="left"/>
      <w:pPr>
        <w:ind w:left="1866" w:hanging="360"/>
      </w:pPr>
      <w:rPr>
        <w:rFonts w:ascii="Symbol" w:hAnsi="Symbol" w:hint="default"/>
      </w:rPr>
    </w:lvl>
    <w:lvl w:ilvl="1" w:tplc="080A0003" w:tentative="1">
      <w:start w:val="1"/>
      <w:numFmt w:val="bullet"/>
      <w:lvlText w:val="o"/>
      <w:lvlJc w:val="left"/>
      <w:pPr>
        <w:ind w:left="2586" w:hanging="360"/>
      </w:pPr>
      <w:rPr>
        <w:rFonts w:ascii="Courier New" w:hAnsi="Courier New" w:cs="Courier New" w:hint="default"/>
      </w:rPr>
    </w:lvl>
    <w:lvl w:ilvl="2" w:tplc="080A0005" w:tentative="1">
      <w:start w:val="1"/>
      <w:numFmt w:val="bullet"/>
      <w:lvlText w:val=""/>
      <w:lvlJc w:val="left"/>
      <w:pPr>
        <w:ind w:left="3306" w:hanging="360"/>
      </w:pPr>
      <w:rPr>
        <w:rFonts w:ascii="Wingdings" w:hAnsi="Wingdings" w:hint="default"/>
      </w:rPr>
    </w:lvl>
    <w:lvl w:ilvl="3" w:tplc="080A0001" w:tentative="1">
      <w:start w:val="1"/>
      <w:numFmt w:val="bullet"/>
      <w:lvlText w:val=""/>
      <w:lvlJc w:val="left"/>
      <w:pPr>
        <w:ind w:left="4026" w:hanging="360"/>
      </w:pPr>
      <w:rPr>
        <w:rFonts w:ascii="Symbol" w:hAnsi="Symbol" w:hint="default"/>
      </w:rPr>
    </w:lvl>
    <w:lvl w:ilvl="4" w:tplc="080A0003" w:tentative="1">
      <w:start w:val="1"/>
      <w:numFmt w:val="bullet"/>
      <w:lvlText w:val="o"/>
      <w:lvlJc w:val="left"/>
      <w:pPr>
        <w:ind w:left="4746" w:hanging="360"/>
      </w:pPr>
      <w:rPr>
        <w:rFonts w:ascii="Courier New" w:hAnsi="Courier New" w:cs="Courier New" w:hint="default"/>
      </w:rPr>
    </w:lvl>
    <w:lvl w:ilvl="5" w:tplc="080A0005" w:tentative="1">
      <w:start w:val="1"/>
      <w:numFmt w:val="bullet"/>
      <w:lvlText w:val=""/>
      <w:lvlJc w:val="left"/>
      <w:pPr>
        <w:ind w:left="5466" w:hanging="360"/>
      </w:pPr>
      <w:rPr>
        <w:rFonts w:ascii="Wingdings" w:hAnsi="Wingdings" w:hint="default"/>
      </w:rPr>
    </w:lvl>
    <w:lvl w:ilvl="6" w:tplc="080A0001" w:tentative="1">
      <w:start w:val="1"/>
      <w:numFmt w:val="bullet"/>
      <w:lvlText w:val=""/>
      <w:lvlJc w:val="left"/>
      <w:pPr>
        <w:ind w:left="6186" w:hanging="360"/>
      </w:pPr>
      <w:rPr>
        <w:rFonts w:ascii="Symbol" w:hAnsi="Symbol" w:hint="default"/>
      </w:rPr>
    </w:lvl>
    <w:lvl w:ilvl="7" w:tplc="080A0003" w:tentative="1">
      <w:start w:val="1"/>
      <w:numFmt w:val="bullet"/>
      <w:lvlText w:val="o"/>
      <w:lvlJc w:val="left"/>
      <w:pPr>
        <w:ind w:left="6906" w:hanging="360"/>
      </w:pPr>
      <w:rPr>
        <w:rFonts w:ascii="Courier New" w:hAnsi="Courier New" w:cs="Courier New" w:hint="default"/>
      </w:rPr>
    </w:lvl>
    <w:lvl w:ilvl="8" w:tplc="080A0005" w:tentative="1">
      <w:start w:val="1"/>
      <w:numFmt w:val="bullet"/>
      <w:lvlText w:val=""/>
      <w:lvlJc w:val="left"/>
      <w:pPr>
        <w:ind w:left="7626" w:hanging="360"/>
      </w:pPr>
      <w:rPr>
        <w:rFonts w:ascii="Wingdings" w:hAnsi="Wingdings" w:hint="default"/>
      </w:rPr>
    </w:lvl>
  </w:abstractNum>
  <w:abstractNum w:abstractNumId="3" w15:restartNumberingAfterBreak="0">
    <w:nsid w:val="22223C45"/>
    <w:multiLevelType w:val="multilevel"/>
    <w:tmpl w:val="B3B6CFC8"/>
    <w:lvl w:ilvl="0">
      <w:start w:val="1"/>
      <w:numFmt w:val="bullet"/>
      <w:lvlText w:val="-"/>
      <w:lvlJc w:val="left"/>
      <w:pPr>
        <w:ind w:left="720" w:hanging="360"/>
      </w:pPr>
      <w:rPr>
        <w:rFonts w:ascii="Merriweather" w:eastAsia="Merriweather" w:hAnsi="Merriweather" w:cs="Merriweather"/>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31EF6096"/>
    <w:multiLevelType w:val="hybridMultilevel"/>
    <w:tmpl w:val="08D4EA52"/>
    <w:lvl w:ilvl="0" w:tplc="080A0001">
      <w:start w:val="1"/>
      <w:numFmt w:val="bullet"/>
      <w:lvlText w:val=""/>
      <w:lvlJc w:val="left"/>
      <w:pPr>
        <w:ind w:left="1498" w:hanging="360"/>
      </w:pPr>
      <w:rPr>
        <w:rFonts w:ascii="Symbol" w:hAnsi="Symbol" w:hint="default"/>
      </w:rPr>
    </w:lvl>
    <w:lvl w:ilvl="1" w:tplc="080A0003" w:tentative="1">
      <w:start w:val="1"/>
      <w:numFmt w:val="bullet"/>
      <w:lvlText w:val="o"/>
      <w:lvlJc w:val="left"/>
      <w:pPr>
        <w:ind w:left="2218" w:hanging="360"/>
      </w:pPr>
      <w:rPr>
        <w:rFonts w:ascii="Courier New" w:hAnsi="Courier New" w:cs="Courier New" w:hint="default"/>
      </w:rPr>
    </w:lvl>
    <w:lvl w:ilvl="2" w:tplc="080A0005" w:tentative="1">
      <w:start w:val="1"/>
      <w:numFmt w:val="bullet"/>
      <w:lvlText w:val=""/>
      <w:lvlJc w:val="left"/>
      <w:pPr>
        <w:ind w:left="2938" w:hanging="360"/>
      </w:pPr>
      <w:rPr>
        <w:rFonts w:ascii="Wingdings" w:hAnsi="Wingdings" w:hint="default"/>
      </w:rPr>
    </w:lvl>
    <w:lvl w:ilvl="3" w:tplc="080A0001" w:tentative="1">
      <w:start w:val="1"/>
      <w:numFmt w:val="bullet"/>
      <w:lvlText w:val=""/>
      <w:lvlJc w:val="left"/>
      <w:pPr>
        <w:ind w:left="3658" w:hanging="360"/>
      </w:pPr>
      <w:rPr>
        <w:rFonts w:ascii="Symbol" w:hAnsi="Symbol" w:hint="default"/>
      </w:rPr>
    </w:lvl>
    <w:lvl w:ilvl="4" w:tplc="080A0003" w:tentative="1">
      <w:start w:val="1"/>
      <w:numFmt w:val="bullet"/>
      <w:lvlText w:val="o"/>
      <w:lvlJc w:val="left"/>
      <w:pPr>
        <w:ind w:left="4378" w:hanging="360"/>
      </w:pPr>
      <w:rPr>
        <w:rFonts w:ascii="Courier New" w:hAnsi="Courier New" w:cs="Courier New" w:hint="default"/>
      </w:rPr>
    </w:lvl>
    <w:lvl w:ilvl="5" w:tplc="080A0005" w:tentative="1">
      <w:start w:val="1"/>
      <w:numFmt w:val="bullet"/>
      <w:lvlText w:val=""/>
      <w:lvlJc w:val="left"/>
      <w:pPr>
        <w:ind w:left="5098" w:hanging="360"/>
      </w:pPr>
      <w:rPr>
        <w:rFonts w:ascii="Wingdings" w:hAnsi="Wingdings" w:hint="default"/>
      </w:rPr>
    </w:lvl>
    <w:lvl w:ilvl="6" w:tplc="080A0001" w:tentative="1">
      <w:start w:val="1"/>
      <w:numFmt w:val="bullet"/>
      <w:lvlText w:val=""/>
      <w:lvlJc w:val="left"/>
      <w:pPr>
        <w:ind w:left="5818" w:hanging="360"/>
      </w:pPr>
      <w:rPr>
        <w:rFonts w:ascii="Symbol" w:hAnsi="Symbol" w:hint="default"/>
      </w:rPr>
    </w:lvl>
    <w:lvl w:ilvl="7" w:tplc="080A0003" w:tentative="1">
      <w:start w:val="1"/>
      <w:numFmt w:val="bullet"/>
      <w:lvlText w:val="o"/>
      <w:lvlJc w:val="left"/>
      <w:pPr>
        <w:ind w:left="6538" w:hanging="360"/>
      </w:pPr>
      <w:rPr>
        <w:rFonts w:ascii="Courier New" w:hAnsi="Courier New" w:cs="Courier New" w:hint="default"/>
      </w:rPr>
    </w:lvl>
    <w:lvl w:ilvl="8" w:tplc="080A0005" w:tentative="1">
      <w:start w:val="1"/>
      <w:numFmt w:val="bullet"/>
      <w:lvlText w:val=""/>
      <w:lvlJc w:val="left"/>
      <w:pPr>
        <w:ind w:left="7258" w:hanging="360"/>
      </w:pPr>
      <w:rPr>
        <w:rFonts w:ascii="Wingdings" w:hAnsi="Wingdings" w:hint="default"/>
      </w:rPr>
    </w:lvl>
  </w:abstractNum>
  <w:abstractNum w:abstractNumId="5" w15:restartNumberingAfterBreak="0">
    <w:nsid w:val="3C571EA1"/>
    <w:multiLevelType w:val="hybridMultilevel"/>
    <w:tmpl w:val="EC44AC20"/>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 w15:restartNumberingAfterBreak="0">
    <w:nsid w:val="3FE43F41"/>
    <w:multiLevelType w:val="multilevel"/>
    <w:tmpl w:val="DD221002"/>
    <w:lvl w:ilvl="0">
      <w:start w:val="1"/>
      <w:numFmt w:val="decimal"/>
      <w:lvlText w:val="%1."/>
      <w:lvlJc w:val="left"/>
      <w:pPr>
        <w:ind w:left="0" w:firstLine="0"/>
      </w:pPr>
      <w:rPr>
        <w:rFonts w:ascii="Palatino Linotype" w:eastAsia="Palatino Linotype" w:hAnsi="Palatino Linotype" w:cs="Palatino Linotype"/>
        <w:b/>
        <w:i w:val="0"/>
        <w:sz w:val="24"/>
        <w:szCs w:val="24"/>
      </w:rPr>
    </w:lvl>
    <w:lvl w:ilvl="1">
      <w:start w:val="1"/>
      <w:numFmt w:val="lowerLetter"/>
      <w:lvlText w:val="%2)"/>
      <w:lvlJc w:val="left"/>
      <w:pPr>
        <w:ind w:left="1440" w:hanging="360"/>
      </w:pPr>
      <w:rPr>
        <w:b/>
        <w:i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9493100"/>
    <w:multiLevelType w:val="multilevel"/>
    <w:tmpl w:val="0A40A652"/>
    <w:lvl w:ilvl="0">
      <w:start w:val="1"/>
      <w:numFmt w:val="bullet"/>
      <w:lvlText w:val="●"/>
      <w:lvlJc w:val="left"/>
      <w:pPr>
        <w:ind w:left="1724"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8" w15:restartNumberingAfterBreak="0">
    <w:nsid w:val="58CA020E"/>
    <w:multiLevelType w:val="multilevel"/>
    <w:tmpl w:val="F2BEF930"/>
    <w:lvl w:ilvl="0">
      <w:start w:val="1"/>
      <w:numFmt w:val="bullet"/>
      <w:pStyle w:val="Listaconvietas2"/>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69A93423"/>
    <w:multiLevelType w:val="multilevel"/>
    <w:tmpl w:val="A290E7EA"/>
    <w:lvl w:ilvl="0">
      <w:start w:val="1"/>
      <w:numFmt w:val="bullet"/>
      <w:lvlText w:val="●"/>
      <w:lvlJc w:val="left"/>
      <w:pPr>
        <w:ind w:left="720" w:hanging="360"/>
      </w:pPr>
      <w:rPr>
        <w:rFonts w:ascii="Noto Sans Symbols" w:eastAsia="Noto Sans Symbols" w:hAnsi="Noto Sans Symbols" w:cs="Noto Sans Symbols"/>
        <w:b/>
        <w:color w:val="000000"/>
        <w:sz w:val="24"/>
        <w:szCs w:val="24"/>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6"/>
  </w:num>
  <w:num w:numId="2">
    <w:abstractNumId w:val="7"/>
  </w:num>
  <w:num w:numId="3">
    <w:abstractNumId w:val="3"/>
  </w:num>
  <w:num w:numId="4">
    <w:abstractNumId w:val="9"/>
  </w:num>
  <w:num w:numId="5">
    <w:abstractNumId w:val="8"/>
  </w:num>
  <w:num w:numId="6">
    <w:abstractNumId w:val="1"/>
  </w:num>
  <w:num w:numId="7">
    <w:abstractNumId w:val="5"/>
  </w:num>
  <w:num w:numId="8">
    <w:abstractNumId w:val="4"/>
  </w:num>
  <w:num w:numId="9">
    <w:abstractNumId w:val="0"/>
  </w:num>
  <w:num w:numId="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B59E1"/>
    <w:rsid w:val="00076606"/>
    <w:rsid w:val="00140B10"/>
    <w:rsid w:val="001F1AFA"/>
    <w:rsid w:val="002B59E1"/>
    <w:rsid w:val="002C7D19"/>
    <w:rsid w:val="003478E8"/>
    <w:rsid w:val="004007DA"/>
    <w:rsid w:val="00604D72"/>
    <w:rsid w:val="0065193C"/>
    <w:rsid w:val="00892630"/>
    <w:rsid w:val="0098413C"/>
    <w:rsid w:val="00A20182"/>
    <w:rsid w:val="00A52CEC"/>
    <w:rsid w:val="00B130FE"/>
    <w:rsid w:val="00B22410"/>
    <w:rsid w:val="00C372FB"/>
    <w:rsid w:val="00D467F8"/>
    <w:rsid w:val="00DC5E68"/>
    <w:rsid w:val="00EE727F"/>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chartTrackingRefBased/>
  <w15:docId w15:val="{DF5EE716-DA5F-4361-AD99-A088D9E643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qFormat="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59E1"/>
    <w:rPr>
      <w:rFonts w:ascii="Calibri" w:eastAsia="Calibri" w:hAnsi="Calibri" w:cs="Calibri"/>
      <w:lang w:val="es-419" w:eastAsia="es-MX"/>
    </w:rPr>
  </w:style>
  <w:style w:type="paragraph" w:styleId="Ttulo1">
    <w:name w:val="heading 1"/>
    <w:basedOn w:val="Normal"/>
    <w:next w:val="Normal"/>
    <w:link w:val="Ttulo1Car"/>
    <w:uiPriority w:val="9"/>
    <w:qFormat/>
    <w:rsid w:val="002B59E1"/>
    <w:pPr>
      <w:keepNext/>
      <w:keepLines/>
      <w:spacing w:before="240" w:after="0" w:line="240" w:lineRule="auto"/>
      <w:outlineLvl w:val="0"/>
    </w:pPr>
    <w:rPr>
      <w:rFonts w:asciiTheme="majorHAnsi" w:eastAsiaTheme="majorEastAsia" w:hAnsiTheme="majorHAnsi" w:cstheme="majorBidi"/>
      <w:color w:val="2E74B5" w:themeColor="accent1" w:themeShade="BF"/>
      <w:sz w:val="32"/>
      <w:szCs w:val="32"/>
      <w:lang w:val="es-ES_tradnl" w:eastAsia="es-ES"/>
    </w:rPr>
  </w:style>
  <w:style w:type="paragraph" w:styleId="Ttulo2">
    <w:name w:val="heading 2"/>
    <w:basedOn w:val="Normal"/>
    <w:next w:val="Normal"/>
    <w:link w:val="Ttulo2Car"/>
    <w:uiPriority w:val="9"/>
    <w:unhideWhenUsed/>
    <w:qFormat/>
    <w:rsid w:val="002B59E1"/>
    <w:pPr>
      <w:keepNext/>
      <w:keepLines/>
      <w:spacing w:before="40" w:after="0" w:line="240" w:lineRule="auto"/>
      <w:outlineLvl w:val="1"/>
    </w:pPr>
    <w:rPr>
      <w:rFonts w:asciiTheme="majorHAnsi" w:eastAsiaTheme="majorEastAsia" w:hAnsiTheme="majorHAnsi" w:cstheme="majorBidi"/>
      <w:color w:val="2E74B5" w:themeColor="accent1" w:themeShade="BF"/>
      <w:sz w:val="26"/>
      <w:szCs w:val="26"/>
      <w:lang w:val="es-MX"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2B59E1"/>
    <w:rPr>
      <w:rFonts w:asciiTheme="majorHAnsi" w:eastAsiaTheme="majorEastAsia" w:hAnsiTheme="majorHAnsi" w:cstheme="majorBidi"/>
      <w:color w:val="2E74B5" w:themeColor="accent1" w:themeShade="BF"/>
      <w:sz w:val="32"/>
      <w:szCs w:val="32"/>
      <w:lang w:val="es-ES_tradnl" w:eastAsia="es-ES"/>
    </w:rPr>
  </w:style>
  <w:style w:type="character" w:customStyle="1" w:styleId="Ttulo2Car">
    <w:name w:val="Título 2 Car"/>
    <w:basedOn w:val="Fuentedeprrafopredeter"/>
    <w:link w:val="Ttulo2"/>
    <w:uiPriority w:val="9"/>
    <w:rsid w:val="002B59E1"/>
    <w:rPr>
      <w:rFonts w:asciiTheme="majorHAnsi" w:eastAsiaTheme="majorEastAsia" w:hAnsiTheme="majorHAnsi" w:cstheme="majorBidi"/>
      <w:color w:val="2E74B5" w:themeColor="accent1" w:themeShade="BF"/>
      <w:sz w:val="26"/>
      <w:szCs w:val="26"/>
      <w:lang w:eastAsia="es-ES"/>
    </w:rPr>
  </w:style>
  <w:style w:type="paragraph" w:styleId="Listaconvietas2">
    <w:name w:val="List Bullet 2"/>
    <w:basedOn w:val="Normal"/>
    <w:uiPriority w:val="99"/>
    <w:unhideWhenUsed/>
    <w:qFormat/>
    <w:rsid w:val="002B59E1"/>
    <w:pPr>
      <w:numPr>
        <w:numId w:val="5"/>
      </w:numPr>
      <w:spacing w:after="0" w:line="240" w:lineRule="auto"/>
      <w:contextualSpacing/>
    </w:pPr>
    <w:rPr>
      <w:rFonts w:ascii="Times New Roman" w:eastAsia="Times New Roman" w:hAnsi="Times New Roman" w:cs="Times New Roman"/>
      <w:sz w:val="20"/>
      <w:szCs w:val="20"/>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2B59E1"/>
    <w:pPr>
      <w:ind w:left="720"/>
      <w:contextualSpacing/>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basedOn w:val="Fuentedeprrafopredeter"/>
    <w:link w:val="Prrafodelista"/>
    <w:uiPriority w:val="34"/>
    <w:qFormat/>
    <w:rsid w:val="002B59E1"/>
    <w:rPr>
      <w:rFonts w:ascii="Calibri" w:eastAsia="Calibri" w:hAnsi="Calibri" w:cs="Calibri"/>
      <w:lang w:val="es-419" w:eastAsia="es-MX"/>
    </w:rPr>
  </w:style>
  <w:style w:type="paragraph" w:styleId="Piedepgina">
    <w:name w:val="footer"/>
    <w:basedOn w:val="Normal"/>
    <w:link w:val="PiedepginaCar"/>
    <w:uiPriority w:val="99"/>
    <w:unhideWhenUsed/>
    <w:rsid w:val="002B59E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2B59E1"/>
    <w:rPr>
      <w:rFonts w:ascii="Calibri" w:eastAsia="Calibri" w:hAnsi="Calibri" w:cs="Calibri"/>
      <w:lang w:val="es-419" w:eastAsia="es-MX"/>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38707292">
      <w:bodyDiv w:val="1"/>
      <w:marLeft w:val="0"/>
      <w:marRight w:val="0"/>
      <w:marTop w:val="0"/>
      <w:marBottom w:val="0"/>
      <w:divBdr>
        <w:top w:val="none" w:sz="0" w:space="0" w:color="auto"/>
        <w:left w:val="none" w:sz="0" w:space="0" w:color="auto"/>
        <w:bottom w:val="none" w:sz="0" w:space="0" w:color="auto"/>
        <w:right w:val="none" w:sz="0" w:space="0" w:color="auto"/>
      </w:divBdr>
    </w:div>
    <w:div w:id="1495948422">
      <w:bodyDiv w:val="1"/>
      <w:marLeft w:val="0"/>
      <w:marRight w:val="0"/>
      <w:marTop w:val="0"/>
      <w:marBottom w:val="0"/>
      <w:divBdr>
        <w:top w:val="none" w:sz="0" w:space="0" w:color="auto"/>
        <w:left w:val="none" w:sz="0" w:space="0" w:color="auto"/>
        <w:bottom w:val="none" w:sz="0" w:space="0" w:color="auto"/>
        <w:right w:val="none" w:sz="0" w:space="0" w:color="auto"/>
      </w:divBdr>
    </w:div>
    <w:div w:id="1558928611">
      <w:bodyDiv w:val="1"/>
      <w:marLeft w:val="0"/>
      <w:marRight w:val="0"/>
      <w:marTop w:val="0"/>
      <w:marBottom w:val="0"/>
      <w:divBdr>
        <w:top w:val="none" w:sz="0" w:space="0" w:color="auto"/>
        <w:left w:val="none" w:sz="0" w:space="0" w:color="auto"/>
        <w:bottom w:val="none" w:sz="0" w:space="0" w:color="auto"/>
        <w:right w:val="none" w:sz="0" w:space="0" w:color="auto"/>
      </w:divBdr>
    </w:div>
    <w:div w:id="15861856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16</TotalTime>
  <Pages>21</Pages>
  <Words>4679</Words>
  <Characters>25737</Characters>
  <Application>Microsoft Office Word</Application>
  <DocSecurity>0</DocSecurity>
  <Lines>214</Lines>
  <Paragraphs>60</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30356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Cuenta Microsoft</cp:lastModifiedBy>
  <cp:revision>8</cp:revision>
  <cp:lastPrinted>2026-05-08T20:53:00Z</cp:lastPrinted>
  <dcterms:created xsi:type="dcterms:W3CDTF">2026-04-30T15:31:00Z</dcterms:created>
  <dcterms:modified xsi:type="dcterms:W3CDTF">2026-05-14T23:40:00Z</dcterms:modified>
</cp:coreProperties>
</file>