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32DB4">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5D28180D" w:rsidR="007935E5" w:rsidRPr="00E90A35" w:rsidRDefault="007935E5" w:rsidP="00432DB4">
          <w:pPr>
            <w:pStyle w:val="TtulodeTDC"/>
            <w:spacing w:line="360" w:lineRule="auto"/>
            <w:rPr>
              <w:b w:val="0"/>
              <w:bCs/>
              <w:szCs w:val="22"/>
              <w:lang w:val="es-ES"/>
            </w:rPr>
          </w:pPr>
          <w:r w:rsidRPr="00E90A35">
            <w:rPr>
              <w:b w:val="0"/>
              <w:bCs/>
              <w:szCs w:val="22"/>
              <w:lang w:val="es-ES"/>
            </w:rPr>
            <w:t xml:space="preserve">RESOLUCIÓN DEL RECURSO DE REVISIÓN </w:t>
          </w:r>
          <w:r w:rsidR="0093448A" w:rsidRPr="00E90A35">
            <w:rPr>
              <w:rFonts w:eastAsia="Calibri" w:cs="Tahoma"/>
              <w:b w:val="0"/>
              <w:bCs/>
              <w:szCs w:val="22"/>
              <w:lang w:eastAsia="en-US"/>
            </w:rPr>
            <w:t>04946/INFOEM/ICR-106/IP/RR/2025</w:t>
          </w:r>
          <w:r w:rsidR="00D055BD" w:rsidRPr="00E90A35">
            <w:rPr>
              <w:rFonts w:eastAsia="Calibri" w:cs="Tahoma"/>
              <w:b w:val="0"/>
              <w:bCs/>
              <w:szCs w:val="22"/>
              <w:lang w:eastAsia="en-US"/>
            </w:rPr>
            <w:t>.</w:t>
          </w:r>
        </w:p>
        <w:p w14:paraId="4D838E86" w14:textId="77777777" w:rsidR="00F12746" w:rsidRPr="00E90A35" w:rsidRDefault="00F12746" w:rsidP="00432DB4">
          <w:pPr>
            <w:spacing w:line="360" w:lineRule="auto"/>
            <w:rPr>
              <w:rFonts w:ascii="Palatino Linotype" w:hAnsi="Palatino Linotype"/>
              <w:bCs/>
              <w:lang w:val="es-ES" w:eastAsia="es-MX"/>
            </w:rPr>
          </w:pPr>
        </w:p>
        <w:p w14:paraId="2648003C" w14:textId="1C495981" w:rsidR="00E90A35" w:rsidRPr="00E90A35" w:rsidRDefault="007935E5" w:rsidP="00432DB4">
          <w:pPr>
            <w:pStyle w:val="TDC1"/>
            <w:spacing w:after="0"/>
            <w:rPr>
              <w:rFonts w:ascii="Palatino Linotype" w:eastAsiaTheme="minorEastAsia" w:hAnsi="Palatino Linotype" w:cstheme="minorBidi"/>
              <w:bCs/>
              <w:noProof/>
              <w:kern w:val="2"/>
              <w:sz w:val="22"/>
              <w:szCs w:val="22"/>
              <w:lang w:eastAsia="es-MX"/>
              <w14:ligatures w14:val="standardContextual"/>
            </w:rPr>
          </w:pPr>
          <w:r w:rsidRPr="00E90A35">
            <w:rPr>
              <w:rFonts w:ascii="Palatino Linotype" w:hAnsi="Palatino Linotype"/>
              <w:bCs/>
              <w:sz w:val="22"/>
              <w:szCs w:val="22"/>
            </w:rPr>
            <w:fldChar w:fldCharType="begin"/>
          </w:r>
          <w:r w:rsidRPr="00E90A35">
            <w:rPr>
              <w:rFonts w:ascii="Palatino Linotype" w:hAnsi="Palatino Linotype"/>
              <w:bCs/>
              <w:sz w:val="22"/>
              <w:szCs w:val="22"/>
            </w:rPr>
            <w:instrText xml:space="preserve"> TOC \o "1-3" \h \z \u </w:instrText>
          </w:r>
          <w:r w:rsidRPr="00E90A35">
            <w:rPr>
              <w:rFonts w:ascii="Palatino Linotype" w:hAnsi="Palatino Linotype"/>
              <w:bCs/>
              <w:sz w:val="22"/>
              <w:szCs w:val="22"/>
            </w:rPr>
            <w:fldChar w:fldCharType="separate"/>
          </w:r>
          <w:hyperlink w:anchor="_Toc221202142" w:history="1">
            <w:r w:rsidR="00E90A35" w:rsidRPr="00E90A35">
              <w:rPr>
                <w:rStyle w:val="Hipervnculo"/>
                <w:rFonts w:ascii="Palatino Linotype" w:hAnsi="Palatino Linotype"/>
                <w:bCs/>
                <w:noProof/>
              </w:rPr>
              <w:t>A N T E C E D E N T E S</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_Toc221202142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2</w:t>
            </w:r>
            <w:r w:rsidR="00E90A35" w:rsidRPr="00E90A35">
              <w:rPr>
                <w:rFonts w:ascii="Palatino Linotype" w:hAnsi="Palatino Linotype"/>
                <w:bCs/>
                <w:noProof/>
                <w:webHidden/>
              </w:rPr>
              <w:fldChar w:fldCharType="end"/>
            </w:r>
          </w:hyperlink>
        </w:p>
        <w:p w14:paraId="333DCB59" w14:textId="7D4F20B6"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3" w:history="1">
            <w:r w:rsidR="00E90A35" w:rsidRPr="00E90A35">
              <w:rPr>
                <w:rStyle w:val="Hipervnculo"/>
                <w:rFonts w:ascii="Palatino Linotype" w:hAnsi="Palatino Linotype"/>
                <w:bCs/>
                <w:noProof/>
              </w:rPr>
              <w:t>I. Presentación de la solicitud de información</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_Toc221202143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2</w:t>
            </w:r>
            <w:r w:rsidR="00E90A35" w:rsidRPr="00E90A35">
              <w:rPr>
                <w:rFonts w:ascii="Palatino Linotype" w:hAnsi="Palatino Linotype"/>
                <w:bCs/>
                <w:noProof/>
                <w:webHidden/>
              </w:rPr>
              <w:fldChar w:fldCharType="end"/>
            </w:r>
          </w:hyperlink>
        </w:p>
        <w:p w14:paraId="64AEEF18" w14:textId="1DB12E10"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4" w:history="1">
            <w:r w:rsidR="00E90A35" w:rsidRPr="00E90A35">
              <w:rPr>
                <w:rStyle w:val="Hipervnculo"/>
                <w:rFonts w:ascii="Palatino Linotype" w:eastAsia="Calibri" w:hAnsi="Palatino Linotype"/>
                <w:bCs/>
                <w:noProof/>
                <w:lang w:eastAsia="en-US"/>
              </w:rPr>
              <w:t xml:space="preserve">II. </w:t>
            </w:r>
            <w:r w:rsidR="00E90A35" w:rsidRPr="00E90A35">
              <w:rPr>
                <w:rStyle w:val="Hipervnculo"/>
                <w:rFonts w:ascii="Palatino Linotype" w:hAnsi="Palatino Linotype"/>
                <w:bCs/>
                <w:noProof/>
                <w:lang w:eastAsia="en-US"/>
              </w:rPr>
              <w:t>Requerimiento de aclaración a la solicitud de acceso a la información</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_Toc221202144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3</w:t>
            </w:r>
            <w:r w:rsidR="00E90A35" w:rsidRPr="00E90A35">
              <w:rPr>
                <w:rFonts w:ascii="Palatino Linotype" w:hAnsi="Palatino Linotype"/>
                <w:bCs/>
                <w:noProof/>
                <w:webHidden/>
              </w:rPr>
              <w:fldChar w:fldCharType="end"/>
            </w:r>
          </w:hyperlink>
        </w:p>
        <w:p w14:paraId="26175CCA" w14:textId="209921D2"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5" w:history="1">
            <w:r w:rsidR="00E90A35" w:rsidRPr="00E90A35">
              <w:rPr>
                <w:rStyle w:val="Hipervnculo"/>
                <w:rFonts w:ascii="Palatino Linotype" w:hAnsi="Palatino Linotype"/>
                <w:bCs/>
                <w:noProof/>
                <w:lang w:eastAsia="en-US"/>
              </w:rPr>
              <w:t xml:space="preserve">III. </w:t>
            </w:r>
            <w:r w:rsidR="00E90A35" w:rsidRPr="00E90A35">
              <w:rPr>
                <w:rStyle w:val="Hipervnculo"/>
                <w:rFonts w:ascii="Palatino Linotype" w:eastAsia="Calibri" w:hAnsi="Palatino Linotype"/>
                <w:bCs/>
                <w:noProof/>
                <w:lang w:eastAsia="en-US"/>
              </w:rPr>
              <w:t>Contestación al requerimiento de aclaración</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_Toc221202145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3</w:t>
            </w:r>
            <w:r w:rsidR="00E90A35" w:rsidRPr="00E90A35">
              <w:rPr>
                <w:rFonts w:ascii="Palatino Linotype" w:hAnsi="Palatino Linotype"/>
                <w:bCs/>
                <w:noProof/>
                <w:webHidden/>
              </w:rPr>
              <w:fldChar w:fldCharType="end"/>
            </w:r>
          </w:hyperlink>
        </w:p>
        <w:p w14:paraId="694F6887" w14:textId="50B37065"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6" w:history="1">
            <w:r w:rsidR="00E90A35" w:rsidRPr="00E90A35">
              <w:rPr>
                <w:rStyle w:val="Hipervnculo"/>
                <w:rFonts w:ascii="Palatino Linotype" w:eastAsia="Calibri" w:hAnsi="Palatino Linotype"/>
                <w:bCs/>
                <w:noProof/>
                <w:lang w:eastAsia="en-US"/>
              </w:rPr>
              <w:t>IV. Respuesta del Sujeto Obligado</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_Toc221202146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3</w:t>
            </w:r>
            <w:r w:rsidR="00E90A35" w:rsidRPr="00E90A35">
              <w:rPr>
                <w:rFonts w:ascii="Palatino Linotype" w:hAnsi="Palatino Linotype"/>
                <w:bCs/>
                <w:noProof/>
                <w:webHidden/>
              </w:rPr>
              <w:fldChar w:fldCharType="end"/>
            </w:r>
          </w:hyperlink>
        </w:p>
        <w:p w14:paraId="2669F742" w14:textId="046036E6"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7" w:history="1">
            <w:r w:rsidR="00E90A35" w:rsidRPr="00E90A35">
              <w:rPr>
                <w:rStyle w:val="Hipervnculo"/>
                <w:rFonts w:ascii="Palatino Linotype" w:eastAsia="Calibri" w:hAnsi="Palatino Linotype"/>
                <w:bCs/>
                <w:noProof/>
                <w:lang w:eastAsia="en-US"/>
              </w:rPr>
              <w:t>V. Interposición del Recurso de Revisión</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_Toc221202147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4</w:t>
            </w:r>
            <w:r w:rsidR="00E90A35" w:rsidRPr="00E90A35">
              <w:rPr>
                <w:rFonts w:ascii="Palatino Linotype" w:hAnsi="Palatino Linotype"/>
                <w:bCs/>
                <w:noProof/>
                <w:webHidden/>
              </w:rPr>
              <w:fldChar w:fldCharType="end"/>
            </w:r>
          </w:hyperlink>
        </w:p>
        <w:p w14:paraId="4A3F6E40" w14:textId="3C68702D"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8" w:history="1">
            <w:r w:rsidR="00E90A35" w:rsidRPr="00E90A35">
              <w:rPr>
                <w:rStyle w:val="Hipervnculo"/>
                <w:rFonts w:ascii="Palatino Linotype" w:eastAsia="Calibri" w:hAnsi="Palatino Linotype"/>
                <w:bCs/>
                <w:noProof/>
                <w:lang w:eastAsia="en-US"/>
              </w:rPr>
              <w:t xml:space="preserve">VI. </w:t>
            </w:r>
            <w:r w:rsidR="00E90A35" w:rsidRPr="00E90A35">
              <w:rPr>
                <w:rStyle w:val="Hipervnculo"/>
                <w:rFonts w:ascii="Palatino Linotype" w:eastAsia="Batang" w:hAnsi="Palatino Linotype"/>
                <w:bCs/>
                <w:noProof/>
                <w:lang w:eastAsia="en-US"/>
              </w:rPr>
              <w:t>Trámite de los Recursos de Revisión</w:t>
            </w:r>
            <w:r w:rsidR="00E90A35" w:rsidRPr="00E90A35">
              <w:rPr>
                <w:rStyle w:val="Hipervnculo"/>
                <w:rFonts w:ascii="Palatino Linotype" w:eastAsia="Calibri" w:hAnsi="Palatino Linotype"/>
                <w:bCs/>
                <w:noProof/>
                <w:lang w:eastAsia="en-US"/>
              </w:rPr>
              <w:t xml:space="preserve"> </w:t>
            </w:r>
            <w:r w:rsidR="00E90A35" w:rsidRPr="00E90A35">
              <w:rPr>
                <w:rStyle w:val="Hipervnculo"/>
                <w:rFonts w:ascii="Palatino Linotype" w:eastAsia="Batang" w:hAnsi="Palatino Linotype"/>
                <w:bCs/>
                <w:noProof/>
                <w:lang w:eastAsia="en-US"/>
              </w:rPr>
              <w:t>ante este Instituto</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_Toc221202148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4</w:t>
            </w:r>
            <w:r w:rsidR="00E90A35" w:rsidRPr="00E90A35">
              <w:rPr>
                <w:rFonts w:ascii="Palatino Linotype" w:hAnsi="Palatino Linotype"/>
                <w:bCs/>
                <w:noProof/>
                <w:webHidden/>
              </w:rPr>
              <w:fldChar w:fldCharType="end"/>
            </w:r>
          </w:hyperlink>
        </w:p>
        <w:p w14:paraId="7E756DD4" w14:textId="6F644E49"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49" w:history="1">
            <w:r w:rsidR="00E90A35" w:rsidRPr="00E90A35">
              <w:rPr>
                <w:rStyle w:val="Hipervnculo"/>
                <w:rFonts w:ascii="Palatino Linotype" w:eastAsia="Palatino Linotype" w:hAnsi="Palatino Linotype" w:cs="Palatino Linotype"/>
                <w:bCs/>
                <w:noProof/>
              </w:rPr>
              <w:t xml:space="preserve">VII. </w:t>
            </w:r>
            <w:r w:rsidR="00E90A35" w:rsidRPr="00E90A35">
              <w:rPr>
                <w:rStyle w:val="Hipervnculo"/>
                <w:rFonts w:ascii="Palatino Linotype" w:hAnsi="Palatino Linotype"/>
                <w:bCs/>
                <w:noProof/>
              </w:rPr>
              <w:t xml:space="preserve">Entrega de la información en cumplimiento a la Resolución del Recurso de Revisión </w:t>
            </w:r>
            <w:r w:rsidR="00E90A35" w:rsidRPr="00E90A35">
              <w:rPr>
                <w:rStyle w:val="Hipervnculo"/>
                <w:rFonts w:ascii="Palatino Linotype" w:eastAsiaTheme="minorHAnsi" w:hAnsi="Palatino Linotype"/>
                <w:bCs/>
                <w:noProof/>
                <w:lang w:eastAsia="en-US"/>
              </w:rPr>
              <w:t>004946/INFOEM/IP/RR/2025.</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_Toc221202149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7</w:t>
            </w:r>
            <w:r w:rsidR="00E90A35" w:rsidRPr="00E90A35">
              <w:rPr>
                <w:rFonts w:ascii="Palatino Linotype" w:hAnsi="Palatino Linotype"/>
                <w:bCs/>
                <w:noProof/>
                <w:webHidden/>
              </w:rPr>
              <w:fldChar w:fldCharType="end"/>
            </w:r>
          </w:hyperlink>
        </w:p>
        <w:p w14:paraId="7A036362" w14:textId="3142ED76"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0" w:history="1">
            <w:r w:rsidR="00E90A35" w:rsidRPr="00E90A35">
              <w:rPr>
                <w:rStyle w:val="Hipervnculo"/>
                <w:rFonts w:ascii="Palatino Linotype" w:eastAsia="Palatino Linotype" w:hAnsi="Palatino Linotype" w:cs="Palatino Linotype"/>
                <w:bCs/>
                <w:noProof/>
              </w:rPr>
              <w:t xml:space="preserve">VIII. Interposición del Recurso de Revisión </w:t>
            </w:r>
            <w:r w:rsidR="00E90A35" w:rsidRPr="00E90A35">
              <w:rPr>
                <w:rStyle w:val="Hipervnculo"/>
                <w:rFonts w:ascii="Palatino Linotype" w:hAnsi="Palatino Linotype"/>
                <w:bCs/>
                <w:noProof/>
              </w:rPr>
              <w:t>01206/INFOEM/ICR-150/IP/RR/2025</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_Toc221202150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10</w:t>
            </w:r>
            <w:r w:rsidR="00E90A35" w:rsidRPr="00E90A35">
              <w:rPr>
                <w:rFonts w:ascii="Palatino Linotype" w:hAnsi="Palatino Linotype"/>
                <w:bCs/>
                <w:noProof/>
                <w:webHidden/>
              </w:rPr>
              <w:fldChar w:fldCharType="end"/>
            </w:r>
          </w:hyperlink>
        </w:p>
        <w:p w14:paraId="6F08B317" w14:textId="65B83CA6"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1" w:history="1">
            <w:r w:rsidR="00E90A35" w:rsidRPr="00E90A35">
              <w:rPr>
                <w:rStyle w:val="Hipervnculo"/>
                <w:rFonts w:ascii="Palatino Linotype" w:hAnsi="Palatino Linotype"/>
                <w:bCs/>
                <w:noProof/>
              </w:rPr>
              <w:t>IX. Trámite del Recurso de Revisión número 04946/INFOEM/ICR-106/IP/RR/2025</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_Toc221202151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11</w:t>
            </w:r>
            <w:r w:rsidR="00E90A35" w:rsidRPr="00E90A35">
              <w:rPr>
                <w:rFonts w:ascii="Palatino Linotype" w:hAnsi="Palatino Linotype"/>
                <w:bCs/>
                <w:noProof/>
                <w:webHidden/>
              </w:rPr>
              <w:fldChar w:fldCharType="end"/>
            </w:r>
          </w:hyperlink>
        </w:p>
        <w:p w14:paraId="3BCB6960" w14:textId="3BF655D5" w:rsidR="00E90A35" w:rsidRPr="00E90A35" w:rsidRDefault="008E5464" w:rsidP="00432DB4">
          <w:pPr>
            <w:pStyle w:val="TDC1"/>
            <w:spacing w:after="0"/>
            <w:rPr>
              <w:rFonts w:ascii="Palatino Linotype" w:eastAsiaTheme="minorEastAsia" w:hAnsi="Palatino Linotype" w:cstheme="minorBidi"/>
              <w:bCs/>
              <w:noProof/>
              <w:kern w:val="2"/>
              <w:sz w:val="22"/>
              <w:szCs w:val="22"/>
              <w:lang w:eastAsia="es-MX"/>
              <w14:ligatures w14:val="standardContextual"/>
            </w:rPr>
          </w:pPr>
          <w:hyperlink w:anchor="_Toc221202152" w:history="1">
            <w:r w:rsidR="00E90A35" w:rsidRPr="00E90A35">
              <w:rPr>
                <w:rStyle w:val="Hipervnculo"/>
                <w:rFonts w:ascii="Palatino Linotype" w:hAnsi="Palatino Linotype"/>
                <w:bCs/>
                <w:noProof/>
                <w:lang w:val="es-ES"/>
              </w:rPr>
              <w:t>C O N S I D E R A N D O S</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_Toc221202152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13</w:t>
            </w:r>
            <w:r w:rsidR="00E90A35" w:rsidRPr="00E90A35">
              <w:rPr>
                <w:rFonts w:ascii="Palatino Linotype" w:hAnsi="Palatino Linotype"/>
                <w:bCs/>
                <w:noProof/>
                <w:webHidden/>
              </w:rPr>
              <w:fldChar w:fldCharType="end"/>
            </w:r>
          </w:hyperlink>
        </w:p>
        <w:p w14:paraId="059650A2" w14:textId="7A33D5DC"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3" w:history="1">
            <w:r w:rsidR="00E90A35" w:rsidRPr="00E90A35">
              <w:rPr>
                <w:rStyle w:val="Hipervnculo"/>
                <w:rFonts w:ascii="Palatino Linotype" w:eastAsia="Calibri" w:hAnsi="Palatino Linotype"/>
                <w:bCs/>
                <w:noProof/>
                <w:lang w:val="es-ES" w:eastAsia="es-MX"/>
              </w:rPr>
              <w:t xml:space="preserve">PRIMERO. </w:t>
            </w:r>
            <w:r w:rsidR="00E90A35" w:rsidRPr="00E90A35">
              <w:rPr>
                <w:rStyle w:val="Hipervnculo"/>
                <w:rFonts w:ascii="Palatino Linotype" w:hAnsi="Palatino Linotype"/>
                <w:bCs/>
                <w:noProof/>
                <w:lang w:val="es-ES"/>
              </w:rPr>
              <w:t>Competencia</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_Toc221202153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14</w:t>
            </w:r>
            <w:r w:rsidR="00E90A35" w:rsidRPr="00E90A35">
              <w:rPr>
                <w:rFonts w:ascii="Palatino Linotype" w:hAnsi="Palatino Linotype"/>
                <w:bCs/>
                <w:noProof/>
                <w:webHidden/>
              </w:rPr>
              <w:fldChar w:fldCharType="end"/>
            </w:r>
          </w:hyperlink>
        </w:p>
        <w:p w14:paraId="72A018A3" w14:textId="6E73FEC9"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4" w:history="1">
            <w:r w:rsidR="00E90A35" w:rsidRPr="00E90A35">
              <w:rPr>
                <w:rStyle w:val="Hipervnculo"/>
                <w:rFonts w:ascii="Palatino Linotype" w:eastAsia="Calibri" w:hAnsi="Palatino Linotype"/>
                <w:bCs/>
                <w:noProof/>
                <w:lang w:val="es-ES" w:eastAsia="es-MX"/>
              </w:rPr>
              <w:t xml:space="preserve">SEGUNDO. </w:t>
            </w:r>
            <w:r w:rsidR="00E90A35" w:rsidRPr="00E90A35">
              <w:rPr>
                <w:rStyle w:val="Hipervnculo"/>
                <w:rFonts w:ascii="Palatino Linotype" w:hAnsi="Palatino Linotype"/>
                <w:bCs/>
                <w:noProof/>
                <w:lang w:val="es-ES"/>
              </w:rPr>
              <w:t>Causales de improcedencia y Sobreseimiento</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_Toc221202154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14</w:t>
            </w:r>
            <w:r w:rsidR="00E90A35" w:rsidRPr="00E90A35">
              <w:rPr>
                <w:rFonts w:ascii="Palatino Linotype" w:hAnsi="Palatino Linotype"/>
                <w:bCs/>
                <w:noProof/>
                <w:webHidden/>
              </w:rPr>
              <w:fldChar w:fldCharType="end"/>
            </w:r>
          </w:hyperlink>
        </w:p>
        <w:p w14:paraId="02DE117E" w14:textId="3AF84FCD"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5" w:history="1">
            <w:r w:rsidR="00E90A35" w:rsidRPr="00E90A35">
              <w:rPr>
                <w:rStyle w:val="Hipervnculo"/>
                <w:rFonts w:ascii="Palatino Linotype" w:hAnsi="Palatino Linotype"/>
                <w:bCs/>
                <w:noProof/>
                <w:lang w:val="es-ES"/>
              </w:rPr>
              <w:t>TERCERO. Determinación de la Controversia</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_Toc221202155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17</w:t>
            </w:r>
            <w:r w:rsidR="00E90A35" w:rsidRPr="00E90A35">
              <w:rPr>
                <w:rFonts w:ascii="Palatino Linotype" w:hAnsi="Palatino Linotype"/>
                <w:bCs/>
                <w:noProof/>
                <w:webHidden/>
              </w:rPr>
              <w:fldChar w:fldCharType="end"/>
            </w:r>
          </w:hyperlink>
        </w:p>
        <w:p w14:paraId="1C51AE05" w14:textId="00D96BA3"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6" w:history="1">
            <w:r w:rsidR="00E90A35" w:rsidRPr="00E90A35">
              <w:rPr>
                <w:rStyle w:val="Hipervnculo"/>
                <w:rFonts w:ascii="Palatino Linotype" w:hAnsi="Palatino Linotype"/>
                <w:bCs/>
                <w:noProof/>
                <w:lang w:val="es-ES"/>
              </w:rPr>
              <w:t xml:space="preserve">CUARTO. </w:t>
            </w:r>
            <w:r w:rsidR="00E90A35" w:rsidRPr="00E90A35">
              <w:rPr>
                <w:rStyle w:val="Hipervnculo"/>
                <w:rFonts w:ascii="Palatino Linotype" w:hAnsi="Palatino Linotype"/>
                <w:bCs/>
                <w:noProof/>
              </w:rPr>
              <w:t>Marco normativo aplicable en materia de transparencia y acceso a la información pública</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_Toc221202156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18</w:t>
            </w:r>
            <w:r w:rsidR="00E90A35" w:rsidRPr="00E90A35">
              <w:rPr>
                <w:rFonts w:ascii="Palatino Linotype" w:hAnsi="Palatino Linotype"/>
                <w:bCs/>
                <w:noProof/>
                <w:webHidden/>
              </w:rPr>
              <w:fldChar w:fldCharType="end"/>
            </w:r>
          </w:hyperlink>
        </w:p>
        <w:p w14:paraId="048DC5D9" w14:textId="7D5A4382"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7" w:history="1">
            <w:r w:rsidR="00E90A35" w:rsidRPr="00E90A35">
              <w:rPr>
                <w:rStyle w:val="Hipervnculo"/>
                <w:rFonts w:ascii="Palatino Linotype" w:hAnsi="Palatino Linotype"/>
                <w:bCs/>
                <w:noProof/>
                <w:lang w:val="es-ES"/>
              </w:rPr>
              <w:t>QUINTO. Estudio de Fondo</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_Toc221202157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19</w:t>
            </w:r>
            <w:r w:rsidR="00E90A35" w:rsidRPr="00E90A35">
              <w:rPr>
                <w:rFonts w:ascii="Palatino Linotype" w:hAnsi="Palatino Linotype"/>
                <w:bCs/>
                <w:noProof/>
                <w:webHidden/>
              </w:rPr>
              <w:fldChar w:fldCharType="end"/>
            </w:r>
          </w:hyperlink>
        </w:p>
        <w:p w14:paraId="4DEBB9A6" w14:textId="50EE10EF" w:rsidR="00E90A35" w:rsidRPr="00E90A35" w:rsidRDefault="008E5464" w:rsidP="00432DB4">
          <w:pPr>
            <w:pStyle w:val="TDC2"/>
            <w:tabs>
              <w:tab w:val="right" w:leader="dot" w:pos="9034"/>
            </w:tabs>
            <w:spacing w:after="0" w:line="360" w:lineRule="auto"/>
            <w:rPr>
              <w:rFonts w:ascii="Palatino Linotype" w:eastAsiaTheme="minorEastAsia" w:hAnsi="Palatino Linotype" w:cstheme="minorBidi"/>
              <w:bCs/>
              <w:noProof/>
              <w:kern w:val="2"/>
              <w:sz w:val="22"/>
              <w:szCs w:val="22"/>
              <w:lang w:eastAsia="es-MX"/>
              <w14:ligatures w14:val="standardContextual"/>
            </w:rPr>
          </w:pPr>
          <w:hyperlink w:anchor="_Toc221202158" w:history="1">
            <w:r w:rsidR="00E90A35" w:rsidRPr="00E90A35">
              <w:rPr>
                <w:rStyle w:val="Hipervnculo"/>
                <w:rFonts w:ascii="Palatino Linotype" w:hAnsi="Palatino Linotype"/>
                <w:bCs/>
                <w:noProof/>
              </w:rPr>
              <w:t>SEXTO. Decisión</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_Toc221202158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54</w:t>
            </w:r>
            <w:r w:rsidR="00E90A35" w:rsidRPr="00E90A35">
              <w:rPr>
                <w:rFonts w:ascii="Palatino Linotype" w:hAnsi="Palatino Linotype"/>
                <w:bCs/>
                <w:noProof/>
                <w:webHidden/>
              </w:rPr>
              <w:fldChar w:fldCharType="end"/>
            </w:r>
          </w:hyperlink>
        </w:p>
        <w:p w14:paraId="673DE866" w14:textId="74851E00" w:rsidR="00E90A35" w:rsidRPr="00E90A35" w:rsidRDefault="008E5464" w:rsidP="00432DB4">
          <w:pPr>
            <w:pStyle w:val="TDC1"/>
            <w:spacing w:after="0"/>
            <w:rPr>
              <w:rFonts w:ascii="Palatino Linotype" w:eastAsiaTheme="minorEastAsia" w:hAnsi="Palatino Linotype" w:cstheme="minorBidi"/>
              <w:bCs/>
              <w:noProof/>
              <w:kern w:val="2"/>
              <w:sz w:val="22"/>
              <w:szCs w:val="22"/>
              <w:lang w:eastAsia="es-MX"/>
              <w14:ligatures w14:val="standardContextual"/>
            </w:rPr>
          </w:pPr>
          <w:hyperlink w:anchor="_Toc221202159" w:history="1">
            <w:r w:rsidR="00E90A35" w:rsidRPr="00E90A35">
              <w:rPr>
                <w:rStyle w:val="Hipervnculo"/>
                <w:rFonts w:ascii="Palatino Linotype" w:hAnsi="Palatino Linotype"/>
                <w:bCs/>
                <w:noProof/>
              </w:rPr>
              <w:t>R E S U E L V E</w:t>
            </w:r>
            <w:r w:rsidR="00E90A35" w:rsidRPr="00E90A35">
              <w:rPr>
                <w:rFonts w:ascii="Palatino Linotype" w:hAnsi="Palatino Linotype"/>
                <w:bCs/>
                <w:noProof/>
                <w:webHidden/>
              </w:rPr>
              <w:tab/>
            </w:r>
            <w:r w:rsidR="00E90A35" w:rsidRPr="00E90A35">
              <w:rPr>
                <w:rFonts w:ascii="Palatino Linotype" w:hAnsi="Palatino Linotype"/>
                <w:bCs/>
                <w:noProof/>
                <w:webHidden/>
              </w:rPr>
              <w:fldChar w:fldCharType="begin"/>
            </w:r>
            <w:r w:rsidR="00E90A35" w:rsidRPr="00E90A35">
              <w:rPr>
                <w:rFonts w:ascii="Palatino Linotype" w:hAnsi="Palatino Linotype"/>
                <w:bCs/>
                <w:noProof/>
                <w:webHidden/>
              </w:rPr>
              <w:instrText xml:space="preserve"> PAGEREF _Toc221202159 \h </w:instrText>
            </w:r>
            <w:r w:rsidR="00E90A35" w:rsidRPr="00E90A35">
              <w:rPr>
                <w:rFonts w:ascii="Palatino Linotype" w:hAnsi="Palatino Linotype"/>
                <w:bCs/>
                <w:noProof/>
                <w:webHidden/>
              </w:rPr>
            </w:r>
            <w:r w:rsidR="00E90A35" w:rsidRPr="00E90A35">
              <w:rPr>
                <w:rFonts w:ascii="Palatino Linotype" w:hAnsi="Palatino Linotype"/>
                <w:bCs/>
                <w:noProof/>
                <w:webHidden/>
              </w:rPr>
              <w:fldChar w:fldCharType="separate"/>
            </w:r>
            <w:r w:rsidR="00CE19DE">
              <w:rPr>
                <w:rFonts w:ascii="Palatino Linotype" w:hAnsi="Palatino Linotype"/>
                <w:bCs/>
                <w:noProof/>
                <w:webHidden/>
              </w:rPr>
              <w:t>55</w:t>
            </w:r>
            <w:r w:rsidR="00E90A35" w:rsidRPr="00E90A35">
              <w:rPr>
                <w:rFonts w:ascii="Palatino Linotype" w:hAnsi="Palatino Linotype"/>
                <w:bCs/>
                <w:noProof/>
                <w:webHidden/>
              </w:rPr>
              <w:fldChar w:fldCharType="end"/>
            </w:r>
          </w:hyperlink>
        </w:p>
        <w:p w14:paraId="03C9AFF7" w14:textId="4D097BC1" w:rsidR="007935E5" w:rsidRPr="007A7C93" w:rsidRDefault="007935E5" w:rsidP="00432DB4">
          <w:pPr>
            <w:spacing w:line="360" w:lineRule="auto"/>
            <w:jc w:val="both"/>
          </w:pPr>
          <w:r w:rsidRPr="00E90A35">
            <w:rPr>
              <w:rFonts w:ascii="Palatino Linotype" w:hAnsi="Palatino Linotype"/>
              <w:bCs/>
              <w:sz w:val="22"/>
              <w:szCs w:val="22"/>
              <w:lang w:val="es-ES"/>
            </w:rPr>
            <w:fldChar w:fldCharType="end"/>
          </w:r>
        </w:p>
      </w:sdtContent>
    </w:sdt>
    <w:p w14:paraId="2978A551" w14:textId="39C6B842" w:rsidR="006273CC" w:rsidRDefault="006273CC" w:rsidP="00432DB4">
      <w:pPr>
        <w:spacing w:line="360" w:lineRule="auto"/>
        <w:jc w:val="both"/>
        <w:rPr>
          <w:rFonts w:ascii="Palatino Linotype" w:eastAsiaTheme="minorHAnsi" w:hAnsi="Palatino Linotype" w:cs="Tahoma"/>
          <w:bCs/>
          <w:color w:val="000000" w:themeColor="text1"/>
          <w:sz w:val="22"/>
          <w:szCs w:val="22"/>
          <w:lang w:eastAsia="en-US"/>
        </w:rPr>
      </w:pPr>
    </w:p>
    <w:p w14:paraId="064CF8D2" w14:textId="51F239E0" w:rsidR="00D15EBD" w:rsidRDefault="00D15EBD" w:rsidP="00432DB4">
      <w:pPr>
        <w:spacing w:line="360" w:lineRule="auto"/>
        <w:jc w:val="both"/>
        <w:rPr>
          <w:rFonts w:ascii="Palatino Linotype" w:eastAsiaTheme="minorHAnsi" w:hAnsi="Palatino Linotype" w:cs="Tahoma"/>
          <w:bCs/>
          <w:color w:val="000000" w:themeColor="text1"/>
          <w:sz w:val="22"/>
          <w:szCs w:val="22"/>
          <w:lang w:eastAsia="en-US"/>
        </w:rPr>
      </w:pPr>
    </w:p>
    <w:p w14:paraId="54A318F2" w14:textId="1000DC33" w:rsidR="00D15EBD" w:rsidRDefault="00D15EBD" w:rsidP="00432DB4">
      <w:pPr>
        <w:spacing w:line="360" w:lineRule="auto"/>
        <w:jc w:val="both"/>
        <w:rPr>
          <w:rFonts w:ascii="Palatino Linotype" w:eastAsiaTheme="minorHAnsi" w:hAnsi="Palatino Linotype" w:cs="Tahoma"/>
          <w:bCs/>
          <w:color w:val="000000" w:themeColor="text1"/>
          <w:sz w:val="22"/>
          <w:szCs w:val="22"/>
          <w:lang w:eastAsia="en-US"/>
        </w:rPr>
      </w:pPr>
    </w:p>
    <w:p w14:paraId="0C0C53AB" w14:textId="4FF27101" w:rsidR="00D15EBD" w:rsidRDefault="00D15EBD" w:rsidP="00432DB4">
      <w:pPr>
        <w:spacing w:line="360" w:lineRule="auto"/>
        <w:jc w:val="both"/>
        <w:rPr>
          <w:rFonts w:ascii="Palatino Linotype" w:eastAsiaTheme="minorHAnsi" w:hAnsi="Palatino Linotype" w:cs="Tahoma"/>
          <w:bCs/>
          <w:color w:val="000000" w:themeColor="text1"/>
          <w:sz w:val="22"/>
          <w:szCs w:val="22"/>
          <w:lang w:eastAsia="en-US"/>
        </w:rPr>
      </w:pPr>
    </w:p>
    <w:p w14:paraId="22E621CF" w14:textId="71ABD1FF" w:rsidR="00D15EBD" w:rsidRDefault="00D15EBD" w:rsidP="00432DB4">
      <w:pPr>
        <w:spacing w:line="360" w:lineRule="auto"/>
        <w:jc w:val="both"/>
        <w:rPr>
          <w:rFonts w:ascii="Palatino Linotype" w:eastAsiaTheme="minorHAnsi" w:hAnsi="Palatino Linotype" w:cs="Tahoma"/>
          <w:bCs/>
          <w:color w:val="000000" w:themeColor="text1"/>
          <w:sz w:val="22"/>
          <w:szCs w:val="22"/>
          <w:lang w:eastAsia="en-US"/>
        </w:rPr>
      </w:pPr>
    </w:p>
    <w:p w14:paraId="67A40EA2" w14:textId="1BD24561" w:rsidR="00D15EBD" w:rsidRDefault="00D15EBD" w:rsidP="00432DB4">
      <w:pPr>
        <w:spacing w:line="360" w:lineRule="auto"/>
        <w:jc w:val="both"/>
        <w:rPr>
          <w:rFonts w:ascii="Palatino Linotype" w:eastAsiaTheme="minorHAnsi" w:hAnsi="Palatino Linotype" w:cs="Tahoma"/>
          <w:bCs/>
          <w:color w:val="000000" w:themeColor="text1"/>
          <w:sz w:val="22"/>
          <w:szCs w:val="22"/>
          <w:lang w:eastAsia="en-US"/>
        </w:rPr>
      </w:pPr>
    </w:p>
    <w:p w14:paraId="0ED4147D" w14:textId="170E4E9A" w:rsidR="00F82637" w:rsidRPr="007A7C93" w:rsidRDefault="00F82637" w:rsidP="00432DB4">
      <w:pPr>
        <w:spacing w:line="360" w:lineRule="auto"/>
        <w:jc w:val="both"/>
        <w:rPr>
          <w:rFonts w:ascii="Palatino Linotype" w:eastAsiaTheme="minorHAnsi" w:hAnsi="Palatino Linotype" w:cs="Tahoma"/>
          <w:bCs/>
          <w:color w:val="000000" w:themeColor="text1"/>
          <w:sz w:val="22"/>
          <w:szCs w:val="22"/>
          <w:lang w:eastAsia="en-US"/>
        </w:rPr>
      </w:pPr>
      <w:r w:rsidRPr="007A7C93">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7A7C93">
        <w:rPr>
          <w:rFonts w:ascii="Palatino Linotype" w:hAnsi="Palatino Linotype" w:cs="Tahoma"/>
          <w:bCs/>
          <w:sz w:val="22"/>
          <w:szCs w:val="22"/>
        </w:rPr>
        <w:t>Protección de Datos Personales del Estado de México y Municipios, con domicilio en Metepec, Estado de México, de fecha</w:t>
      </w:r>
      <w:r w:rsidR="00F33150" w:rsidRPr="007A7C93">
        <w:rPr>
          <w:rFonts w:ascii="Palatino Linotype" w:hAnsi="Palatino Linotype" w:cs="Tahoma"/>
          <w:bCs/>
          <w:sz w:val="22"/>
          <w:szCs w:val="22"/>
        </w:rPr>
        <w:t xml:space="preserve"> </w:t>
      </w:r>
      <w:r w:rsidR="0093448A">
        <w:rPr>
          <w:rFonts w:ascii="Palatino Linotype" w:hAnsi="Palatino Linotype" w:cs="Tahoma"/>
          <w:bCs/>
          <w:sz w:val="22"/>
          <w:szCs w:val="22"/>
        </w:rPr>
        <w:t>cinco de febrero</w:t>
      </w:r>
      <w:r w:rsidR="00D055BD">
        <w:rPr>
          <w:rFonts w:ascii="Palatino Linotype" w:hAnsi="Palatino Linotype" w:cs="Tahoma"/>
          <w:bCs/>
          <w:sz w:val="22"/>
          <w:szCs w:val="22"/>
        </w:rPr>
        <w:t xml:space="preserve"> de dos mil veintiséis</w:t>
      </w:r>
      <w:r w:rsidRPr="007A7C93">
        <w:rPr>
          <w:rFonts w:ascii="Palatino Linotype" w:hAnsi="Palatino Linotype" w:cs="Tahoma"/>
          <w:bCs/>
          <w:sz w:val="22"/>
          <w:szCs w:val="22"/>
        </w:rPr>
        <w:t xml:space="preserve">. </w:t>
      </w:r>
    </w:p>
    <w:p w14:paraId="7922BAAD" w14:textId="77777777" w:rsidR="00F82637" w:rsidRPr="007A7C93" w:rsidRDefault="00F82637" w:rsidP="00432DB4">
      <w:pPr>
        <w:spacing w:line="360" w:lineRule="auto"/>
        <w:jc w:val="both"/>
        <w:rPr>
          <w:rFonts w:ascii="Palatino Linotype" w:eastAsiaTheme="minorHAnsi" w:hAnsi="Palatino Linotype" w:cstheme="minorBidi"/>
          <w:color w:val="000000" w:themeColor="text1"/>
          <w:sz w:val="22"/>
          <w:szCs w:val="22"/>
          <w:lang w:eastAsia="en-US"/>
        </w:rPr>
      </w:pPr>
    </w:p>
    <w:p w14:paraId="446072B0" w14:textId="18A95DE0" w:rsidR="00F82637" w:rsidRPr="007A7C93" w:rsidRDefault="00F82637" w:rsidP="00432DB4">
      <w:pPr>
        <w:spacing w:line="360" w:lineRule="auto"/>
        <w:jc w:val="both"/>
        <w:rPr>
          <w:rFonts w:ascii="Palatino Linotype" w:eastAsiaTheme="minorHAnsi" w:hAnsi="Palatino Linotype" w:cstheme="minorBidi"/>
          <w:color w:val="000000" w:themeColor="text1"/>
          <w:sz w:val="22"/>
          <w:szCs w:val="22"/>
          <w:lang w:eastAsia="en-US"/>
        </w:rPr>
      </w:pPr>
      <w:r w:rsidRPr="007A7C93">
        <w:rPr>
          <w:rFonts w:ascii="Palatino Linotype" w:eastAsiaTheme="minorHAnsi" w:hAnsi="Palatino Linotype" w:cstheme="minorBidi"/>
          <w:b/>
          <w:bCs/>
          <w:color w:val="000000" w:themeColor="text1"/>
          <w:sz w:val="22"/>
          <w:szCs w:val="22"/>
          <w:lang w:eastAsia="en-US"/>
        </w:rPr>
        <w:t xml:space="preserve">VISTO </w:t>
      </w:r>
      <w:r w:rsidRPr="007A7C93">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93448A" w:rsidRPr="000C2DB4">
        <w:rPr>
          <w:rFonts w:ascii="Palatino Linotype" w:eastAsiaTheme="minorHAnsi" w:hAnsi="Palatino Linotype" w:cstheme="minorBidi"/>
          <w:b/>
          <w:color w:val="000000" w:themeColor="text1"/>
          <w:sz w:val="22"/>
          <w:szCs w:val="22"/>
          <w:lang w:eastAsia="en-US"/>
        </w:rPr>
        <w:t>04946/INFOEM/ICR-106/IP/RR/2025</w:t>
      </w:r>
      <w:r w:rsidRPr="000C2DB4">
        <w:rPr>
          <w:rFonts w:ascii="Palatino Linotype" w:eastAsiaTheme="minorHAnsi" w:hAnsi="Palatino Linotype" w:cstheme="minorBidi"/>
          <w:b/>
          <w:color w:val="000000" w:themeColor="text1"/>
          <w:sz w:val="22"/>
          <w:szCs w:val="22"/>
          <w:lang w:eastAsia="en-US"/>
        </w:rPr>
        <w:t xml:space="preserve">, </w:t>
      </w:r>
      <w:r w:rsidRPr="007A7C93">
        <w:rPr>
          <w:rFonts w:ascii="Palatino Linotype" w:eastAsiaTheme="minorHAnsi" w:hAnsi="Palatino Linotype" w:cstheme="minorBidi"/>
          <w:color w:val="000000" w:themeColor="text1"/>
          <w:sz w:val="22"/>
          <w:szCs w:val="22"/>
          <w:lang w:eastAsia="en-US"/>
        </w:rPr>
        <w:t>inter</w:t>
      </w:r>
      <w:r w:rsidR="001723FE" w:rsidRPr="007A7C93">
        <w:rPr>
          <w:rFonts w:ascii="Palatino Linotype" w:eastAsiaTheme="minorHAnsi" w:hAnsi="Palatino Linotype" w:cstheme="minorBidi"/>
          <w:color w:val="000000" w:themeColor="text1"/>
          <w:sz w:val="22"/>
          <w:szCs w:val="22"/>
          <w:lang w:eastAsia="en-US"/>
        </w:rPr>
        <w:t xml:space="preserve">puesto </w:t>
      </w:r>
      <w:r w:rsidR="00DE1269" w:rsidRPr="007A7C93">
        <w:rPr>
          <w:rFonts w:ascii="Palatino Linotype" w:eastAsiaTheme="minorHAnsi" w:hAnsi="Palatino Linotype" w:cstheme="minorBidi"/>
          <w:color w:val="000000" w:themeColor="text1"/>
          <w:sz w:val="22"/>
          <w:szCs w:val="22"/>
          <w:lang w:eastAsia="en-US"/>
        </w:rPr>
        <w:t>por</w:t>
      </w:r>
      <w:r w:rsidR="0093448A">
        <w:rPr>
          <w:rFonts w:ascii="Palatino Linotype" w:eastAsiaTheme="minorHAnsi" w:hAnsi="Palatino Linotype" w:cstheme="minorBidi"/>
          <w:color w:val="000000" w:themeColor="text1"/>
          <w:sz w:val="22"/>
          <w:szCs w:val="22"/>
          <w:lang w:eastAsia="en-US"/>
        </w:rPr>
        <w:t xml:space="preserve"> </w:t>
      </w:r>
      <w:r w:rsidR="00521909" w:rsidRPr="00521909">
        <w:rPr>
          <w:rFonts w:ascii="Palatino Linotype" w:eastAsiaTheme="minorHAnsi" w:hAnsi="Palatino Linotype" w:cstheme="minorBidi"/>
          <w:color w:val="000000" w:themeColor="text1"/>
          <w:sz w:val="22"/>
          <w:szCs w:val="22"/>
          <w:highlight w:val="black"/>
          <w:lang w:eastAsia="en-US"/>
        </w:rPr>
        <w:t>-------------------------------</w:t>
      </w:r>
      <w:r w:rsidR="0093448A">
        <w:rPr>
          <w:rFonts w:ascii="Palatino Linotype" w:eastAsiaTheme="minorHAnsi" w:hAnsi="Palatino Linotype" w:cstheme="minorBidi"/>
          <w:color w:val="000000" w:themeColor="text1"/>
          <w:sz w:val="22"/>
          <w:szCs w:val="22"/>
          <w:lang w:eastAsia="en-US"/>
        </w:rPr>
        <w:t>, en lo sucesivo</w:t>
      </w:r>
      <w:r w:rsidR="00DE1269" w:rsidRPr="007A7C93">
        <w:rPr>
          <w:rFonts w:ascii="Palatino Linotype" w:eastAsiaTheme="minorHAnsi" w:hAnsi="Palatino Linotype" w:cstheme="minorBidi"/>
          <w:color w:val="000000" w:themeColor="text1"/>
          <w:sz w:val="22"/>
          <w:szCs w:val="22"/>
          <w:lang w:eastAsia="en-US"/>
        </w:rPr>
        <w:t xml:space="preserve"> </w:t>
      </w:r>
      <w:r w:rsidR="00281735" w:rsidRPr="007A7C93">
        <w:rPr>
          <w:rFonts w:ascii="Palatino Linotype" w:eastAsiaTheme="minorHAnsi" w:hAnsi="Palatino Linotype" w:cstheme="minorBidi"/>
          <w:color w:val="000000" w:themeColor="text1"/>
          <w:sz w:val="22"/>
          <w:szCs w:val="22"/>
          <w:lang w:eastAsia="en-US"/>
        </w:rPr>
        <w:t xml:space="preserve">la persona </w:t>
      </w:r>
      <w:r w:rsidRPr="007A7C93">
        <w:rPr>
          <w:rFonts w:ascii="Palatino Linotype" w:eastAsiaTheme="minorHAnsi" w:hAnsi="Palatino Linotype" w:cs="Tahoma"/>
          <w:color w:val="0D0D0D" w:themeColor="text1" w:themeTint="F2"/>
          <w:sz w:val="22"/>
          <w:szCs w:val="22"/>
          <w:lang w:eastAsia="en-US"/>
        </w:rPr>
        <w:t>Recurrente o Particular</w:t>
      </w:r>
      <w:r w:rsidRPr="007A7C93">
        <w:rPr>
          <w:rFonts w:ascii="Palatino Linotype" w:eastAsiaTheme="minorHAnsi" w:hAnsi="Palatino Linotype" w:cstheme="minorBidi"/>
          <w:color w:val="000000" w:themeColor="text1"/>
          <w:sz w:val="22"/>
          <w:szCs w:val="22"/>
          <w:lang w:eastAsia="en-US"/>
        </w:rPr>
        <w:t xml:space="preserve">, en contra de la respuesta del Sujeto Obligado, </w:t>
      </w:r>
      <w:r w:rsidR="0093448A" w:rsidRPr="000C2DB4">
        <w:rPr>
          <w:rFonts w:ascii="Palatino Linotype" w:hAnsi="Palatino Linotype"/>
          <w:b/>
          <w:bCs/>
          <w:color w:val="000000"/>
          <w:sz w:val="22"/>
          <w:szCs w:val="14"/>
        </w:rPr>
        <w:t>Ayuntamiento de Ecatepec de Morelos</w:t>
      </w:r>
      <w:r w:rsidRPr="000C2DB4">
        <w:rPr>
          <w:rFonts w:ascii="Palatino Linotype" w:eastAsiaTheme="minorHAnsi" w:hAnsi="Palatino Linotype" w:cstheme="minorBidi"/>
          <w:b/>
          <w:color w:val="000000" w:themeColor="text1"/>
          <w:sz w:val="22"/>
          <w:szCs w:val="22"/>
          <w:lang w:eastAsia="en-US"/>
        </w:rPr>
        <w:t>,</w:t>
      </w:r>
      <w:r w:rsidRPr="007A7C93">
        <w:rPr>
          <w:rFonts w:ascii="Palatino Linotype" w:eastAsiaTheme="minorHAnsi" w:hAnsi="Palatino Linotype" w:cstheme="minorBidi"/>
          <w:color w:val="000000" w:themeColor="text1"/>
          <w:sz w:val="22"/>
          <w:szCs w:val="22"/>
          <w:lang w:eastAsia="en-US"/>
        </w:rPr>
        <w:t xml:space="preserve"> a la solicitud d</w:t>
      </w:r>
      <w:bookmarkStart w:id="0" w:name="_GoBack"/>
      <w:bookmarkEnd w:id="0"/>
      <w:r w:rsidRPr="007A7C93">
        <w:rPr>
          <w:rFonts w:ascii="Palatino Linotype" w:eastAsiaTheme="minorHAnsi" w:hAnsi="Palatino Linotype" w:cstheme="minorBidi"/>
          <w:color w:val="000000" w:themeColor="text1"/>
          <w:sz w:val="22"/>
          <w:szCs w:val="22"/>
          <w:lang w:eastAsia="en-US"/>
        </w:rPr>
        <w:t xml:space="preserve">e acceso a la información pública </w:t>
      </w:r>
      <w:r w:rsidR="0093448A">
        <w:rPr>
          <w:rFonts w:ascii="Palatino Linotype" w:eastAsiaTheme="minorHAnsi" w:hAnsi="Palatino Linotype" w:cstheme="minorBidi"/>
          <w:color w:val="000000" w:themeColor="text1"/>
          <w:sz w:val="22"/>
          <w:szCs w:val="22"/>
          <w:lang w:eastAsia="en-US"/>
        </w:rPr>
        <w:t>00277/ECATEPEC/IP/2025</w:t>
      </w:r>
      <w:r w:rsidRPr="007A7C93">
        <w:rPr>
          <w:rFonts w:ascii="Palatino Linotype" w:eastAsiaTheme="minorHAnsi" w:hAnsi="Palatino Linotype" w:cstheme="minorBidi"/>
          <w:color w:val="000000" w:themeColor="text1"/>
          <w:sz w:val="22"/>
          <w:szCs w:val="22"/>
          <w:lang w:eastAsia="en-US"/>
        </w:rPr>
        <w:t>,</w:t>
      </w:r>
      <w:r w:rsidR="004D31C3">
        <w:rPr>
          <w:rFonts w:ascii="Palatino Linotype" w:eastAsiaTheme="minorHAnsi" w:hAnsi="Palatino Linotype" w:cstheme="minorBidi"/>
          <w:color w:val="000000" w:themeColor="text1"/>
          <w:sz w:val="22"/>
          <w:szCs w:val="22"/>
          <w:lang w:eastAsia="en-US"/>
        </w:rPr>
        <w:t xml:space="preserve"> </w:t>
      </w:r>
      <w:r w:rsidR="00FD0C12">
        <w:rPr>
          <w:rFonts w:ascii="Palatino Linotype" w:eastAsiaTheme="minorHAnsi" w:hAnsi="Palatino Linotype" w:cstheme="minorBidi"/>
          <w:color w:val="000000" w:themeColor="text1"/>
          <w:sz w:val="22"/>
          <w:szCs w:val="22"/>
          <w:lang w:eastAsia="en-US"/>
        </w:rPr>
        <w:t>entregada en</w:t>
      </w:r>
      <w:r w:rsidR="004D31C3">
        <w:rPr>
          <w:rFonts w:ascii="Palatino Linotype" w:eastAsiaTheme="minorHAnsi" w:hAnsi="Palatino Linotype" w:cstheme="minorBidi"/>
          <w:color w:val="000000" w:themeColor="text1"/>
          <w:sz w:val="22"/>
          <w:szCs w:val="22"/>
          <w:lang w:eastAsia="en-US"/>
        </w:rPr>
        <w:t xml:space="preserve"> cumplimiento a la determinación del diverso con número </w:t>
      </w:r>
      <w:r w:rsidR="0093448A">
        <w:rPr>
          <w:rFonts w:ascii="Palatino Linotype" w:eastAsiaTheme="minorHAnsi" w:hAnsi="Palatino Linotype" w:cstheme="minorBidi"/>
          <w:color w:val="000000" w:themeColor="text1"/>
          <w:sz w:val="22"/>
          <w:szCs w:val="22"/>
          <w:lang w:eastAsia="en-US"/>
        </w:rPr>
        <w:t xml:space="preserve">04946/INFOEM/IP/RR/2025 </w:t>
      </w:r>
      <w:r w:rsidR="004D31C3">
        <w:rPr>
          <w:rFonts w:ascii="Palatino Linotype" w:eastAsiaTheme="minorHAnsi" w:hAnsi="Palatino Linotype" w:cstheme="minorBidi"/>
          <w:color w:val="000000" w:themeColor="text1"/>
          <w:sz w:val="22"/>
          <w:szCs w:val="22"/>
          <w:lang w:eastAsia="en-US"/>
        </w:rPr>
        <w:t>,</w:t>
      </w:r>
      <w:r w:rsidRPr="007A7C93">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7A7C93">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7A7C93" w:rsidRDefault="008F4B45" w:rsidP="00432DB4">
      <w:pPr>
        <w:pStyle w:val="Subttulo"/>
        <w:spacing w:after="0" w:line="360" w:lineRule="auto"/>
      </w:pPr>
    </w:p>
    <w:p w14:paraId="45CF508A" w14:textId="6496B8EC" w:rsidR="008F4B45" w:rsidRPr="007A7C93" w:rsidRDefault="003F5E0D" w:rsidP="00432DB4">
      <w:pPr>
        <w:pStyle w:val="Ttulo1"/>
      </w:pPr>
      <w:bookmarkStart w:id="1" w:name="_Toc221202142"/>
      <w:r w:rsidRPr="007A7C93">
        <w:t>A N T E C E D E N T E S</w:t>
      </w:r>
      <w:bookmarkEnd w:id="1"/>
    </w:p>
    <w:p w14:paraId="3D51A562" w14:textId="77777777" w:rsidR="008F4B45" w:rsidRPr="007A7C93" w:rsidRDefault="008F4B45" w:rsidP="00432DB4">
      <w:pPr>
        <w:pStyle w:val="ResolucinV"/>
      </w:pPr>
    </w:p>
    <w:p w14:paraId="07539392" w14:textId="0541120D" w:rsidR="00F469B3" w:rsidRPr="007A7C93" w:rsidRDefault="00F469B3" w:rsidP="00432DB4">
      <w:pPr>
        <w:pStyle w:val="Ttulo2"/>
      </w:pPr>
      <w:bookmarkStart w:id="2" w:name="_Toc221202143"/>
      <w:r w:rsidRPr="007A7C93">
        <w:t>I. Presentación de la solicitud de información</w:t>
      </w:r>
      <w:bookmarkEnd w:id="2"/>
    </w:p>
    <w:p w14:paraId="2C510854" w14:textId="77777777" w:rsidR="00F469B3" w:rsidRPr="007A7C93" w:rsidRDefault="00F469B3" w:rsidP="00432DB4">
      <w:pPr>
        <w:tabs>
          <w:tab w:val="left" w:pos="567"/>
        </w:tabs>
        <w:spacing w:line="360" w:lineRule="auto"/>
        <w:jc w:val="both"/>
        <w:rPr>
          <w:rFonts w:ascii="Palatino Linotype" w:hAnsi="Palatino Linotype" w:cs="Tahoma"/>
          <w:sz w:val="22"/>
          <w:szCs w:val="22"/>
        </w:rPr>
      </w:pPr>
    </w:p>
    <w:p w14:paraId="0F999651" w14:textId="01A86848" w:rsidR="00253EAE" w:rsidRPr="007A7C93" w:rsidRDefault="00542F88" w:rsidP="00432DB4">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7A7C93">
        <w:rPr>
          <w:rFonts w:ascii="Palatino Linotype" w:eastAsiaTheme="minorHAnsi" w:hAnsi="Palatino Linotype" w:cs="Tahoma"/>
          <w:color w:val="000000" w:themeColor="text1"/>
          <w:sz w:val="22"/>
          <w:szCs w:val="22"/>
          <w:lang w:eastAsia="en-US"/>
        </w:rPr>
        <w:t xml:space="preserve">El </w:t>
      </w:r>
      <w:r w:rsidR="0093448A" w:rsidRPr="0093448A">
        <w:rPr>
          <w:rFonts w:ascii="Palatino Linotype" w:eastAsiaTheme="minorHAnsi" w:hAnsi="Palatino Linotype" w:cs="Tahoma"/>
          <w:color w:val="000000" w:themeColor="text1"/>
          <w:sz w:val="22"/>
          <w:szCs w:val="22"/>
          <w:lang w:eastAsia="en-US"/>
        </w:rPr>
        <w:t>veintisiete de marzo de dos mil veinticinco</w:t>
      </w:r>
      <w:r w:rsidR="00AC6437">
        <w:rPr>
          <w:rFonts w:ascii="Palatino Linotype" w:eastAsiaTheme="minorHAnsi" w:hAnsi="Palatino Linotype" w:cs="Tahoma"/>
          <w:color w:val="000000" w:themeColor="text1"/>
          <w:sz w:val="22"/>
          <w:szCs w:val="22"/>
          <w:lang w:eastAsia="en-US"/>
        </w:rPr>
        <w:t xml:space="preserve">, </w:t>
      </w:r>
      <w:r w:rsidR="00253EAE" w:rsidRPr="007A7C93">
        <w:rPr>
          <w:rFonts w:ascii="Palatino Linotype" w:hAnsi="Palatino Linotype" w:cs="Tahoma"/>
          <w:sz w:val="22"/>
          <w:szCs w:val="22"/>
        </w:rPr>
        <w:t>el Particular presentó una solicitud de acceso a la información pública, a través del Sistema de Acceso a la Información Mexiquense (SAIMEX), ante el</w:t>
      </w:r>
      <w:r w:rsidR="00AC6437">
        <w:rPr>
          <w:rFonts w:ascii="Palatino Linotype" w:hAnsi="Palatino Linotype"/>
          <w:bCs/>
          <w:color w:val="000000"/>
          <w:sz w:val="22"/>
          <w:szCs w:val="14"/>
        </w:rPr>
        <w:t xml:space="preserve"> </w:t>
      </w:r>
      <w:r w:rsidR="0093448A">
        <w:rPr>
          <w:rFonts w:ascii="Palatino Linotype" w:hAnsi="Palatino Linotype"/>
          <w:bCs/>
          <w:color w:val="000000"/>
          <w:sz w:val="22"/>
          <w:szCs w:val="14"/>
        </w:rPr>
        <w:t>Ayuntamiento de Ecatepec de Morelos</w:t>
      </w:r>
      <w:r w:rsidR="00253EAE" w:rsidRPr="007A7C93">
        <w:rPr>
          <w:rFonts w:ascii="Palatino Linotype" w:hAnsi="Palatino Linotype"/>
          <w:bCs/>
          <w:sz w:val="22"/>
          <w:szCs w:val="22"/>
        </w:rPr>
        <w:t>,</w:t>
      </w:r>
      <w:r w:rsidR="00253EAE" w:rsidRPr="007A7C93">
        <w:rPr>
          <w:rFonts w:ascii="Palatino Linotype" w:hAnsi="Palatino Linotype" w:cs="Tahoma"/>
          <w:bCs/>
          <w:sz w:val="22"/>
          <w:szCs w:val="22"/>
        </w:rPr>
        <w:t xml:space="preserve"> en los siguientes términos:</w:t>
      </w:r>
    </w:p>
    <w:p w14:paraId="122865B0" w14:textId="77777777" w:rsidR="00253EAE" w:rsidRPr="007A7C93" w:rsidRDefault="00253EAE" w:rsidP="00432DB4">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7A7C93" w:rsidRDefault="003A796B" w:rsidP="00432DB4">
      <w:pPr>
        <w:tabs>
          <w:tab w:val="left" w:pos="4667"/>
        </w:tabs>
        <w:spacing w:line="360" w:lineRule="auto"/>
        <w:ind w:left="567" w:right="567"/>
        <w:jc w:val="both"/>
        <w:rPr>
          <w:rFonts w:ascii="Palatino Linotype" w:hAnsi="Palatino Linotype" w:cs="Tahoma"/>
          <w:b/>
          <w:bCs/>
          <w:i/>
        </w:rPr>
      </w:pPr>
      <w:r w:rsidRPr="007A7C93">
        <w:rPr>
          <w:rFonts w:ascii="Palatino Linotype" w:hAnsi="Palatino Linotype" w:cs="Tahoma"/>
          <w:b/>
          <w:bCs/>
          <w:i/>
        </w:rPr>
        <w:t>“</w:t>
      </w:r>
      <w:r w:rsidR="00253EAE" w:rsidRPr="007A7C93">
        <w:rPr>
          <w:rFonts w:ascii="Palatino Linotype" w:hAnsi="Palatino Linotype" w:cs="Tahoma"/>
          <w:b/>
          <w:bCs/>
          <w:i/>
        </w:rPr>
        <w:t>DESCRIPCIÓN CLARA Y PRECISA DE LA INFORMACIÓN SOLICITADA</w:t>
      </w:r>
    </w:p>
    <w:p w14:paraId="372368C1" w14:textId="408F1927" w:rsidR="00253EAE" w:rsidRPr="007A7C93" w:rsidRDefault="0093448A" w:rsidP="00432DB4">
      <w:pPr>
        <w:tabs>
          <w:tab w:val="left" w:pos="4667"/>
        </w:tabs>
        <w:spacing w:line="360" w:lineRule="auto"/>
        <w:ind w:left="567" w:right="567"/>
        <w:jc w:val="both"/>
        <w:rPr>
          <w:rFonts w:ascii="Palatino Linotype" w:hAnsi="Palatino Linotype" w:cs="Tahoma"/>
          <w:bCs/>
          <w:i/>
        </w:rPr>
      </w:pPr>
      <w:r w:rsidRPr="0093448A">
        <w:rPr>
          <w:rFonts w:ascii="Palatino Linotype" w:hAnsi="Palatino Linotype"/>
          <w:i/>
          <w:iCs/>
          <w:color w:val="000000"/>
        </w:rPr>
        <w:t xml:space="preserve">Solicito copia </w:t>
      </w:r>
      <w:proofErr w:type="spellStart"/>
      <w:r w:rsidRPr="0093448A">
        <w:rPr>
          <w:rFonts w:ascii="Palatino Linotype" w:hAnsi="Palatino Linotype"/>
          <w:i/>
          <w:iCs/>
          <w:color w:val="000000"/>
        </w:rPr>
        <w:t>simnple</w:t>
      </w:r>
      <w:proofErr w:type="spellEnd"/>
      <w:r w:rsidRPr="0093448A">
        <w:rPr>
          <w:rFonts w:ascii="Palatino Linotype" w:hAnsi="Palatino Linotype"/>
          <w:i/>
          <w:iCs/>
          <w:color w:val="000000"/>
        </w:rPr>
        <w:t xml:space="preserve"> digitalizada de todos los cheques expedidos por la tesorería municipal entre el 1 de enero y el 15 de </w:t>
      </w:r>
      <w:proofErr w:type="spellStart"/>
      <w:r w:rsidRPr="0093448A">
        <w:rPr>
          <w:rFonts w:ascii="Palatino Linotype" w:hAnsi="Palatino Linotype"/>
          <w:i/>
          <w:iCs/>
          <w:color w:val="000000"/>
        </w:rPr>
        <w:t>mafrzo</w:t>
      </w:r>
      <w:proofErr w:type="spellEnd"/>
      <w:r w:rsidRPr="0093448A">
        <w:rPr>
          <w:rFonts w:ascii="Palatino Linotype" w:hAnsi="Palatino Linotype"/>
          <w:i/>
          <w:iCs/>
          <w:color w:val="000000"/>
        </w:rPr>
        <w:t xml:space="preserve"> de 2025</w:t>
      </w:r>
      <w:r>
        <w:rPr>
          <w:rFonts w:ascii="Palatino Linotype" w:hAnsi="Palatino Linotype"/>
          <w:i/>
          <w:iCs/>
          <w:color w:val="000000"/>
        </w:rPr>
        <w:t>.</w:t>
      </w:r>
      <w:r w:rsidR="00253EAE" w:rsidRPr="007A7C93">
        <w:rPr>
          <w:rFonts w:ascii="Palatino Linotype" w:hAnsi="Palatino Linotype" w:cs="Tahoma"/>
          <w:bCs/>
          <w:i/>
        </w:rPr>
        <w:t>” (Sic.)</w:t>
      </w:r>
    </w:p>
    <w:p w14:paraId="1DBA1A78" w14:textId="77777777" w:rsidR="00A90989" w:rsidRPr="007A7C93" w:rsidRDefault="00A90989" w:rsidP="00432DB4">
      <w:pPr>
        <w:tabs>
          <w:tab w:val="left" w:pos="4667"/>
        </w:tabs>
        <w:spacing w:line="360" w:lineRule="auto"/>
        <w:ind w:left="567" w:right="567"/>
        <w:jc w:val="both"/>
        <w:rPr>
          <w:rFonts w:ascii="Palatino Linotype" w:hAnsi="Palatino Linotype" w:cs="Tahoma"/>
          <w:bCs/>
          <w:i/>
        </w:rPr>
      </w:pPr>
    </w:p>
    <w:p w14:paraId="328702F2" w14:textId="318B7756" w:rsidR="00253EAE" w:rsidRPr="007A7C93" w:rsidRDefault="003A796B" w:rsidP="00432DB4">
      <w:pPr>
        <w:tabs>
          <w:tab w:val="left" w:pos="4667"/>
        </w:tabs>
        <w:spacing w:line="360" w:lineRule="auto"/>
        <w:ind w:left="567" w:right="567"/>
        <w:jc w:val="both"/>
        <w:rPr>
          <w:rFonts w:ascii="Palatino Linotype" w:hAnsi="Palatino Linotype" w:cs="Tahoma"/>
          <w:b/>
          <w:bCs/>
          <w:i/>
          <w:iCs/>
        </w:rPr>
      </w:pPr>
      <w:r w:rsidRPr="007A7C93">
        <w:rPr>
          <w:rFonts w:ascii="Palatino Linotype" w:hAnsi="Palatino Linotype" w:cs="Tahoma"/>
          <w:b/>
          <w:bCs/>
          <w:i/>
          <w:iCs/>
        </w:rPr>
        <w:t>“</w:t>
      </w:r>
      <w:r w:rsidR="00253EAE" w:rsidRPr="007A7C93">
        <w:rPr>
          <w:rFonts w:ascii="Palatino Linotype" w:hAnsi="Palatino Linotype" w:cs="Tahoma"/>
          <w:b/>
          <w:bCs/>
          <w:i/>
          <w:iCs/>
        </w:rPr>
        <w:t>MODALIDAD DE ENTREGA</w:t>
      </w:r>
    </w:p>
    <w:p w14:paraId="0088BDE8" w14:textId="4E6DDB9C" w:rsidR="00253EAE" w:rsidRPr="007A7C93" w:rsidRDefault="00253EAE" w:rsidP="00432DB4">
      <w:pPr>
        <w:spacing w:line="360" w:lineRule="auto"/>
        <w:ind w:left="567" w:right="567"/>
        <w:jc w:val="both"/>
        <w:rPr>
          <w:rFonts w:ascii="Palatino Linotype" w:hAnsi="Palatino Linotype" w:cs="Arial"/>
          <w:bCs/>
          <w:i/>
          <w:iCs/>
        </w:rPr>
      </w:pPr>
      <w:r w:rsidRPr="007A7C93">
        <w:rPr>
          <w:rFonts w:ascii="Palatino Linotype" w:hAnsi="Palatino Linotype" w:cs="Arial"/>
          <w:bCs/>
          <w:i/>
          <w:iCs/>
        </w:rPr>
        <w:t xml:space="preserve">A través del SAIMEX” </w:t>
      </w:r>
    </w:p>
    <w:p w14:paraId="5DF615ED" w14:textId="45EB5B3F" w:rsidR="0093448A" w:rsidRPr="0093448A" w:rsidRDefault="0093448A" w:rsidP="00432DB4">
      <w:pPr>
        <w:keepNext/>
        <w:keepLines/>
        <w:spacing w:line="360" w:lineRule="auto"/>
        <w:jc w:val="both"/>
        <w:outlineLvl w:val="1"/>
        <w:rPr>
          <w:rFonts w:ascii="Palatino Linotype" w:hAnsi="Palatino Linotype"/>
          <w:b/>
          <w:color w:val="000000" w:themeColor="text1"/>
          <w:sz w:val="22"/>
          <w:szCs w:val="26"/>
          <w:lang w:eastAsia="en-US"/>
        </w:rPr>
      </w:pPr>
      <w:bookmarkStart w:id="3" w:name="_Toc202433794"/>
      <w:bookmarkStart w:id="4" w:name="_Toc221202144"/>
      <w:r w:rsidRPr="0093448A">
        <w:rPr>
          <w:rFonts w:ascii="Palatino Linotype" w:eastAsia="Calibri" w:hAnsi="Palatino Linotype"/>
          <w:b/>
          <w:sz w:val="22"/>
          <w:szCs w:val="26"/>
          <w:lang w:eastAsia="en-US"/>
        </w:rPr>
        <w:lastRenderedPageBreak/>
        <w:t xml:space="preserve">II. </w:t>
      </w:r>
      <w:bookmarkEnd w:id="3"/>
      <w:r w:rsidRPr="0093448A">
        <w:rPr>
          <w:rFonts w:ascii="Palatino Linotype" w:hAnsi="Palatino Linotype"/>
          <w:b/>
          <w:color w:val="000000" w:themeColor="text1"/>
          <w:sz w:val="22"/>
          <w:szCs w:val="26"/>
          <w:lang w:eastAsia="en-US"/>
        </w:rPr>
        <w:t>Requerimiento de aclaración a la solicitud de acceso a la información</w:t>
      </w:r>
      <w:bookmarkEnd w:id="4"/>
    </w:p>
    <w:p w14:paraId="44B40229" w14:textId="77777777" w:rsidR="0093448A" w:rsidRPr="0093448A" w:rsidRDefault="0093448A" w:rsidP="00432DB4">
      <w:pPr>
        <w:autoSpaceDE w:val="0"/>
        <w:autoSpaceDN w:val="0"/>
        <w:adjustRightInd w:val="0"/>
        <w:spacing w:line="360" w:lineRule="auto"/>
        <w:jc w:val="both"/>
        <w:rPr>
          <w:rFonts w:ascii="Palatino Linotype" w:eastAsia="Calibri" w:hAnsi="Palatino Linotype" w:cs="Tahoma"/>
          <w:b/>
          <w:sz w:val="22"/>
          <w:szCs w:val="22"/>
          <w:lang w:eastAsia="en-US"/>
        </w:rPr>
      </w:pPr>
    </w:p>
    <w:p w14:paraId="48C3A94C" w14:textId="51E33702" w:rsidR="0093448A" w:rsidRPr="0093448A" w:rsidRDefault="0093448A" w:rsidP="00432DB4">
      <w:pPr>
        <w:autoSpaceDE w:val="0"/>
        <w:autoSpaceDN w:val="0"/>
        <w:adjustRightInd w:val="0"/>
        <w:spacing w:line="360" w:lineRule="auto"/>
        <w:jc w:val="both"/>
        <w:rPr>
          <w:rFonts w:ascii="Palatino Linotype" w:eastAsia="Calibri" w:hAnsi="Palatino Linotype" w:cs="Tahoma"/>
          <w:sz w:val="22"/>
          <w:szCs w:val="22"/>
          <w:lang w:eastAsia="en-US"/>
        </w:rPr>
      </w:pPr>
      <w:r w:rsidRPr="0093448A">
        <w:rPr>
          <w:rFonts w:ascii="Palatino Linotype" w:eastAsia="Calibri" w:hAnsi="Palatino Linotype" w:cs="Tahoma"/>
          <w:sz w:val="22"/>
          <w:szCs w:val="22"/>
          <w:lang w:eastAsia="en-US"/>
        </w:rPr>
        <w:t xml:space="preserve">El veintiocho de marzo de dos mil veinticinco, la Unidad de Transparencia del Sujeto Obligado, notificó al Particular, mediante el Sistema de Acceso a la Información Mexiquense (SAIMEX), </w:t>
      </w:r>
      <w:r>
        <w:rPr>
          <w:rFonts w:ascii="Palatino Linotype" w:eastAsia="Calibri" w:hAnsi="Palatino Linotype" w:cs="Tahoma"/>
          <w:sz w:val="22"/>
          <w:szCs w:val="22"/>
          <w:lang w:eastAsia="en-US"/>
        </w:rPr>
        <w:t xml:space="preserve">un </w:t>
      </w:r>
      <w:r w:rsidRPr="0093448A">
        <w:rPr>
          <w:rFonts w:ascii="Palatino Linotype" w:eastAsia="Calibri" w:hAnsi="Palatino Linotype" w:cs="Tahoma"/>
          <w:sz w:val="22"/>
          <w:szCs w:val="22"/>
          <w:lang w:eastAsia="en-US"/>
        </w:rPr>
        <w:t>requerimiento de información adicional, en los términos siguientes:</w:t>
      </w:r>
    </w:p>
    <w:p w14:paraId="76DC25DA" w14:textId="77777777" w:rsidR="0093448A" w:rsidRDefault="0093448A" w:rsidP="00432DB4">
      <w:pPr>
        <w:autoSpaceDE w:val="0"/>
        <w:autoSpaceDN w:val="0"/>
        <w:adjustRightInd w:val="0"/>
        <w:spacing w:line="360" w:lineRule="auto"/>
        <w:ind w:left="567" w:right="567"/>
        <w:jc w:val="both"/>
        <w:rPr>
          <w:rFonts w:ascii="Palatino Linotype" w:eastAsia="Calibri" w:hAnsi="Palatino Linotype" w:cs="Tahoma"/>
          <w:i/>
          <w:lang w:eastAsia="en-US"/>
        </w:rPr>
      </w:pPr>
    </w:p>
    <w:p w14:paraId="0C0232CA" w14:textId="14C22397" w:rsidR="0093448A" w:rsidRPr="0093448A" w:rsidRDefault="0093448A" w:rsidP="00432DB4">
      <w:pPr>
        <w:autoSpaceDE w:val="0"/>
        <w:autoSpaceDN w:val="0"/>
        <w:adjustRightInd w:val="0"/>
        <w:spacing w:line="360" w:lineRule="auto"/>
        <w:ind w:left="567" w:right="567"/>
        <w:jc w:val="both"/>
        <w:rPr>
          <w:rFonts w:ascii="Palatino Linotype" w:eastAsia="Calibri" w:hAnsi="Palatino Linotype" w:cs="Tahoma"/>
          <w:i/>
          <w:lang w:eastAsia="en-US"/>
        </w:rPr>
      </w:pPr>
      <w:r w:rsidRPr="0093448A">
        <w:rPr>
          <w:rFonts w:ascii="Palatino Linotype" w:eastAsia="Calibri" w:hAnsi="Palatino Linotype" w:cs="Tahoma"/>
          <w:i/>
          <w:lang w:eastAsia="en-US"/>
        </w:rPr>
        <w:t xml:space="preserve">“Buenos días al respecto de su solicitud la cual pide: Solicito copia </w:t>
      </w:r>
      <w:proofErr w:type="spellStart"/>
      <w:r w:rsidRPr="0093448A">
        <w:rPr>
          <w:rFonts w:ascii="Palatino Linotype" w:eastAsia="Calibri" w:hAnsi="Palatino Linotype" w:cs="Tahoma"/>
          <w:i/>
          <w:lang w:eastAsia="en-US"/>
        </w:rPr>
        <w:t>simnple</w:t>
      </w:r>
      <w:proofErr w:type="spellEnd"/>
      <w:r w:rsidRPr="0093448A">
        <w:rPr>
          <w:rFonts w:ascii="Palatino Linotype" w:eastAsia="Calibri" w:hAnsi="Palatino Linotype" w:cs="Tahoma"/>
          <w:i/>
          <w:lang w:eastAsia="en-US"/>
        </w:rPr>
        <w:t xml:space="preserve"> digitalizada de todos los cheques expedidos por la tesorería municipal entre el 1 de enero y el 15 de </w:t>
      </w:r>
      <w:proofErr w:type="spellStart"/>
      <w:r w:rsidRPr="0093448A">
        <w:rPr>
          <w:rFonts w:ascii="Palatino Linotype" w:eastAsia="Calibri" w:hAnsi="Palatino Linotype" w:cs="Tahoma"/>
          <w:i/>
          <w:lang w:eastAsia="en-US"/>
        </w:rPr>
        <w:t>mafrzo</w:t>
      </w:r>
      <w:proofErr w:type="spellEnd"/>
      <w:r w:rsidRPr="0093448A">
        <w:rPr>
          <w:rFonts w:ascii="Palatino Linotype" w:eastAsia="Calibri" w:hAnsi="Palatino Linotype" w:cs="Tahoma"/>
          <w:i/>
          <w:lang w:eastAsia="en-US"/>
        </w:rPr>
        <w:t xml:space="preserve"> de 2025. Le pedimos de la manera más atenta nos pueda proporcionar más detalles o ser más específicos de la información de lo que </w:t>
      </w:r>
      <w:proofErr w:type="spellStart"/>
      <w:r w:rsidRPr="0093448A">
        <w:rPr>
          <w:rFonts w:ascii="Palatino Linotype" w:eastAsia="Calibri" w:hAnsi="Palatino Linotype" w:cs="Tahoma"/>
          <w:i/>
          <w:lang w:eastAsia="en-US"/>
        </w:rPr>
        <w:t>requiere</w:t>
      </w:r>
      <w:proofErr w:type="gramStart"/>
      <w:r w:rsidRPr="0093448A">
        <w:rPr>
          <w:rFonts w:ascii="Palatino Linotype" w:eastAsia="Calibri" w:hAnsi="Palatino Linotype" w:cs="Tahoma"/>
          <w:i/>
          <w:lang w:eastAsia="en-US"/>
        </w:rPr>
        <w:t>,para</w:t>
      </w:r>
      <w:proofErr w:type="spellEnd"/>
      <w:proofErr w:type="gramEnd"/>
      <w:r w:rsidRPr="0093448A">
        <w:rPr>
          <w:rFonts w:ascii="Palatino Linotype" w:eastAsia="Calibri" w:hAnsi="Palatino Linotype" w:cs="Tahoma"/>
          <w:i/>
          <w:lang w:eastAsia="en-US"/>
        </w:rPr>
        <w:t xml:space="preserve"> otorgarle la información más exacta y específica de lo que requiere, sin </w:t>
      </w:r>
      <w:proofErr w:type="spellStart"/>
      <w:r w:rsidRPr="0093448A">
        <w:rPr>
          <w:rFonts w:ascii="Palatino Linotype" w:eastAsia="Calibri" w:hAnsi="Palatino Linotype" w:cs="Tahoma"/>
          <w:i/>
          <w:lang w:eastAsia="en-US"/>
        </w:rPr>
        <w:t>mas</w:t>
      </w:r>
      <w:proofErr w:type="spellEnd"/>
      <w:r w:rsidRPr="0093448A">
        <w:rPr>
          <w:rFonts w:ascii="Palatino Linotype" w:eastAsia="Calibri" w:hAnsi="Palatino Linotype" w:cs="Tahoma"/>
          <w:i/>
          <w:lang w:eastAsia="en-US"/>
        </w:rPr>
        <w:t xml:space="preserve"> por el momento quedo a sus </w:t>
      </w:r>
      <w:proofErr w:type="spellStart"/>
      <w:r w:rsidRPr="0093448A">
        <w:rPr>
          <w:rFonts w:ascii="Palatino Linotype" w:eastAsia="Calibri" w:hAnsi="Palatino Linotype" w:cs="Tahoma"/>
          <w:i/>
          <w:lang w:eastAsia="en-US"/>
        </w:rPr>
        <w:t>ordenes</w:t>
      </w:r>
      <w:proofErr w:type="spellEnd"/>
      <w:r w:rsidRPr="0093448A">
        <w:rPr>
          <w:rFonts w:ascii="Palatino Linotype" w:eastAsia="Calibri" w:hAnsi="Palatino Linotype" w:cs="Tahoma"/>
          <w:i/>
          <w:lang w:eastAsia="en-US"/>
        </w:rPr>
        <w:t>”</w:t>
      </w:r>
    </w:p>
    <w:p w14:paraId="4B6332BE" w14:textId="77777777" w:rsidR="0093448A" w:rsidRPr="0093448A" w:rsidRDefault="0093448A" w:rsidP="00432DB4">
      <w:pPr>
        <w:keepNext/>
        <w:keepLines/>
        <w:spacing w:line="360" w:lineRule="auto"/>
        <w:jc w:val="both"/>
        <w:outlineLvl w:val="1"/>
        <w:rPr>
          <w:rFonts w:ascii="Palatino Linotype" w:eastAsia="Calibri" w:hAnsi="Palatino Linotype" w:cs="Tahoma"/>
          <w:bCs/>
          <w:sz w:val="22"/>
          <w:szCs w:val="26"/>
          <w:lang w:eastAsia="en-US"/>
        </w:rPr>
      </w:pPr>
    </w:p>
    <w:p w14:paraId="379E882D" w14:textId="53D9CD9E" w:rsidR="0093448A" w:rsidRPr="0093448A" w:rsidRDefault="0093448A" w:rsidP="00432DB4">
      <w:pPr>
        <w:keepNext/>
        <w:keepLines/>
        <w:spacing w:line="360" w:lineRule="auto"/>
        <w:ind w:right="567"/>
        <w:jc w:val="both"/>
        <w:outlineLvl w:val="1"/>
        <w:rPr>
          <w:rFonts w:ascii="Palatino Linotype" w:eastAsia="Calibri" w:hAnsi="Palatino Linotype"/>
          <w:b/>
          <w:color w:val="000000" w:themeColor="text1"/>
          <w:sz w:val="22"/>
          <w:szCs w:val="26"/>
          <w:lang w:eastAsia="en-US"/>
        </w:rPr>
      </w:pPr>
      <w:bookmarkStart w:id="5" w:name="_Toc202433795"/>
      <w:bookmarkStart w:id="6" w:name="_Toc221202145"/>
      <w:r w:rsidRPr="0093448A">
        <w:rPr>
          <w:rFonts w:ascii="Palatino Linotype" w:hAnsi="Palatino Linotype"/>
          <w:b/>
          <w:color w:val="000000" w:themeColor="text1"/>
          <w:sz w:val="22"/>
          <w:szCs w:val="26"/>
          <w:lang w:eastAsia="en-US"/>
        </w:rPr>
        <w:t xml:space="preserve">III. </w:t>
      </w:r>
      <w:bookmarkEnd w:id="5"/>
      <w:r w:rsidRPr="0093448A">
        <w:rPr>
          <w:rFonts w:ascii="Palatino Linotype" w:eastAsia="Calibri" w:hAnsi="Palatino Linotype"/>
          <w:b/>
          <w:color w:val="000000" w:themeColor="text1"/>
          <w:sz w:val="22"/>
          <w:szCs w:val="26"/>
          <w:lang w:eastAsia="en-US"/>
        </w:rPr>
        <w:t xml:space="preserve">Contestación </w:t>
      </w:r>
      <w:r>
        <w:rPr>
          <w:rFonts w:ascii="Palatino Linotype" w:eastAsia="Calibri" w:hAnsi="Palatino Linotype"/>
          <w:b/>
          <w:color w:val="000000" w:themeColor="text1"/>
          <w:sz w:val="22"/>
          <w:szCs w:val="26"/>
          <w:lang w:eastAsia="en-US"/>
        </w:rPr>
        <w:t>al</w:t>
      </w:r>
      <w:r w:rsidRPr="0093448A">
        <w:rPr>
          <w:rFonts w:ascii="Palatino Linotype" w:eastAsia="Calibri" w:hAnsi="Palatino Linotype"/>
          <w:b/>
          <w:color w:val="000000" w:themeColor="text1"/>
          <w:sz w:val="22"/>
          <w:szCs w:val="26"/>
          <w:lang w:eastAsia="en-US"/>
        </w:rPr>
        <w:t xml:space="preserve"> requerimiento de aclaración</w:t>
      </w:r>
      <w:bookmarkEnd w:id="6"/>
    </w:p>
    <w:p w14:paraId="57DB086D" w14:textId="77777777" w:rsidR="0093448A" w:rsidRPr="0093448A" w:rsidRDefault="0093448A" w:rsidP="00432DB4">
      <w:pPr>
        <w:autoSpaceDE w:val="0"/>
        <w:autoSpaceDN w:val="0"/>
        <w:adjustRightInd w:val="0"/>
        <w:spacing w:line="360" w:lineRule="auto"/>
        <w:ind w:left="567" w:right="567"/>
        <w:jc w:val="both"/>
        <w:rPr>
          <w:rFonts w:ascii="Palatino Linotype" w:eastAsia="Calibri" w:hAnsi="Palatino Linotype" w:cs="Tahoma"/>
          <w:b/>
          <w:sz w:val="22"/>
          <w:szCs w:val="22"/>
          <w:lang w:eastAsia="en-US"/>
        </w:rPr>
      </w:pPr>
    </w:p>
    <w:p w14:paraId="08DF34E3" w14:textId="323A3C4C" w:rsidR="0093448A" w:rsidRPr="0093448A" w:rsidRDefault="0093448A" w:rsidP="00432DB4">
      <w:pPr>
        <w:autoSpaceDE w:val="0"/>
        <w:autoSpaceDN w:val="0"/>
        <w:adjustRightInd w:val="0"/>
        <w:spacing w:line="360" w:lineRule="auto"/>
        <w:jc w:val="both"/>
        <w:rPr>
          <w:rFonts w:ascii="Palatino Linotype" w:eastAsia="Calibri" w:hAnsi="Palatino Linotype" w:cs="Tahoma"/>
          <w:sz w:val="22"/>
          <w:szCs w:val="22"/>
          <w:lang w:eastAsia="en-US"/>
        </w:rPr>
      </w:pPr>
      <w:r w:rsidRPr="0093448A">
        <w:rPr>
          <w:rFonts w:ascii="Palatino Linotype" w:eastAsia="Calibri" w:hAnsi="Palatino Linotype" w:cs="Tahoma"/>
          <w:sz w:val="22"/>
          <w:szCs w:val="22"/>
          <w:lang w:eastAsia="en-US"/>
        </w:rPr>
        <w:t>El primero de abril de dos mil veinticinco, el Particular respondió al requerimiento de aclaración referido, mediante el Sistema de Acceso a la Información Mexiquense (SAIMEX), en los siguientes términos:</w:t>
      </w:r>
    </w:p>
    <w:p w14:paraId="75FCA288" w14:textId="77777777" w:rsidR="0093448A" w:rsidRPr="0093448A" w:rsidRDefault="0093448A" w:rsidP="00432DB4">
      <w:pPr>
        <w:autoSpaceDE w:val="0"/>
        <w:autoSpaceDN w:val="0"/>
        <w:adjustRightInd w:val="0"/>
        <w:spacing w:line="360" w:lineRule="auto"/>
        <w:ind w:left="567" w:right="567"/>
        <w:jc w:val="both"/>
        <w:rPr>
          <w:rFonts w:ascii="Palatino Linotype" w:eastAsia="Calibri" w:hAnsi="Palatino Linotype" w:cs="Tahoma"/>
          <w:b/>
          <w:lang w:eastAsia="en-US"/>
        </w:rPr>
      </w:pPr>
    </w:p>
    <w:p w14:paraId="4E606913" w14:textId="3AE03667" w:rsidR="0093448A" w:rsidRPr="0093448A" w:rsidRDefault="0093448A" w:rsidP="00432DB4">
      <w:pPr>
        <w:autoSpaceDE w:val="0"/>
        <w:autoSpaceDN w:val="0"/>
        <w:adjustRightInd w:val="0"/>
        <w:spacing w:line="360" w:lineRule="auto"/>
        <w:ind w:left="567" w:right="567"/>
        <w:jc w:val="both"/>
        <w:rPr>
          <w:rFonts w:ascii="Palatino Linotype" w:eastAsia="Calibri" w:hAnsi="Palatino Linotype" w:cs="Tahoma"/>
          <w:b/>
          <w:i/>
          <w:iCs/>
          <w:lang w:eastAsia="en-US"/>
        </w:rPr>
      </w:pPr>
      <w:r w:rsidRPr="0093448A">
        <w:rPr>
          <w:rFonts w:ascii="Palatino Linotype" w:eastAsia="Calibri" w:hAnsi="Palatino Linotype" w:cs="Tahoma"/>
          <w:b/>
          <w:i/>
          <w:iCs/>
          <w:lang w:eastAsia="en-US"/>
        </w:rPr>
        <w:t>“Datos A Completar, Corregir, Ampliar O Aclarar</w:t>
      </w:r>
    </w:p>
    <w:p w14:paraId="63ABDFAF" w14:textId="77777777" w:rsidR="0093448A" w:rsidRPr="0093448A" w:rsidRDefault="0093448A" w:rsidP="00432DB4">
      <w:pPr>
        <w:autoSpaceDE w:val="0"/>
        <w:autoSpaceDN w:val="0"/>
        <w:adjustRightInd w:val="0"/>
        <w:spacing w:line="360" w:lineRule="auto"/>
        <w:ind w:left="567" w:right="567"/>
        <w:jc w:val="both"/>
        <w:rPr>
          <w:rFonts w:ascii="Palatino Linotype" w:eastAsia="Calibri" w:hAnsi="Palatino Linotype" w:cs="Tahoma"/>
          <w:bCs/>
          <w:i/>
          <w:iCs/>
          <w:lang w:eastAsia="en-US"/>
        </w:rPr>
      </w:pPr>
      <w:r w:rsidRPr="0093448A">
        <w:rPr>
          <w:rFonts w:ascii="Palatino Linotype" w:eastAsia="Calibri" w:hAnsi="Palatino Linotype" w:cs="Tahoma"/>
          <w:bCs/>
          <w:i/>
          <w:iCs/>
          <w:lang w:eastAsia="en-US"/>
        </w:rPr>
        <w:t>Reitero mi solicitud: Solicito copia simple digitalizada a través del sistema SAIMEX de TODOS los cheques expedidos por la tesorería municipal en el periodo que comprende del 1 de enero y el 15 de marzo del año 2025..” (Sic.)</w:t>
      </w:r>
    </w:p>
    <w:p w14:paraId="53B117FC" w14:textId="77777777" w:rsidR="0093448A" w:rsidRPr="0093448A" w:rsidRDefault="0093448A" w:rsidP="00432DB4">
      <w:pPr>
        <w:autoSpaceDE w:val="0"/>
        <w:autoSpaceDN w:val="0"/>
        <w:adjustRightInd w:val="0"/>
        <w:spacing w:line="360" w:lineRule="auto"/>
        <w:ind w:right="567"/>
        <w:jc w:val="both"/>
        <w:rPr>
          <w:rFonts w:ascii="Palatino Linotype" w:eastAsia="Calibri" w:hAnsi="Palatino Linotype" w:cs="Tahoma"/>
          <w:b/>
          <w:sz w:val="22"/>
          <w:szCs w:val="22"/>
          <w:lang w:eastAsia="en-US"/>
        </w:rPr>
      </w:pPr>
    </w:p>
    <w:p w14:paraId="4BF20F77" w14:textId="77777777" w:rsidR="0093448A" w:rsidRPr="0093448A" w:rsidRDefault="0093448A" w:rsidP="00432DB4">
      <w:pPr>
        <w:keepNext/>
        <w:keepLines/>
        <w:spacing w:line="360" w:lineRule="auto"/>
        <w:jc w:val="both"/>
        <w:outlineLvl w:val="1"/>
        <w:rPr>
          <w:rFonts w:ascii="Palatino Linotype" w:eastAsia="Calibri" w:hAnsi="Palatino Linotype"/>
          <w:b/>
          <w:sz w:val="22"/>
          <w:szCs w:val="26"/>
          <w:lang w:eastAsia="en-US"/>
        </w:rPr>
      </w:pPr>
      <w:bookmarkStart w:id="7" w:name="_Toc202433796"/>
      <w:bookmarkStart w:id="8" w:name="_Toc221202146"/>
      <w:r w:rsidRPr="0093448A">
        <w:rPr>
          <w:rFonts w:ascii="Palatino Linotype" w:eastAsia="Calibri" w:hAnsi="Palatino Linotype"/>
          <w:b/>
          <w:color w:val="000000" w:themeColor="text1"/>
          <w:sz w:val="22"/>
          <w:szCs w:val="26"/>
          <w:lang w:eastAsia="en-US"/>
        </w:rPr>
        <w:t>IV.</w:t>
      </w:r>
      <w:bookmarkEnd w:id="7"/>
      <w:r w:rsidRPr="0093448A">
        <w:rPr>
          <w:rFonts w:ascii="Palatino Linotype" w:eastAsia="Calibri" w:hAnsi="Palatino Linotype"/>
          <w:b/>
          <w:color w:val="000000" w:themeColor="text1"/>
          <w:sz w:val="22"/>
          <w:szCs w:val="26"/>
          <w:lang w:eastAsia="en-US"/>
        </w:rPr>
        <w:t xml:space="preserve"> </w:t>
      </w:r>
      <w:r w:rsidRPr="0093448A">
        <w:rPr>
          <w:rFonts w:ascii="Palatino Linotype" w:eastAsia="Calibri" w:hAnsi="Palatino Linotype"/>
          <w:b/>
          <w:sz w:val="22"/>
          <w:szCs w:val="26"/>
          <w:lang w:eastAsia="en-US"/>
        </w:rPr>
        <w:t>Respuesta del Sujeto Obligado</w:t>
      </w:r>
      <w:bookmarkEnd w:id="8"/>
    </w:p>
    <w:p w14:paraId="204817CE" w14:textId="77777777" w:rsidR="0093448A" w:rsidRPr="0093448A" w:rsidRDefault="0093448A" w:rsidP="00432DB4">
      <w:pPr>
        <w:spacing w:line="360" w:lineRule="auto"/>
        <w:jc w:val="both"/>
        <w:rPr>
          <w:rFonts w:ascii="Palatino Linotype" w:eastAsia="Calibri" w:hAnsi="Palatino Linotype" w:cs="Tahoma"/>
          <w:b/>
          <w:bCs/>
          <w:color w:val="FF0000"/>
          <w:sz w:val="22"/>
          <w:szCs w:val="22"/>
          <w:lang w:eastAsia="en-US"/>
        </w:rPr>
      </w:pPr>
    </w:p>
    <w:p w14:paraId="08C60FEF" w14:textId="77777777" w:rsidR="0093448A" w:rsidRPr="0093448A" w:rsidRDefault="0093448A" w:rsidP="00432DB4">
      <w:pPr>
        <w:tabs>
          <w:tab w:val="left" w:pos="4667"/>
        </w:tabs>
        <w:spacing w:line="360" w:lineRule="auto"/>
        <w:jc w:val="both"/>
        <w:rPr>
          <w:rFonts w:ascii="Palatino Linotype" w:eastAsia="Calibri" w:hAnsi="Palatino Linotype" w:cs="Tahoma"/>
          <w:b/>
          <w:bCs/>
          <w:sz w:val="22"/>
          <w:szCs w:val="22"/>
          <w:lang w:eastAsia="en-US"/>
        </w:rPr>
      </w:pPr>
      <w:r w:rsidRPr="0093448A">
        <w:rPr>
          <w:rFonts w:ascii="Palatino Linotype" w:hAnsi="Palatino Linotype" w:cs="Tahoma"/>
          <w:sz w:val="22"/>
          <w:szCs w:val="24"/>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w:t>
      </w:r>
      <w:r w:rsidRPr="0093448A">
        <w:rPr>
          <w:rFonts w:ascii="Palatino Linotype" w:hAnsi="Palatino Linotype" w:cs="Tahoma"/>
          <w:sz w:val="22"/>
          <w:szCs w:val="24"/>
        </w:rPr>
        <w:lastRenderedPageBreak/>
        <w:t xml:space="preserve">obran en el expediente electrónico del </w:t>
      </w:r>
      <w:r w:rsidRPr="0093448A">
        <w:rPr>
          <w:rFonts w:ascii="Palatino Linotype" w:hAnsi="Palatino Linotype" w:cs="Tahoma"/>
          <w:sz w:val="22"/>
          <w:szCs w:val="24"/>
          <w:lang w:val="es-ES"/>
        </w:rPr>
        <w:t>Sistema de Acceso a la Información Mexiquense (SAIMEX), se advierte que el</w:t>
      </w:r>
      <w:r w:rsidRPr="0093448A">
        <w:rPr>
          <w:rFonts w:ascii="Palatino Linotype" w:eastAsia="Calibri" w:hAnsi="Palatino Linotype" w:cs="Tahoma"/>
          <w:b/>
          <w:bCs/>
          <w:sz w:val="22"/>
          <w:szCs w:val="22"/>
          <w:lang w:val="es-ES" w:eastAsia="en-US"/>
        </w:rPr>
        <w:t xml:space="preserve"> </w:t>
      </w:r>
      <w:r w:rsidRPr="0093448A">
        <w:rPr>
          <w:rFonts w:ascii="Palatino Linotype" w:eastAsia="Calibri" w:hAnsi="Palatino Linotype" w:cs="Tahoma"/>
          <w:b/>
          <w:sz w:val="22"/>
          <w:szCs w:val="22"/>
          <w:lang w:eastAsia="en-US"/>
        </w:rPr>
        <w:t>Ayuntamiento de Ecatepec de Morelos</w:t>
      </w:r>
      <w:r w:rsidRPr="0093448A">
        <w:rPr>
          <w:rFonts w:ascii="Palatino Linotype" w:hAnsi="Palatino Linotype" w:cs="Tahoma"/>
          <w:b/>
          <w:bCs/>
          <w:sz w:val="22"/>
          <w:szCs w:val="24"/>
        </w:rPr>
        <w:t>,</w:t>
      </w:r>
      <w:r w:rsidRPr="0093448A">
        <w:rPr>
          <w:rFonts w:ascii="Palatino Linotype" w:hAnsi="Palatino Linotype" w:cs="Tahoma"/>
          <w:bCs/>
          <w:sz w:val="22"/>
          <w:szCs w:val="24"/>
        </w:rPr>
        <w:t xml:space="preserve"> omitió dar respuesta a las solicitudes de información, por lo que </w:t>
      </w:r>
      <w:r w:rsidRPr="0093448A">
        <w:rPr>
          <w:rFonts w:ascii="Palatino Linotype" w:hAnsi="Palatino Linotype" w:cs="Tahoma"/>
          <w:b/>
          <w:sz w:val="22"/>
          <w:szCs w:val="24"/>
        </w:rPr>
        <w:t xml:space="preserve">se configura la </w:t>
      </w:r>
      <w:r w:rsidRPr="0093448A">
        <w:rPr>
          <w:rFonts w:ascii="Palatino Linotype" w:hAnsi="Palatino Linotype" w:cs="Tahoma"/>
          <w:b/>
          <w:sz w:val="22"/>
          <w:szCs w:val="24"/>
          <w:lang w:val="es-ES"/>
        </w:rPr>
        <w:t>negativa ficta</w:t>
      </w:r>
      <w:r w:rsidRPr="0093448A">
        <w:rPr>
          <w:rFonts w:ascii="Palatino Linotype" w:hAnsi="Palatino Linotype" w:cs="Tahoma"/>
          <w:sz w:val="22"/>
          <w:szCs w:val="24"/>
          <w:lang w:val="es-E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7A7C93" w:rsidRDefault="003942CB" w:rsidP="00432DB4">
      <w:pPr>
        <w:spacing w:line="360" w:lineRule="auto"/>
        <w:jc w:val="both"/>
        <w:rPr>
          <w:rFonts w:ascii="Palatino Linotype" w:hAnsi="Palatino Linotype" w:cs="Tahoma"/>
          <w:bCs/>
          <w:iCs/>
          <w:color w:val="000000" w:themeColor="text1"/>
          <w:sz w:val="22"/>
          <w:szCs w:val="22"/>
        </w:rPr>
      </w:pPr>
    </w:p>
    <w:p w14:paraId="22875711" w14:textId="4BAFF3DB" w:rsidR="0093448A" w:rsidRPr="0093448A" w:rsidRDefault="0093448A" w:rsidP="00432DB4">
      <w:pPr>
        <w:keepNext/>
        <w:keepLines/>
        <w:spacing w:line="360" w:lineRule="auto"/>
        <w:jc w:val="both"/>
        <w:outlineLvl w:val="1"/>
        <w:rPr>
          <w:rFonts w:ascii="Palatino Linotype" w:eastAsia="Calibri" w:hAnsi="Palatino Linotype"/>
          <w:b/>
          <w:sz w:val="22"/>
          <w:szCs w:val="26"/>
          <w:lang w:eastAsia="en-US"/>
        </w:rPr>
      </w:pPr>
      <w:bookmarkStart w:id="9" w:name="_Toc221202147"/>
      <w:r>
        <w:rPr>
          <w:rFonts w:ascii="Palatino Linotype" w:eastAsia="Calibri" w:hAnsi="Palatino Linotype"/>
          <w:b/>
          <w:sz w:val="22"/>
          <w:szCs w:val="26"/>
          <w:lang w:eastAsia="en-US"/>
        </w:rPr>
        <w:t>V</w:t>
      </w:r>
      <w:r w:rsidRPr="0093448A">
        <w:rPr>
          <w:rFonts w:ascii="Palatino Linotype" w:eastAsia="Calibri" w:hAnsi="Palatino Linotype"/>
          <w:b/>
          <w:sz w:val="22"/>
          <w:szCs w:val="26"/>
          <w:lang w:eastAsia="en-US"/>
        </w:rPr>
        <w:t>. Interposición del Recurso de Revisión</w:t>
      </w:r>
      <w:bookmarkEnd w:id="9"/>
      <w:r w:rsidRPr="0093448A">
        <w:rPr>
          <w:rFonts w:ascii="Palatino Linotype" w:eastAsia="Calibri" w:hAnsi="Palatino Linotype"/>
          <w:b/>
          <w:sz w:val="22"/>
          <w:szCs w:val="26"/>
          <w:lang w:eastAsia="en-US"/>
        </w:rPr>
        <w:t xml:space="preserve"> </w:t>
      </w:r>
    </w:p>
    <w:p w14:paraId="3D23EA89" w14:textId="77777777" w:rsidR="0093448A" w:rsidRPr="0093448A" w:rsidRDefault="0093448A" w:rsidP="00432DB4">
      <w:pPr>
        <w:spacing w:line="360" w:lineRule="auto"/>
        <w:jc w:val="both"/>
        <w:rPr>
          <w:rFonts w:ascii="Palatino Linotype" w:hAnsi="Palatino Linotype" w:cs="Tahoma"/>
          <w:bCs/>
          <w:color w:val="FF0000"/>
          <w:sz w:val="22"/>
          <w:szCs w:val="22"/>
        </w:rPr>
      </w:pPr>
    </w:p>
    <w:p w14:paraId="25E96EED" w14:textId="77777777" w:rsidR="0093448A" w:rsidRPr="0093448A" w:rsidRDefault="0093448A" w:rsidP="00432DB4">
      <w:pPr>
        <w:spacing w:line="360" w:lineRule="auto"/>
        <w:jc w:val="both"/>
        <w:rPr>
          <w:rFonts w:ascii="Palatino Linotype" w:hAnsi="Palatino Linotype" w:cs="Tahoma"/>
          <w:bCs/>
          <w:sz w:val="22"/>
          <w:szCs w:val="22"/>
          <w:lang w:val="es-ES"/>
        </w:rPr>
      </w:pPr>
      <w:r w:rsidRPr="0093448A">
        <w:rPr>
          <w:rFonts w:ascii="Palatino Linotype" w:hAnsi="Palatino Linotype" w:cs="Tahoma"/>
          <w:bCs/>
          <w:sz w:val="22"/>
          <w:szCs w:val="22"/>
          <w:lang w:val="es-ES"/>
        </w:rPr>
        <w:t xml:space="preserve">El treinta de abril de dos mil veinticinco, </w:t>
      </w:r>
      <w:r w:rsidRPr="0093448A">
        <w:rPr>
          <w:rFonts w:ascii="Palatino Linotype" w:hAnsi="Palatino Linotype" w:cs="Tahoma"/>
          <w:bCs/>
          <w:sz w:val="22"/>
          <w:szCs w:val="22"/>
        </w:rPr>
        <w:t xml:space="preserve">se recibió en este Instituto, a través del </w:t>
      </w:r>
      <w:r w:rsidRPr="0093448A">
        <w:rPr>
          <w:rFonts w:ascii="Palatino Linotype" w:hAnsi="Palatino Linotype" w:cs="Tahoma"/>
          <w:bCs/>
          <w:sz w:val="22"/>
          <w:szCs w:val="22"/>
          <w:lang w:val="es-ES"/>
        </w:rPr>
        <w:t>Sistema de Acceso a la Información Mexiquense (SAIMEX)</w:t>
      </w:r>
      <w:r w:rsidRPr="0093448A">
        <w:rPr>
          <w:rFonts w:ascii="Palatino Linotype" w:hAnsi="Palatino Linotype" w:cs="Tahoma"/>
          <w:bCs/>
          <w:sz w:val="22"/>
          <w:szCs w:val="22"/>
        </w:rPr>
        <w:t>, dos Recursos de Revisión interpuestos por la persona Recurrente, en contra de la falta de respuesta del Sujeto Obligado</w:t>
      </w:r>
      <w:r w:rsidRPr="0093448A">
        <w:rPr>
          <w:rFonts w:ascii="Palatino Linotype" w:eastAsia="Calibri" w:hAnsi="Palatino Linotype"/>
          <w:sz w:val="22"/>
          <w:szCs w:val="22"/>
          <w:lang w:eastAsia="en-US"/>
        </w:rPr>
        <w:t xml:space="preserve">, </w:t>
      </w:r>
      <w:r w:rsidRPr="0093448A">
        <w:rPr>
          <w:rFonts w:ascii="Palatino Linotype" w:hAnsi="Palatino Linotype" w:cs="Tahoma"/>
          <w:bCs/>
          <w:sz w:val="22"/>
          <w:szCs w:val="22"/>
        </w:rPr>
        <w:t>en los términos similares siguientes:</w:t>
      </w:r>
      <w:r w:rsidRPr="0093448A">
        <w:rPr>
          <w:rFonts w:ascii="Palatino Linotype" w:eastAsia="Calibri" w:hAnsi="Palatino Linotype" w:cs="Tahoma"/>
          <w:sz w:val="22"/>
          <w:szCs w:val="22"/>
          <w:lang w:val="es-ES" w:eastAsia="en-US"/>
        </w:rPr>
        <w:t xml:space="preserve"> </w:t>
      </w:r>
    </w:p>
    <w:p w14:paraId="075135D2" w14:textId="77777777" w:rsidR="0093448A" w:rsidRPr="0093448A" w:rsidRDefault="0093448A" w:rsidP="00432DB4">
      <w:pPr>
        <w:widowControl w:val="0"/>
        <w:spacing w:line="360" w:lineRule="auto"/>
        <w:jc w:val="both"/>
        <w:rPr>
          <w:rFonts w:ascii="Palatino Linotype" w:eastAsia="Calibri" w:hAnsi="Palatino Linotype" w:cs="Tahoma"/>
          <w:i/>
          <w:sz w:val="22"/>
          <w:szCs w:val="22"/>
          <w:lang w:val="es-ES" w:eastAsia="en-US"/>
        </w:rPr>
      </w:pPr>
    </w:p>
    <w:p w14:paraId="518A63D9" w14:textId="77777777" w:rsidR="0093448A" w:rsidRPr="0093448A" w:rsidRDefault="0093448A" w:rsidP="00432DB4">
      <w:pPr>
        <w:spacing w:line="360" w:lineRule="auto"/>
        <w:ind w:left="567" w:right="567"/>
        <w:contextualSpacing/>
        <w:jc w:val="both"/>
        <w:rPr>
          <w:rFonts w:ascii="Palatino Linotype" w:eastAsia="Calibri" w:hAnsi="Palatino Linotype" w:cs="Tahoma"/>
          <w:b/>
          <w:bCs/>
          <w:i/>
          <w:lang w:eastAsia="en-US"/>
        </w:rPr>
      </w:pPr>
      <w:r w:rsidRPr="0093448A">
        <w:rPr>
          <w:rFonts w:ascii="Palatino Linotype" w:eastAsia="Calibri" w:hAnsi="Palatino Linotype" w:cs="Tahoma"/>
          <w:b/>
          <w:bCs/>
          <w:i/>
          <w:lang w:eastAsia="en-US"/>
        </w:rPr>
        <w:t>ACTO IMPUGNADO</w:t>
      </w:r>
    </w:p>
    <w:p w14:paraId="45255C44" w14:textId="77777777" w:rsidR="0093448A" w:rsidRPr="0093448A" w:rsidRDefault="0093448A" w:rsidP="00432DB4">
      <w:pPr>
        <w:tabs>
          <w:tab w:val="left" w:pos="4667"/>
        </w:tabs>
        <w:spacing w:line="360" w:lineRule="auto"/>
        <w:ind w:left="567" w:right="567"/>
        <w:jc w:val="both"/>
        <w:rPr>
          <w:rFonts w:ascii="Palatino Linotype" w:eastAsia="Calibri" w:hAnsi="Palatino Linotype" w:cs="Tahoma"/>
          <w:i/>
          <w:lang w:eastAsia="en-US"/>
        </w:rPr>
      </w:pPr>
      <w:proofErr w:type="gramStart"/>
      <w:r w:rsidRPr="0093448A">
        <w:rPr>
          <w:rFonts w:ascii="Palatino Linotype" w:eastAsia="Calibri" w:hAnsi="Palatino Linotype" w:cs="Tahoma"/>
          <w:i/>
          <w:lang w:eastAsia="en-US"/>
        </w:rPr>
        <w:t>negativa</w:t>
      </w:r>
      <w:proofErr w:type="gramEnd"/>
      <w:r w:rsidRPr="0093448A">
        <w:rPr>
          <w:rFonts w:ascii="Palatino Linotype" w:eastAsia="Calibri" w:hAnsi="Palatino Linotype" w:cs="Tahoma"/>
          <w:i/>
          <w:lang w:eastAsia="en-US"/>
        </w:rPr>
        <w:t xml:space="preserve"> del sujeto </w:t>
      </w:r>
      <w:proofErr w:type="spellStart"/>
      <w:r w:rsidRPr="0093448A">
        <w:rPr>
          <w:rFonts w:ascii="Palatino Linotype" w:eastAsia="Calibri" w:hAnsi="Palatino Linotype" w:cs="Tahoma"/>
          <w:i/>
          <w:lang w:eastAsia="en-US"/>
        </w:rPr>
        <w:t>oblogado</w:t>
      </w:r>
      <w:proofErr w:type="spellEnd"/>
      <w:r w:rsidRPr="0093448A">
        <w:rPr>
          <w:rFonts w:ascii="Palatino Linotype" w:eastAsia="Calibri" w:hAnsi="Palatino Linotype" w:cs="Tahoma"/>
          <w:i/>
          <w:lang w:eastAsia="en-US"/>
        </w:rPr>
        <w:t xml:space="preserve"> a dar respuesta a la solicitud de información..” (Sic.)</w:t>
      </w:r>
    </w:p>
    <w:p w14:paraId="45516DC7" w14:textId="77777777" w:rsidR="0093448A" w:rsidRPr="0093448A" w:rsidRDefault="0093448A" w:rsidP="00432DB4">
      <w:pPr>
        <w:tabs>
          <w:tab w:val="left" w:pos="4667"/>
        </w:tabs>
        <w:spacing w:line="360" w:lineRule="auto"/>
        <w:ind w:left="567" w:right="567"/>
        <w:jc w:val="both"/>
        <w:rPr>
          <w:rFonts w:ascii="Palatino Linotype" w:eastAsia="Calibri" w:hAnsi="Palatino Linotype" w:cs="Tahoma"/>
          <w:b/>
          <w:bCs/>
          <w:i/>
          <w:color w:val="FF0000"/>
          <w:lang w:eastAsia="en-US"/>
        </w:rPr>
      </w:pPr>
    </w:p>
    <w:p w14:paraId="5FED334C" w14:textId="77777777" w:rsidR="0093448A" w:rsidRPr="0093448A" w:rsidRDefault="0093448A" w:rsidP="00432DB4">
      <w:pPr>
        <w:tabs>
          <w:tab w:val="left" w:pos="4667"/>
        </w:tabs>
        <w:spacing w:line="360" w:lineRule="auto"/>
        <w:ind w:left="567" w:right="567"/>
        <w:jc w:val="both"/>
        <w:rPr>
          <w:rFonts w:ascii="Palatino Linotype" w:eastAsia="Calibri" w:hAnsi="Palatino Linotype" w:cs="Tahoma"/>
          <w:b/>
          <w:i/>
          <w:lang w:eastAsia="en-US"/>
        </w:rPr>
      </w:pPr>
      <w:r w:rsidRPr="0093448A">
        <w:rPr>
          <w:rFonts w:ascii="Palatino Linotype" w:eastAsia="Calibri" w:hAnsi="Palatino Linotype" w:cs="Tahoma"/>
          <w:b/>
          <w:i/>
          <w:lang w:eastAsia="en-US"/>
        </w:rPr>
        <w:t>RAZONES O MOTIVOS DE LA INCONFORMIDAD</w:t>
      </w:r>
    </w:p>
    <w:p w14:paraId="29D5D9CE" w14:textId="77777777" w:rsidR="0093448A" w:rsidRPr="0093448A" w:rsidRDefault="0093448A" w:rsidP="00432DB4">
      <w:pPr>
        <w:tabs>
          <w:tab w:val="left" w:pos="4667"/>
        </w:tabs>
        <w:spacing w:line="360" w:lineRule="auto"/>
        <w:ind w:left="567" w:right="567"/>
        <w:jc w:val="both"/>
        <w:rPr>
          <w:rFonts w:ascii="Palatino Linotype" w:eastAsia="Calibri" w:hAnsi="Palatino Linotype" w:cs="Tahoma"/>
          <w:i/>
          <w:lang w:eastAsia="en-US"/>
        </w:rPr>
      </w:pPr>
      <w:r w:rsidRPr="0093448A">
        <w:rPr>
          <w:rFonts w:ascii="Palatino Linotype" w:eastAsia="Calibri" w:hAnsi="Palatino Linotype" w:cs="Tahoma"/>
          <w:i/>
          <w:lang w:eastAsia="en-US"/>
        </w:rPr>
        <w:t xml:space="preserve">El sujeto obligado no dio respuesta a la presente </w:t>
      </w:r>
      <w:proofErr w:type="spellStart"/>
      <w:r w:rsidRPr="0093448A">
        <w:rPr>
          <w:rFonts w:ascii="Palatino Linotype" w:eastAsia="Calibri" w:hAnsi="Palatino Linotype" w:cs="Tahoma"/>
          <w:i/>
          <w:lang w:eastAsia="en-US"/>
        </w:rPr>
        <w:t>solicitu</w:t>
      </w:r>
      <w:proofErr w:type="spellEnd"/>
      <w:r w:rsidRPr="0093448A">
        <w:rPr>
          <w:rFonts w:ascii="Palatino Linotype" w:eastAsia="Calibri" w:hAnsi="Palatino Linotype" w:cs="Tahoma"/>
          <w:i/>
          <w:lang w:eastAsia="en-US"/>
        </w:rPr>
        <w:t xml:space="preserve"> de información dentro de los plazos establecidos en la ley</w:t>
      </w:r>
      <w:proofErr w:type="gramStart"/>
      <w:r w:rsidRPr="0093448A">
        <w:rPr>
          <w:rFonts w:ascii="Palatino Linotype" w:eastAsia="Calibri" w:hAnsi="Palatino Linotype" w:cs="Tahoma"/>
          <w:i/>
          <w:lang w:eastAsia="en-US"/>
        </w:rPr>
        <w:t>..”</w:t>
      </w:r>
      <w:proofErr w:type="gramEnd"/>
      <w:r w:rsidRPr="0093448A">
        <w:rPr>
          <w:rFonts w:ascii="Palatino Linotype" w:eastAsia="Calibri" w:hAnsi="Palatino Linotype" w:cs="Tahoma"/>
          <w:i/>
          <w:lang w:eastAsia="en-US"/>
        </w:rPr>
        <w:t xml:space="preserve"> (Sic.)</w:t>
      </w:r>
    </w:p>
    <w:p w14:paraId="0C117C98" w14:textId="77777777" w:rsidR="0093448A" w:rsidRPr="0093448A" w:rsidRDefault="0093448A" w:rsidP="00432DB4">
      <w:pPr>
        <w:tabs>
          <w:tab w:val="left" w:pos="4667"/>
        </w:tabs>
        <w:spacing w:line="360" w:lineRule="auto"/>
        <w:ind w:left="567" w:right="567"/>
        <w:jc w:val="both"/>
        <w:rPr>
          <w:rFonts w:ascii="Palatino Linotype" w:eastAsia="Calibri" w:hAnsi="Palatino Linotype" w:cs="Tahoma"/>
          <w:i/>
          <w:lang w:eastAsia="en-US"/>
        </w:rPr>
      </w:pPr>
    </w:p>
    <w:p w14:paraId="581431FE" w14:textId="382AE416" w:rsidR="0093448A" w:rsidRPr="0093448A" w:rsidRDefault="0093448A" w:rsidP="00432DB4">
      <w:pPr>
        <w:keepNext/>
        <w:keepLines/>
        <w:spacing w:line="360" w:lineRule="auto"/>
        <w:jc w:val="both"/>
        <w:outlineLvl w:val="1"/>
        <w:rPr>
          <w:rFonts w:ascii="Palatino Linotype" w:eastAsia="Batang" w:hAnsi="Palatino Linotype"/>
          <w:b/>
          <w:sz w:val="22"/>
          <w:szCs w:val="26"/>
          <w:lang w:eastAsia="en-US"/>
        </w:rPr>
      </w:pPr>
      <w:bookmarkStart w:id="10" w:name="_Toc202433798"/>
      <w:bookmarkStart w:id="11" w:name="_Toc221202148"/>
      <w:r w:rsidRPr="0093448A">
        <w:rPr>
          <w:rFonts w:ascii="Palatino Linotype" w:eastAsia="Calibri" w:hAnsi="Palatino Linotype"/>
          <w:b/>
          <w:sz w:val="22"/>
          <w:szCs w:val="26"/>
          <w:lang w:eastAsia="en-US"/>
        </w:rPr>
        <w:t>V</w:t>
      </w:r>
      <w:r>
        <w:rPr>
          <w:rFonts w:ascii="Palatino Linotype" w:eastAsia="Calibri" w:hAnsi="Palatino Linotype"/>
          <w:b/>
          <w:sz w:val="22"/>
          <w:szCs w:val="26"/>
          <w:lang w:eastAsia="en-US"/>
        </w:rPr>
        <w:t>I</w:t>
      </w:r>
      <w:r w:rsidRPr="0093448A">
        <w:rPr>
          <w:rFonts w:ascii="Palatino Linotype" w:eastAsia="Calibri" w:hAnsi="Palatino Linotype"/>
          <w:b/>
          <w:sz w:val="22"/>
          <w:szCs w:val="26"/>
          <w:lang w:eastAsia="en-US"/>
        </w:rPr>
        <w:t xml:space="preserve">. </w:t>
      </w:r>
      <w:r w:rsidRPr="0093448A">
        <w:rPr>
          <w:rFonts w:ascii="Palatino Linotype" w:eastAsia="Batang" w:hAnsi="Palatino Linotype"/>
          <w:b/>
          <w:sz w:val="22"/>
          <w:szCs w:val="26"/>
          <w:lang w:eastAsia="en-US"/>
        </w:rPr>
        <w:t>Trámite de los Recursos de Revisión</w:t>
      </w:r>
      <w:r w:rsidRPr="0093448A">
        <w:rPr>
          <w:rFonts w:ascii="Palatino Linotype" w:eastAsia="Calibri" w:hAnsi="Palatino Linotype"/>
          <w:b/>
          <w:sz w:val="22"/>
          <w:szCs w:val="26"/>
          <w:lang w:eastAsia="en-US"/>
        </w:rPr>
        <w:t xml:space="preserve"> </w:t>
      </w:r>
      <w:r w:rsidRPr="0093448A">
        <w:rPr>
          <w:rFonts w:ascii="Palatino Linotype" w:eastAsia="Batang" w:hAnsi="Palatino Linotype"/>
          <w:b/>
          <w:sz w:val="22"/>
          <w:szCs w:val="26"/>
          <w:lang w:eastAsia="en-US"/>
        </w:rPr>
        <w:t>ante este Instituto</w:t>
      </w:r>
      <w:bookmarkEnd w:id="10"/>
      <w:bookmarkEnd w:id="11"/>
    </w:p>
    <w:p w14:paraId="19CECEDE" w14:textId="77777777" w:rsidR="0093448A" w:rsidRPr="0093448A" w:rsidRDefault="0093448A" w:rsidP="00432DB4">
      <w:pPr>
        <w:spacing w:line="360" w:lineRule="auto"/>
        <w:jc w:val="both"/>
        <w:rPr>
          <w:rFonts w:ascii="Palatino Linotype" w:eastAsia="Batang" w:hAnsi="Palatino Linotype" w:cs="Tahoma"/>
          <w:b/>
          <w:bCs/>
          <w:color w:val="FF0000"/>
          <w:sz w:val="22"/>
          <w:szCs w:val="22"/>
          <w:lang w:eastAsia="en-US"/>
        </w:rPr>
      </w:pPr>
    </w:p>
    <w:p w14:paraId="2DE2DC36" w14:textId="4150CD88" w:rsidR="0093448A" w:rsidRPr="0093448A" w:rsidRDefault="0093448A" w:rsidP="00432DB4">
      <w:pPr>
        <w:spacing w:line="360" w:lineRule="auto"/>
        <w:contextualSpacing/>
        <w:jc w:val="both"/>
        <w:rPr>
          <w:rFonts w:ascii="Palatino Linotype" w:eastAsia="Batang" w:hAnsi="Palatino Linotype" w:cs="Tahoma"/>
          <w:bCs/>
          <w:sz w:val="22"/>
          <w:szCs w:val="22"/>
          <w:lang w:val="es-ES_tradnl" w:eastAsia="en-US"/>
        </w:rPr>
      </w:pPr>
      <w:r w:rsidRPr="0093448A">
        <w:rPr>
          <w:rFonts w:ascii="Palatino Linotype" w:eastAsia="Batang" w:hAnsi="Palatino Linotype" w:cs="Tahoma"/>
          <w:b/>
          <w:bCs/>
          <w:sz w:val="22"/>
          <w:szCs w:val="22"/>
          <w:lang w:val="es-ES_tradnl" w:eastAsia="en-US"/>
        </w:rPr>
        <w:t xml:space="preserve">a) Turno del </w:t>
      </w:r>
      <w:r w:rsidRPr="0093448A">
        <w:rPr>
          <w:rFonts w:ascii="Palatino Linotype" w:eastAsia="Calibri" w:hAnsi="Palatino Linotype" w:cs="Tahoma"/>
          <w:b/>
          <w:sz w:val="22"/>
          <w:szCs w:val="22"/>
          <w:lang w:val="es-ES_tradnl" w:eastAsia="en-US"/>
        </w:rPr>
        <w:t>Recurso de Revisión</w:t>
      </w:r>
      <w:r w:rsidRPr="0093448A">
        <w:rPr>
          <w:rFonts w:ascii="Palatino Linotype" w:eastAsia="Batang" w:hAnsi="Palatino Linotype" w:cs="Tahoma"/>
          <w:b/>
          <w:bCs/>
          <w:sz w:val="22"/>
          <w:szCs w:val="22"/>
          <w:lang w:val="es-ES_tradnl" w:eastAsia="en-US"/>
        </w:rPr>
        <w:t>.</w:t>
      </w:r>
      <w:r w:rsidRPr="0093448A">
        <w:rPr>
          <w:rFonts w:ascii="Palatino Linotype" w:eastAsia="Batang" w:hAnsi="Palatino Linotype" w:cs="Tahoma"/>
          <w:bCs/>
          <w:sz w:val="22"/>
          <w:szCs w:val="22"/>
          <w:lang w:val="es-ES_tradnl" w:eastAsia="en-US"/>
        </w:rPr>
        <w:t xml:space="preserve"> </w:t>
      </w:r>
      <w:r w:rsidRPr="0093448A">
        <w:rPr>
          <w:rFonts w:ascii="Palatino Linotype" w:hAnsi="Palatino Linotype" w:cs="Tahoma"/>
          <w:bCs/>
          <w:sz w:val="22"/>
          <w:szCs w:val="22"/>
          <w:lang w:val="es-ES"/>
        </w:rPr>
        <w:t>El doce de febrero de dos mil veinticinco</w:t>
      </w:r>
      <w:r w:rsidRPr="0093448A">
        <w:rPr>
          <w:rFonts w:ascii="Palatino Linotype" w:eastAsia="Batang" w:hAnsi="Palatino Linotype" w:cs="Tahoma"/>
          <w:bCs/>
          <w:sz w:val="22"/>
          <w:szCs w:val="22"/>
          <w:lang w:val="es-ES_tradnl" w:eastAsia="en-US"/>
        </w:rPr>
        <w:t xml:space="preserve">, el </w:t>
      </w:r>
      <w:r w:rsidRPr="0093448A">
        <w:rPr>
          <w:rFonts w:ascii="Palatino Linotype" w:eastAsia="Calibri" w:hAnsi="Palatino Linotype" w:cs="Tahoma"/>
          <w:sz w:val="22"/>
          <w:szCs w:val="22"/>
          <w:lang w:val="es-ES" w:eastAsia="en-US"/>
        </w:rPr>
        <w:t>Sistema de Acceso a la Información Mexiquense (SAIMEX),</w:t>
      </w:r>
      <w:r w:rsidRPr="0093448A">
        <w:rPr>
          <w:rFonts w:ascii="Palatino Linotype" w:eastAsia="Batang" w:hAnsi="Palatino Linotype" w:cs="Tahoma"/>
          <w:bCs/>
          <w:sz w:val="22"/>
          <w:szCs w:val="22"/>
          <w:lang w:val="es-ES_tradnl" w:eastAsia="en-US"/>
        </w:rPr>
        <w:t xml:space="preserve"> asignó </w:t>
      </w:r>
      <w:r>
        <w:rPr>
          <w:rFonts w:ascii="Palatino Linotype" w:eastAsia="Batang" w:hAnsi="Palatino Linotype" w:cs="Tahoma"/>
          <w:bCs/>
          <w:sz w:val="22"/>
          <w:szCs w:val="22"/>
          <w:lang w:val="es-ES_tradnl" w:eastAsia="en-US"/>
        </w:rPr>
        <w:t>el número de expediente</w:t>
      </w:r>
      <w:r w:rsidRPr="0093448A">
        <w:rPr>
          <w:rFonts w:ascii="Palatino Linotype" w:eastAsia="Batang" w:hAnsi="Palatino Linotype" w:cs="Tahoma"/>
          <w:bCs/>
          <w:sz w:val="22"/>
          <w:szCs w:val="22"/>
          <w:lang w:val="es-ES_tradnl" w:eastAsia="en-US"/>
        </w:rPr>
        <w:t xml:space="preserve"> </w:t>
      </w:r>
      <w:r w:rsidRPr="0093448A">
        <w:rPr>
          <w:rFonts w:ascii="Palatino Linotype" w:eastAsia="Calibri" w:hAnsi="Palatino Linotype" w:cs="Tahoma"/>
          <w:sz w:val="22"/>
          <w:szCs w:val="22"/>
          <w:lang w:eastAsia="en-US"/>
        </w:rPr>
        <w:t>04946/INFOEM/IP/RR/2025</w:t>
      </w:r>
      <w:r w:rsidRPr="0093448A">
        <w:rPr>
          <w:rFonts w:ascii="Palatino Linotype" w:eastAsia="Batang" w:hAnsi="Palatino Linotype" w:cs="Tahoma"/>
          <w:bCs/>
          <w:sz w:val="22"/>
          <w:szCs w:val="22"/>
          <w:lang w:val="es-ES_tradnl" w:eastAsia="en-US"/>
        </w:rPr>
        <w:t xml:space="preserve">, </w:t>
      </w:r>
      <w:r>
        <w:rPr>
          <w:rFonts w:ascii="Palatino Linotype" w:eastAsia="Batang" w:hAnsi="Palatino Linotype" w:cs="Tahoma"/>
          <w:bCs/>
          <w:sz w:val="22"/>
          <w:szCs w:val="22"/>
          <w:lang w:val="es-ES_tradnl" w:eastAsia="en-US"/>
        </w:rPr>
        <w:t>al</w:t>
      </w:r>
      <w:r w:rsidRPr="0093448A">
        <w:rPr>
          <w:rFonts w:ascii="Palatino Linotype" w:eastAsia="Batang" w:hAnsi="Palatino Linotype" w:cs="Tahoma"/>
          <w:bCs/>
          <w:sz w:val="22"/>
          <w:szCs w:val="22"/>
          <w:lang w:val="es-ES_tradnl" w:eastAsia="en-US"/>
        </w:rPr>
        <w:t xml:space="preserve"> Medio de Impugnación que nos ocupa, con base en el sistema aprobado por el Pleno de este Organismo Garante y lo turnó</w:t>
      </w:r>
      <w:r w:rsidRPr="0093448A">
        <w:rPr>
          <w:rFonts w:ascii="Palatino Linotype" w:eastAsia="Batang" w:hAnsi="Palatino Linotype" w:cs="Tahoma"/>
          <w:bCs/>
          <w:color w:val="FF0000"/>
          <w:sz w:val="22"/>
          <w:szCs w:val="22"/>
          <w:lang w:val="es-ES_tradnl" w:eastAsia="en-US"/>
        </w:rPr>
        <w:t xml:space="preserve"> </w:t>
      </w:r>
      <w:r w:rsidRPr="0093448A">
        <w:rPr>
          <w:rFonts w:ascii="Palatino Linotype" w:eastAsia="Batang" w:hAnsi="Palatino Linotype" w:cs="Tahoma"/>
          <w:bCs/>
          <w:sz w:val="22"/>
          <w:szCs w:val="22"/>
          <w:lang w:val="es-ES_tradnl" w:eastAsia="en-US"/>
        </w:rPr>
        <w:t>a</w:t>
      </w:r>
      <w:r>
        <w:rPr>
          <w:rFonts w:ascii="Palatino Linotype" w:eastAsia="Batang" w:hAnsi="Palatino Linotype" w:cs="Tahoma"/>
          <w:bCs/>
          <w:sz w:val="22"/>
          <w:szCs w:val="22"/>
          <w:lang w:val="es-ES_tradnl" w:eastAsia="en-US"/>
        </w:rPr>
        <w:t>l</w:t>
      </w:r>
      <w:r w:rsidRPr="0093448A">
        <w:rPr>
          <w:rFonts w:ascii="Palatino Linotype" w:eastAsia="Batang" w:hAnsi="Palatino Linotype" w:cs="Tahoma"/>
          <w:bCs/>
          <w:sz w:val="22"/>
          <w:szCs w:val="22"/>
          <w:lang w:val="es-ES_tradnl" w:eastAsia="en-US"/>
        </w:rPr>
        <w:t xml:space="preserve"> </w:t>
      </w:r>
      <w:proofErr w:type="gramStart"/>
      <w:r w:rsidRPr="0093448A">
        <w:rPr>
          <w:rFonts w:ascii="Palatino Linotype" w:eastAsia="Batang" w:hAnsi="Palatino Linotype" w:cs="Tahoma"/>
          <w:bCs/>
          <w:sz w:val="22"/>
          <w:szCs w:val="22"/>
          <w:lang w:val="es-ES_tradnl" w:eastAsia="en-US"/>
        </w:rPr>
        <w:t>Comisionado</w:t>
      </w:r>
      <w:r w:rsidRPr="0093448A">
        <w:rPr>
          <w:rFonts w:ascii="Palatino Linotype" w:hAnsi="Palatino Linotype" w:cs="Tahoma"/>
          <w:bCs/>
          <w:iCs/>
          <w:sz w:val="22"/>
          <w:szCs w:val="22"/>
          <w:lang w:val="es-ES"/>
        </w:rPr>
        <w:t xml:space="preserve"> </w:t>
      </w:r>
      <w:r w:rsidRPr="0093448A">
        <w:rPr>
          <w:rFonts w:ascii="Palatino Linotype" w:eastAsia="Batang" w:hAnsi="Palatino Linotype" w:cs="Tahoma"/>
          <w:bCs/>
          <w:sz w:val="22"/>
          <w:szCs w:val="22"/>
          <w:lang w:val="es-ES_tradnl" w:eastAsia="en-US"/>
        </w:rPr>
        <w:t xml:space="preserve"> Luis</w:t>
      </w:r>
      <w:proofErr w:type="gramEnd"/>
      <w:r w:rsidRPr="0093448A">
        <w:rPr>
          <w:rFonts w:ascii="Palatino Linotype" w:eastAsia="Batang" w:hAnsi="Palatino Linotype" w:cs="Tahoma"/>
          <w:bCs/>
          <w:sz w:val="22"/>
          <w:szCs w:val="22"/>
          <w:lang w:val="es-ES_tradnl" w:eastAsia="en-US"/>
        </w:rPr>
        <w:t xml:space="preserve"> Gustavo </w:t>
      </w:r>
      <w:r w:rsidRPr="0093448A">
        <w:rPr>
          <w:rFonts w:ascii="Palatino Linotype" w:eastAsia="Batang" w:hAnsi="Palatino Linotype" w:cs="Tahoma"/>
          <w:bCs/>
          <w:sz w:val="22"/>
          <w:szCs w:val="22"/>
          <w:lang w:val="es-ES_tradnl" w:eastAsia="en-US"/>
        </w:rPr>
        <w:lastRenderedPageBreak/>
        <w:t>Parra Noriega</w:t>
      </w:r>
      <w:r>
        <w:rPr>
          <w:rFonts w:ascii="Palatino Linotype" w:eastAsia="Batang" w:hAnsi="Palatino Linotype" w:cs="Tahoma"/>
          <w:bCs/>
          <w:sz w:val="22"/>
          <w:szCs w:val="22"/>
          <w:lang w:val="es-ES_tradnl" w:eastAsia="en-US"/>
        </w:rPr>
        <w:t xml:space="preserve"> </w:t>
      </w:r>
      <w:r w:rsidRPr="0093448A">
        <w:rPr>
          <w:rFonts w:ascii="Palatino Linotype" w:eastAsia="Batang" w:hAnsi="Palatino Linotype" w:cs="Tahoma"/>
          <w:bCs/>
          <w:sz w:val="22"/>
          <w:szCs w:val="22"/>
          <w:lang w:val="es-ES_tradnl" w:eastAsia="en-US"/>
        </w:rPr>
        <w:t>para los efectos del artículo 185, fracción I de la Ley de Transparencia y Acceso a la Información Pública del Estado de México y Municipios.</w:t>
      </w:r>
    </w:p>
    <w:p w14:paraId="7326DAFB" w14:textId="77777777" w:rsidR="0093448A" w:rsidRPr="0093448A" w:rsidRDefault="0093448A" w:rsidP="00432DB4">
      <w:pPr>
        <w:spacing w:line="360" w:lineRule="auto"/>
        <w:jc w:val="both"/>
        <w:rPr>
          <w:rFonts w:ascii="Palatino Linotype" w:eastAsia="Batang" w:hAnsi="Palatino Linotype" w:cs="Tahoma"/>
          <w:bCs/>
          <w:sz w:val="22"/>
          <w:szCs w:val="22"/>
          <w:lang w:eastAsia="en-US"/>
        </w:rPr>
      </w:pPr>
    </w:p>
    <w:p w14:paraId="34ABC772" w14:textId="031BA8CE" w:rsidR="0093448A" w:rsidRPr="0093448A" w:rsidRDefault="0093448A" w:rsidP="00432DB4">
      <w:pPr>
        <w:spacing w:line="360" w:lineRule="auto"/>
        <w:jc w:val="both"/>
        <w:rPr>
          <w:rFonts w:ascii="Palatino Linotype" w:eastAsia="Batang" w:hAnsi="Palatino Linotype" w:cs="Tahoma"/>
          <w:sz w:val="22"/>
          <w:szCs w:val="22"/>
          <w:lang w:val="es-ES_tradnl" w:eastAsia="en-US"/>
        </w:rPr>
      </w:pPr>
      <w:r w:rsidRPr="0093448A">
        <w:rPr>
          <w:rFonts w:ascii="Palatino Linotype" w:eastAsia="Batang" w:hAnsi="Palatino Linotype" w:cs="Tahoma"/>
          <w:b/>
          <w:bCs/>
          <w:sz w:val="22"/>
          <w:szCs w:val="22"/>
          <w:lang w:eastAsia="en-US"/>
        </w:rPr>
        <w:t>b) Admisión del Recurso de Revisión</w:t>
      </w:r>
      <w:r w:rsidRPr="0093448A">
        <w:rPr>
          <w:rFonts w:ascii="Palatino Linotype" w:eastAsia="Batang" w:hAnsi="Palatino Linotype" w:cs="Tahoma"/>
          <w:b/>
          <w:bCs/>
          <w:sz w:val="22"/>
          <w:szCs w:val="22"/>
          <w:lang w:val="es-ES_tradnl" w:eastAsia="en-US"/>
        </w:rPr>
        <w:t xml:space="preserve">. </w:t>
      </w:r>
      <w:r w:rsidRPr="0093448A">
        <w:rPr>
          <w:rFonts w:ascii="Palatino Linotype" w:eastAsia="Batang" w:hAnsi="Palatino Linotype" w:cs="Tahoma"/>
          <w:sz w:val="22"/>
          <w:szCs w:val="22"/>
          <w:lang w:val="es-ES_tradnl" w:eastAsia="en-US"/>
        </w:rPr>
        <w:t xml:space="preserve">El siete de mayo de dos mil veinticinco, se acordó la admisión </w:t>
      </w:r>
      <w:r>
        <w:rPr>
          <w:rFonts w:ascii="Palatino Linotype" w:eastAsia="Batang" w:hAnsi="Palatino Linotype" w:cs="Tahoma"/>
          <w:sz w:val="22"/>
          <w:szCs w:val="22"/>
          <w:lang w:val="es-ES_tradnl" w:eastAsia="en-US"/>
        </w:rPr>
        <w:t>del</w:t>
      </w:r>
      <w:r w:rsidRPr="0093448A">
        <w:rPr>
          <w:rFonts w:ascii="Palatino Linotype" w:eastAsia="Batang" w:hAnsi="Palatino Linotype" w:cs="Tahoma"/>
          <w:sz w:val="22"/>
          <w:szCs w:val="22"/>
          <w:lang w:val="es-ES_tradnl" w:eastAsia="en-US"/>
        </w:rPr>
        <w:t xml:space="preserve"> Recurso de Revisión interpuesto por la persona Recurrente en contra del Sujeto Obligado, en términos del artículo 185, fracciones I y II de la Ley de Transparencia y Acceso a la Información Pública del Estado de México y Municipios, el cual fue notificado a las partes el ocho del mismo mes y año, a través del Sistema de Acceso a la Información Mexiquense (SAIMEX), en el que se les otorgó un plazo de siete días hábiles posteriores a la misma, para que manifestaran lo que a su derecho conviniera y formularan alegatos.</w:t>
      </w:r>
    </w:p>
    <w:p w14:paraId="3D0F286C" w14:textId="77777777" w:rsidR="0093448A" w:rsidRPr="0093448A" w:rsidRDefault="0093448A" w:rsidP="00432DB4">
      <w:pPr>
        <w:spacing w:line="360" w:lineRule="auto"/>
        <w:jc w:val="both"/>
        <w:rPr>
          <w:rFonts w:ascii="Palatino Linotype" w:eastAsia="Calibri" w:hAnsi="Palatino Linotype" w:cs="Tahoma"/>
          <w:color w:val="FF0000"/>
          <w:sz w:val="22"/>
          <w:szCs w:val="22"/>
          <w:lang w:eastAsia="en-US"/>
        </w:rPr>
      </w:pPr>
    </w:p>
    <w:p w14:paraId="098E8011" w14:textId="23359950" w:rsidR="0093448A" w:rsidRPr="0093448A" w:rsidRDefault="0093448A" w:rsidP="00432DB4">
      <w:pPr>
        <w:spacing w:line="360" w:lineRule="auto"/>
        <w:jc w:val="both"/>
        <w:rPr>
          <w:rFonts w:ascii="Palatino Linotype" w:eastAsia="Calibri" w:hAnsi="Palatino Linotype" w:cs="Tahoma"/>
          <w:b/>
          <w:bCs/>
          <w:color w:val="FF0000"/>
          <w:sz w:val="22"/>
          <w:szCs w:val="22"/>
          <w:lang w:val="es-ES_tradnl" w:eastAsia="en-US"/>
        </w:rPr>
      </w:pPr>
      <w:r w:rsidRPr="0093448A">
        <w:rPr>
          <w:rFonts w:ascii="Palatino Linotype" w:eastAsia="Calibri" w:hAnsi="Palatino Linotype" w:cs="Tahoma"/>
          <w:b/>
          <w:sz w:val="22"/>
          <w:szCs w:val="22"/>
          <w:lang w:eastAsia="en-US"/>
        </w:rPr>
        <w:t>c) Acumulación de los asuntos.</w:t>
      </w:r>
      <w:r w:rsidRPr="0093448A">
        <w:rPr>
          <w:rFonts w:ascii="Palatino Linotype" w:eastAsia="Calibri" w:hAnsi="Palatino Linotype" w:cs="Tahoma"/>
          <w:sz w:val="22"/>
          <w:szCs w:val="22"/>
          <w:lang w:eastAsia="en-US"/>
        </w:rPr>
        <w:t xml:space="preserve"> El catorce de mayo de dos mil veinticinco, el Pleno del Instituto de Transparencia, Acceso a la Información Pública y Protección de Datos Personales del Estado de México y Municipios, durante la Décimo Séptima Sesión Ordinaria, celebrada el catorce de mayo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93448A">
        <w:rPr>
          <w:rFonts w:ascii="Palatino Linotype" w:eastAsia="Calibri" w:hAnsi="Palatino Linotype" w:cs="Tahoma"/>
          <w:b/>
          <w:bCs/>
          <w:sz w:val="22"/>
          <w:szCs w:val="22"/>
          <w:lang w:eastAsia="en-US"/>
        </w:rPr>
        <w:t xml:space="preserve">decretó </w:t>
      </w:r>
      <w:r w:rsidRPr="0093448A">
        <w:rPr>
          <w:rFonts w:ascii="Palatino Linotype" w:eastAsia="Calibri" w:hAnsi="Palatino Linotype" w:cs="Tahoma"/>
          <w:sz w:val="22"/>
          <w:szCs w:val="22"/>
          <w:lang w:eastAsia="en-US"/>
        </w:rPr>
        <w:t>la acumulación del Recurso de Revisión</w:t>
      </w:r>
      <w:r w:rsidRPr="0093448A">
        <w:rPr>
          <w:rFonts w:ascii="Palatino Linotype" w:eastAsia="Calibri" w:hAnsi="Palatino Linotype" w:cs="Tahoma"/>
          <w:sz w:val="22"/>
          <w:szCs w:val="22"/>
          <w:lang w:val="es-ES_tradnl" w:eastAsia="en-US"/>
        </w:rPr>
        <w:t>,</w:t>
      </w:r>
      <w:r w:rsidRPr="0093448A">
        <w:rPr>
          <w:rFonts w:ascii="Palatino Linotype" w:eastAsia="Calibri" w:hAnsi="Palatino Linotype" w:cs="Tahoma"/>
          <w:b/>
          <w:bCs/>
          <w:color w:val="FF0000"/>
          <w:sz w:val="22"/>
          <w:szCs w:val="22"/>
          <w:lang w:val="es-ES_tradnl" w:eastAsia="en-US"/>
        </w:rPr>
        <w:t xml:space="preserve"> </w:t>
      </w:r>
      <w:r w:rsidRPr="0093448A">
        <w:rPr>
          <w:rFonts w:ascii="Palatino Linotype" w:eastAsia="Calibri" w:hAnsi="Palatino Linotype" w:cs="Tahoma"/>
          <w:b/>
          <w:sz w:val="22"/>
          <w:szCs w:val="22"/>
          <w:lang w:eastAsia="en-US"/>
        </w:rPr>
        <w:t>04947/INFOEM/IP/RR/2025</w:t>
      </w:r>
      <w:r w:rsidRPr="0093448A">
        <w:rPr>
          <w:rFonts w:ascii="Palatino Linotype" w:eastAsia="Calibri" w:hAnsi="Palatino Linotype" w:cs="Tahoma"/>
          <w:b/>
          <w:bCs/>
          <w:sz w:val="22"/>
          <w:szCs w:val="22"/>
          <w:lang w:val="es-ES_tradnl" w:eastAsia="en-US"/>
        </w:rPr>
        <w:t xml:space="preserve"> </w:t>
      </w:r>
      <w:r w:rsidRPr="0093448A">
        <w:rPr>
          <w:rFonts w:ascii="Palatino Linotype" w:eastAsia="Calibri" w:hAnsi="Palatino Linotype" w:cs="Tahoma"/>
          <w:sz w:val="22"/>
          <w:szCs w:val="22"/>
          <w:lang w:eastAsia="en-US"/>
        </w:rPr>
        <w:t>al diverso</w:t>
      </w:r>
      <w:r w:rsidRPr="0093448A">
        <w:rPr>
          <w:rFonts w:ascii="Palatino Linotype" w:eastAsia="Calibri" w:hAnsi="Palatino Linotype" w:cs="Tahoma"/>
          <w:b/>
          <w:bCs/>
          <w:sz w:val="22"/>
          <w:szCs w:val="22"/>
          <w:lang w:val="es-ES_tradnl" w:eastAsia="en-US"/>
        </w:rPr>
        <w:t xml:space="preserve"> </w:t>
      </w:r>
      <w:r w:rsidRPr="0093448A">
        <w:rPr>
          <w:rFonts w:ascii="Palatino Linotype" w:eastAsia="Calibri" w:hAnsi="Palatino Linotype"/>
          <w:b/>
          <w:sz w:val="22"/>
          <w:szCs w:val="22"/>
          <w:lang w:eastAsia="en-US"/>
        </w:rPr>
        <w:t>04946/INFOEM/IP/RR/2025</w:t>
      </w:r>
      <w:r w:rsidRPr="0093448A">
        <w:rPr>
          <w:rFonts w:ascii="Palatino Linotype" w:eastAsia="Calibri" w:hAnsi="Palatino Linotype" w:cs="Tahoma"/>
          <w:b/>
          <w:bCs/>
          <w:sz w:val="22"/>
          <w:szCs w:val="22"/>
          <w:lang w:eastAsia="en-US"/>
        </w:rPr>
        <w:t>,</w:t>
      </w:r>
      <w:r w:rsidRPr="0093448A">
        <w:rPr>
          <w:rFonts w:ascii="Palatino Linotype" w:eastAsia="Calibri" w:hAnsi="Palatino Linotype" w:cs="Tahoma"/>
          <w:sz w:val="22"/>
          <w:szCs w:val="22"/>
          <w:lang w:eastAsia="en-US"/>
        </w:rPr>
        <w:t xml:space="preserve"> por ser este último el más antiguo, sustanciado bajo el índice de esta Ponencia.</w:t>
      </w:r>
    </w:p>
    <w:p w14:paraId="3AD3D4EF" w14:textId="77777777" w:rsidR="0093448A" w:rsidRPr="0093448A" w:rsidRDefault="0093448A" w:rsidP="00432DB4">
      <w:pPr>
        <w:spacing w:line="360" w:lineRule="auto"/>
        <w:jc w:val="both"/>
        <w:rPr>
          <w:rFonts w:ascii="Palatino Linotype" w:eastAsia="Calibri" w:hAnsi="Palatino Linotype" w:cs="Tahoma"/>
          <w:color w:val="FF0000"/>
          <w:sz w:val="22"/>
          <w:szCs w:val="22"/>
          <w:lang w:eastAsia="en-US"/>
        </w:rPr>
      </w:pPr>
    </w:p>
    <w:p w14:paraId="6B9C969C" w14:textId="77777777" w:rsidR="0093448A" w:rsidRPr="0093448A" w:rsidRDefault="0093448A" w:rsidP="00432DB4">
      <w:pPr>
        <w:spacing w:line="360" w:lineRule="auto"/>
        <w:jc w:val="both"/>
        <w:rPr>
          <w:rFonts w:ascii="Palatino Linotype" w:eastAsia="Calibri" w:hAnsi="Palatino Linotype" w:cs="Tahoma"/>
          <w:sz w:val="22"/>
          <w:szCs w:val="22"/>
          <w:lang w:eastAsia="en-US"/>
        </w:rPr>
      </w:pPr>
      <w:r w:rsidRPr="0093448A">
        <w:rPr>
          <w:rFonts w:ascii="Palatino Linotype" w:eastAsia="Calibri" w:hAnsi="Palatino Linotype" w:cs="Tahoma"/>
          <w:b/>
          <w:sz w:val="22"/>
          <w:szCs w:val="22"/>
          <w:lang w:eastAsia="en-US"/>
        </w:rPr>
        <w:t xml:space="preserve">d) </w:t>
      </w:r>
      <w:r w:rsidRPr="0093448A">
        <w:rPr>
          <w:rFonts w:ascii="Palatino Linotype" w:eastAsia="Calibri" w:hAnsi="Palatino Linotype" w:cs="Tahoma"/>
          <w:b/>
          <w:bCs/>
          <w:iCs/>
          <w:sz w:val="22"/>
          <w:szCs w:val="22"/>
          <w:lang w:val="es-ES" w:eastAsia="en-US"/>
        </w:rPr>
        <w:t xml:space="preserve">Informe Justificado o manifestaciones. </w:t>
      </w:r>
      <w:r w:rsidRPr="0093448A">
        <w:rPr>
          <w:rFonts w:ascii="Palatino Linotype" w:eastAsia="Calibri" w:hAnsi="Palatino Linotype" w:cs="Tahoma"/>
          <w:iCs/>
          <w:sz w:val="22"/>
          <w:szCs w:val="22"/>
          <w:lang w:val="es-ES" w:eastAsia="en-US"/>
        </w:rPr>
        <w:t>Las partes fueron omisas en emitir manifestaciones o alegatos</w:t>
      </w:r>
      <w:r w:rsidRPr="0093448A">
        <w:rPr>
          <w:rFonts w:ascii="Palatino Linotype" w:eastAsia="Calibri" w:hAnsi="Palatino Linotype" w:cs="Tahoma"/>
          <w:sz w:val="22"/>
          <w:szCs w:val="22"/>
          <w:lang w:eastAsia="en-US"/>
        </w:rPr>
        <w:t>.</w:t>
      </w:r>
    </w:p>
    <w:p w14:paraId="714ACAF1" w14:textId="77777777" w:rsidR="0093448A" w:rsidRPr="0093448A" w:rsidRDefault="0093448A" w:rsidP="00432DB4">
      <w:pPr>
        <w:spacing w:line="360" w:lineRule="auto"/>
        <w:jc w:val="both"/>
        <w:rPr>
          <w:rFonts w:ascii="Palatino Linotype" w:eastAsia="Calibri" w:hAnsi="Palatino Linotype" w:cs="Tahoma"/>
          <w:sz w:val="22"/>
          <w:szCs w:val="22"/>
          <w:lang w:eastAsia="en-US"/>
        </w:rPr>
      </w:pPr>
    </w:p>
    <w:p w14:paraId="5D586B85" w14:textId="77777777" w:rsidR="0093448A" w:rsidRPr="0093448A" w:rsidRDefault="0093448A" w:rsidP="00432DB4">
      <w:pPr>
        <w:spacing w:line="360" w:lineRule="auto"/>
        <w:jc w:val="both"/>
        <w:rPr>
          <w:rFonts w:ascii="Palatino Linotype" w:eastAsia="Calibri" w:hAnsi="Palatino Linotype" w:cs="Tahoma"/>
          <w:iCs/>
          <w:sz w:val="22"/>
          <w:szCs w:val="22"/>
          <w:lang w:val="es-ES" w:eastAsia="en-US"/>
        </w:rPr>
      </w:pPr>
      <w:r w:rsidRPr="0093448A">
        <w:rPr>
          <w:rFonts w:ascii="Palatino Linotype" w:eastAsia="Calibri" w:hAnsi="Palatino Linotype" w:cs="Tahoma"/>
          <w:b/>
          <w:sz w:val="22"/>
          <w:szCs w:val="22"/>
          <w:lang w:eastAsia="en-US"/>
        </w:rPr>
        <w:t xml:space="preserve">e) Ampliación de plazo para resolver. </w:t>
      </w:r>
      <w:r w:rsidRPr="0093448A">
        <w:rPr>
          <w:rFonts w:ascii="Palatino Linotype" w:eastAsia="Calibri" w:hAnsi="Palatino Linotype" w:cs="Tahoma"/>
          <w:iCs/>
          <w:sz w:val="22"/>
          <w:szCs w:val="22"/>
          <w:lang w:val="es-ES" w:eastAsia="en-US"/>
        </w:rPr>
        <w:t xml:space="preserve">El tres de julio de dos mil veinticinco, el Comisionado Ponente, con fundamento en lo dispuesto por el artículo 181, párrafo tercero, de la Ley de </w:t>
      </w:r>
      <w:r w:rsidRPr="0093448A">
        <w:rPr>
          <w:rFonts w:ascii="Palatino Linotype" w:eastAsia="Calibri" w:hAnsi="Palatino Linotype" w:cs="Tahoma"/>
          <w:iCs/>
          <w:sz w:val="22"/>
          <w:szCs w:val="22"/>
          <w:lang w:val="es-ES" w:eastAsia="en-US"/>
        </w:rPr>
        <w:lastRenderedPageBreak/>
        <w:t>Transparencia y Acceso a la Información Pública del Estado de México y Municipios, acordó ampliar por un periodo razonable, el plazo para resolver el Recurso de Revisión que nos ocupa; acto que fue notificado a las partes a través del Sistema de Acceso a la Información Mexiquense (SAIMEX).</w:t>
      </w:r>
    </w:p>
    <w:p w14:paraId="2421C3C8" w14:textId="77777777" w:rsidR="0093448A" w:rsidRPr="0093448A" w:rsidRDefault="0093448A" w:rsidP="00432DB4">
      <w:pPr>
        <w:spacing w:line="360" w:lineRule="auto"/>
        <w:jc w:val="both"/>
        <w:rPr>
          <w:rFonts w:ascii="Palatino Linotype" w:eastAsia="Calibri" w:hAnsi="Palatino Linotype" w:cs="Tahoma"/>
          <w:iCs/>
          <w:sz w:val="22"/>
          <w:szCs w:val="22"/>
          <w:lang w:val="es-ES" w:eastAsia="en-US"/>
        </w:rPr>
      </w:pPr>
    </w:p>
    <w:p w14:paraId="3E6089CD" w14:textId="77777777" w:rsidR="0093448A" w:rsidRPr="0093448A" w:rsidRDefault="0093448A" w:rsidP="00432DB4">
      <w:pPr>
        <w:spacing w:line="360" w:lineRule="auto"/>
        <w:jc w:val="both"/>
        <w:rPr>
          <w:rFonts w:ascii="Palatino Linotype" w:hAnsi="Palatino Linotype" w:cs="Tahoma"/>
          <w:sz w:val="22"/>
          <w:szCs w:val="24"/>
        </w:rPr>
      </w:pPr>
      <w:r w:rsidRPr="0093448A">
        <w:rPr>
          <w:rFonts w:ascii="Palatino Linotype" w:hAnsi="Palatino Linotype" w:cs="Tahoma"/>
          <w:b/>
          <w:sz w:val="22"/>
          <w:szCs w:val="24"/>
        </w:rPr>
        <w:t>f) Cierre de instrucción.</w:t>
      </w:r>
      <w:r w:rsidRPr="0093448A">
        <w:rPr>
          <w:rFonts w:ascii="Palatino Linotype" w:hAnsi="Palatino Linotype" w:cs="Tahoma"/>
          <w:sz w:val="22"/>
          <w:szCs w:val="24"/>
        </w:rPr>
        <w:t xml:space="preserve"> El tres de julio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3448A">
        <w:rPr>
          <w:rFonts w:ascii="Palatino Linotype" w:hAnsi="Palatino Linotype" w:cs="Tahoma"/>
          <w:sz w:val="22"/>
          <w:lang w:val="es-ES"/>
        </w:rPr>
        <w:t>Sistema de Acceso a la Información Mexiquense (SAIMEX)</w:t>
      </w:r>
      <w:r w:rsidRPr="0093448A">
        <w:rPr>
          <w:rFonts w:ascii="Palatino Linotype" w:hAnsi="Palatino Linotype" w:cs="Tahoma"/>
          <w:sz w:val="22"/>
          <w:szCs w:val="24"/>
        </w:rPr>
        <w:t xml:space="preserve">. </w:t>
      </w:r>
    </w:p>
    <w:p w14:paraId="64D788AE" w14:textId="77777777" w:rsidR="0094599B" w:rsidRDefault="0094599B" w:rsidP="00432DB4">
      <w:pPr>
        <w:spacing w:line="360" w:lineRule="auto"/>
        <w:jc w:val="both"/>
        <w:rPr>
          <w:rFonts w:ascii="Palatino Linotype" w:hAnsi="Palatino Linotype"/>
          <w:sz w:val="22"/>
          <w:szCs w:val="22"/>
        </w:rPr>
      </w:pPr>
    </w:p>
    <w:p w14:paraId="245826DC" w14:textId="4E06621D" w:rsidR="0094599B" w:rsidRPr="0012699B" w:rsidRDefault="0093448A" w:rsidP="00432DB4">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w:t>
      </w:r>
      <w:r w:rsidR="0094599B" w:rsidRPr="0012699B">
        <w:rPr>
          <w:rFonts w:ascii="Palatino Linotype" w:eastAsia="Palatino Linotype" w:hAnsi="Palatino Linotype" w:cs="Palatino Linotype"/>
          <w:b/>
          <w:sz w:val="22"/>
          <w:szCs w:val="22"/>
        </w:rPr>
        <w:t xml:space="preserve">) Resolución del Recurso de Revisión </w:t>
      </w:r>
      <w:r>
        <w:rPr>
          <w:rFonts w:ascii="Palatino Linotype" w:eastAsia="Palatino Linotype" w:hAnsi="Palatino Linotype" w:cs="Palatino Linotype"/>
          <w:b/>
          <w:sz w:val="22"/>
          <w:szCs w:val="22"/>
        </w:rPr>
        <w:t>04946/INFOEM/IP/RR/2025.</w:t>
      </w:r>
      <w:r w:rsidR="0094599B" w:rsidRPr="0012699B">
        <w:rPr>
          <w:rFonts w:ascii="Palatino Linotype" w:eastAsia="Palatino Linotype" w:hAnsi="Palatino Linotype" w:cs="Palatino Linotype"/>
          <w:b/>
          <w:sz w:val="22"/>
          <w:szCs w:val="22"/>
        </w:rPr>
        <w:t xml:space="preserve"> </w:t>
      </w:r>
      <w:r w:rsidR="0094599B" w:rsidRPr="0012699B">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nueve de julio</w:t>
      </w:r>
      <w:r w:rsidR="0094599B" w:rsidRPr="0012699B">
        <w:rPr>
          <w:rFonts w:ascii="Palatino Linotype" w:eastAsia="Palatino Linotype" w:hAnsi="Palatino Linotype" w:cs="Palatino Linotype"/>
          <w:sz w:val="22"/>
          <w:szCs w:val="22"/>
        </w:rPr>
        <w:t xml:space="preserve"> de dos mil veinticinco, el Pleno del Instituto de Transparencia, Accesos la Información Pública y Protección de Datos Personales del Estado de México y Municipios, durante la </w:t>
      </w:r>
      <w:r w:rsidR="00E50F58">
        <w:rPr>
          <w:rFonts w:ascii="Palatino Linotype" w:eastAsia="Palatino Linotype" w:hAnsi="Palatino Linotype" w:cs="Palatino Linotype"/>
          <w:sz w:val="22"/>
          <w:szCs w:val="22"/>
        </w:rPr>
        <w:t xml:space="preserve">Vigésima Cuarta </w:t>
      </w:r>
      <w:r w:rsidR="0094599B" w:rsidRPr="0012699B">
        <w:rPr>
          <w:rFonts w:ascii="Palatino Linotype" w:eastAsia="Palatino Linotype" w:hAnsi="Palatino Linotype" w:cs="Palatino Linotype"/>
          <w:sz w:val="22"/>
          <w:szCs w:val="22"/>
        </w:rPr>
        <w:t>Sesión Ordinaria, aprobó por Unanimidad de votos, la Resolución del Recurso de Revisión, en la cual se determinó lo siguiente:</w:t>
      </w:r>
    </w:p>
    <w:p w14:paraId="5F89EA0D" w14:textId="77777777" w:rsidR="00081C23" w:rsidRDefault="00081C23" w:rsidP="00432DB4">
      <w:pPr>
        <w:spacing w:line="360" w:lineRule="auto"/>
        <w:jc w:val="both"/>
        <w:rPr>
          <w:rFonts w:ascii="Palatino Linotype" w:hAnsi="Palatino Linotype"/>
          <w:b/>
          <w:sz w:val="22"/>
          <w:szCs w:val="22"/>
        </w:rPr>
      </w:pPr>
    </w:p>
    <w:p w14:paraId="6569260D" w14:textId="77777777" w:rsidR="0094599B" w:rsidRPr="0012699B" w:rsidRDefault="0094599B" w:rsidP="00432DB4">
      <w:pPr>
        <w:spacing w:line="360" w:lineRule="auto"/>
        <w:ind w:left="567" w:right="567"/>
        <w:contextualSpacing/>
        <w:jc w:val="both"/>
        <w:rPr>
          <w:rFonts w:ascii="Palatino Linotype" w:eastAsia="Palatino Linotype" w:hAnsi="Palatino Linotype" w:cs="Palatino Linotype"/>
          <w:i/>
        </w:rPr>
      </w:pPr>
      <w:r w:rsidRPr="0012699B">
        <w:rPr>
          <w:rFonts w:ascii="Palatino Linotype" w:eastAsia="Palatino Linotype" w:hAnsi="Palatino Linotype" w:cs="Palatino Linotype"/>
          <w:i/>
        </w:rPr>
        <w:t>“…</w:t>
      </w:r>
    </w:p>
    <w:p w14:paraId="763D90BB" w14:textId="77777777" w:rsidR="00E50F58" w:rsidRPr="00E50F58" w:rsidRDefault="00E50F58" w:rsidP="00432DB4">
      <w:pPr>
        <w:spacing w:line="360" w:lineRule="auto"/>
        <w:ind w:left="567" w:right="567"/>
        <w:contextualSpacing/>
        <w:jc w:val="both"/>
        <w:rPr>
          <w:rFonts w:ascii="Palatino Linotype" w:eastAsia="Palatino Linotype" w:hAnsi="Palatino Linotype" w:cs="Palatino Linotype"/>
          <w:b/>
          <w:i/>
          <w:lang w:val="es-ES_tradnl"/>
        </w:rPr>
      </w:pPr>
      <w:r w:rsidRPr="00E50F58">
        <w:rPr>
          <w:rFonts w:ascii="Palatino Linotype" w:eastAsia="Palatino Linotype" w:hAnsi="Palatino Linotype" w:cs="Palatino Linotype"/>
          <w:b/>
          <w:bCs/>
          <w:i/>
          <w:iCs/>
          <w:lang w:val="es-ES"/>
        </w:rPr>
        <w:t xml:space="preserve">PRIMERO. </w:t>
      </w:r>
      <w:r w:rsidRPr="00E50F58">
        <w:rPr>
          <w:rFonts w:ascii="Palatino Linotype" w:eastAsia="Palatino Linotype" w:hAnsi="Palatino Linotype" w:cs="Palatino Linotype"/>
          <w:i/>
          <w:iCs/>
          <w:lang w:val="es-ES"/>
        </w:rPr>
        <w:t>Resultan</w:t>
      </w:r>
      <w:r w:rsidRPr="00E50F58">
        <w:rPr>
          <w:rFonts w:ascii="Palatino Linotype" w:eastAsia="Palatino Linotype" w:hAnsi="Palatino Linotype" w:cs="Palatino Linotype"/>
          <w:b/>
          <w:bCs/>
          <w:i/>
          <w:iCs/>
          <w:lang w:val="es-ES"/>
        </w:rPr>
        <w:t xml:space="preserve"> FUNDADAS </w:t>
      </w:r>
      <w:r w:rsidRPr="00E50F58">
        <w:rPr>
          <w:rFonts w:ascii="Palatino Linotype" w:eastAsia="Palatino Linotype" w:hAnsi="Palatino Linotype" w:cs="Palatino Linotype"/>
          <w:i/>
          <w:iCs/>
          <w:lang w:val="es-ES"/>
        </w:rPr>
        <w:t>las razones o motivos de inconformidad hechos valer por el Particular en los Recursos de Revisión</w:t>
      </w:r>
      <w:r w:rsidRPr="00E50F58">
        <w:rPr>
          <w:rFonts w:ascii="Palatino Linotype" w:eastAsia="Palatino Linotype" w:hAnsi="Palatino Linotype" w:cs="Palatino Linotype"/>
          <w:i/>
          <w:lang w:val="es-ES_tradnl"/>
        </w:rPr>
        <w:t xml:space="preserve"> </w:t>
      </w:r>
      <w:r w:rsidRPr="00E50F58">
        <w:rPr>
          <w:rFonts w:ascii="Palatino Linotype" w:eastAsia="Palatino Linotype" w:hAnsi="Palatino Linotype" w:cs="Palatino Linotype"/>
          <w:i/>
        </w:rPr>
        <w:t>04946/INFOEM/IP/RR/2025 y 04947/INFOEM/IP/RR/2025</w:t>
      </w:r>
      <w:r w:rsidRPr="00E50F58">
        <w:rPr>
          <w:rFonts w:ascii="Palatino Linotype" w:eastAsia="Palatino Linotype" w:hAnsi="Palatino Linotype" w:cs="Palatino Linotype"/>
          <w:i/>
          <w:iCs/>
          <w:lang w:val="es-ES"/>
        </w:rPr>
        <w:t>, en términos del considerando</w:t>
      </w:r>
      <w:r w:rsidRPr="00E50F58">
        <w:rPr>
          <w:rFonts w:ascii="Palatino Linotype" w:eastAsia="Palatino Linotype" w:hAnsi="Palatino Linotype" w:cs="Palatino Linotype"/>
          <w:b/>
          <w:bCs/>
          <w:i/>
          <w:iCs/>
          <w:lang w:val="es-ES"/>
        </w:rPr>
        <w:t xml:space="preserve"> QUINTO y SEXTO </w:t>
      </w:r>
      <w:r w:rsidRPr="00E50F58">
        <w:rPr>
          <w:rFonts w:ascii="Palatino Linotype" w:eastAsia="Palatino Linotype" w:hAnsi="Palatino Linotype" w:cs="Palatino Linotype"/>
          <w:i/>
          <w:iCs/>
          <w:lang w:val="es-ES"/>
        </w:rPr>
        <w:t>de la presente Resolución.</w:t>
      </w:r>
    </w:p>
    <w:p w14:paraId="32E63F22" w14:textId="77777777" w:rsidR="00E50F58" w:rsidRPr="00E50F58" w:rsidRDefault="00E50F58" w:rsidP="00432DB4">
      <w:pPr>
        <w:spacing w:line="360" w:lineRule="auto"/>
        <w:ind w:left="567" w:right="567"/>
        <w:contextualSpacing/>
        <w:jc w:val="both"/>
        <w:rPr>
          <w:rFonts w:ascii="Palatino Linotype" w:eastAsia="Palatino Linotype" w:hAnsi="Palatino Linotype" w:cs="Palatino Linotype"/>
          <w:b/>
          <w:bCs/>
          <w:i/>
          <w:iCs/>
          <w:lang w:val="es-ES"/>
        </w:rPr>
      </w:pPr>
    </w:p>
    <w:p w14:paraId="4610D617" w14:textId="77777777" w:rsidR="00E50F58" w:rsidRPr="00E50F58" w:rsidRDefault="00E50F58" w:rsidP="00432DB4">
      <w:pPr>
        <w:spacing w:line="360" w:lineRule="auto"/>
        <w:ind w:left="567" w:right="567"/>
        <w:contextualSpacing/>
        <w:jc w:val="both"/>
        <w:rPr>
          <w:rFonts w:ascii="Palatino Linotype" w:eastAsia="Palatino Linotype" w:hAnsi="Palatino Linotype" w:cs="Palatino Linotype"/>
          <w:b/>
          <w:i/>
        </w:rPr>
      </w:pPr>
      <w:r w:rsidRPr="00E50F58">
        <w:rPr>
          <w:rFonts w:ascii="Palatino Linotype" w:eastAsia="Palatino Linotype" w:hAnsi="Palatino Linotype" w:cs="Palatino Linotype"/>
          <w:b/>
          <w:bCs/>
          <w:i/>
          <w:iCs/>
          <w:lang w:val="es-ES"/>
        </w:rPr>
        <w:t xml:space="preserve">SEGUNDO. </w:t>
      </w:r>
      <w:r w:rsidRPr="00E50F58">
        <w:rPr>
          <w:rFonts w:ascii="Palatino Linotype" w:eastAsia="Palatino Linotype" w:hAnsi="Palatino Linotype" w:cs="Palatino Linotype"/>
          <w:i/>
          <w:iCs/>
          <w:lang w:val="es-ES"/>
        </w:rPr>
        <w:t>Se</w:t>
      </w:r>
      <w:r w:rsidRPr="00E50F58">
        <w:rPr>
          <w:rFonts w:ascii="Palatino Linotype" w:eastAsia="Palatino Linotype" w:hAnsi="Palatino Linotype" w:cs="Palatino Linotype"/>
          <w:b/>
          <w:bCs/>
          <w:i/>
          <w:iCs/>
          <w:lang w:val="es-ES"/>
        </w:rPr>
        <w:t xml:space="preserve"> ORDENA </w:t>
      </w:r>
      <w:r w:rsidRPr="00E50F58">
        <w:rPr>
          <w:rFonts w:ascii="Palatino Linotype" w:eastAsia="Palatino Linotype" w:hAnsi="Palatino Linotype" w:cs="Palatino Linotype"/>
          <w:i/>
          <w:iCs/>
          <w:lang w:val="es-ES"/>
        </w:rPr>
        <w:t xml:space="preserve">al Sujeto Obligado, a efecto de que dé atención a las solicitudes de acceso a la información </w:t>
      </w:r>
      <w:r w:rsidRPr="00E50F58">
        <w:rPr>
          <w:rFonts w:ascii="Palatino Linotype" w:eastAsia="Palatino Linotype" w:hAnsi="Palatino Linotype" w:cs="Palatino Linotype"/>
          <w:i/>
        </w:rPr>
        <w:t>00277/ECATEPEC/IP/2025 y 00276/ECATEPEC/IP/2025.</w:t>
      </w:r>
      <w:r w:rsidRPr="00E50F58">
        <w:rPr>
          <w:rFonts w:ascii="Palatino Linotype" w:eastAsia="Palatino Linotype" w:hAnsi="Palatino Linotype" w:cs="Palatino Linotype"/>
          <w:i/>
          <w:iCs/>
          <w:lang w:val="es-ES"/>
        </w:rPr>
        <w:t xml:space="preserve">, a través del Sistema </w:t>
      </w:r>
      <w:r w:rsidRPr="00E50F58">
        <w:rPr>
          <w:rFonts w:ascii="Palatino Linotype" w:eastAsia="Palatino Linotype" w:hAnsi="Palatino Linotype" w:cs="Palatino Linotype"/>
          <w:i/>
          <w:iCs/>
          <w:lang w:val="es-ES"/>
        </w:rPr>
        <w:lastRenderedPageBreak/>
        <w:t>de Acceso a la Información Mexiquense (SAIMEX), dé la respuesta que conforme a derecho corresponda.</w:t>
      </w:r>
    </w:p>
    <w:p w14:paraId="0EF208ED" w14:textId="77777777" w:rsidR="00E50F58" w:rsidRPr="00E50F58" w:rsidRDefault="00E50F58" w:rsidP="00432DB4">
      <w:pPr>
        <w:spacing w:line="360" w:lineRule="auto"/>
        <w:ind w:left="567" w:right="567"/>
        <w:contextualSpacing/>
        <w:jc w:val="both"/>
        <w:rPr>
          <w:rFonts w:ascii="Palatino Linotype" w:eastAsia="Palatino Linotype" w:hAnsi="Palatino Linotype" w:cs="Palatino Linotype"/>
          <w:b/>
          <w:bCs/>
          <w:i/>
          <w:iCs/>
          <w:lang w:val="es-ES"/>
        </w:rPr>
      </w:pPr>
    </w:p>
    <w:p w14:paraId="764D1408" w14:textId="77777777" w:rsidR="00E50F58" w:rsidRPr="00E50F58" w:rsidRDefault="00E50F58" w:rsidP="00432DB4">
      <w:pPr>
        <w:spacing w:line="360" w:lineRule="auto"/>
        <w:ind w:left="567" w:right="567"/>
        <w:contextualSpacing/>
        <w:jc w:val="both"/>
        <w:rPr>
          <w:rFonts w:ascii="Palatino Linotype" w:eastAsia="Palatino Linotype" w:hAnsi="Palatino Linotype" w:cs="Palatino Linotype"/>
          <w:b/>
          <w:bCs/>
          <w:i/>
          <w:iCs/>
          <w:lang w:val="es-ES"/>
        </w:rPr>
      </w:pPr>
      <w:r w:rsidRPr="00E50F58">
        <w:rPr>
          <w:rFonts w:ascii="Palatino Linotype" w:eastAsia="Palatino Linotype" w:hAnsi="Palatino Linotype" w:cs="Palatino Linotype"/>
          <w:b/>
          <w:bCs/>
          <w:i/>
          <w:iCs/>
          <w:lang w:val="es-ES"/>
        </w:rPr>
        <w:t xml:space="preserve">TERCERO. </w:t>
      </w:r>
      <w:r w:rsidRPr="00E50F58">
        <w:rPr>
          <w:rFonts w:ascii="Palatino Linotype" w:eastAsia="Palatino Linotype" w:hAnsi="Palatino Linotype" w:cs="Palatino Linotype"/>
          <w:i/>
          <w:iCs/>
          <w:lang w:val="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E50F58">
        <w:rPr>
          <w:rFonts w:ascii="Palatino Linotype" w:eastAsia="Palatino Linotype" w:hAnsi="Palatino Linotype" w:cs="Palatino Linotype"/>
          <w:b/>
          <w:bCs/>
          <w:i/>
          <w:iCs/>
          <w:lang w:val="es-ES"/>
        </w:rPr>
        <w:t xml:space="preserve">  </w:t>
      </w:r>
    </w:p>
    <w:p w14:paraId="592B13DC" w14:textId="77777777" w:rsidR="0094599B" w:rsidRDefault="0094599B" w:rsidP="00432DB4">
      <w:pPr>
        <w:spacing w:line="360" w:lineRule="auto"/>
        <w:ind w:left="567" w:right="567"/>
        <w:contextualSpacing/>
        <w:jc w:val="both"/>
        <w:rPr>
          <w:rFonts w:ascii="Palatino Linotype" w:eastAsia="Palatino Linotype" w:hAnsi="Palatino Linotype" w:cs="Palatino Linotype"/>
          <w:i/>
        </w:rPr>
      </w:pPr>
      <w:r w:rsidRPr="0012699B">
        <w:rPr>
          <w:rFonts w:ascii="Palatino Linotype" w:eastAsia="Palatino Linotype" w:hAnsi="Palatino Linotype" w:cs="Palatino Linotype"/>
          <w:i/>
        </w:rPr>
        <w:t>…”</w:t>
      </w:r>
    </w:p>
    <w:p w14:paraId="7523668B" w14:textId="77777777" w:rsidR="0094599B" w:rsidRDefault="0094599B" w:rsidP="00432DB4">
      <w:pPr>
        <w:spacing w:line="360" w:lineRule="auto"/>
        <w:ind w:left="567" w:right="567"/>
        <w:contextualSpacing/>
        <w:jc w:val="both"/>
        <w:rPr>
          <w:rFonts w:ascii="Palatino Linotype" w:eastAsia="Palatino Linotype" w:hAnsi="Palatino Linotype" w:cs="Palatino Linotype"/>
          <w:i/>
        </w:rPr>
      </w:pPr>
    </w:p>
    <w:p w14:paraId="243A234E" w14:textId="657D4AAC" w:rsidR="0094599B" w:rsidRDefault="0094599B" w:rsidP="00432DB4">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f</w:t>
      </w:r>
      <w:r w:rsidRPr="0012699B">
        <w:rPr>
          <w:rFonts w:ascii="Palatino Linotype" w:eastAsia="Palatino Linotype" w:hAnsi="Palatino Linotype" w:cs="Palatino Linotype"/>
          <w:b/>
          <w:sz w:val="22"/>
          <w:szCs w:val="22"/>
        </w:rPr>
        <w:t xml:space="preserve">) Notificación de la Resolución del Recurso de Revisión </w:t>
      </w:r>
      <w:r w:rsidR="0093448A">
        <w:rPr>
          <w:rFonts w:ascii="Palatino Linotype" w:eastAsia="Palatino Linotype" w:hAnsi="Palatino Linotype" w:cs="Palatino Linotype"/>
          <w:b/>
          <w:sz w:val="22"/>
          <w:szCs w:val="22"/>
        </w:rPr>
        <w:t>04946/INFOEM/IP/RR/</w:t>
      </w:r>
      <w:r w:rsidR="00E50F58">
        <w:rPr>
          <w:rFonts w:ascii="Palatino Linotype" w:eastAsia="Palatino Linotype" w:hAnsi="Palatino Linotype" w:cs="Palatino Linotype"/>
          <w:b/>
          <w:sz w:val="22"/>
          <w:szCs w:val="22"/>
        </w:rPr>
        <w:t>2025.</w:t>
      </w:r>
      <w:r w:rsidRPr="0012699B">
        <w:rPr>
          <w:rFonts w:ascii="Palatino Linotype" w:eastAsia="Palatino Linotype" w:hAnsi="Palatino Linotype" w:cs="Palatino Linotype"/>
          <w:b/>
          <w:sz w:val="22"/>
          <w:szCs w:val="22"/>
        </w:rPr>
        <w:t xml:space="preserve"> </w:t>
      </w:r>
      <w:r w:rsidRPr="0012699B">
        <w:rPr>
          <w:rFonts w:ascii="Palatino Linotype" w:eastAsia="Palatino Linotype" w:hAnsi="Palatino Linotype" w:cs="Palatino Linotype"/>
          <w:sz w:val="22"/>
          <w:szCs w:val="22"/>
        </w:rPr>
        <w:t xml:space="preserve">El </w:t>
      </w:r>
      <w:r w:rsidR="00E50F58">
        <w:rPr>
          <w:rFonts w:ascii="Palatino Linotype" w:eastAsia="Palatino Linotype" w:hAnsi="Palatino Linotype" w:cs="Palatino Linotype"/>
          <w:sz w:val="22"/>
          <w:szCs w:val="22"/>
        </w:rPr>
        <w:t>catorce de julio</w:t>
      </w:r>
      <w:r w:rsidRPr="0012699B">
        <w:rPr>
          <w:rFonts w:ascii="Palatino Linotype" w:eastAsia="Palatino Linotype" w:hAnsi="Palatino Linotype" w:cs="Palatino Linotype"/>
          <w:sz w:val="22"/>
          <w:szCs w:val="22"/>
        </w:rPr>
        <w:t xml:space="preserve"> de dos mil veinticinco, se notificó </w:t>
      </w:r>
      <w:r w:rsidR="00E50F58" w:rsidRPr="0093448A">
        <w:rPr>
          <w:rFonts w:ascii="Palatino Linotype" w:hAnsi="Palatino Linotype" w:cs="Tahoma"/>
          <w:sz w:val="22"/>
          <w:szCs w:val="24"/>
        </w:rPr>
        <w:t xml:space="preserve">a través del </w:t>
      </w:r>
      <w:r w:rsidR="00E50F58" w:rsidRPr="0093448A">
        <w:rPr>
          <w:rFonts w:ascii="Palatino Linotype" w:hAnsi="Palatino Linotype" w:cs="Tahoma"/>
          <w:sz w:val="22"/>
          <w:lang w:val="es-ES"/>
        </w:rPr>
        <w:t>Sistema de Acceso a la Información Mexiquense (SAIMEX)</w:t>
      </w:r>
      <w:r w:rsidRPr="0012699B">
        <w:rPr>
          <w:rFonts w:ascii="Palatino Linotype" w:eastAsia="Palatino Linotype" w:hAnsi="Palatino Linotype" w:cs="Palatino Linotype"/>
          <w:sz w:val="22"/>
          <w:szCs w:val="22"/>
        </w:rPr>
        <w:t>, a las partes, la resolución del Medio de Impugnación previamente referido.</w:t>
      </w:r>
    </w:p>
    <w:p w14:paraId="050539A6" w14:textId="77777777" w:rsidR="00081C23" w:rsidRDefault="00081C23" w:rsidP="00432DB4">
      <w:pPr>
        <w:spacing w:line="360" w:lineRule="auto"/>
        <w:contextualSpacing/>
        <w:jc w:val="both"/>
        <w:rPr>
          <w:rFonts w:ascii="Palatino Linotype" w:eastAsia="Palatino Linotype" w:hAnsi="Palatino Linotype" w:cs="Palatino Linotype"/>
          <w:sz w:val="22"/>
          <w:szCs w:val="22"/>
        </w:rPr>
      </w:pPr>
    </w:p>
    <w:p w14:paraId="210FBBCD" w14:textId="01601BFD" w:rsidR="00081C23" w:rsidRDefault="001E0D5D" w:rsidP="00432DB4">
      <w:pPr>
        <w:pStyle w:val="Ttulo2"/>
        <w:jc w:val="both"/>
        <w:rPr>
          <w:rFonts w:eastAsiaTheme="minorHAnsi"/>
          <w:lang w:eastAsia="en-US"/>
        </w:rPr>
      </w:pPr>
      <w:bookmarkStart w:id="12" w:name="_Toc221202149"/>
      <w:r w:rsidRPr="00B93955">
        <w:rPr>
          <w:rFonts w:eastAsia="Palatino Linotype" w:cs="Palatino Linotype"/>
          <w:color w:val="000000"/>
          <w:szCs w:val="22"/>
        </w:rPr>
        <w:t>V</w:t>
      </w:r>
      <w:r w:rsidR="0086101D">
        <w:rPr>
          <w:rFonts w:eastAsia="Palatino Linotype" w:cs="Palatino Linotype"/>
          <w:color w:val="000000"/>
          <w:szCs w:val="22"/>
        </w:rPr>
        <w:t>II</w:t>
      </w:r>
      <w:r w:rsidR="0094599B" w:rsidRPr="00B93955">
        <w:rPr>
          <w:rFonts w:eastAsia="Palatino Linotype" w:cs="Palatino Linotype"/>
          <w:color w:val="000000"/>
          <w:szCs w:val="22"/>
        </w:rPr>
        <w:t>.</w:t>
      </w:r>
      <w:r w:rsidR="0094599B" w:rsidRPr="0012699B">
        <w:rPr>
          <w:rFonts w:eastAsia="Palatino Linotype" w:cs="Palatino Linotype"/>
          <w:color w:val="000000"/>
          <w:szCs w:val="22"/>
        </w:rPr>
        <w:t xml:space="preserve"> </w:t>
      </w:r>
      <w:r w:rsidR="00081C23" w:rsidRPr="00626816">
        <w:t xml:space="preserve">Entrega de la información en cumplimiento a la Resolución del Recurso de Revisión </w:t>
      </w:r>
      <w:r w:rsidR="00081C23" w:rsidRPr="00626816">
        <w:rPr>
          <w:rFonts w:eastAsiaTheme="minorHAnsi"/>
          <w:lang w:eastAsia="en-US"/>
        </w:rPr>
        <w:t>0</w:t>
      </w:r>
      <w:r w:rsidR="0093448A">
        <w:rPr>
          <w:rFonts w:eastAsiaTheme="minorHAnsi"/>
          <w:lang w:eastAsia="en-US"/>
        </w:rPr>
        <w:t>04946/INFOEM/IP/RR/2025</w:t>
      </w:r>
      <w:r w:rsidR="00081C23">
        <w:rPr>
          <w:rFonts w:eastAsiaTheme="minorHAnsi"/>
          <w:lang w:eastAsia="en-US"/>
        </w:rPr>
        <w:t>.</w:t>
      </w:r>
      <w:bookmarkEnd w:id="12"/>
    </w:p>
    <w:p w14:paraId="0078662F" w14:textId="77777777" w:rsidR="00081C23" w:rsidRPr="00081C23" w:rsidRDefault="00081C23" w:rsidP="00432DB4">
      <w:pPr>
        <w:spacing w:line="360" w:lineRule="auto"/>
        <w:rPr>
          <w:lang w:eastAsia="en-US"/>
        </w:rPr>
      </w:pPr>
    </w:p>
    <w:p w14:paraId="178072A7" w14:textId="2F7BA862" w:rsidR="003D3C27" w:rsidRDefault="00081C23" w:rsidP="00432DB4">
      <w:pPr>
        <w:spacing w:line="360" w:lineRule="auto"/>
        <w:jc w:val="both"/>
        <w:rPr>
          <w:rFonts w:ascii="Palatino Linotype" w:eastAsiaTheme="minorHAnsi" w:hAnsi="Palatino Linotype" w:cs="Tahoma"/>
          <w:bCs/>
          <w:sz w:val="22"/>
          <w:szCs w:val="22"/>
          <w:lang w:val="es-ES" w:eastAsia="en-US"/>
        </w:rPr>
      </w:pPr>
      <w:r w:rsidRPr="00626816">
        <w:rPr>
          <w:rFonts w:ascii="Palatino Linotype" w:hAnsi="Palatino Linotype" w:cs="Tahoma"/>
          <w:sz w:val="22"/>
          <w:szCs w:val="22"/>
        </w:rPr>
        <w:t xml:space="preserve">El </w:t>
      </w:r>
      <w:r w:rsidR="00250BC2">
        <w:rPr>
          <w:rFonts w:ascii="Palatino Linotype" w:hAnsi="Palatino Linotype" w:cs="Tahoma"/>
          <w:sz w:val="22"/>
          <w:szCs w:val="22"/>
        </w:rPr>
        <w:t>once de agosto</w:t>
      </w:r>
      <w:r w:rsidRPr="00626816">
        <w:rPr>
          <w:rFonts w:ascii="Palatino Linotype" w:hAnsi="Palatino Linotype" w:cs="Tahoma"/>
          <w:sz w:val="22"/>
          <w:szCs w:val="22"/>
        </w:rPr>
        <w:t xml:space="preserve"> de dos mil veinticinco, </w:t>
      </w:r>
      <w:r w:rsidRPr="00626816">
        <w:rPr>
          <w:rFonts w:ascii="Palatino Linotype" w:eastAsiaTheme="minorHAnsi" w:hAnsi="Palatino Linotype" w:cs="Tahoma"/>
          <w:sz w:val="22"/>
          <w:szCs w:val="22"/>
          <w:lang w:eastAsia="en-US"/>
        </w:rPr>
        <w:t xml:space="preserve">el Sujeto Obligado notificó a través </w:t>
      </w:r>
      <w:r w:rsidRPr="00626816">
        <w:rPr>
          <w:rFonts w:ascii="Palatino Linotype" w:eastAsiaTheme="minorHAnsi" w:hAnsi="Palatino Linotype" w:cs="Tahoma"/>
          <w:bCs/>
          <w:sz w:val="22"/>
          <w:szCs w:val="22"/>
          <w:lang w:eastAsia="en-US"/>
        </w:rPr>
        <w:t xml:space="preserve">del Sistema de Acceso a la Información Mexiquense </w:t>
      </w:r>
      <w:r w:rsidRPr="00626816">
        <w:rPr>
          <w:rFonts w:ascii="Palatino Linotype" w:eastAsiaTheme="minorHAnsi" w:hAnsi="Palatino Linotype" w:cs="Tahoma"/>
          <w:bCs/>
          <w:sz w:val="22"/>
          <w:szCs w:val="22"/>
          <w:lang w:val="es-ES" w:eastAsia="en-US"/>
        </w:rPr>
        <w:t xml:space="preserve">(SAIMEX), </w:t>
      </w:r>
      <w:r w:rsidR="00FD0C12">
        <w:rPr>
          <w:rFonts w:ascii="Palatino Linotype" w:eastAsiaTheme="minorHAnsi" w:hAnsi="Palatino Linotype" w:cs="Tahoma"/>
          <w:bCs/>
          <w:sz w:val="22"/>
          <w:szCs w:val="22"/>
          <w:lang w:val="es-ES" w:eastAsia="en-US"/>
        </w:rPr>
        <w:t xml:space="preserve">la respuesta a la solicitud de información, para dar cumplimiento a la determinación del </w:t>
      </w:r>
      <w:r w:rsidRPr="00626816">
        <w:rPr>
          <w:rFonts w:ascii="Palatino Linotype" w:eastAsiaTheme="minorHAnsi" w:hAnsi="Palatino Linotype" w:cs="Tahoma"/>
          <w:bCs/>
          <w:sz w:val="22"/>
          <w:szCs w:val="22"/>
          <w:lang w:val="es-ES" w:eastAsia="en-US"/>
        </w:rPr>
        <w:t xml:space="preserve">Recurso de Revisión, a través </w:t>
      </w:r>
      <w:r w:rsidR="003D3C27">
        <w:rPr>
          <w:rFonts w:ascii="Palatino Linotype" w:eastAsiaTheme="minorHAnsi" w:hAnsi="Palatino Linotype" w:cs="Tahoma"/>
          <w:bCs/>
          <w:sz w:val="22"/>
          <w:szCs w:val="22"/>
          <w:lang w:val="es-ES" w:eastAsia="en-US"/>
        </w:rPr>
        <w:t>del siguiente documento:</w:t>
      </w:r>
    </w:p>
    <w:p w14:paraId="54083AC8" w14:textId="77777777" w:rsidR="003D3C27" w:rsidRDefault="003D3C27" w:rsidP="00432DB4">
      <w:pPr>
        <w:spacing w:line="360" w:lineRule="auto"/>
        <w:jc w:val="both"/>
        <w:rPr>
          <w:rFonts w:ascii="Palatino Linotype" w:eastAsiaTheme="minorHAnsi" w:hAnsi="Palatino Linotype" w:cs="Tahoma"/>
          <w:bCs/>
          <w:sz w:val="22"/>
          <w:szCs w:val="22"/>
          <w:lang w:val="es-ES" w:eastAsia="en-US"/>
        </w:rPr>
      </w:pPr>
    </w:p>
    <w:p w14:paraId="3C5A81C7" w14:textId="6E485FC7" w:rsidR="00AD07FA" w:rsidRDefault="00AD07FA" w:rsidP="00432DB4">
      <w:pPr>
        <w:spacing w:line="360" w:lineRule="auto"/>
        <w:ind w:left="567" w:right="567"/>
        <w:jc w:val="both"/>
        <w:rPr>
          <w:rFonts w:ascii="Palatino Linotype" w:eastAsiaTheme="minorHAnsi" w:hAnsi="Palatino Linotype" w:cstheme="minorBidi"/>
          <w:i/>
          <w:iCs/>
          <w:lang w:eastAsia="en-US"/>
        </w:rPr>
      </w:pPr>
      <w:r>
        <w:rPr>
          <w:rFonts w:ascii="Palatino Linotype" w:eastAsiaTheme="minorHAnsi" w:hAnsi="Palatino Linotype" w:cstheme="minorBidi"/>
          <w:i/>
          <w:iCs/>
          <w:lang w:eastAsia="en-US"/>
        </w:rPr>
        <w:t>“…</w:t>
      </w:r>
    </w:p>
    <w:p w14:paraId="1F385F70"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r w:rsidRPr="00AD07FA">
        <w:rPr>
          <w:rFonts w:ascii="Palatino Linotype" w:eastAsiaTheme="minorHAnsi" w:hAnsi="Palatino Linotype" w:cstheme="minorBidi"/>
          <w:i/>
          <w:iCs/>
          <w:lang w:eastAsia="en-US"/>
        </w:rPr>
        <w:t>Derivado de lo anterior y en cumplimiento al resolutivo SEGUNDO, en el que se ordena dar trámite a la solicitud número 00277/ECATEPEC/IP/2025 y 00276/ECATEPEC/IP/2025 que en su contenido menciona:</w:t>
      </w:r>
      <w:r>
        <w:rPr>
          <w:rFonts w:ascii="Palatino Linotype" w:eastAsiaTheme="minorHAnsi" w:hAnsi="Palatino Linotype" w:cstheme="minorBidi"/>
          <w:i/>
          <w:iCs/>
          <w:lang w:eastAsia="en-US"/>
        </w:rPr>
        <w:t>…</w:t>
      </w:r>
      <w:r w:rsidRPr="00AD07FA">
        <w:rPr>
          <w:rFonts w:ascii="Palatino Linotype" w:eastAsiaTheme="minorHAnsi" w:hAnsi="Palatino Linotype" w:cstheme="minorBidi"/>
          <w:i/>
          <w:iCs/>
          <w:lang w:eastAsia="en-US"/>
        </w:rPr>
        <w:t xml:space="preserve"> se remite el oficio de respuesta número TM/ECA/CA/4764/2025, signado por el Tesorero Municipal, por medio del cual, el </w:t>
      </w:r>
      <w:proofErr w:type="spellStart"/>
      <w:r w:rsidRPr="00AD07FA">
        <w:rPr>
          <w:rFonts w:ascii="Palatino Linotype" w:eastAsiaTheme="minorHAnsi" w:hAnsi="Palatino Linotype" w:cstheme="minorBidi"/>
          <w:i/>
          <w:iCs/>
          <w:lang w:eastAsia="en-US"/>
        </w:rPr>
        <w:t>drea</w:t>
      </w:r>
      <w:proofErr w:type="spellEnd"/>
      <w:r w:rsidRPr="00AD07FA">
        <w:rPr>
          <w:rFonts w:ascii="Palatino Linotype" w:eastAsiaTheme="minorHAnsi" w:hAnsi="Palatino Linotype" w:cstheme="minorBidi"/>
          <w:i/>
          <w:iCs/>
          <w:lang w:eastAsia="en-US"/>
        </w:rPr>
        <w:t xml:space="preserve"> responsable responde lo expuesto a continuación: </w:t>
      </w:r>
    </w:p>
    <w:p w14:paraId="388ED2FD"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r>
        <w:rPr>
          <w:rFonts w:ascii="Palatino Linotype" w:eastAsiaTheme="minorHAnsi" w:hAnsi="Palatino Linotype" w:cstheme="minorBidi"/>
          <w:i/>
          <w:iCs/>
          <w:lang w:eastAsia="en-US"/>
        </w:rPr>
        <w:lastRenderedPageBreak/>
        <w:t>‘</w:t>
      </w:r>
      <w:r w:rsidRPr="00AD07FA">
        <w:rPr>
          <w:rFonts w:ascii="Palatino Linotype" w:eastAsiaTheme="minorHAnsi" w:hAnsi="Palatino Linotype" w:cstheme="minorBidi"/>
          <w:i/>
          <w:iCs/>
          <w:lang w:eastAsia="en-US"/>
        </w:rPr>
        <w:t xml:space="preserve">Al respecto, y en apego a los principios de certeza, eficacia, imparcialidad independencia, legalidad, máxima publicidad, objetividad, profesionalismo y transparencia, consagrado en el artículo 8° de la Ley General de Transparencia y Acceso a la Información </w:t>
      </w:r>
      <w:proofErr w:type="spellStart"/>
      <w:r w:rsidRPr="00AD07FA">
        <w:rPr>
          <w:rFonts w:ascii="Palatino Linotype" w:eastAsiaTheme="minorHAnsi" w:hAnsi="Palatino Linotype" w:cstheme="minorBidi"/>
          <w:i/>
          <w:iCs/>
          <w:lang w:eastAsia="en-US"/>
        </w:rPr>
        <w:t>Publica</w:t>
      </w:r>
      <w:proofErr w:type="spellEnd"/>
      <w:r w:rsidRPr="00AD07FA">
        <w:rPr>
          <w:rFonts w:ascii="Palatino Linotype" w:eastAsiaTheme="minorHAnsi" w:hAnsi="Palatino Linotype" w:cstheme="minorBidi"/>
          <w:i/>
          <w:iCs/>
          <w:lang w:eastAsia="en-US"/>
        </w:rPr>
        <w:t xml:space="preserve">, hago de su conocimiento que esta Tesorería advierte que la información de los pagos realizados en el periodo del 1 de enero al 28 de febrero del 2025, es considerada como información confidencial, de conformidad con lo dispuesto en el artículo 40 fracción </w:t>
      </w:r>
      <w:r>
        <w:rPr>
          <w:rFonts w:ascii="Palatino Linotype" w:eastAsiaTheme="minorHAnsi" w:hAnsi="Palatino Linotype" w:cstheme="minorBidi"/>
          <w:i/>
          <w:iCs/>
          <w:lang w:eastAsia="en-US"/>
        </w:rPr>
        <w:t>II</w:t>
      </w:r>
      <w:r w:rsidRPr="00AD07FA">
        <w:rPr>
          <w:rFonts w:ascii="Palatino Linotype" w:eastAsiaTheme="minorHAnsi" w:hAnsi="Palatino Linotype" w:cstheme="minorBidi"/>
          <w:i/>
          <w:iCs/>
          <w:lang w:eastAsia="en-US"/>
        </w:rPr>
        <w:t xml:space="preserve">, 115 párrafo primero y tercero de la Ley General de Transparencia y Acceso a la </w:t>
      </w:r>
      <w:r>
        <w:rPr>
          <w:rFonts w:ascii="Palatino Linotype" w:eastAsiaTheme="minorHAnsi" w:hAnsi="Palatino Linotype" w:cstheme="minorBidi"/>
          <w:i/>
          <w:iCs/>
          <w:lang w:eastAsia="en-US"/>
        </w:rPr>
        <w:t>I</w:t>
      </w:r>
      <w:r w:rsidRPr="00AD07FA">
        <w:rPr>
          <w:rFonts w:ascii="Palatino Linotype" w:eastAsiaTheme="minorHAnsi" w:hAnsi="Palatino Linotype" w:cstheme="minorBidi"/>
          <w:i/>
          <w:iCs/>
          <w:lang w:eastAsia="en-US"/>
        </w:rPr>
        <w:t>nformación Pública; articulo 3 fracciones XX y XXI, 49 fracciones ll y V</w:t>
      </w:r>
      <w:r>
        <w:rPr>
          <w:rFonts w:ascii="Palatino Linotype" w:eastAsiaTheme="minorHAnsi" w:hAnsi="Palatino Linotype" w:cstheme="minorBidi"/>
          <w:i/>
          <w:iCs/>
          <w:lang w:eastAsia="en-US"/>
        </w:rPr>
        <w:t xml:space="preserve">III, </w:t>
      </w:r>
      <w:r w:rsidRPr="00AD07FA">
        <w:rPr>
          <w:rFonts w:ascii="Palatino Linotype" w:eastAsiaTheme="minorHAnsi" w:hAnsi="Palatino Linotype" w:cstheme="minorBidi"/>
          <w:i/>
          <w:iCs/>
          <w:lang w:eastAsia="en-US"/>
        </w:rPr>
        <w:t xml:space="preserve"> 132 fracción </w:t>
      </w:r>
      <w:r>
        <w:rPr>
          <w:rFonts w:ascii="Palatino Linotype" w:eastAsiaTheme="minorHAnsi" w:hAnsi="Palatino Linotype" w:cstheme="minorBidi"/>
          <w:i/>
          <w:iCs/>
          <w:lang w:eastAsia="en-US"/>
        </w:rPr>
        <w:t>I</w:t>
      </w:r>
      <w:r w:rsidRPr="00AD07FA">
        <w:rPr>
          <w:rFonts w:ascii="Palatino Linotype" w:eastAsiaTheme="minorHAnsi" w:hAnsi="Palatino Linotype" w:cstheme="minorBidi"/>
          <w:i/>
          <w:iCs/>
          <w:lang w:eastAsia="en-US"/>
        </w:rPr>
        <w:t xml:space="preserve">, 143 fracción </w:t>
      </w:r>
      <w:r>
        <w:rPr>
          <w:rFonts w:ascii="Palatino Linotype" w:eastAsiaTheme="minorHAnsi" w:hAnsi="Palatino Linotype" w:cstheme="minorBidi"/>
          <w:i/>
          <w:iCs/>
          <w:lang w:eastAsia="en-US"/>
        </w:rPr>
        <w:t>1</w:t>
      </w:r>
      <w:r w:rsidRPr="00AD07FA">
        <w:rPr>
          <w:rFonts w:ascii="Palatino Linotype" w:eastAsiaTheme="minorHAnsi" w:hAnsi="Palatino Linotype" w:cstheme="minorBidi"/>
          <w:i/>
          <w:iCs/>
          <w:lang w:eastAsia="en-US"/>
        </w:rPr>
        <w:t xml:space="preserve">, </w:t>
      </w:r>
      <w:r>
        <w:rPr>
          <w:rFonts w:ascii="Palatino Linotype" w:eastAsiaTheme="minorHAnsi" w:hAnsi="Palatino Linotype" w:cstheme="minorBidi"/>
          <w:i/>
          <w:iCs/>
          <w:lang w:eastAsia="en-US"/>
        </w:rPr>
        <w:t>II</w:t>
      </w:r>
      <w:r w:rsidRPr="00AD07FA">
        <w:rPr>
          <w:rFonts w:ascii="Palatino Linotype" w:eastAsiaTheme="minorHAnsi" w:hAnsi="Palatino Linotype" w:cstheme="minorBidi"/>
          <w:i/>
          <w:iCs/>
          <w:lang w:eastAsia="en-US"/>
        </w:rPr>
        <w:t xml:space="preserve">, y 149 de la Ley de General de Transparencia y Acceso a la Información </w:t>
      </w:r>
      <w:proofErr w:type="spellStart"/>
      <w:r w:rsidRPr="00AD07FA">
        <w:rPr>
          <w:rFonts w:ascii="Palatino Linotype" w:eastAsiaTheme="minorHAnsi" w:hAnsi="Palatino Linotype" w:cstheme="minorBidi"/>
          <w:i/>
          <w:iCs/>
          <w:lang w:eastAsia="en-US"/>
        </w:rPr>
        <w:t>Publica</w:t>
      </w:r>
      <w:proofErr w:type="spellEnd"/>
      <w:r w:rsidRPr="00AD07FA">
        <w:rPr>
          <w:rFonts w:ascii="Palatino Linotype" w:eastAsiaTheme="minorHAnsi" w:hAnsi="Palatino Linotype" w:cstheme="minorBidi"/>
          <w:i/>
          <w:iCs/>
          <w:lang w:eastAsia="en-US"/>
        </w:rPr>
        <w:t xml:space="preserve"> del Estado de México y Municipios, en los que se establecen los límites y excepciones a la divulgación de la información relacionada con los aspectos financieros y bancarios</w:t>
      </w:r>
    </w:p>
    <w:p w14:paraId="0CFE6453"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p>
    <w:p w14:paraId="17DF33BB"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r w:rsidRPr="00AD07FA">
        <w:rPr>
          <w:rFonts w:ascii="Palatino Linotype" w:eastAsiaTheme="minorHAnsi" w:hAnsi="Palatino Linotype" w:cstheme="minorBidi"/>
          <w:i/>
          <w:iCs/>
          <w:lang w:eastAsia="en-US"/>
        </w:rPr>
        <w:t>No omito se</w:t>
      </w:r>
      <w:r>
        <w:rPr>
          <w:rFonts w:ascii="Palatino Linotype" w:eastAsiaTheme="minorHAnsi" w:hAnsi="Palatino Linotype" w:cstheme="minorBidi"/>
          <w:i/>
          <w:iCs/>
          <w:lang w:eastAsia="en-US"/>
        </w:rPr>
        <w:t>ñ</w:t>
      </w:r>
      <w:r w:rsidRPr="00AD07FA">
        <w:rPr>
          <w:rFonts w:ascii="Palatino Linotype" w:eastAsiaTheme="minorHAnsi" w:hAnsi="Palatino Linotype" w:cstheme="minorBidi"/>
          <w:i/>
          <w:iCs/>
          <w:lang w:eastAsia="en-US"/>
        </w:rPr>
        <w:t xml:space="preserve">alar que, la información propuesta a clasificar no obra en una fuente de acceso público, sino en los expedientes que se generan en la Tesorería de este H, Ayuntamiento de Ecatepec de Morelos, los cuales son para uso exclusivo del personal adscrito a las unidades administrativas con atribuciones para consultarlos y hacer uso de ellos. </w:t>
      </w:r>
    </w:p>
    <w:p w14:paraId="1B4ECAC6"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p>
    <w:p w14:paraId="37322487" w14:textId="470DD58D" w:rsidR="00AD07FA" w:rsidRDefault="00AD07FA" w:rsidP="00432DB4">
      <w:pPr>
        <w:spacing w:line="360" w:lineRule="auto"/>
        <w:ind w:left="567" w:right="567"/>
        <w:jc w:val="both"/>
        <w:rPr>
          <w:rFonts w:ascii="Palatino Linotype" w:eastAsiaTheme="minorHAnsi" w:hAnsi="Palatino Linotype" w:cstheme="minorBidi"/>
          <w:i/>
          <w:iCs/>
          <w:lang w:eastAsia="en-US"/>
        </w:rPr>
      </w:pPr>
      <w:r w:rsidRPr="00AD07FA">
        <w:rPr>
          <w:rFonts w:ascii="Palatino Linotype" w:eastAsiaTheme="minorHAnsi" w:hAnsi="Palatino Linotype" w:cstheme="minorBidi"/>
          <w:i/>
          <w:iCs/>
          <w:lang w:eastAsia="en-US"/>
        </w:rPr>
        <w:t>Por lo anterior, y en aras de atender la solicitud en mención</w:t>
      </w:r>
      <w:r>
        <w:rPr>
          <w:rFonts w:ascii="Palatino Linotype" w:eastAsiaTheme="minorHAnsi" w:hAnsi="Palatino Linotype" w:cstheme="minorBidi"/>
          <w:i/>
          <w:iCs/>
          <w:lang w:eastAsia="en-US"/>
        </w:rPr>
        <w:t>,</w:t>
      </w:r>
      <w:r w:rsidRPr="00AD07FA">
        <w:rPr>
          <w:rFonts w:ascii="Palatino Linotype" w:eastAsiaTheme="minorHAnsi" w:hAnsi="Palatino Linotype" w:cstheme="minorBidi"/>
          <w:i/>
          <w:iCs/>
          <w:lang w:eastAsia="en-US"/>
        </w:rPr>
        <w:t xml:space="preserve"> se presenta y aplica una prueba de da</w:t>
      </w:r>
      <w:r>
        <w:rPr>
          <w:rFonts w:ascii="Palatino Linotype" w:eastAsiaTheme="minorHAnsi" w:hAnsi="Palatino Linotype" w:cstheme="minorBidi"/>
          <w:i/>
          <w:iCs/>
          <w:lang w:eastAsia="en-US"/>
        </w:rPr>
        <w:t>ñ</w:t>
      </w:r>
      <w:r w:rsidRPr="00AD07FA">
        <w:rPr>
          <w:rFonts w:ascii="Palatino Linotype" w:eastAsiaTheme="minorHAnsi" w:hAnsi="Palatino Linotype" w:cstheme="minorBidi"/>
          <w:i/>
          <w:iCs/>
          <w:lang w:eastAsia="en-US"/>
        </w:rPr>
        <w:t>o, entendiéndose por ésta, la demostración de manera fundada y motivada de que la divulgación de la información lesiona el interés jurídicamente protegido por la Ley y que el menoscabo o da</w:t>
      </w:r>
      <w:r>
        <w:rPr>
          <w:rFonts w:ascii="Palatino Linotype" w:eastAsiaTheme="minorHAnsi" w:hAnsi="Palatino Linotype" w:cstheme="minorBidi"/>
          <w:i/>
          <w:iCs/>
          <w:lang w:eastAsia="en-US"/>
        </w:rPr>
        <w:t>ñ</w:t>
      </w:r>
      <w:r w:rsidRPr="00AD07FA">
        <w:rPr>
          <w:rFonts w:ascii="Palatino Linotype" w:eastAsiaTheme="minorHAnsi" w:hAnsi="Palatino Linotype" w:cstheme="minorBidi"/>
          <w:i/>
          <w:iCs/>
          <w:lang w:eastAsia="en-US"/>
        </w:rPr>
        <w:t>o que puede producirse con la publicidad de la información es mayor que el interés de conocerla y, por consiguiente, debe clasificarse como reservada, precisando las razones objetivas por las que la apertura de la información genera una afectación.</w:t>
      </w:r>
      <w:r>
        <w:rPr>
          <w:rFonts w:ascii="Palatino Linotype" w:eastAsiaTheme="minorHAnsi" w:hAnsi="Palatino Linotype" w:cstheme="minorBidi"/>
          <w:i/>
          <w:iCs/>
          <w:lang w:eastAsia="en-US"/>
        </w:rPr>
        <w:t>’</w:t>
      </w:r>
      <w:r w:rsidRPr="00AD07FA">
        <w:rPr>
          <w:rFonts w:ascii="Palatino Linotype" w:eastAsiaTheme="minorHAnsi" w:hAnsi="Palatino Linotype" w:cstheme="minorBidi"/>
          <w:i/>
          <w:iCs/>
          <w:lang w:eastAsia="en-US"/>
        </w:rPr>
        <w:t xml:space="preserve"> (Sic)</w:t>
      </w:r>
    </w:p>
    <w:p w14:paraId="6B7C125B" w14:textId="77777777" w:rsidR="00AD07FA" w:rsidRDefault="00AD07FA" w:rsidP="00432DB4">
      <w:pPr>
        <w:spacing w:line="360" w:lineRule="auto"/>
        <w:ind w:left="567" w:right="567"/>
        <w:jc w:val="both"/>
        <w:rPr>
          <w:rFonts w:ascii="Palatino Linotype" w:eastAsiaTheme="minorHAnsi" w:hAnsi="Palatino Linotype" w:cstheme="minorBidi"/>
          <w:i/>
          <w:iCs/>
          <w:lang w:eastAsia="en-US"/>
        </w:rPr>
      </w:pPr>
    </w:p>
    <w:p w14:paraId="08A6B211" w14:textId="7AC656C0" w:rsidR="00AD07FA" w:rsidRDefault="00AD07FA" w:rsidP="00432DB4">
      <w:pPr>
        <w:spacing w:line="360" w:lineRule="auto"/>
        <w:ind w:left="567" w:right="567"/>
        <w:jc w:val="both"/>
        <w:rPr>
          <w:rFonts w:ascii="Palatino Linotype" w:eastAsiaTheme="minorHAnsi" w:hAnsi="Palatino Linotype" w:cstheme="minorBidi"/>
          <w:i/>
          <w:iCs/>
          <w:lang w:eastAsia="en-US"/>
        </w:rPr>
      </w:pPr>
      <w:r w:rsidRPr="00AD07FA">
        <w:rPr>
          <w:rFonts w:ascii="Palatino Linotype" w:eastAsiaTheme="minorHAnsi" w:hAnsi="Palatino Linotype" w:cstheme="minorBidi"/>
          <w:i/>
          <w:iCs/>
          <w:lang w:eastAsia="en-US"/>
        </w:rPr>
        <w:t>En virtud de lo anteriormente expuesto, esta área responsable solicita al comité de Transparencia la reserva total de dicha información por un periodo de cinco años, en pro de la protección de la vida privada y datos personales, ya que es información que no está sujeta al principio de publicidad y en caso de su divulgación genera riesgo al derecho a la protección de datos personales, esto con fundamento en los artículo 16, segundo párrafo de la Constitución Política de los Estados Unidos Mexicanos; 140 fracción V y 143 fracción I</w:t>
      </w:r>
      <w:r>
        <w:rPr>
          <w:rFonts w:ascii="Palatino Linotype" w:eastAsiaTheme="minorHAnsi" w:hAnsi="Palatino Linotype" w:cstheme="minorBidi"/>
          <w:i/>
          <w:iCs/>
          <w:lang w:eastAsia="en-US"/>
        </w:rPr>
        <w:t>I</w:t>
      </w:r>
      <w:r w:rsidRPr="00AD07FA">
        <w:rPr>
          <w:rFonts w:ascii="Palatino Linotype" w:eastAsiaTheme="minorHAnsi" w:hAnsi="Palatino Linotype" w:cstheme="minorBidi"/>
          <w:i/>
          <w:iCs/>
          <w:lang w:eastAsia="en-US"/>
        </w:rPr>
        <w:t xml:space="preserve"> de la Ley de Transparencia y Acceso a la Información </w:t>
      </w:r>
      <w:proofErr w:type="spellStart"/>
      <w:r w:rsidRPr="00AD07FA">
        <w:rPr>
          <w:rFonts w:ascii="Palatino Linotype" w:eastAsiaTheme="minorHAnsi" w:hAnsi="Palatino Linotype" w:cstheme="minorBidi"/>
          <w:i/>
          <w:iCs/>
          <w:lang w:eastAsia="en-US"/>
        </w:rPr>
        <w:lastRenderedPageBreak/>
        <w:t>Publica</w:t>
      </w:r>
      <w:proofErr w:type="spellEnd"/>
      <w:r w:rsidRPr="00AD07FA">
        <w:rPr>
          <w:rFonts w:ascii="Palatino Linotype" w:eastAsiaTheme="minorHAnsi" w:hAnsi="Palatino Linotype" w:cstheme="minorBidi"/>
          <w:i/>
          <w:iCs/>
          <w:lang w:eastAsia="en-US"/>
        </w:rPr>
        <w:t xml:space="preserve"> del Estado de México y Municipios. De igual forma se anexa acta de la Vigésima Segunda Sesión Extraordinaria, solicitada por la Tesorería Municipal, mediante la cual se autoriza la clasificación de información como RESERVADA en relación a la solicitud 00277/ECATEPEC/IP/2025</w:t>
      </w:r>
    </w:p>
    <w:p w14:paraId="31699C12" w14:textId="233B7DEC" w:rsidR="00AD07FA" w:rsidRPr="00626816" w:rsidRDefault="00AD07FA" w:rsidP="00432DB4">
      <w:pPr>
        <w:spacing w:line="360" w:lineRule="auto"/>
        <w:ind w:left="567" w:right="567"/>
        <w:jc w:val="both"/>
        <w:rPr>
          <w:rFonts w:ascii="Palatino Linotype" w:eastAsiaTheme="minorHAnsi" w:hAnsi="Palatino Linotype" w:cstheme="minorBidi"/>
          <w:i/>
          <w:iCs/>
          <w:lang w:eastAsia="en-US"/>
        </w:rPr>
      </w:pPr>
      <w:r>
        <w:rPr>
          <w:rFonts w:ascii="Palatino Linotype" w:eastAsiaTheme="minorHAnsi" w:hAnsi="Palatino Linotype" w:cstheme="minorBidi"/>
          <w:i/>
          <w:iCs/>
          <w:lang w:eastAsia="en-US"/>
        </w:rPr>
        <w:t>..</w:t>
      </w:r>
      <w:r w:rsidRPr="003D3C27">
        <w:rPr>
          <w:rFonts w:ascii="Palatino Linotype" w:eastAsiaTheme="minorHAnsi" w:hAnsi="Palatino Linotype" w:cstheme="minorBidi"/>
          <w:i/>
          <w:iCs/>
          <w:lang w:eastAsia="en-US"/>
        </w:rPr>
        <w:t xml:space="preserve">. </w:t>
      </w:r>
      <w:r w:rsidRPr="00626816">
        <w:rPr>
          <w:rFonts w:ascii="Palatino Linotype" w:eastAsiaTheme="minorHAnsi" w:hAnsi="Palatino Linotype" w:cstheme="minorBidi"/>
          <w:i/>
          <w:iCs/>
          <w:lang w:eastAsia="en-US"/>
        </w:rPr>
        <w:t>“(Sic)</w:t>
      </w:r>
    </w:p>
    <w:p w14:paraId="6A6EA2D4" w14:textId="77777777" w:rsidR="00AD07FA" w:rsidRDefault="00AD07FA" w:rsidP="00432DB4">
      <w:pPr>
        <w:spacing w:line="360" w:lineRule="auto"/>
        <w:jc w:val="both"/>
        <w:rPr>
          <w:rFonts w:ascii="Palatino Linotype" w:eastAsiaTheme="minorHAnsi" w:hAnsi="Palatino Linotype" w:cs="Tahoma"/>
          <w:bCs/>
          <w:sz w:val="22"/>
          <w:szCs w:val="22"/>
          <w:lang w:val="es-ES" w:eastAsia="en-US"/>
        </w:rPr>
      </w:pPr>
    </w:p>
    <w:p w14:paraId="4D655BDB" w14:textId="46DAC1C6" w:rsidR="003D3C27" w:rsidRDefault="00AD07FA" w:rsidP="00432DB4">
      <w:pPr>
        <w:spacing w:line="360" w:lineRule="auto"/>
        <w:jc w:val="both"/>
        <w:rPr>
          <w:rFonts w:ascii="Palatino Linotype" w:eastAsiaTheme="minorHAnsi" w:hAnsi="Palatino Linotype" w:cs="Tahoma"/>
          <w:bCs/>
          <w:sz w:val="22"/>
          <w:szCs w:val="22"/>
          <w:lang w:val="es-ES" w:eastAsia="en-US"/>
        </w:rPr>
      </w:pPr>
      <w:r>
        <w:rPr>
          <w:rFonts w:ascii="Palatino Linotype" w:eastAsiaTheme="minorHAnsi" w:hAnsi="Palatino Linotype" w:cs="Tahoma"/>
          <w:bCs/>
          <w:sz w:val="22"/>
          <w:szCs w:val="22"/>
          <w:lang w:val="es-ES" w:eastAsia="en-US"/>
        </w:rPr>
        <w:t>ii</w:t>
      </w:r>
      <w:r w:rsidR="003D3C27">
        <w:rPr>
          <w:rFonts w:ascii="Palatino Linotype" w:eastAsiaTheme="minorHAnsi" w:hAnsi="Palatino Linotype" w:cs="Tahoma"/>
          <w:bCs/>
          <w:sz w:val="22"/>
          <w:szCs w:val="22"/>
          <w:lang w:val="es-ES" w:eastAsia="en-US"/>
        </w:rPr>
        <w:t xml:space="preserve">) Oficio número </w:t>
      </w:r>
      <w:r w:rsidRPr="00AD07FA">
        <w:rPr>
          <w:rFonts w:ascii="Palatino Linotype" w:eastAsiaTheme="minorHAnsi" w:hAnsi="Palatino Linotype" w:cs="Tahoma"/>
          <w:bCs/>
          <w:sz w:val="22"/>
          <w:szCs w:val="22"/>
          <w:lang w:val="es-ES" w:eastAsia="en-US"/>
        </w:rPr>
        <w:t>TM/ECA/CA/4764/2025</w:t>
      </w:r>
      <w:r w:rsidR="003D3C27">
        <w:rPr>
          <w:rFonts w:ascii="Palatino Linotype" w:eastAsiaTheme="minorHAnsi" w:hAnsi="Palatino Linotype" w:cs="Tahoma"/>
          <w:bCs/>
          <w:sz w:val="22"/>
          <w:szCs w:val="22"/>
          <w:lang w:val="es-ES" w:eastAsia="en-US"/>
        </w:rPr>
        <w:t xml:space="preserve">, del </w:t>
      </w:r>
      <w:r>
        <w:rPr>
          <w:rFonts w:ascii="Palatino Linotype" w:eastAsiaTheme="minorHAnsi" w:hAnsi="Palatino Linotype" w:cs="Tahoma"/>
          <w:bCs/>
          <w:sz w:val="22"/>
          <w:szCs w:val="22"/>
          <w:lang w:val="es-ES" w:eastAsia="en-US"/>
        </w:rPr>
        <w:t>veinticinco de julio</w:t>
      </w:r>
      <w:r w:rsidR="003D3C27">
        <w:rPr>
          <w:rFonts w:ascii="Palatino Linotype" w:eastAsiaTheme="minorHAnsi" w:hAnsi="Palatino Linotype" w:cs="Tahoma"/>
          <w:bCs/>
          <w:sz w:val="22"/>
          <w:szCs w:val="22"/>
          <w:lang w:val="es-ES" w:eastAsia="en-US"/>
        </w:rPr>
        <w:t xml:space="preserve"> de dos mil veinticinco, suscrito por </w:t>
      </w:r>
      <w:r>
        <w:rPr>
          <w:rFonts w:ascii="Palatino Linotype" w:eastAsiaTheme="minorHAnsi" w:hAnsi="Palatino Linotype" w:cs="Tahoma"/>
          <w:bCs/>
          <w:sz w:val="22"/>
          <w:szCs w:val="22"/>
          <w:lang w:val="es-ES" w:eastAsia="en-US"/>
        </w:rPr>
        <w:t>el Tesorero Municipal</w:t>
      </w:r>
      <w:r w:rsidR="003D3C27">
        <w:rPr>
          <w:rFonts w:ascii="Palatino Linotype" w:eastAsiaTheme="minorHAnsi" w:hAnsi="Palatino Linotype" w:cs="Tahoma"/>
          <w:bCs/>
          <w:sz w:val="22"/>
          <w:szCs w:val="22"/>
          <w:lang w:val="es-ES" w:eastAsia="en-US"/>
        </w:rPr>
        <w:t>, y dirigid</w:t>
      </w:r>
      <w:r>
        <w:rPr>
          <w:rFonts w:ascii="Palatino Linotype" w:eastAsiaTheme="minorHAnsi" w:hAnsi="Palatino Linotype" w:cs="Tahoma"/>
          <w:bCs/>
          <w:sz w:val="22"/>
          <w:szCs w:val="22"/>
          <w:lang w:val="es-ES" w:eastAsia="en-US"/>
        </w:rPr>
        <w:t>o</w:t>
      </w:r>
      <w:r w:rsidR="003D3C27">
        <w:rPr>
          <w:rFonts w:ascii="Palatino Linotype" w:eastAsiaTheme="minorHAnsi" w:hAnsi="Palatino Linotype" w:cs="Tahoma"/>
          <w:bCs/>
          <w:sz w:val="22"/>
          <w:szCs w:val="22"/>
          <w:lang w:val="es-ES" w:eastAsia="en-US"/>
        </w:rPr>
        <w:t xml:space="preserve"> </w:t>
      </w:r>
      <w:r>
        <w:rPr>
          <w:rFonts w:ascii="Palatino Linotype" w:eastAsiaTheme="minorHAnsi" w:hAnsi="Palatino Linotype" w:cs="Tahoma"/>
          <w:bCs/>
          <w:sz w:val="22"/>
          <w:szCs w:val="22"/>
          <w:lang w:val="es-ES" w:eastAsia="en-US"/>
        </w:rPr>
        <w:t>al Titular de la Unidad de Transparencia</w:t>
      </w:r>
      <w:r w:rsidR="003D3C27">
        <w:rPr>
          <w:rFonts w:ascii="Palatino Linotype" w:eastAsiaTheme="minorHAnsi" w:hAnsi="Palatino Linotype" w:cs="Tahoma"/>
          <w:bCs/>
          <w:sz w:val="22"/>
          <w:szCs w:val="22"/>
          <w:lang w:val="es-ES" w:eastAsia="en-US"/>
        </w:rPr>
        <w:t xml:space="preserve">, por medio del cual </w:t>
      </w:r>
      <w:r>
        <w:rPr>
          <w:rFonts w:ascii="Palatino Linotype" w:eastAsiaTheme="minorHAnsi" w:hAnsi="Palatino Linotype" w:cs="Tahoma"/>
          <w:bCs/>
          <w:sz w:val="22"/>
          <w:szCs w:val="22"/>
          <w:lang w:val="es-ES" w:eastAsia="en-US"/>
        </w:rPr>
        <w:t>señala lo siguiente:</w:t>
      </w:r>
    </w:p>
    <w:p w14:paraId="71D851A1" w14:textId="77777777" w:rsidR="00AD07FA" w:rsidRDefault="00AD07FA" w:rsidP="00432DB4">
      <w:pPr>
        <w:spacing w:line="360" w:lineRule="auto"/>
        <w:jc w:val="both"/>
        <w:rPr>
          <w:rFonts w:ascii="Palatino Linotype" w:eastAsiaTheme="minorHAnsi" w:hAnsi="Palatino Linotype" w:cs="Tahoma"/>
          <w:bCs/>
          <w:sz w:val="22"/>
          <w:szCs w:val="22"/>
          <w:lang w:val="es-ES" w:eastAsia="en-US"/>
        </w:rPr>
      </w:pPr>
    </w:p>
    <w:p w14:paraId="35343440" w14:textId="21FAD4C7" w:rsidR="00AD07FA" w:rsidRDefault="00AD07FA" w:rsidP="00432DB4">
      <w:pPr>
        <w:spacing w:line="360" w:lineRule="auto"/>
        <w:ind w:left="567" w:right="567"/>
        <w:jc w:val="both"/>
        <w:rPr>
          <w:rFonts w:ascii="Palatino Linotype" w:eastAsiaTheme="minorHAnsi" w:hAnsi="Palatino Linotype" w:cstheme="minorBidi"/>
          <w:i/>
          <w:iCs/>
          <w:lang w:eastAsia="en-US"/>
        </w:rPr>
      </w:pPr>
      <w:r>
        <w:rPr>
          <w:rFonts w:ascii="Palatino Linotype" w:eastAsiaTheme="minorHAnsi" w:hAnsi="Palatino Linotype" w:cstheme="minorBidi"/>
          <w:i/>
          <w:iCs/>
          <w:lang w:eastAsia="en-US"/>
        </w:rPr>
        <w:t>“…</w:t>
      </w:r>
    </w:p>
    <w:p w14:paraId="708D4BFC" w14:textId="7E64C031"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hago de su conocimiento que esta Tesorería advierte que la información de los pagos realizados en el periodo de julio, de conformidad con lo dispuesto en el artículo 40 fracción II, 115 párrafo primero y tercero de la Ley General de Transparencia y Acceso a la información Pública; articulo 3 fracciones XX y XXI, 49 fracciones I</w:t>
      </w:r>
      <w:r>
        <w:rPr>
          <w:rFonts w:ascii="Palatino Linotype" w:eastAsia="Palatino Linotype" w:hAnsi="Palatino Linotype" w:cs="Palatino Linotype"/>
          <w:i/>
          <w:color w:val="000000"/>
          <w:szCs w:val="22"/>
          <w:lang w:eastAsia="es-MX"/>
        </w:rPr>
        <w:t>I</w:t>
      </w:r>
      <w:r w:rsidRPr="0086101D">
        <w:rPr>
          <w:rFonts w:ascii="Palatino Linotype" w:eastAsia="Palatino Linotype" w:hAnsi="Palatino Linotype" w:cs="Palatino Linotype"/>
          <w:i/>
          <w:color w:val="000000"/>
          <w:szCs w:val="22"/>
          <w:lang w:eastAsia="es-MX"/>
        </w:rPr>
        <w:t xml:space="preserve"> y VIII, 132 fracción I, 143 fracción I, I</w:t>
      </w:r>
      <w:r>
        <w:rPr>
          <w:rFonts w:ascii="Palatino Linotype" w:eastAsia="Palatino Linotype" w:hAnsi="Palatino Linotype" w:cs="Palatino Linotype"/>
          <w:i/>
          <w:color w:val="000000"/>
          <w:szCs w:val="22"/>
          <w:lang w:eastAsia="es-MX"/>
        </w:rPr>
        <w:t>I</w:t>
      </w:r>
      <w:r w:rsidRPr="0086101D">
        <w:rPr>
          <w:rFonts w:ascii="Palatino Linotype" w:eastAsia="Palatino Linotype" w:hAnsi="Palatino Linotype" w:cs="Palatino Linotype"/>
          <w:i/>
          <w:color w:val="000000"/>
          <w:szCs w:val="22"/>
          <w:lang w:eastAsia="es-MX"/>
        </w:rPr>
        <w:t>, y 149 de la Ley de General de Transparencia y Acceso a la Información Pública del Estado de México y Municipios, en los que se establecen los límites y excepciones a la divulgación de la información relacionada con los aspectos financieros y bancarios.</w:t>
      </w:r>
    </w:p>
    <w:p w14:paraId="77A8EC0B"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p>
    <w:p w14:paraId="2674589C"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No omito señalar que, la información propuesta a clasificar no obra en una fuente de acceso público, sino en los expedientes que se generan en la Tesorería de este H. Ayuntamiento de Ecatepec de Morelos, los cuales son para uso exclusivo del personal adscrito a las unidades administrativas con atribuciones para consultarlos y hacer uso de ellos.</w:t>
      </w:r>
    </w:p>
    <w:p w14:paraId="587820D4"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w:t>
      </w:r>
    </w:p>
    <w:p w14:paraId="13903BC9"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Conforme a lo anterior, este Sujeto Obligado, de acuerdo a sus facultades, adquiere la convicción plena de que la información relativas a los comprobantes de pago expedidos por la Tesorería Municipal con las que se auxilia para el desempeño de sus funciones, es susceptible a ser clasificada como reservada con fundamento en el artículo 140 fracciones VI y X de la Ley de Transparencia y Acceso a la Información Pública del Estado de México y Municipios…</w:t>
      </w:r>
    </w:p>
    <w:p w14:paraId="1F524E89"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lastRenderedPageBreak/>
        <w:t>…</w:t>
      </w:r>
    </w:p>
    <w:p w14:paraId="339BA04F"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Lo anterior en virtud de que:</w:t>
      </w:r>
    </w:p>
    <w:p w14:paraId="7461B590"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p>
    <w:p w14:paraId="637F3E5C"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-El número de cuenta bancario se trata de una clave que otorgan los bancos a sus usuarios, con el único fin de identificar las transferencias que se realizan por parte del titular de una cuenta.</w:t>
      </w:r>
    </w:p>
    <w:p w14:paraId="238842BD" w14:textId="77777777" w:rsid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 xml:space="preserve">-El número de cuenta, es un dato imprescindible para realizar transferencias o acceso en </w:t>
      </w:r>
      <w:proofErr w:type="spellStart"/>
      <w:r w:rsidRPr="0086101D">
        <w:rPr>
          <w:rFonts w:ascii="Palatino Linotype" w:eastAsia="Palatino Linotype" w:hAnsi="Palatino Linotype" w:cs="Palatino Linotype"/>
          <w:i/>
          <w:color w:val="000000"/>
          <w:szCs w:val="22"/>
          <w:lang w:eastAsia="es-MX"/>
        </w:rPr>
        <w:t>Unea</w:t>
      </w:r>
      <w:proofErr w:type="spellEnd"/>
      <w:r w:rsidRPr="0086101D">
        <w:rPr>
          <w:rFonts w:ascii="Palatino Linotype" w:eastAsia="Palatino Linotype" w:hAnsi="Palatino Linotype" w:cs="Palatino Linotype"/>
          <w:i/>
          <w:color w:val="000000"/>
          <w:szCs w:val="22"/>
          <w:lang w:eastAsia="es-MX"/>
        </w:rPr>
        <w:t xml:space="preserve"> a las cuentas bancarias: por lo que, únicamente es útil para su titular y las personas que realizan movimientos de depósito o retiro de esa cuenta.</w:t>
      </w:r>
    </w:p>
    <w:p w14:paraId="3D75150B"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-El comprobante de pago tiene información confidencial de terceros como cuenta clave, además de la Clave de rastreo con la que se pudiera hacer uso indebido de la información.</w:t>
      </w:r>
    </w:p>
    <w:p w14:paraId="4FB50C4E"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p>
    <w:p w14:paraId="6FA5E6D9"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Con el fin de establecer medidas de seguridad que impidan el uso indebido, acceso ilegal, falsificación o alteración de los documentos bancarios del Municipio de Ecatepec de Morelos y con base en lo establecido por el artículo 20, fracción IV de la Ley de Transparencia y Acceso a la Información Pública del Estado de México у Municipios, en su parte conducente a prevención del delito, esta Tesorería solicita sea clasificado como reservada la información relativa a los comprobantes de pago, en virtud de que su difusión puede ser utilizada por terceros ajenos al municipio o por otras personas dentro de la institución o de los bancos, para cometer ilícitos en perjuicio del patrimonio.</w:t>
      </w:r>
    </w:p>
    <w:p w14:paraId="4A95FCDB"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w:t>
      </w:r>
    </w:p>
    <w:p w14:paraId="7712384B"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En este sentido, proporcionar los comprobantes de pago que identifican las cuentas bancarias, generaría el riesgo latente de que personas con experiencia en el manejo de equipos de cómputo pueda acceder a las cuentas bancarias del Municipio, con el simple hecho de poseer datos mínimos como nombre del titular de la cuenta, el nombre de la institución bancaria, más el número de cuenta en donde se tengan depósitos.</w:t>
      </w:r>
    </w:p>
    <w:p w14:paraId="1106942E" w14:textId="77777777" w:rsidR="0086101D" w:rsidRPr="0086101D" w:rsidRDefault="0086101D" w:rsidP="00432DB4">
      <w:pPr>
        <w:spacing w:line="360" w:lineRule="auto"/>
        <w:ind w:left="567" w:right="567"/>
        <w:jc w:val="both"/>
        <w:rPr>
          <w:rFonts w:ascii="Palatino Linotype" w:eastAsia="Palatino Linotype" w:hAnsi="Palatino Linotype" w:cs="Palatino Linotype"/>
          <w:i/>
          <w:color w:val="000000"/>
          <w:szCs w:val="22"/>
          <w:lang w:eastAsia="es-MX"/>
        </w:rPr>
      </w:pPr>
      <w:r w:rsidRPr="0086101D">
        <w:rPr>
          <w:rFonts w:ascii="Palatino Linotype" w:eastAsia="Palatino Linotype" w:hAnsi="Palatino Linotype" w:cs="Palatino Linotype"/>
          <w:i/>
          <w:color w:val="000000"/>
          <w:szCs w:val="22"/>
          <w:lang w:eastAsia="es-MX"/>
        </w:rPr>
        <w:t>…”</w:t>
      </w:r>
    </w:p>
    <w:p w14:paraId="07206220" w14:textId="77777777" w:rsidR="001E0D5D" w:rsidRDefault="001E0D5D" w:rsidP="00432DB4">
      <w:pPr>
        <w:spacing w:line="360" w:lineRule="auto"/>
        <w:contextualSpacing/>
        <w:jc w:val="both"/>
        <w:rPr>
          <w:rFonts w:ascii="Palatino Linotype" w:eastAsia="Palatino Linotype" w:hAnsi="Palatino Linotype" w:cs="Palatino Linotype"/>
          <w:b/>
          <w:color w:val="000000"/>
          <w:sz w:val="22"/>
          <w:szCs w:val="22"/>
        </w:rPr>
      </w:pPr>
    </w:p>
    <w:p w14:paraId="36647557" w14:textId="2EA692D4" w:rsidR="001E0D5D" w:rsidRDefault="001E0D5D" w:rsidP="00432DB4">
      <w:pPr>
        <w:pStyle w:val="Ttulo2"/>
        <w:contextualSpacing/>
        <w:rPr>
          <w:rStyle w:val="Ttulo2Car"/>
          <w:b/>
        </w:rPr>
      </w:pPr>
      <w:bookmarkStart w:id="13" w:name="_Toc213334925"/>
      <w:bookmarkStart w:id="14" w:name="_Toc221202150"/>
      <w:r>
        <w:rPr>
          <w:rFonts w:eastAsia="Palatino Linotype" w:cs="Palatino Linotype"/>
          <w:color w:val="000000"/>
          <w:szCs w:val="22"/>
        </w:rPr>
        <w:t>V</w:t>
      </w:r>
      <w:r w:rsidRPr="0012699B">
        <w:rPr>
          <w:rFonts w:eastAsia="Palatino Linotype" w:cs="Palatino Linotype"/>
          <w:color w:val="000000"/>
          <w:szCs w:val="22"/>
        </w:rPr>
        <w:t>I</w:t>
      </w:r>
      <w:r w:rsidR="0086101D">
        <w:rPr>
          <w:rFonts w:eastAsia="Palatino Linotype" w:cs="Palatino Linotype"/>
          <w:color w:val="000000"/>
          <w:szCs w:val="22"/>
        </w:rPr>
        <w:t>II</w:t>
      </w:r>
      <w:r w:rsidRPr="0012699B">
        <w:rPr>
          <w:rFonts w:eastAsia="Palatino Linotype" w:cs="Palatino Linotype"/>
          <w:color w:val="000000"/>
          <w:szCs w:val="22"/>
        </w:rPr>
        <w:t xml:space="preserve">. Interposición del Recurso de Revisión </w:t>
      </w:r>
      <w:bookmarkEnd w:id="13"/>
      <w:r w:rsidR="00081C23" w:rsidRPr="00626816">
        <w:rPr>
          <w:rStyle w:val="Ttulo2Car"/>
          <w:b/>
        </w:rPr>
        <w:t>01206/INFOEM/ICR-</w:t>
      </w:r>
      <w:r w:rsidR="00081C23">
        <w:rPr>
          <w:rStyle w:val="Ttulo2Car"/>
          <w:b/>
        </w:rPr>
        <w:t>150</w:t>
      </w:r>
      <w:r w:rsidR="00081C23" w:rsidRPr="00626816">
        <w:rPr>
          <w:rStyle w:val="Ttulo2Car"/>
          <w:b/>
        </w:rPr>
        <w:t>/IP/RR/2025</w:t>
      </w:r>
      <w:bookmarkEnd w:id="14"/>
    </w:p>
    <w:p w14:paraId="66588923" w14:textId="77777777" w:rsidR="00081C23" w:rsidRDefault="00081C23" w:rsidP="00432DB4">
      <w:pPr>
        <w:spacing w:line="360" w:lineRule="auto"/>
        <w:rPr>
          <w:rFonts w:eastAsia="Palatino Linotype"/>
        </w:rPr>
      </w:pPr>
    </w:p>
    <w:p w14:paraId="4225E955" w14:textId="77777777" w:rsidR="0086101D" w:rsidRPr="00081C23" w:rsidRDefault="0086101D" w:rsidP="00432DB4">
      <w:pPr>
        <w:spacing w:line="360" w:lineRule="auto"/>
        <w:rPr>
          <w:rFonts w:eastAsia="Palatino Linotype"/>
        </w:rPr>
      </w:pPr>
    </w:p>
    <w:p w14:paraId="3495AFF8" w14:textId="0734DCB7" w:rsidR="00081C23" w:rsidRPr="00626816" w:rsidRDefault="003D3C27" w:rsidP="00432DB4">
      <w:pPr>
        <w:widowControl w:val="0"/>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w:t>
      </w:r>
      <w:r w:rsidR="0086101D">
        <w:rPr>
          <w:rFonts w:ascii="Palatino Linotype" w:hAnsi="Palatino Linotype" w:cs="Tahoma"/>
          <w:sz w:val="22"/>
          <w:szCs w:val="22"/>
        </w:rPr>
        <w:t>doce de agosto</w:t>
      </w:r>
      <w:r w:rsidR="00081C23" w:rsidRPr="00626816">
        <w:rPr>
          <w:rFonts w:ascii="Palatino Linotype" w:hAnsi="Palatino Linotype" w:cs="Tahoma"/>
          <w:sz w:val="22"/>
          <w:szCs w:val="22"/>
        </w:rPr>
        <w:t xml:space="preserve"> de dos mil veinticinco, se recibió en este </w:t>
      </w:r>
      <w:r w:rsidR="00081C23" w:rsidRPr="00626816">
        <w:rPr>
          <w:rFonts w:ascii="Palatino Linotype" w:eastAsia="Calibri" w:hAnsi="Palatino Linotype" w:cs="Tahoma"/>
          <w:sz w:val="22"/>
          <w:szCs w:val="22"/>
          <w:lang w:eastAsia="en-US"/>
        </w:rPr>
        <w:t xml:space="preserve">Instituto, a través del </w:t>
      </w:r>
      <w:r w:rsidR="00081C23" w:rsidRPr="00626816">
        <w:rPr>
          <w:rFonts w:ascii="Palatino Linotype" w:hAnsi="Palatino Linotype" w:cs="Tahoma"/>
          <w:sz w:val="22"/>
          <w:szCs w:val="22"/>
          <w:lang w:val="es-ES"/>
        </w:rPr>
        <w:t>Sistema de Acceso a la Información Mexiquense (SAIMEX)</w:t>
      </w:r>
      <w:r w:rsidR="00081C23" w:rsidRPr="00626816">
        <w:rPr>
          <w:rFonts w:ascii="Palatino Linotype" w:hAnsi="Palatino Linotype" w:cs="Tahoma"/>
          <w:sz w:val="22"/>
          <w:szCs w:val="22"/>
        </w:rPr>
        <w:t>, el Recurso de Revisión interpuesto por la parte Recurrente, en contra de la respuesta del Sujeto Obligado, en cumplimiento a la Resolución referida en el Antecedente VI, en los siguientes términos:</w:t>
      </w:r>
    </w:p>
    <w:p w14:paraId="6D8C89BE" w14:textId="77777777" w:rsidR="00081C23" w:rsidRPr="00626816" w:rsidRDefault="00081C23" w:rsidP="00432DB4">
      <w:pPr>
        <w:widowControl w:val="0"/>
        <w:autoSpaceDE w:val="0"/>
        <w:autoSpaceDN w:val="0"/>
        <w:adjustRightInd w:val="0"/>
        <w:spacing w:line="360" w:lineRule="auto"/>
        <w:jc w:val="both"/>
        <w:rPr>
          <w:rFonts w:ascii="Palatino Linotype" w:hAnsi="Palatino Linotype" w:cs="Tahoma"/>
          <w:color w:val="FF0000"/>
          <w:sz w:val="22"/>
          <w:szCs w:val="22"/>
        </w:rPr>
      </w:pPr>
    </w:p>
    <w:p w14:paraId="438D3742" w14:textId="77777777" w:rsidR="00081C23" w:rsidRPr="00626816" w:rsidRDefault="00081C23" w:rsidP="00432DB4">
      <w:pPr>
        <w:tabs>
          <w:tab w:val="left" w:pos="4667"/>
        </w:tabs>
        <w:spacing w:line="360" w:lineRule="auto"/>
        <w:ind w:left="567" w:right="567"/>
        <w:jc w:val="both"/>
        <w:rPr>
          <w:rFonts w:ascii="Palatino Linotype" w:eastAsia="Calibri" w:hAnsi="Palatino Linotype" w:cs="Tahoma"/>
          <w:b/>
          <w:bCs/>
          <w:i/>
        </w:rPr>
      </w:pPr>
      <w:r w:rsidRPr="00626816">
        <w:rPr>
          <w:rFonts w:ascii="Palatino Linotype" w:eastAsia="Calibri" w:hAnsi="Palatino Linotype" w:cs="Tahoma"/>
          <w:b/>
          <w:bCs/>
          <w:i/>
        </w:rPr>
        <w:t>“ACTO IMPUGNADO</w:t>
      </w:r>
    </w:p>
    <w:p w14:paraId="1B8DB4EC" w14:textId="030ED078" w:rsidR="00081C23" w:rsidRPr="00626816" w:rsidRDefault="0086101D" w:rsidP="00432DB4">
      <w:pPr>
        <w:spacing w:line="360" w:lineRule="auto"/>
        <w:ind w:left="567" w:right="567"/>
        <w:jc w:val="both"/>
        <w:rPr>
          <w:rFonts w:ascii="Palatino Linotype" w:eastAsiaTheme="minorHAnsi" w:hAnsi="Palatino Linotype" w:cstheme="minorBidi"/>
          <w:i/>
          <w:iCs/>
          <w:lang w:eastAsia="en-US"/>
        </w:rPr>
      </w:pPr>
      <w:r w:rsidRPr="0086101D">
        <w:rPr>
          <w:rFonts w:ascii="Palatino Linotype" w:eastAsiaTheme="minorHAnsi" w:hAnsi="Palatino Linotype" w:cstheme="minorBidi"/>
          <w:i/>
          <w:iCs/>
          <w:lang w:eastAsia="en-US"/>
        </w:rPr>
        <w:t>INCUMPLIMIENTO A LA RESOLUCION DEL RECURSO DE REVISION 04946/INFOEM/IP/RR/2025</w:t>
      </w:r>
      <w:r w:rsidR="003D3C27" w:rsidRPr="003D3C27">
        <w:rPr>
          <w:rFonts w:ascii="Palatino Linotype" w:eastAsiaTheme="minorHAnsi" w:hAnsi="Palatino Linotype" w:cstheme="minorBidi"/>
          <w:i/>
          <w:iCs/>
          <w:lang w:eastAsia="en-US"/>
        </w:rPr>
        <w:t xml:space="preserve"> </w:t>
      </w:r>
      <w:r w:rsidR="00081C23" w:rsidRPr="00626816">
        <w:rPr>
          <w:rFonts w:ascii="Palatino Linotype" w:eastAsiaTheme="minorHAnsi" w:hAnsi="Palatino Linotype" w:cstheme="minorBidi"/>
          <w:i/>
          <w:iCs/>
          <w:lang w:eastAsia="en-US"/>
        </w:rPr>
        <w:t>“(Sic)</w:t>
      </w:r>
    </w:p>
    <w:p w14:paraId="26628253" w14:textId="77777777" w:rsidR="00081C23" w:rsidRPr="00626816" w:rsidRDefault="00081C23" w:rsidP="00432DB4">
      <w:pPr>
        <w:spacing w:line="360" w:lineRule="auto"/>
        <w:ind w:left="567" w:right="567"/>
        <w:jc w:val="both"/>
        <w:rPr>
          <w:rFonts w:ascii="Palatino Linotype" w:hAnsi="Palatino Linotype"/>
          <w:i/>
          <w:lang w:eastAsia="es-MX"/>
        </w:rPr>
      </w:pPr>
    </w:p>
    <w:p w14:paraId="2C2E73A9" w14:textId="77777777" w:rsidR="00081C23" w:rsidRPr="00626816" w:rsidRDefault="00081C23" w:rsidP="00432DB4">
      <w:pPr>
        <w:spacing w:line="360" w:lineRule="auto"/>
        <w:ind w:left="567" w:right="567"/>
        <w:jc w:val="both"/>
        <w:rPr>
          <w:rFonts w:ascii="Palatino Linotype" w:eastAsiaTheme="minorHAnsi" w:hAnsi="Palatino Linotype" w:cstheme="minorBidi"/>
          <w:b/>
          <w:bCs/>
          <w:i/>
          <w:iCs/>
          <w:lang w:eastAsia="en-US"/>
        </w:rPr>
      </w:pPr>
      <w:r w:rsidRPr="00626816">
        <w:rPr>
          <w:rFonts w:ascii="Palatino Linotype" w:eastAsiaTheme="minorHAnsi" w:hAnsi="Palatino Linotype" w:cstheme="minorBidi"/>
          <w:b/>
          <w:bCs/>
          <w:i/>
          <w:iCs/>
          <w:lang w:eastAsia="en-US"/>
        </w:rPr>
        <w:t>“RAZONES O MOTIVOS DE LA INCONFORMIDAD</w:t>
      </w:r>
    </w:p>
    <w:p w14:paraId="0D17D524" w14:textId="64737C4A" w:rsidR="00081C23" w:rsidRPr="00626816" w:rsidRDefault="0086101D" w:rsidP="00432DB4">
      <w:pPr>
        <w:spacing w:line="360" w:lineRule="auto"/>
        <w:ind w:left="567" w:right="567"/>
        <w:jc w:val="both"/>
        <w:rPr>
          <w:rFonts w:ascii="Palatino Linotype" w:eastAsiaTheme="minorHAnsi" w:hAnsi="Palatino Linotype" w:cstheme="minorBidi"/>
          <w:i/>
          <w:iCs/>
          <w:lang w:eastAsia="en-US"/>
        </w:rPr>
      </w:pPr>
      <w:r w:rsidRPr="0086101D">
        <w:rPr>
          <w:rFonts w:ascii="Palatino Linotype" w:eastAsiaTheme="minorHAnsi" w:hAnsi="Palatino Linotype" w:cstheme="minorBidi"/>
          <w:i/>
          <w:iCs/>
          <w:lang w:eastAsia="en-US"/>
        </w:rPr>
        <w:t xml:space="preserve">EL SERVIDOR PÚBLICO HABILITADO DEL SUJETO OBLIGADO PERSISTE EN SU NEGATIVA A ENTREGAR LA INFORMACION PÚBLICA SOLICITADA, A PESAR DE LO ESTIPULADO EN LA PRESENTE RESOLUCION, POR LO QUE SOLICITO SE INICIEN LAS ACCIONES JURIDICAS NECESARIAS PARA EL CUMPLIMIENTO DE LA MISMA Y DISCIPLINARIAS EN CONTRA DE LOS SERVIDORES PÚBLICOS EN DESACATO. </w:t>
      </w:r>
      <w:r w:rsidR="00081C23" w:rsidRPr="00626816">
        <w:rPr>
          <w:rFonts w:ascii="Palatino Linotype" w:eastAsiaTheme="minorHAnsi" w:hAnsi="Palatino Linotype" w:cstheme="minorBidi"/>
          <w:i/>
          <w:iCs/>
          <w:lang w:eastAsia="en-US"/>
        </w:rPr>
        <w:t>“(Sic)</w:t>
      </w:r>
    </w:p>
    <w:p w14:paraId="711B402C" w14:textId="77777777" w:rsidR="00E155C6" w:rsidRDefault="00E155C6" w:rsidP="00432DB4">
      <w:pPr>
        <w:spacing w:line="360" w:lineRule="auto"/>
        <w:contextualSpacing/>
        <w:jc w:val="both"/>
        <w:rPr>
          <w:rFonts w:ascii="Palatino Linotype" w:hAnsi="Palatino Linotype" w:cs="Tahoma"/>
          <w:color w:val="000000"/>
          <w:sz w:val="22"/>
          <w:szCs w:val="22"/>
        </w:rPr>
      </w:pPr>
    </w:p>
    <w:p w14:paraId="2C07C5A6" w14:textId="13833203" w:rsidR="00081C23" w:rsidRPr="00626816" w:rsidRDefault="00F70483" w:rsidP="00432DB4">
      <w:pPr>
        <w:pStyle w:val="Ttulo2"/>
        <w:jc w:val="both"/>
      </w:pPr>
      <w:bookmarkStart w:id="15" w:name="_Toc211444853"/>
      <w:bookmarkStart w:id="16" w:name="_Toc221202151"/>
      <w:r>
        <w:t>I</w:t>
      </w:r>
      <w:r w:rsidR="0086101D">
        <w:t>X</w:t>
      </w:r>
      <w:r w:rsidR="00081C23" w:rsidRPr="00626816">
        <w:t xml:space="preserve">. Trámite </w:t>
      </w:r>
      <w:r w:rsidR="00E74ABB">
        <w:t xml:space="preserve">del Recurso de Revisión número </w:t>
      </w:r>
      <w:r w:rsidR="0093448A">
        <w:t>04946/INFOEM/ICR-106/IP/RR/2025</w:t>
      </w:r>
      <w:bookmarkEnd w:id="15"/>
      <w:bookmarkEnd w:id="16"/>
    </w:p>
    <w:p w14:paraId="41364992" w14:textId="77777777" w:rsidR="00081C23" w:rsidRPr="00626816" w:rsidRDefault="00081C23" w:rsidP="00432DB4">
      <w:pPr>
        <w:spacing w:line="360" w:lineRule="auto"/>
        <w:jc w:val="both"/>
        <w:rPr>
          <w:rFonts w:ascii="Palatino Linotype" w:eastAsia="Batang" w:hAnsi="Palatino Linotype" w:cs="Tahoma"/>
          <w:b/>
          <w:bCs/>
          <w:color w:val="FF0000"/>
          <w:sz w:val="22"/>
          <w:szCs w:val="22"/>
        </w:rPr>
      </w:pPr>
    </w:p>
    <w:p w14:paraId="5AB13ED4" w14:textId="7237DE64" w:rsidR="00081C23" w:rsidRPr="00626816" w:rsidRDefault="00081C23" w:rsidP="00432DB4">
      <w:pPr>
        <w:tabs>
          <w:tab w:val="center" w:pos="4560"/>
          <w:tab w:val="left" w:pos="8207"/>
        </w:tabs>
        <w:spacing w:line="360" w:lineRule="auto"/>
        <w:jc w:val="both"/>
        <w:rPr>
          <w:rFonts w:ascii="Palatino Linotype" w:eastAsia="Batang" w:hAnsi="Palatino Linotype" w:cs="Tahoma"/>
          <w:bCs/>
          <w:sz w:val="22"/>
          <w:szCs w:val="22"/>
        </w:rPr>
      </w:pPr>
      <w:r w:rsidRPr="00626816">
        <w:rPr>
          <w:rFonts w:ascii="Palatino Linotype" w:eastAsia="Batang" w:hAnsi="Palatino Linotype" w:cs="Tahoma"/>
          <w:b/>
          <w:bCs/>
          <w:sz w:val="22"/>
          <w:szCs w:val="22"/>
        </w:rPr>
        <w:t>a) Turno de los Recursos</w:t>
      </w:r>
      <w:r w:rsidRPr="00626816">
        <w:rPr>
          <w:rFonts w:ascii="Palatino Linotype" w:hAnsi="Palatino Linotype" w:cs="Tahoma"/>
          <w:b/>
          <w:sz w:val="22"/>
          <w:szCs w:val="22"/>
        </w:rPr>
        <w:t xml:space="preserve"> de Revisión</w:t>
      </w:r>
      <w:r w:rsidRPr="00626816">
        <w:rPr>
          <w:rFonts w:ascii="Palatino Linotype" w:eastAsia="Batang" w:hAnsi="Palatino Linotype" w:cs="Tahoma"/>
          <w:b/>
          <w:bCs/>
          <w:sz w:val="22"/>
          <w:szCs w:val="22"/>
        </w:rPr>
        <w:t>.</w:t>
      </w:r>
      <w:r w:rsidRPr="00626816">
        <w:rPr>
          <w:rFonts w:ascii="Palatino Linotype" w:eastAsia="Batang" w:hAnsi="Palatino Linotype" w:cs="Tahoma"/>
          <w:bCs/>
          <w:sz w:val="22"/>
          <w:szCs w:val="22"/>
        </w:rPr>
        <w:t xml:space="preserve"> </w:t>
      </w:r>
      <w:r w:rsidR="00E74ABB">
        <w:rPr>
          <w:rFonts w:ascii="Palatino Linotype" w:hAnsi="Palatino Linotype" w:cs="Tahoma"/>
          <w:sz w:val="22"/>
          <w:szCs w:val="22"/>
        </w:rPr>
        <w:t xml:space="preserve">El </w:t>
      </w:r>
      <w:r w:rsidR="0086101D">
        <w:rPr>
          <w:rFonts w:ascii="Palatino Linotype" w:hAnsi="Palatino Linotype" w:cs="Tahoma"/>
          <w:sz w:val="22"/>
          <w:szCs w:val="22"/>
        </w:rPr>
        <w:t>doce de agosto</w:t>
      </w:r>
      <w:r w:rsidRPr="00626816">
        <w:rPr>
          <w:rFonts w:ascii="Palatino Linotype" w:hAnsi="Palatino Linotype" w:cs="Tahoma"/>
          <w:sz w:val="22"/>
          <w:szCs w:val="22"/>
        </w:rPr>
        <w:t xml:space="preserve"> de dos mil veinticinco, </w:t>
      </w:r>
      <w:r w:rsidRPr="00626816">
        <w:rPr>
          <w:rFonts w:ascii="Palatino Linotype" w:eastAsia="Batang" w:hAnsi="Palatino Linotype" w:cs="Tahoma"/>
          <w:bCs/>
          <w:sz w:val="22"/>
          <w:szCs w:val="22"/>
        </w:rPr>
        <w:t xml:space="preserve">el </w:t>
      </w:r>
      <w:r w:rsidRPr="00626816">
        <w:rPr>
          <w:rFonts w:ascii="Palatino Linotype" w:hAnsi="Palatino Linotype" w:cs="Tahoma"/>
          <w:sz w:val="22"/>
          <w:szCs w:val="22"/>
          <w:lang w:val="es-ES"/>
        </w:rPr>
        <w:t>Sistema de Acceso a la Información Mexiquense (SAIMEX),</w:t>
      </w:r>
      <w:r w:rsidRPr="00626816">
        <w:rPr>
          <w:rFonts w:ascii="Palatino Linotype" w:eastAsia="Batang" w:hAnsi="Palatino Linotype" w:cs="Tahoma"/>
          <w:bCs/>
          <w:sz w:val="22"/>
          <w:szCs w:val="22"/>
        </w:rPr>
        <w:t xml:space="preserve"> asignó el número de expediente</w:t>
      </w:r>
      <w:bookmarkStart w:id="17" w:name="_Hlk166019230"/>
      <w:r w:rsidRPr="00626816">
        <w:rPr>
          <w:rFonts w:ascii="Palatino Linotype" w:eastAsia="Batang" w:hAnsi="Palatino Linotype" w:cs="Tahoma"/>
          <w:bCs/>
          <w:sz w:val="22"/>
          <w:szCs w:val="22"/>
        </w:rPr>
        <w:t xml:space="preserve"> </w:t>
      </w:r>
      <w:r w:rsidR="0093448A">
        <w:rPr>
          <w:rFonts w:ascii="Palatino Linotype" w:hAnsi="Palatino Linotype" w:cs="Tahoma"/>
          <w:b/>
          <w:sz w:val="22"/>
          <w:szCs w:val="22"/>
        </w:rPr>
        <w:t>04946/INFOEM/ICR-106/IP/RR/2025</w:t>
      </w:r>
      <w:bookmarkEnd w:id="17"/>
      <w:r w:rsidRPr="00626816">
        <w:rPr>
          <w:rFonts w:ascii="Palatino Linotype" w:eastAsia="Batang" w:hAnsi="Palatino Linotype" w:cs="Tahoma"/>
          <w:bCs/>
          <w:sz w:val="22"/>
          <w:szCs w:val="22"/>
        </w:rPr>
        <w:t xml:space="preserve">, al Medio de Impugnación que nos ocupa, con base en el sistema aprobado por el Pleno de este Organismo Garante y los turnó al </w:t>
      </w:r>
      <w:r w:rsidRPr="00626816">
        <w:rPr>
          <w:rFonts w:ascii="Palatino Linotype" w:eastAsia="Batang" w:hAnsi="Palatino Linotype" w:cs="Tahoma"/>
          <w:b/>
          <w:bCs/>
          <w:sz w:val="22"/>
          <w:szCs w:val="22"/>
        </w:rPr>
        <w:t>Comisionado Ponente Luis Gustavo Parra Noriega</w:t>
      </w:r>
      <w:r w:rsidRPr="00626816">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CC42E38" w14:textId="77777777" w:rsidR="00081C23" w:rsidRPr="00626816" w:rsidRDefault="00081C23" w:rsidP="00432DB4">
      <w:pPr>
        <w:spacing w:line="360" w:lineRule="auto"/>
        <w:jc w:val="both"/>
        <w:rPr>
          <w:rFonts w:ascii="Palatino Linotype" w:eastAsia="Batang" w:hAnsi="Palatino Linotype" w:cs="Tahoma"/>
          <w:bCs/>
          <w:color w:val="FF0000"/>
          <w:sz w:val="22"/>
          <w:szCs w:val="22"/>
        </w:rPr>
      </w:pPr>
    </w:p>
    <w:p w14:paraId="6D2E0710" w14:textId="6A19D25E" w:rsidR="00081C23" w:rsidRPr="00626816" w:rsidRDefault="00081C23" w:rsidP="00432DB4">
      <w:pPr>
        <w:spacing w:line="360" w:lineRule="auto"/>
        <w:jc w:val="both"/>
        <w:rPr>
          <w:rFonts w:ascii="Palatino Linotype" w:eastAsia="Batang" w:hAnsi="Palatino Linotype" w:cs="Tahoma"/>
          <w:bCs/>
          <w:sz w:val="22"/>
          <w:szCs w:val="22"/>
        </w:rPr>
      </w:pPr>
      <w:r w:rsidRPr="00626816">
        <w:rPr>
          <w:rFonts w:ascii="Palatino Linotype" w:eastAsia="Batang" w:hAnsi="Palatino Linotype" w:cs="Tahoma"/>
          <w:b/>
          <w:bCs/>
          <w:sz w:val="22"/>
          <w:szCs w:val="22"/>
        </w:rPr>
        <w:t xml:space="preserve">b) Admisión del </w:t>
      </w:r>
      <w:r w:rsidRPr="00626816">
        <w:rPr>
          <w:rFonts w:ascii="Palatino Linotype" w:hAnsi="Palatino Linotype" w:cs="Tahoma"/>
          <w:b/>
          <w:sz w:val="22"/>
          <w:szCs w:val="22"/>
        </w:rPr>
        <w:t>Recurso de Revisión</w:t>
      </w:r>
      <w:r w:rsidRPr="00626816">
        <w:rPr>
          <w:rFonts w:ascii="Palatino Linotype" w:eastAsia="Batang" w:hAnsi="Palatino Linotype" w:cs="Tahoma"/>
          <w:b/>
          <w:bCs/>
          <w:sz w:val="22"/>
          <w:szCs w:val="22"/>
        </w:rPr>
        <w:t xml:space="preserve">. </w:t>
      </w:r>
      <w:r w:rsidRPr="00626816">
        <w:rPr>
          <w:rFonts w:ascii="Palatino Linotype" w:eastAsia="Batang" w:hAnsi="Palatino Linotype" w:cs="Tahoma"/>
          <w:bCs/>
          <w:sz w:val="22"/>
          <w:szCs w:val="22"/>
        </w:rPr>
        <w:t xml:space="preserve">El </w:t>
      </w:r>
      <w:r w:rsidR="0086101D">
        <w:rPr>
          <w:rFonts w:ascii="Palatino Linotype" w:eastAsia="Batang" w:hAnsi="Palatino Linotype" w:cs="Tahoma"/>
          <w:bCs/>
          <w:sz w:val="22"/>
          <w:szCs w:val="22"/>
        </w:rPr>
        <w:t>quince de agosto</w:t>
      </w:r>
      <w:r w:rsidR="00F70483">
        <w:rPr>
          <w:rFonts w:ascii="Palatino Linotype" w:eastAsia="Batang" w:hAnsi="Palatino Linotype" w:cs="Tahoma"/>
          <w:bCs/>
          <w:sz w:val="22"/>
          <w:szCs w:val="22"/>
        </w:rPr>
        <w:t xml:space="preserve"> de dos mil </w:t>
      </w:r>
      <w:r w:rsidR="0086101D">
        <w:rPr>
          <w:rFonts w:ascii="Palatino Linotype" w:eastAsia="Batang" w:hAnsi="Palatino Linotype" w:cs="Tahoma"/>
          <w:bCs/>
          <w:sz w:val="22"/>
          <w:szCs w:val="22"/>
        </w:rPr>
        <w:t>veinticinco</w:t>
      </w:r>
      <w:r w:rsidRPr="00626816">
        <w:rPr>
          <w:rFonts w:ascii="Palatino Linotype" w:eastAsia="Batang" w:hAnsi="Palatino Linotype" w:cs="Tahoma"/>
          <w:bCs/>
          <w:sz w:val="22"/>
          <w:szCs w:val="22"/>
        </w:rPr>
        <w:t xml:space="preserve">, se acordó la admisión del Recurso de Revisión número </w:t>
      </w:r>
      <w:r w:rsidR="0093448A">
        <w:rPr>
          <w:rFonts w:ascii="Palatino Linotype" w:hAnsi="Palatino Linotype" w:cs="Tahoma"/>
          <w:b/>
          <w:sz w:val="22"/>
          <w:szCs w:val="22"/>
        </w:rPr>
        <w:t>04946/INFOEM/ICR-106/IP/RR/2025</w:t>
      </w:r>
      <w:r w:rsidRPr="00626816">
        <w:rPr>
          <w:rFonts w:ascii="Palatino Linotype" w:eastAsia="Batang" w:hAnsi="Palatino Linotype" w:cs="Tahoma"/>
          <w:bCs/>
          <w:sz w:val="22"/>
          <w:szCs w:val="22"/>
        </w:rPr>
        <w:t xml:space="preserve">, </w:t>
      </w:r>
      <w:r w:rsidRPr="00626816">
        <w:rPr>
          <w:rFonts w:ascii="Palatino Linotype" w:eastAsia="Batang" w:hAnsi="Palatino Linotype" w:cs="Tahoma"/>
          <w:bCs/>
          <w:sz w:val="22"/>
          <w:szCs w:val="22"/>
        </w:rPr>
        <w:lastRenderedPageBreak/>
        <w:t>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626816">
        <w:rPr>
          <w:rFonts w:ascii="Palatino Linotype" w:hAnsi="Palatino Linotype" w:cs="Tahoma"/>
          <w:b/>
          <w:sz w:val="22"/>
          <w:szCs w:val="22"/>
        </w:rPr>
        <w:t xml:space="preserve"> </w:t>
      </w:r>
    </w:p>
    <w:p w14:paraId="19D1E029" w14:textId="77777777" w:rsidR="00081C23" w:rsidRPr="00626816" w:rsidRDefault="00081C23" w:rsidP="00432DB4">
      <w:pPr>
        <w:spacing w:line="360" w:lineRule="auto"/>
        <w:jc w:val="both"/>
        <w:rPr>
          <w:rFonts w:ascii="Palatino Linotype" w:eastAsia="Batang" w:hAnsi="Palatino Linotype" w:cs="Tahoma"/>
          <w:bCs/>
          <w:color w:val="FF0000"/>
          <w:sz w:val="22"/>
          <w:szCs w:val="22"/>
        </w:rPr>
      </w:pPr>
    </w:p>
    <w:p w14:paraId="5D5758AE" w14:textId="77777777" w:rsidR="0086101D" w:rsidRPr="0086101D" w:rsidRDefault="00081C23" w:rsidP="00432DB4">
      <w:pPr>
        <w:spacing w:line="360" w:lineRule="auto"/>
        <w:rPr>
          <w:rFonts w:ascii="Palatino Linotype" w:eastAsia="Palatino Linotype" w:hAnsi="Palatino Linotype" w:cs="Palatino Linotype"/>
          <w:color w:val="000000"/>
          <w:sz w:val="22"/>
          <w:szCs w:val="22"/>
          <w:lang w:eastAsia="es-MX"/>
        </w:rPr>
      </w:pPr>
      <w:r w:rsidRPr="00626816">
        <w:rPr>
          <w:rFonts w:ascii="Palatino Linotype" w:hAnsi="Palatino Linotype" w:cs="Tahoma"/>
          <w:b/>
          <w:sz w:val="22"/>
          <w:szCs w:val="22"/>
        </w:rPr>
        <w:t xml:space="preserve">c) </w:t>
      </w:r>
      <w:r w:rsidR="0086101D" w:rsidRPr="0086101D">
        <w:rPr>
          <w:rFonts w:ascii="Palatino Linotype" w:eastAsia="Palatino Linotype" w:hAnsi="Palatino Linotype" w:cs="Palatino Linotype"/>
          <w:b/>
          <w:color w:val="000000"/>
          <w:sz w:val="22"/>
          <w:szCs w:val="22"/>
          <w:lang w:eastAsia="es-MX"/>
        </w:rPr>
        <w:t xml:space="preserve">Informe Justificado. </w:t>
      </w:r>
      <w:r w:rsidR="0086101D" w:rsidRPr="0086101D">
        <w:rPr>
          <w:rFonts w:ascii="Palatino Linotype" w:eastAsia="Palatino Linotype" w:hAnsi="Palatino Linotype" w:cs="Palatino Linotype"/>
          <w:color w:val="000000"/>
          <w:sz w:val="22"/>
          <w:szCs w:val="22"/>
          <w:lang w:eastAsia="es-MX"/>
        </w:rPr>
        <w:t xml:space="preserve">El diecinueve y veintiséis de septiembre de dos mil veinticinco, se recibió, a través del Sistema de Acceso a la Información Mexiquense (SAIMEX), el Informe Justificado del Sujeto Obligado, a través de los documentos siguientes: </w:t>
      </w:r>
    </w:p>
    <w:p w14:paraId="7AF205A4" w14:textId="77777777"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p>
    <w:p w14:paraId="31CF5D24" w14:textId="08C58680"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r w:rsidRPr="0086101D">
        <w:rPr>
          <w:rFonts w:ascii="Palatino Linotype" w:eastAsia="Palatino Linotype" w:hAnsi="Palatino Linotype" w:cs="Palatino Linotype"/>
          <w:color w:val="000000"/>
          <w:sz w:val="22"/>
          <w:szCs w:val="22"/>
          <w:lang w:eastAsia="es-MX"/>
        </w:rPr>
        <w:t>i. Oficio número TM/ECA/CA/</w:t>
      </w:r>
      <w:r>
        <w:rPr>
          <w:rFonts w:ascii="Palatino Linotype" w:eastAsia="Palatino Linotype" w:hAnsi="Palatino Linotype" w:cs="Palatino Linotype"/>
          <w:color w:val="000000"/>
          <w:sz w:val="22"/>
          <w:szCs w:val="22"/>
          <w:lang w:eastAsia="es-MX"/>
        </w:rPr>
        <w:t>5307</w:t>
      </w:r>
      <w:r w:rsidRPr="0086101D">
        <w:rPr>
          <w:rFonts w:ascii="Palatino Linotype" w:eastAsia="Palatino Linotype" w:hAnsi="Palatino Linotype" w:cs="Palatino Linotype"/>
          <w:color w:val="000000"/>
          <w:sz w:val="22"/>
          <w:szCs w:val="22"/>
          <w:lang w:eastAsia="es-MX"/>
        </w:rPr>
        <w:t xml:space="preserve">/2025, del </w:t>
      </w:r>
      <w:r>
        <w:rPr>
          <w:rFonts w:ascii="Palatino Linotype" w:eastAsia="Palatino Linotype" w:hAnsi="Palatino Linotype" w:cs="Palatino Linotype"/>
          <w:color w:val="000000"/>
          <w:sz w:val="22"/>
          <w:szCs w:val="22"/>
          <w:lang w:eastAsia="es-MX"/>
        </w:rPr>
        <w:t xml:space="preserve">veinte de agosto </w:t>
      </w:r>
      <w:r w:rsidRPr="0086101D">
        <w:rPr>
          <w:rFonts w:ascii="Palatino Linotype" w:eastAsia="Palatino Linotype" w:hAnsi="Palatino Linotype" w:cs="Palatino Linotype"/>
          <w:color w:val="000000"/>
          <w:sz w:val="22"/>
          <w:szCs w:val="22"/>
          <w:lang w:eastAsia="es-MX"/>
        </w:rPr>
        <w:t>de dos mil veinticinco, suscrito por el Tesorero Municipal y dirigido a la Titular de la Unidad de Transparencia, por medio del cual ratifico su respuesta.</w:t>
      </w:r>
    </w:p>
    <w:p w14:paraId="7B34EB97" w14:textId="77777777"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p>
    <w:p w14:paraId="383F04EE" w14:textId="0D68FB0F"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r w:rsidRPr="0086101D">
        <w:rPr>
          <w:rFonts w:ascii="Palatino Linotype" w:eastAsia="Palatino Linotype" w:hAnsi="Palatino Linotype" w:cs="Palatino Linotype"/>
          <w:color w:val="000000"/>
          <w:sz w:val="22"/>
          <w:szCs w:val="22"/>
          <w:lang w:eastAsia="es-MX"/>
        </w:rPr>
        <w:t>ii. Acta número ACT/ECA/CT/EXT/2</w:t>
      </w:r>
      <w:r>
        <w:rPr>
          <w:rFonts w:ascii="Palatino Linotype" w:eastAsia="Palatino Linotype" w:hAnsi="Palatino Linotype" w:cs="Palatino Linotype"/>
          <w:color w:val="000000"/>
          <w:sz w:val="22"/>
          <w:szCs w:val="22"/>
          <w:lang w:eastAsia="es-MX"/>
        </w:rPr>
        <w:t>3</w:t>
      </w:r>
      <w:r w:rsidRPr="0086101D">
        <w:rPr>
          <w:rFonts w:ascii="Palatino Linotype" w:eastAsia="Palatino Linotype" w:hAnsi="Palatino Linotype" w:cs="Palatino Linotype"/>
          <w:color w:val="000000"/>
          <w:sz w:val="22"/>
          <w:szCs w:val="22"/>
          <w:lang w:eastAsia="es-MX"/>
        </w:rPr>
        <w:t xml:space="preserve">ª/2025, de la Vigésima </w:t>
      </w:r>
      <w:r>
        <w:rPr>
          <w:rFonts w:ascii="Palatino Linotype" w:eastAsia="Palatino Linotype" w:hAnsi="Palatino Linotype" w:cs="Palatino Linotype"/>
          <w:color w:val="000000"/>
          <w:sz w:val="22"/>
          <w:szCs w:val="22"/>
          <w:lang w:eastAsia="es-MX"/>
        </w:rPr>
        <w:t xml:space="preserve">Tercera </w:t>
      </w:r>
      <w:r w:rsidRPr="0086101D">
        <w:rPr>
          <w:rFonts w:ascii="Palatino Linotype" w:eastAsia="Palatino Linotype" w:hAnsi="Palatino Linotype" w:cs="Palatino Linotype"/>
          <w:color w:val="000000"/>
          <w:sz w:val="22"/>
          <w:szCs w:val="22"/>
          <w:lang w:eastAsia="es-MX"/>
        </w:rPr>
        <w:t>Sesión Extraordinaria del Comité de Transparencia, por medio de la cual confirma la clasificación de la información como reservada.</w:t>
      </w:r>
    </w:p>
    <w:p w14:paraId="64ACE8B7" w14:textId="77777777"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p>
    <w:p w14:paraId="58688E8B" w14:textId="174E9A6F" w:rsidR="0086101D" w:rsidRPr="0086101D" w:rsidRDefault="0086101D" w:rsidP="00432DB4">
      <w:pPr>
        <w:spacing w:line="360" w:lineRule="auto"/>
        <w:jc w:val="both"/>
        <w:rPr>
          <w:rFonts w:ascii="Palatino Linotype" w:eastAsia="Palatino Linotype" w:hAnsi="Palatino Linotype" w:cs="Palatino Linotype"/>
          <w:color w:val="000000"/>
          <w:sz w:val="22"/>
          <w:szCs w:val="22"/>
          <w:lang w:eastAsia="es-MX"/>
        </w:rPr>
      </w:pPr>
      <w:r w:rsidRPr="0086101D">
        <w:rPr>
          <w:rFonts w:ascii="Palatino Linotype" w:eastAsia="Palatino Linotype" w:hAnsi="Palatino Linotype" w:cs="Palatino Linotype"/>
          <w:color w:val="000000"/>
          <w:sz w:val="22"/>
          <w:szCs w:val="22"/>
          <w:lang w:eastAsia="es-MX"/>
        </w:rPr>
        <w:t>iii. Oficio número C</w:t>
      </w:r>
      <w:r>
        <w:rPr>
          <w:rFonts w:ascii="Palatino Linotype" w:eastAsia="Palatino Linotype" w:hAnsi="Palatino Linotype" w:cs="Palatino Linotype"/>
          <w:color w:val="000000"/>
          <w:sz w:val="22"/>
          <w:szCs w:val="22"/>
          <w:lang w:eastAsia="es-MX"/>
        </w:rPr>
        <w:t>T</w:t>
      </w:r>
      <w:r w:rsidRPr="0086101D">
        <w:rPr>
          <w:rFonts w:ascii="Palatino Linotype" w:eastAsia="Palatino Linotype" w:hAnsi="Palatino Linotype" w:cs="Palatino Linotype"/>
          <w:color w:val="000000"/>
          <w:sz w:val="22"/>
          <w:szCs w:val="22"/>
          <w:lang w:eastAsia="es-MX"/>
        </w:rPr>
        <w:t>/UT/ECA/</w:t>
      </w:r>
      <w:r>
        <w:rPr>
          <w:rFonts w:ascii="Palatino Linotype" w:eastAsia="Palatino Linotype" w:hAnsi="Palatino Linotype" w:cs="Palatino Linotype"/>
          <w:color w:val="000000"/>
          <w:sz w:val="22"/>
          <w:szCs w:val="22"/>
          <w:lang w:eastAsia="es-MX"/>
        </w:rPr>
        <w:t>1037</w:t>
      </w:r>
      <w:r w:rsidRPr="0086101D">
        <w:rPr>
          <w:rFonts w:ascii="Palatino Linotype" w:eastAsia="Palatino Linotype" w:hAnsi="Palatino Linotype" w:cs="Palatino Linotype"/>
          <w:color w:val="000000"/>
          <w:sz w:val="22"/>
          <w:szCs w:val="22"/>
          <w:lang w:eastAsia="es-MX"/>
        </w:rPr>
        <w:t>/2025, del dieciocho de septiembre de dos mil veinticinco, suscrito por la Titular de la Unidad de Transparencia y dirigido al Comisionado Ponente, por medio del cual ratifica la respuesta.</w:t>
      </w:r>
    </w:p>
    <w:p w14:paraId="57086DC3" w14:textId="77777777" w:rsidR="00081C23" w:rsidRPr="00626816" w:rsidRDefault="00081C23" w:rsidP="00432DB4">
      <w:pPr>
        <w:spacing w:line="360" w:lineRule="auto"/>
        <w:jc w:val="both"/>
        <w:rPr>
          <w:rFonts w:ascii="Palatino Linotype" w:hAnsi="Palatino Linotype" w:cs="Tahoma"/>
          <w:b/>
          <w:color w:val="FF0000"/>
          <w:sz w:val="22"/>
          <w:szCs w:val="22"/>
        </w:rPr>
      </w:pPr>
    </w:p>
    <w:p w14:paraId="7628B991" w14:textId="235DFBE3" w:rsidR="0086101D" w:rsidRPr="0086101D" w:rsidRDefault="00E74ABB" w:rsidP="00432DB4">
      <w:pPr>
        <w:spacing w:line="360" w:lineRule="auto"/>
        <w:jc w:val="both"/>
        <w:rPr>
          <w:rFonts w:ascii="Palatino Linotype" w:eastAsia="Palatino Linotype" w:hAnsi="Palatino Linotype" w:cs="Tahoma"/>
          <w:color w:val="000000"/>
          <w:sz w:val="22"/>
          <w:szCs w:val="22"/>
          <w:lang w:eastAsia="es-MX"/>
        </w:rPr>
      </w:pPr>
      <w:r>
        <w:rPr>
          <w:rFonts w:ascii="Palatino Linotype" w:hAnsi="Palatino Linotype" w:cs="Tahoma"/>
          <w:b/>
          <w:sz w:val="22"/>
          <w:szCs w:val="22"/>
        </w:rPr>
        <w:t>d</w:t>
      </w:r>
      <w:r w:rsidR="00081C23" w:rsidRPr="00626816">
        <w:rPr>
          <w:rFonts w:ascii="Palatino Linotype" w:hAnsi="Palatino Linotype" w:cs="Tahoma"/>
          <w:b/>
          <w:sz w:val="22"/>
          <w:szCs w:val="22"/>
        </w:rPr>
        <w:t xml:space="preserve">) </w:t>
      </w:r>
      <w:r w:rsidR="0086101D" w:rsidRPr="0086101D">
        <w:rPr>
          <w:rFonts w:ascii="Palatino Linotype" w:eastAsia="Palatino Linotype" w:hAnsi="Palatino Linotype" w:cs="Palatino Linotype"/>
          <w:b/>
          <w:color w:val="000000"/>
          <w:sz w:val="22"/>
          <w:szCs w:val="22"/>
          <w:lang w:eastAsia="es-MX"/>
        </w:rPr>
        <w:t>Vista del Informe Justificado.</w:t>
      </w:r>
      <w:r w:rsidR="0086101D" w:rsidRPr="0086101D">
        <w:rPr>
          <w:rFonts w:ascii="Palatino Linotype" w:eastAsia="Palatino Linotype" w:hAnsi="Palatino Linotype" w:cs="Palatino Linotype"/>
          <w:color w:val="000000"/>
          <w:sz w:val="22"/>
          <w:szCs w:val="22"/>
          <w:lang w:eastAsia="es-MX"/>
        </w:rPr>
        <w:t xml:space="preserve"> El </w:t>
      </w:r>
      <w:r w:rsidR="0086101D">
        <w:rPr>
          <w:rFonts w:ascii="Palatino Linotype" w:eastAsia="Palatino Linotype" w:hAnsi="Palatino Linotype" w:cs="Palatino Linotype"/>
          <w:color w:val="000000"/>
          <w:sz w:val="22"/>
          <w:szCs w:val="22"/>
          <w:lang w:eastAsia="es-MX"/>
        </w:rPr>
        <w:t>veintiocho</w:t>
      </w:r>
      <w:r w:rsidR="0086101D" w:rsidRPr="0086101D">
        <w:rPr>
          <w:rFonts w:ascii="Palatino Linotype" w:eastAsia="Palatino Linotype" w:hAnsi="Palatino Linotype" w:cs="Palatino Linotype"/>
          <w:color w:val="000000"/>
          <w:sz w:val="22"/>
          <w:szCs w:val="22"/>
          <w:lang w:eastAsia="es-MX"/>
        </w:rPr>
        <w:t xml:space="preserve"> de enero de dos mil veintiséis, se dictó acuerdo mediante el cual se puso a la vista del Particular el Informe Justificado, entregado por el Sujeto Obligado, así como los documentos adjuntos, el cual fue notificado a las partes, a través del </w:t>
      </w:r>
      <w:r w:rsidR="0086101D" w:rsidRPr="0086101D">
        <w:rPr>
          <w:rFonts w:ascii="Palatino Linotype" w:eastAsia="Palatino Linotype" w:hAnsi="Palatino Linotype" w:cs="Palatino Linotype"/>
          <w:color w:val="000000"/>
          <w:sz w:val="22"/>
          <w:szCs w:val="22"/>
          <w:lang w:eastAsia="es-MX"/>
        </w:rPr>
        <w:lastRenderedPageBreak/>
        <w:t>Sistema de Acceso a la Información Mexiquense (SAIMEX). Cabe señalar que el Particular fue omiso en realizar manifestación alguna.</w:t>
      </w:r>
    </w:p>
    <w:p w14:paraId="1363E684" w14:textId="77777777" w:rsidR="0086101D" w:rsidRPr="0086101D" w:rsidRDefault="0086101D" w:rsidP="00432DB4">
      <w:pPr>
        <w:spacing w:line="360" w:lineRule="auto"/>
        <w:jc w:val="both"/>
        <w:rPr>
          <w:rFonts w:ascii="Palatino Linotype" w:eastAsia="Palatino Linotype" w:hAnsi="Palatino Linotype" w:cs="Tahoma"/>
          <w:color w:val="000000"/>
          <w:sz w:val="22"/>
          <w:szCs w:val="22"/>
          <w:lang w:eastAsia="es-MX"/>
        </w:rPr>
      </w:pPr>
    </w:p>
    <w:p w14:paraId="1AB5A80E" w14:textId="053F44AF" w:rsidR="00E90A35" w:rsidRDefault="0086101D" w:rsidP="00432DB4">
      <w:pPr>
        <w:spacing w:line="360" w:lineRule="auto"/>
        <w:jc w:val="both"/>
        <w:rPr>
          <w:rFonts w:ascii="Palatino Linotype" w:eastAsia="Palatino Linotype" w:hAnsi="Palatino Linotype" w:cs="Palatino Linotype"/>
          <w:b/>
          <w:color w:val="000000"/>
          <w:sz w:val="22"/>
          <w:szCs w:val="22"/>
          <w:lang w:eastAsia="es-MX"/>
        </w:rPr>
      </w:pPr>
      <w:bookmarkStart w:id="18" w:name="_Hlk182976945"/>
      <w:r w:rsidRPr="0086101D">
        <w:rPr>
          <w:rFonts w:ascii="Palatino Linotype" w:eastAsia="Palatino Linotype" w:hAnsi="Palatino Linotype" w:cs="Palatino Linotype"/>
          <w:b/>
          <w:color w:val="000000"/>
          <w:sz w:val="22"/>
          <w:szCs w:val="22"/>
          <w:lang w:eastAsia="es-MX"/>
        </w:rPr>
        <w:t xml:space="preserve">e) </w:t>
      </w:r>
      <w:r w:rsidR="00E90A35">
        <w:rPr>
          <w:rFonts w:ascii="Palatino Linotype" w:eastAsia="Palatino Linotype" w:hAnsi="Palatino Linotype" w:cs="Palatino Linotype"/>
          <w:b/>
          <w:color w:val="000000"/>
          <w:sz w:val="22"/>
          <w:szCs w:val="22"/>
          <w:lang w:eastAsia="es-MX"/>
        </w:rPr>
        <w:t xml:space="preserve">Manifestaciones: </w:t>
      </w:r>
      <w:r w:rsidR="00E90A35" w:rsidRPr="0086101D">
        <w:rPr>
          <w:rFonts w:ascii="Palatino Linotype" w:eastAsia="Palatino Linotype" w:hAnsi="Palatino Linotype" w:cs="Palatino Linotype"/>
          <w:color w:val="000000"/>
          <w:sz w:val="22"/>
          <w:szCs w:val="22"/>
          <w:lang w:eastAsia="es-MX"/>
        </w:rPr>
        <w:t xml:space="preserve">El </w:t>
      </w:r>
      <w:r w:rsidR="00E90A35">
        <w:rPr>
          <w:rFonts w:ascii="Palatino Linotype" w:eastAsia="Palatino Linotype" w:hAnsi="Palatino Linotype" w:cs="Palatino Linotype"/>
          <w:color w:val="000000"/>
          <w:sz w:val="22"/>
          <w:szCs w:val="22"/>
          <w:lang w:eastAsia="es-MX"/>
        </w:rPr>
        <w:t>veintinueve</w:t>
      </w:r>
      <w:r w:rsidR="00E90A35" w:rsidRPr="0086101D">
        <w:rPr>
          <w:rFonts w:ascii="Palatino Linotype" w:eastAsia="Palatino Linotype" w:hAnsi="Palatino Linotype" w:cs="Palatino Linotype"/>
          <w:color w:val="000000"/>
          <w:sz w:val="22"/>
          <w:szCs w:val="22"/>
          <w:lang w:eastAsia="es-MX"/>
        </w:rPr>
        <w:t xml:space="preserve"> </w:t>
      </w:r>
      <w:r w:rsidR="00E90A35">
        <w:rPr>
          <w:rFonts w:ascii="Palatino Linotype" w:eastAsia="Palatino Linotype" w:hAnsi="Palatino Linotype" w:cs="Palatino Linotype"/>
          <w:color w:val="000000"/>
          <w:sz w:val="22"/>
          <w:szCs w:val="22"/>
          <w:lang w:eastAsia="es-MX"/>
        </w:rPr>
        <w:t>de enero de dos mil veintiséis</w:t>
      </w:r>
      <w:r w:rsidR="00E90A35" w:rsidRPr="0086101D">
        <w:rPr>
          <w:rFonts w:ascii="Palatino Linotype" w:eastAsia="Palatino Linotype" w:hAnsi="Palatino Linotype" w:cs="Palatino Linotype"/>
          <w:color w:val="000000"/>
          <w:sz w:val="22"/>
          <w:szCs w:val="22"/>
          <w:lang w:eastAsia="es-MX"/>
        </w:rPr>
        <w:t xml:space="preserve">, se recibió, a través del Sistema de Acceso a la Información Mexiquense (SAIMEX), </w:t>
      </w:r>
      <w:r w:rsidR="00E90A35">
        <w:rPr>
          <w:rFonts w:ascii="Palatino Linotype" w:eastAsia="Palatino Linotype" w:hAnsi="Palatino Linotype" w:cs="Palatino Linotype"/>
          <w:color w:val="000000"/>
          <w:sz w:val="22"/>
          <w:szCs w:val="22"/>
          <w:lang w:eastAsia="es-MX"/>
        </w:rPr>
        <w:t>las Manifestaciones del Particular por medio del cual ratifica su inconformidad.</w:t>
      </w:r>
    </w:p>
    <w:p w14:paraId="125B8C85" w14:textId="77777777" w:rsidR="00E90A35" w:rsidRDefault="00E90A35" w:rsidP="00432DB4">
      <w:pPr>
        <w:spacing w:line="360" w:lineRule="auto"/>
        <w:jc w:val="both"/>
        <w:rPr>
          <w:rFonts w:ascii="Palatino Linotype" w:eastAsia="Palatino Linotype" w:hAnsi="Palatino Linotype" w:cs="Palatino Linotype"/>
          <w:b/>
          <w:color w:val="000000"/>
          <w:sz w:val="22"/>
          <w:szCs w:val="22"/>
          <w:lang w:eastAsia="es-MX"/>
        </w:rPr>
      </w:pPr>
    </w:p>
    <w:p w14:paraId="7A8F0CB9" w14:textId="3CDCD63E" w:rsidR="0086101D" w:rsidRPr="0086101D" w:rsidRDefault="00E90A35" w:rsidP="00432DB4">
      <w:pPr>
        <w:spacing w:line="360" w:lineRule="auto"/>
        <w:jc w:val="both"/>
        <w:rPr>
          <w:rFonts w:ascii="Palatino Linotype" w:eastAsia="Palatino Linotype" w:hAnsi="Palatino Linotype" w:cs="Tahoma"/>
          <w:color w:val="000000"/>
          <w:sz w:val="22"/>
          <w:szCs w:val="22"/>
          <w:lang w:eastAsia="es-MX"/>
        </w:rPr>
      </w:pPr>
      <w:r>
        <w:rPr>
          <w:rFonts w:ascii="Palatino Linotype" w:eastAsia="Palatino Linotype" w:hAnsi="Palatino Linotype" w:cs="Palatino Linotype"/>
          <w:b/>
          <w:color w:val="000000"/>
          <w:sz w:val="22"/>
          <w:szCs w:val="22"/>
          <w:lang w:eastAsia="es-MX"/>
        </w:rPr>
        <w:t xml:space="preserve">f) </w:t>
      </w:r>
      <w:r w:rsidR="0086101D" w:rsidRPr="0086101D">
        <w:rPr>
          <w:rFonts w:ascii="Palatino Linotype" w:eastAsia="Palatino Linotype" w:hAnsi="Palatino Linotype" w:cs="Palatino Linotype"/>
          <w:b/>
          <w:color w:val="000000"/>
          <w:sz w:val="22"/>
          <w:szCs w:val="22"/>
          <w:lang w:eastAsia="es-MX"/>
        </w:rPr>
        <w:t>Ampliación de plazo para resolver.</w:t>
      </w:r>
      <w:r w:rsidR="0086101D" w:rsidRPr="0086101D">
        <w:rPr>
          <w:rFonts w:ascii="Palatino Linotype" w:eastAsia="Palatino Linotype" w:hAnsi="Palatino Linotype" w:cs="Palatino Linotype"/>
          <w:color w:val="000000"/>
          <w:sz w:val="22"/>
          <w:szCs w:val="22"/>
          <w:lang w:eastAsia="es-MX"/>
        </w:rPr>
        <w:t xml:space="preserve"> El </w:t>
      </w:r>
      <w:r>
        <w:rPr>
          <w:rFonts w:ascii="Palatino Linotype" w:eastAsia="Palatino Linotype" w:hAnsi="Palatino Linotype" w:cs="Palatino Linotype"/>
          <w:color w:val="000000"/>
          <w:sz w:val="22"/>
          <w:szCs w:val="22"/>
          <w:lang w:eastAsia="es-MX"/>
        </w:rPr>
        <w:t>veintinueve</w:t>
      </w:r>
      <w:r w:rsidR="0086101D" w:rsidRPr="0086101D">
        <w:rPr>
          <w:rFonts w:ascii="Palatino Linotype" w:eastAsia="Palatino Linotype" w:hAnsi="Palatino Linotype" w:cs="Palatino Linotype"/>
          <w:color w:val="000000"/>
          <w:sz w:val="22"/>
          <w:szCs w:val="22"/>
          <w:lang w:eastAsia="es-MX"/>
        </w:rPr>
        <w:t xml:space="preserve"> de enero de dos mil veintiséis, el Comisionado Ponente, con fundamento en lo dispuesto por el artículo 181, párrafo tercero, de la Ley de Transparencia y Acceso a la Información Pública del Estado de México y Municipios, acordó ampliar por un </w:t>
      </w:r>
      <w:r w:rsidR="0086101D" w:rsidRPr="0086101D">
        <w:rPr>
          <w:rFonts w:ascii="Palatino Linotype" w:eastAsia="Palatino Linotype" w:hAnsi="Palatino Linotype" w:cs="Palatino Linotype"/>
          <w:b/>
          <w:bCs/>
          <w:color w:val="000000"/>
          <w:sz w:val="22"/>
          <w:szCs w:val="22"/>
          <w:lang w:eastAsia="es-MX"/>
        </w:rPr>
        <w:t>periodo razonable</w:t>
      </w:r>
      <w:r w:rsidR="0086101D" w:rsidRPr="0086101D">
        <w:rPr>
          <w:rFonts w:ascii="Palatino Linotype" w:eastAsia="Palatino Linotype" w:hAnsi="Palatino Linotype" w:cs="Palatino Linotype"/>
          <w:color w:val="000000"/>
          <w:sz w:val="22"/>
          <w:szCs w:val="22"/>
          <w:lang w:eastAsia="es-MX"/>
        </w:rPr>
        <w:t>, el plazo para resolver el Recurso de Revisión que nos ocupa; acto que fue notificado a las partes el mismo día, mediante el Sistema de Acceso a la Información Mexiquense (SAIMEX).</w:t>
      </w:r>
    </w:p>
    <w:p w14:paraId="5CE80CF1" w14:textId="77777777" w:rsidR="0086101D" w:rsidRPr="0086101D" w:rsidRDefault="0086101D" w:rsidP="00432DB4">
      <w:pPr>
        <w:spacing w:line="360" w:lineRule="auto"/>
        <w:jc w:val="both"/>
        <w:rPr>
          <w:rFonts w:ascii="Palatino Linotype" w:eastAsia="Palatino Linotype" w:hAnsi="Palatino Linotype" w:cs="Palatino Linotype"/>
          <w:b/>
          <w:color w:val="000000"/>
          <w:sz w:val="22"/>
          <w:szCs w:val="22"/>
          <w:lang w:eastAsia="es-MX"/>
        </w:rPr>
      </w:pPr>
    </w:p>
    <w:p w14:paraId="4D455D94" w14:textId="5A3E6983" w:rsidR="0086101D" w:rsidRPr="0086101D" w:rsidRDefault="00E90A35" w:rsidP="00432DB4">
      <w:pPr>
        <w:spacing w:line="360" w:lineRule="auto"/>
        <w:contextualSpacing/>
        <w:jc w:val="both"/>
        <w:rPr>
          <w:rFonts w:ascii="Palatino Linotype" w:eastAsia="Palatino Linotype" w:hAnsi="Palatino Linotype" w:cs="Palatino Linotype"/>
          <w:color w:val="000000"/>
          <w:sz w:val="22"/>
          <w:szCs w:val="22"/>
          <w:lang w:eastAsia="es-MX"/>
        </w:rPr>
      </w:pPr>
      <w:r>
        <w:rPr>
          <w:rFonts w:ascii="Palatino Linotype" w:eastAsia="Batang" w:hAnsi="Palatino Linotype" w:cs="Tahoma"/>
          <w:b/>
          <w:color w:val="000000"/>
          <w:sz w:val="22"/>
          <w:szCs w:val="22"/>
          <w:lang w:eastAsia="es-MX"/>
        </w:rPr>
        <w:t>g)</w:t>
      </w:r>
      <w:r w:rsidR="0086101D" w:rsidRPr="0086101D">
        <w:rPr>
          <w:rFonts w:ascii="Palatino Linotype" w:eastAsia="Batang" w:hAnsi="Palatino Linotype" w:cs="Tahoma"/>
          <w:b/>
          <w:color w:val="000000"/>
          <w:sz w:val="22"/>
          <w:szCs w:val="22"/>
          <w:lang w:eastAsia="es-MX"/>
        </w:rPr>
        <w:t xml:space="preserve"> </w:t>
      </w:r>
      <w:r w:rsidR="0086101D" w:rsidRPr="0086101D">
        <w:rPr>
          <w:rFonts w:ascii="Palatino Linotype" w:hAnsi="Palatino Linotype" w:cs="Tahoma"/>
          <w:b/>
          <w:color w:val="000000"/>
          <w:sz w:val="22"/>
          <w:szCs w:val="24"/>
        </w:rPr>
        <w:t>Cierre de instrucción.</w:t>
      </w:r>
      <w:r w:rsidR="0086101D" w:rsidRPr="0086101D">
        <w:rPr>
          <w:rFonts w:ascii="Palatino Linotype" w:hAnsi="Palatino Linotype" w:cs="Tahoma"/>
          <w:color w:val="000000"/>
          <w:sz w:val="22"/>
          <w:szCs w:val="24"/>
        </w:rPr>
        <w:t xml:space="preserve"> El </w:t>
      </w:r>
      <w:r w:rsidR="0086101D">
        <w:rPr>
          <w:rFonts w:ascii="Palatino Linotype" w:hAnsi="Palatino Linotype" w:cs="Tahoma"/>
          <w:color w:val="000000"/>
          <w:sz w:val="22"/>
          <w:szCs w:val="24"/>
        </w:rPr>
        <w:t>cuatro de febrero</w:t>
      </w:r>
      <w:r w:rsidR="0086101D" w:rsidRPr="0086101D">
        <w:rPr>
          <w:rFonts w:ascii="Palatino Linotype" w:hAnsi="Palatino Linotype" w:cs="Tahoma"/>
          <w:color w:val="000000"/>
          <w:sz w:val="22"/>
          <w:szCs w:val="24"/>
        </w:rPr>
        <w:t xml:space="preserve">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86101D" w:rsidRPr="0086101D">
        <w:rPr>
          <w:rFonts w:ascii="Palatino Linotype" w:eastAsia="Palatino Linotype" w:hAnsi="Palatino Linotype" w:cs="Palatino Linotype"/>
          <w:color w:val="000000"/>
          <w:sz w:val="22"/>
          <w:szCs w:val="22"/>
          <w:lang w:val="es-ES" w:eastAsia="es-MX"/>
        </w:rPr>
        <w:t>acto que fue notificado a las partes, mediante el Sistema de Acceso a la Información Mexiquense (SAIMEX), el mismo día.</w:t>
      </w:r>
      <w:bookmarkEnd w:id="18"/>
    </w:p>
    <w:p w14:paraId="5940E8BB" w14:textId="7923E369" w:rsidR="00E74ABB" w:rsidRPr="00626816" w:rsidRDefault="00E74ABB" w:rsidP="00432DB4">
      <w:pPr>
        <w:spacing w:line="360" w:lineRule="auto"/>
        <w:jc w:val="both"/>
        <w:rPr>
          <w:rFonts w:ascii="Palatino Linotype" w:hAnsi="Palatino Linotype" w:cs="Tahoma"/>
          <w:b/>
          <w:sz w:val="18"/>
          <w:szCs w:val="22"/>
        </w:rPr>
      </w:pPr>
    </w:p>
    <w:p w14:paraId="32C3DAD4" w14:textId="77777777" w:rsidR="00081C23" w:rsidRPr="00626816" w:rsidRDefault="00081C23" w:rsidP="00432DB4">
      <w:pPr>
        <w:spacing w:line="360" w:lineRule="auto"/>
        <w:contextualSpacing/>
        <w:jc w:val="both"/>
        <w:rPr>
          <w:rFonts w:ascii="Palatino Linotype" w:hAnsi="Palatino Linotype" w:cs="Tahoma"/>
          <w:color w:val="000000"/>
          <w:sz w:val="22"/>
          <w:szCs w:val="22"/>
        </w:rPr>
      </w:pPr>
      <w:r w:rsidRPr="0062681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EAECC10" w14:textId="5E40C993" w:rsidR="00081C23" w:rsidRPr="007A7C93" w:rsidRDefault="00081C23" w:rsidP="00432DB4">
      <w:pPr>
        <w:tabs>
          <w:tab w:val="left" w:pos="3218"/>
        </w:tabs>
        <w:spacing w:line="360" w:lineRule="auto"/>
        <w:contextualSpacing/>
        <w:jc w:val="both"/>
        <w:rPr>
          <w:rFonts w:ascii="Palatino Linotype" w:hAnsi="Palatino Linotype" w:cs="Tahoma"/>
          <w:color w:val="000000"/>
          <w:sz w:val="22"/>
          <w:szCs w:val="22"/>
        </w:rPr>
      </w:pPr>
    </w:p>
    <w:p w14:paraId="615EA163" w14:textId="77777777" w:rsidR="004F3A02" w:rsidRPr="007A7C93" w:rsidRDefault="004F3A02" w:rsidP="00432DB4">
      <w:pPr>
        <w:pStyle w:val="Ttulo1"/>
        <w:rPr>
          <w:lang w:val="es-ES"/>
        </w:rPr>
      </w:pPr>
      <w:bookmarkStart w:id="19" w:name="_Toc221202152"/>
      <w:r w:rsidRPr="007A7C93">
        <w:rPr>
          <w:lang w:val="es-ES"/>
        </w:rPr>
        <w:t>C O N S I D E R A N D O S</w:t>
      </w:r>
      <w:bookmarkEnd w:id="19"/>
    </w:p>
    <w:p w14:paraId="066231C1" w14:textId="77777777" w:rsidR="004F3A02" w:rsidRPr="007A7C93" w:rsidRDefault="004F3A02" w:rsidP="00432DB4">
      <w:pPr>
        <w:spacing w:line="360" w:lineRule="auto"/>
        <w:jc w:val="both"/>
        <w:rPr>
          <w:rFonts w:ascii="Palatino Linotype" w:hAnsi="Palatino Linotype" w:cs="Tahoma"/>
          <w:b/>
          <w:sz w:val="22"/>
          <w:lang w:val="es-ES"/>
        </w:rPr>
      </w:pPr>
    </w:p>
    <w:p w14:paraId="001B63FA" w14:textId="77777777" w:rsidR="004F3A02" w:rsidRPr="007A7C93" w:rsidRDefault="004F3A02" w:rsidP="00432DB4">
      <w:pPr>
        <w:pStyle w:val="Ttulo2"/>
        <w:rPr>
          <w:lang w:val="es-ES"/>
        </w:rPr>
      </w:pPr>
      <w:bookmarkStart w:id="20" w:name="_Toc221202153"/>
      <w:r w:rsidRPr="007A7C93">
        <w:rPr>
          <w:rFonts w:eastAsia="Calibri"/>
          <w:color w:val="000000"/>
          <w:lang w:val="es-ES" w:eastAsia="es-MX"/>
        </w:rPr>
        <w:lastRenderedPageBreak/>
        <w:t xml:space="preserve">PRIMERO. </w:t>
      </w:r>
      <w:r w:rsidRPr="007A7C93">
        <w:rPr>
          <w:lang w:val="es-ES"/>
        </w:rPr>
        <w:t>Competencia</w:t>
      </w:r>
      <w:bookmarkEnd w:id="20"/>
    </w:p>
    <w:p w14:paraId="35D71D67" w14:textId="77777777" w:rsidR="004F3A02" w:rsidRDefault="004F3A02" w:rsidP="00432DB4">
      <w:pPr>
        <w:autoSpaceDE w:val="0"/>
        <w:autoSpaceDN w:val="0"/>
        <w:adjustRightInd w:val="0"/>
        <w:spacing w:line="360" w:lineRule="auto"/>
        <w:jc w:val="both"/>
        <w:rPr>
          <w:rFonts w:ascii="Palatino Linotype" w:hAnsi="Palatino Linotype" w:cs="Tahoma"/>
          <w:b/>
          <w:sz w:val="22"/>
          <w:lang w:val="es-ES"/>
        </w:rPr>
      </w:pPr>
    </w:p>
    <w:p w14:paraId="075A1610" w14:textId="77777777" w:rsidR="00FD0C12" w:rsidRPr="00FD0C12" w:rsidRDefault="00FD0C12" w:rsidP="00432DB4">
      <w:pPr>
        <w:spacing w:line="360" w:lineRule="auto"/>
        <w:jc w:val="both"/>
        <w:rPr>
          <w:rFonts w:ascii="Palatino Linotype" w:eastAsia="Palatino Linotype" w:hAnsi="Palatino Linotype" w:cs="Palatino Linotype"/>
          <w:sz w:val="22"/>
          <w:szCs w:val="22"/>
          <w:lang w:eastAsia="es-MX"/>
        </w:rPr>
      </w:pPr>
      <w:r w:rsidRPr="00FD0C12">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7A7C93" w:rsidRDefault="00BA5927" w:rsidP="00432DB4">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7A7C93" w:rsidRDefault="00DA08C5" w:rsidP="00432DB4">
      <w:pPr>
        <w:pStyle w:val="Ttulo2"/>
        <w:rPr>
          <w:lang w:val="es-ES"/>
        </w:rPr>
      </w:pPr>
      <w:bookmarkStart w:id="21" w:name="_Toc221202154"/>
      <w:r w:rsidRPr="007A7C93">
        <w:rPr>
          <w:rFonts w:eastAsia="Calibri"/>
          <w:color w:val="000000"/>
          <w:lang w:val="es-ES" w:eastAsia="es-MX"/>
        </w:rPr>
        <w:t xml:space="preserve">SEGUNDO. </w:t>
      </w:r>
      <w:r w:rsidRPr="007A7C93">
        <w:rPr>
          <w:lang w:val="es-ES"/>
        </w:rPr>
        <w:t xml:space="preserve">Causales de improcedencia </w:t>
      </w:r>
      <w:r w:rsidR="00F93859" w:rsidRPr="007A7C93">
        <w:rPr>
          <w:lang w:val="es-ES"/>
        </w:rPr>
        <w:t>y Sobreseimiento</w:t>
      </w:r>
      <w:bookmarkEnd w:id="21"/>
    </w:p>
    <w:p w14:paraId="39E19200" w14:textId="77777777" w:rsidR="00BA5927" w:rsidRPr="007A7C93" w:rsidRDefault="00BA5927" w:rsidP="00432DB4">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7A7C93" w:rsidRDefault="00DA08C5" w:rsidP="00432DB4">
      <w:pPr>
        <w:autoSpaceDE w:val="0"/>
        <w:autoSpaceDN w:val="0"/>
        <w:adjustRightInd w:val="0"/>
        <w:spacing w:line="360" w:lineRule="auto"/>
        <w:contextualSpacing/>
        <w:jc w:val="both"/>
        <w:rPr>
          <w:rFonts w:ascii="Palatino Linotype" w:hAnsi="Palatino Linotype" w:cs="Tahoma"/>
          <w:sz w:val="22"/>
          <w:szCs w:val="22"/>
          <w:lang w:val="es-ES"/>
        </w:rPr>
      </w:pPr>
      <w:r w:rsidRPr="007A7C93">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7A7C93">
        <w:rPr>
          <w:rFonts w:ascii="Palatino Linotype" w:hAnsi="Palatino Linotype" w:cs="Tahoma"/>
          <w:i/>
          <w:sz w:val="22"/>
          <w:szCs w:val="22"/>
          <w:lang w:val="es-ES"/>
        </w:rPr>
        <w:t>litis</w:t>
      </w:r>
      <w:proofErr w:type="spellEnd"/>
      <w:r w:rsidRPr="007A7C93">
        <w:rPr>
          <w:rFonts w:ascii="Palatino Linotype" w:hAnsi="Palatino Linotype" w:cs="Tahoma"/>
          <w:sz w:val="22"/>
          <w:szCs w:val="22"/>
          <w:lang w:val="es-ES"/>
        </w:rPr>
        <w:t>, es necesario estudiar las causales de improcedencia y sobreseimiento que se adviertan, para determinar lo que en Derecho proceda.</w:t>
      </w:r>
    </w:p>
    <w:p w14:paraId="6F6F4869" w14:textId="77777777" w:rsidR="00E033EE" w:rsidRPr="007A7C93" w:rsidRDefault="00E033EE" w:rsidP="00432DB4">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7A7C93" w:rsidRDefault="00DA08C5" w:rsidP="00432DB4">
      <w:pPr>
        <w:spacing w:line="360" w:lineRule="auto"/>
        <w:contextualSpacing/>
        <w:jc w:val="both"/>
        <w:rPr>
          <w:rFonts w:ascii="Palatino Linotype" w:hAnsi="Palatino Linotype"/>
          <w:b/>
          <w:sz w:val="22"/>
          <w:szCs w:val="22"/>
          <w:lang w:val="es-ES"/>
        </w:rPr>
      </w:pPr>
      <w:r w:rsidRPr="007A7C93">
        <w:rPr>
          <w:rFonts w:ascii="Palatino Linotype" w:hAnsi="Palatino Linotype"/>
          <w:b/>
          <w:sz w:val="22"/>
          <w:szCs w:val="22"/>
          <w:lang w:val="es-ES"/>
        </w:rPr>
        <w:t>Causales de improcedencia</w:t>
      </w:r>
    </w:p>
    <w:p w14:paraId="7ABB438E" w14:textId="77777777" w:rsidR="00DA08C5" w:rsidRPr="007A7C93" w:rsidRDefault="00DA08C5" w:rsidP="00432DB4">
      <w:pPr>
        <w:spacing w:line="360" w:lineRule="auto"/>
        <w:contextualSpacing/>
        <w:jc w:val="both"/>
        <w:rPr>
          <w:rFonts w:ascii="Palatino Linotype" w:hAnsi="Palatino Linotype"/>
          <w:sz w:val="22"/>
          <w:szCs w:val="22"/>
        </w:rPr>
      </w:pPr>
    </w:p>
    <w:p w14:paraId="7D1BAA53" w14:textId="77777777" w:rsidR="00DA08C5" w:rsidRPr="007A7C93" w:rsidRDefault="00DA08C5" w:rsidP="00432DB4">
      <w:pPr>
        <w:spacing w:line="360" w:lineRule="auto"/>
        <w:contextualSpacing/>
        <w:jc w:val="both"/>
        <w:rPr>
          <w:rFonts w:ascii="Palatino Linotype" w:hAnsi="Palatino Linotype" w:cs="Tahoma"/>
          <w:sz w:val="22"/>
          <w:szCs w:val="22"/>
        </w:rPr>
      </w:pPr>
      <w:r w:rsidRPr="007A7C93">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7A7C93">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7A7C93" w:rsidRDefault="00DA08C5" w:rsidP="00432DB4">
      <w:pPr>
        <w:spacing w:line="360" w:lineRule="auto"/>
        <w:contextualSpacing/>
        <w:jc w:val="both"/>
        <w:rPr>
          <w:rFonts w:ascii="Palatino Linotype" w:hAnsi="Palatino Linotype" w:cs="Tahoma"/>
          <w:sz w:val="22"/>
          <w:szCs w:val="22"/>
        </w:rPr>
      </w:pPr>
    </w:p>
    <w:p w14:paraId="35D3EE96" w14:textId="17683495" w:rsidR="00DA08C5" w:rsidRPr="007A7C93" w:rsidRDefault="00DA08C5" w:rsidP="00432DB4">
      <w:pPr>
        <w:spacing w:line="360" w:lineRule="auto"/>
        <w:contextualSpacing/>
        <w:jc w:val="both"/>
        <w:rPr>
          <w:rFonts w:ascii="Palatino Linotype" w:hAnsi="Palatino Linotype" w:cs="Tahoma"/>
          <w:sz w:val="22"/>
          <w:szCs w:val="22"/>
        </w:rPr>
      </w:pPr>
      <w:r w:rsidRPr="007A7C93">
        <w:rPr>
          <w:rFonts w:ascii="Palatino Linotype" w:hAnsi="Palatino Linotype" w:cs="Tahoma"/>
          <w:sz w:val="22"/>
          <w:szCs w:val="22"/>
        </w:rPr>
        <w:t>En el presente caso, </w:t>
      </w:r>
      <w:r w:rsidRPr="007A7C93">
        <w:rPr>
          <w:rFonts w:ascii="Palatino Linotype" w:hAnsi="Palatino Linotype" w:cs="Tahoma"/>
          <w:b/>
          <w:bCs/>
          <w:sz w:val="22"/>
          <w:szCs w:val="22"/>
        </w:rPr>
        <w:t>no se actualiza ninguna de las causales de improcedencia</w:t>
      </w:r>
      <w:r w:rsidRPr="007A7C93">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7A7C93">
        <w:rPr>
          <w:rFonts w:ascii="Palatino Linotype" w:hAnsi="Palatino Linotype" w:cs="Tahoma"/>
          <w:sz w:val="22"/>
          <w:szCs w:val="22"/>
        </w:rPr>
        <w:t>ersona</w:t>
      </w:r>
      <w:r w:rsidRPr="007A7C93">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7A7C93" w:rsidRDefault="00BA5927" w:rsidP="00432DB4">
      <w:pPr>
        <w:spacing w:line="360" w:lineRule="auto"/>
        <w:contextualSpacing/>
        <w:jc w:val="both"/>
        <w:rPr>
          <w:rFonts w:ascii="Palatino Linotype" w:hAnsi="Palatino Linotype" w:cs="Tahoma"/>
          <w:sz w:val="22"/>
          <w:szCs w:val="22"/>
          <w:lang w:val="es-ES"/>
        </w:rPr>
      </w:pPr>
    </w:p>
    <w:p w14:paraId="59297F05" w14:textId="77777777" w:rsidR="00D055BD" w:rsidRPr="00626816" w:rsidRDefault="00D055BD" w:rsidP="00432DB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Ahora bien</w:t>
      </w:r>
      <w:r w:rsidRPr="00626816">
        <w:rPr>
          <w:rFonts w:ascii="Palatino Linotype" w:hAnsi="Palatino Linotype" w:cs="Tahoma"/>
          <w:sz w:val="22"/>
          <w:szCs w:val="22"/>
          <w:lang w:val="es-ES"/>
        </w:rPr>
        <w:t>,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27FAD828" w14:textId="77777777" w:rsidR="00D055BD" w:rsidRPr="00626816" w:rsidRDefault="00D055BD" w:rsidP="00432DB4">
      <w:pPr>
        <w:spacing w:line="360" w:lineRule="auto"/>
        <w:contextualSpacing/>
        <w:jc w:val="both"/>
        <w:rPr>
          <w:rFonts w:ascii="Palatino Linotype" w:hAnsi="Palatino Linotype" w:cs="Tahoma"/>
          <w:sz w:val="22"/>
          <w:szCs w:val="22"/>
          <w:lang w:val="es-ES"/>
        </w:rPr>
      </w:pPr>
    </w:p>
    <w:p w14:paraId="5D433B3D" w14:textId="6E6761DC" w:rsidR="00D055BD" w:rsidRPr="00626816" w:rsidRDefault="00D055BD" w:rsidP="00432DB4">
      <w:pPr>
        <w:spacing w:line="360" w:lineRule="auto"/>
        <w:contextualSpacing/>
        <w:jc w:val="both"/>
        <w:rPr>
          <w:rFonts w:ascii="Palatino Linotype" w:hAnsi="Palatino Linotype" w:cs="Tahoma"/>
          <w:sz w:val="22"/>
          <w:szCs w:val="22"/>
          <w:lang w:val="es-ES"/>
        </w:rPr>
      </w:pPr>
      <w:r w:rsidRPr="00626816">
        <w:rPr>
          <w:rFonts w:ascii="Palatino Linotype" w:hAnsi="Palatino Linotype" w:cs="Tahoma"/>
          <w:sz w:val="22"/>
          <w:szCs w:val="22"/>
          <w:lang w:val="es-ES"/>
        </w:rPr>
        <w:t xml:space="preserve">En ese orden de ideas, cabe referir que en el </w:t>
      </w:r>
      <w:r w:rsidR="00F70483">
        <w:rPr>
          <w:rFonts w:ascii="Palatino Linotype" w:hAnsi="Palatino Linotype" w:cs="Tahoma"/>
          <w:sz w:val="22"/>
          <w:szCs w:val="22"/>
          <w:lang w:val="es-ES"/>
        </w:rPr>
        <w:t xml:space="preserve">expediente con número de folio </w:t>
      </w:r>
      <w:r w:rsidR="0093448A">
        <w:rPr>
          <w:rFonts w:ascii="Palatino Linotype" w:hAnsi="Palatino Linotype" w:cs="Tahoma"/>
          <w:sz w:val="22"/>
          <w:szCs w:val="22"/>
          <w:lang w:val="es-ES"/>
        </w:rPr>
        <w:t>04946/INFOEM/IP/RR/2025</w:t>
      </w:r>
      <w:r w:rsidRPr="00626816">
        <w:rPr>
          <w:rFonts w:ascii="Palatino Linotype" w:hAnsi="Palatino Linotype" w:cs="Tahoma"/>
          <w:sz w:val="22"/>
          <w:szCs w:val="22"/>
          <w:lang w:val="es-ES"/>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F70483">
        <w:rPr>
          <w:rFonts w:ascii="Palatino Linotype" w:hAnsi="Palatino Linotype" w:cs="Tahoma"/>
          <w:b/>
          <w:sz w:val="22"/>
          <w:szCs w:val="22"/>
          <w:lang w:val="es-ES"/>
        </w:rPr>
        <w:t>ORDENAR</w:t>
      </w:r>
      <w:r w:rsidRPr="00626816">
        <w:rPr>
          <w:rFonts w:ascii="Palatino Linotype" w:hAnsi="Palatino Linotype" w:cs="Tahoma"/>
          <w:sz w:val="22"/>
          <w:szCs w:val="22"/>
          <w:lang w:val="es-ES"/>
        </w:rPr>
        <w:t xml:space="preserve"> al </w:t>
      </w:r>
      <w:r w:rsidR="0093448A">
        <w:rPr>
          <w:rFonts w:ascii="Palatino Linotype" w:hAnsi="Palatino Linotype" w:cs="Tahoma"/>
          <w:sz w:val="22"/>
          <w:szCs w:val="22"/>
          <w:lang w:val="es-ES"/>
        </w:rPr>
        <w:t>Ayuntamiento de Ecatepec de Morelos</w:t>
      </w:r>
      <w:r w:rsidRPr="00626816">
        <w:rPr>
          <w:rFonts w:ascii="Palatino Linotype" w:hAnsi="Palatino Linotype" w:cs="Tahoma"/>
          <w:sz w:val="22"/>
          <w:szCs w:val="22"/>
          <w:lang w:val="es-ES"/>
        </w:rPr>
        <w:t xml:space="preserve">, a emitir respuesta a la solicitud de información con número </w:t>
      </w:r>
      <w:r w:rsidR="0093448A">
        <w:rPr>
          <w:rFonts w:ascii="Palatino Linotype" w:hAnsi="Palatino Linotype" w:cs="Tahoma"/>
          <w:sz w:val="22"/>
          <w:szCs w:val="22"/>
          <w:lang w:val="es-ES"/>
        </w:rPr>
        <w:t>00277/ECATEPEC/IP/2025</w:t>
      </w:r>
      <w:r w:rsidRPr="00626816">
        <w:rPr>
          <w:rFonts w:ascii="Palatino Linotype" w:hAnsi="Palatino Linotype" w:cs="Tahoma"/>
          <w:sz w:val="22"/>
          <w:szCs w:val="22"/>
          <w:lang w:val="es-ES"/>
        </w:rPr>
        <w:t>, materia del presente Recurso de Revisión.</w:t>
      </w:r>
    </w:p>
    <w:p w14:paraId="774482A7" w14:textId="77777777" w:rsidR="00D055BD" w:rsidRPr="00626816" w:rsidRDefault="00D055BD" w:rsidP="00432DB4">
      <w:pPr>
        <w:spacing w:line="360" w:lineRule="auto"/>
        <w:contextualSpacing/>
        <w:jc w:val="both"/>
        <w:rPr>
          <w:rFonts w:ascii="Palatino Linotype" w:hAnsi="Palatino Linotype" w:cs="Tahoma"/>
          <w:sz w:val="22"/>
          <w:szCs w:val="22"/>
          <w:lang w:val="es-ES"/>
        </w:rPr>
      </w:pPr>
    </w:p>
    <w:p w14:paraId="1A55254D" w14:textId="5F39141E" w:rsidR="00D055BD" w:rsidRPr="00626816" w:rsidRDefault="00D055BD" w:rsidP="00432DB4">
      <w:pPr>
        <w:spacing w:line="360" w:lineRule="auto"/>
        <w:contextualSpacing/>
        <w:jc w:val="both"/>
        <w:rPr>
          <w:rFonts w:ascii="Palatino Linotype" w:hAnsi="Palatino Linotype" w:cs="Tahoma"/>
          <w:sz w:val="22"/>
          <w:szCs w:val="22"/>
          <w:lang w:val="es-ES"/>
        </w:rPr>
      </w:pPr>
      <w:r w:rsidRPr="00626816">
        <w:rPr>
          <w:rFonts w:ascii="Palatino Linotype" w:hAnsi="Palatino Linotype" w:cs="Tahoma"/>
          <w:sz w:val="22"/>
          <w:szCs w:val="22"/>
          <w:lang w:val="es-ES"/>
        </w:rPr>
        <w:t xml:space="preserve">Ahora bien, mediante el Sistema de Acceso a la Información Mexiquense (SAIMEX), el Sujeto Obligado emitió respuesta al requerimiento de información previamente referido, en </w:t>
      </w:r>
      <w:r w:rsidRPr="00626816">
        <w:rPr>
          <w:rFonts w:ascii="Palatino Linotype" w:hAnsi="Palatino Linotype" w:cs="Tahoma"/>
          <w:sz w:val="22"/>
          <w:szCs w:val="22"/>
          <w:lang w:val="es-ES"/>
        </w:rPr>
        <w:lastRenderedPageBreak/>
        <w:t>cumplimiento a la Resolución del Recurso de Revisión con núme</w:t>
      </w:r>
      <w:r w:rsidR="00360EAF">
        <w:rPr>
          <w:rFonts w:ascii="Palatino Linotype" w:hAnsi="Palatino Linotype" w:cs="Tahoma"/>
          <w:sz w:val="22"/>
          <w:szCs w:val="22"/>
          <w:lang w:val="es-ES"/>
        </w:rPr>
        <w:t xml:space="preserve">ro </w:t>
      </w:r>
      <w:r w:rsidR="0093448A">
        <w:rPr>
          <w:rFonts w:ascii="Palatino Linotype" w:hAnsi="Palatino Linotype" w:cs="Tahoma"/>
          <w:sz w:val="22"/>
          <w:szCs w:val="22"/>
          <w:lang w:val="es-ES"/>
        </w:rPr>
        <w:t>04946/INFOEM/IP/RR/</w:t>
      </w:r>
      <w:r w:rsidR="0086101D">
        <w:rPr>
          <w:rFonts w:ascii="Palatino Linotype" w:hAnsi="Palatino Linotype" w:cs="Tahoma"/>
          <w:sz w:val="22"/>
          <w:szCs w:val="22"/>
          <w:lang w:val="es-ES"/>
        </w:rPr>
        <w:t>2025, en donde precisó que la información era reservada.</w:t>
      </w:r>
    </w:p>
    <w:p w14:paraId="4F84AC5A" w14:textId="77777777" w:rsidR="00D055BD" w:rsidRPr="00626816" w:rsidRDefault="00D055BD" w:rsidP="00432DB4">
      <w:pPr>
        <w:spacing w:line="360" w:lineRule="auto"/>
        <w:contextualSpacing/>
        <w:jc w:val="both"/>
        <w:rPr>
          <w:rFonts w:ascii="Palatino Linotype" w:hAnsi="Palatino Linotype" w:cs="Tahoma"/>
          <w:sz w:val="22"/>
          <w:szCs w:val="22"/>
          <w:lang w:val="es-ES"/>
        </w:rPr>
      </w:pPr>
    </w:p>
    <w:p w14:paraId="2FD4C712" w14:textId="1B345893" w:rsidR="00D055BD" w:rsidRPr="00626816" w:rsidRDefault="00D055BD" w:rsidP="00432DB4">
      <w:pPr>
        <w:spacing w:line="360" w:lineRule="auto"/>
        <w:contextualSpacing/>
        <w:jc w:val="both"/>
        <w:rPr>
          <w:rFonts w:ascii="Palatino Linotype" w:hAnsi="Palatino Linotype" w:cs="Tahoma"/>
          <w:sz w:val="22"/>
          <w:szCs w:val="22"/>
          <w:lang w:val="es-ES"/>
        </w:rPr>
      </w:pPr>
      <w:r w:rsidRPr="00626816">
        <w:rPr>
          <w:rFonts w:ascii="Palatino Linotype" w:hAnsi="Palatino Linotype" w:cs="Tahoma"/>
          <w:sz w:val="22"/>
          <w:szCs w:val="22"/>
          <w:lang w:val="es-ES"/>
        </w:rPr>
        <w:t xml:space="preserve">Así, el ahora Recurrente se inconformó de dicha respuesta, al agraviarse de </w:t>
      </w:r>
      <w:r w:rsidR="00360EAF">
        <w:rPr>
          <w:rFonts w:ascii="Palatino Linotype" w:hAnsi="Palatino Linotype" w:cs="Tahoma"/>
          <w:sz w:val="22"/>
          <w:szCs w:val="22"/>
          <w:lang w:val="es-ES"/>
        </w:rPr>
        <w:t xml:space="preserve">la </w:t>
      </w:r>
      <w:r w:rsidR="00D82E4F">
        <w:rPr>
          <w:rFonts w:ascii="Palatino Linotype" w:hAnsi="Palatino Linotype" w:cs="Tahoma"/>
          <w:sz w:val="22"/>
          <w:szCs w:val="22"/>
          <w:lang w:val="es-ES"/>
        </w:rPr>
        <w:t>clasificación de la información</w:t>
      </w:r>
      <w:r w:rsidRPr="00626816">
        <w:rPr>
          <w:rFonts w:ascii="Palatino Linotype" w:hAnsi="Palatino Linotype" w:cs="Tahoma"/>
          <w:sz w:val="22"/>
          <w:szCs w:val="22"/>
          <w:lang w:val="es-ES"/>
        </w:rPr>
        <w:t>, por lo cual, se concluy</w:t>
      </w:r>
      <w:r w:rsidR="00360EAF">
        <w:rPr>
          <w:rFonts w:ascii="Palatino Linotype" w:hAnsi="Palatino Linotype" w:cs="Tahoma"/>
          <w:sz w:val="22"/>
          <w:szCs w:val="22"/>
          <w:lang w:val="es-ES"/>
        </w:rPr>
        <w:t xml:space="preserve">e que </w:t>
      </w:r>
      <w:r w:rsidR="00360EAF" w:rsidRPr="00626816">
        <w:rPr>
          <w:rFonts w:ascii="Palatino Linotype" w:hAnsi="Palatino Linotype" w:cs="Tahoma"/>
          <w:sz w:val="22"/>
          <w:szCs w:val="22"/>
          <w:lang w:val="es-ES"/>
        </w:rPr>
        <w:t>actualiza el último párrafo</w:t>
      </w:r>
      <w:r w:rsidR="00360EAF">
        <w:rPr>
          <w:rFonts w:ascii="Palatino Linotype" w:hAnsi="Palatino Linotype" w:cs="Tahoma"/>
          <w:sz w:val="22"/>
          <w:szCs w:val="22"/>
          <w:lang w:val="es-ES"/>
        </w:rPr>
        <w:t xml:space="preserve"> del</w:t>
      </w:r>
      <w:r w:rsidRPr="00626816">
        <w:rPr>
          <w:rFonts w:ascii="Palatino Linotype" w:hAnsi="Palatino Linotype" w:cs="Tahoma"/>
          <w:sz w:val="22"/>
          <w:szCs w:val="22"/>
          <w:lang w:val="es-ES"/>
        </w:rPr>
        <w:t xml:space="preserve"> artículo 179 de la Ley de Transparencia y Acceso a la Información Pública del Estado de México y Municipios, toda vez que la controve</w:t>
      </w:r>
      <w:r w:rsidR="00360EAF">
        <w:rPr>
          <w:rFonts w:ascii="Palatino Linotype" w:hAnsi="Palatino Linotype" w:cs="Tahoma"/>
          <w:sz w:val="22"/>
          <w:szCs w:val="22"/>
          <w:lang w:val="es-ES"/>
        </w:rPr>
        <w:t xml:space="preserve">rsia en el Recurso de Revisión </w:t>
      </w:r>
      <w:r w:rsidR="0093448A">
        <w:rPr>
          <w:rFonts w:ascii="Palatino Linotype" w:hAnsi="Palatino Linotype" w:cs="Tahoma"/>
          <w:sz w:val="22"/>
          <w:szCs w:val="22"/>
          <w:lang w:val="es-ES"/>
        </w:rPr>
        <w:t>04946/INFOEM/IP/RR/</w:t>
      </w:r>
      <w:r w:rsidR="00D82E4F">
        <w:rPr>
          <w:rFonts w:ascii="Palatino Linotype" w:hAnsi="Palatino Linotype" w:cs="Tahoma"/>
          <w:sz w:val="22"/>
          <w:szCs w:val="22"/>
          <w:lang w:val="es-ES"/>
        </w:rPr>
        <w:t>2025,</w:t>
      </w:r>
      <w:r w:rsidRPr="00626816">
        <w:rPr>
          <w:rFonts w:ascii="Palatino Linotype" w:hAnsi="Palatino Linotype" w:cs="Tahoma"/>
          <w:sz w:val="22"/>
          <w:szCs w:val="22"/>
          <w:lang w:val="es-ES"/>
        </w:rPr>
        <w:t xml:space="preserve"> se fijó en la falta de respuesta al requerimiento informativo. Así, ante la contestación que recayó, derivada de dicha determinación, procede el presente Medio de Impugnación.</w:t>
      </w:r>
    </w:p>
    <w:p w14:paraId="10E5D73B" w14:textId="77777777" w:rsidR="00D055BD" w:rsidRPr="00626816" w:rsidRDefault="00D055BD" w:rsidP="00432DB4">
      <w:pPr>
        <w:spacing w:line="360" w:lineRule="auto"/>
        <w:contextualSpacing/>
        <w:jc w:val="both"/>
        <w:rPr>
          <w:rFonts w:ascii="Palatino Linotype" w:hAnsi="Palatino Linotype" w:cs="Tahoma"/>
          <w:sz w:val="22"/>
          <w:szCs w:val="22"/>
          <w:lang w:val="es-ES"/>
        </w:rPr>
      </w:pPr>
    </w:p>
    <w:p w14:paraId="5C7EB62B" w14:textId="068CF330" w:rsidR="00D055BD" w:rsidRPr="00626816" w:rsidRDefault="00D055BD" w:rsidP="00432DB4">
      <w:pPr>
        <w:spacing w:line="360" w:lineRule="auto"/>
        <w:contextualSpacing/>
        <w:jc w:val="both"/>
        <w:rPr>
          <w:rFonts w:ascii="Palatino Linotype" w:hAnsi="Palatino Linotype" w:cs="Tahoma"/>
          <w:sz w:val="22"/>
          <w:szCs w:val="22"/>
          <w:lang w:val="es-ES"/>
        </w:rPr>
      </w:pPr>
      <w:r w:rsidRPr="00626816">
        <w:rPr>
          <w:rFonts w:ascii="Palatino Linotype" w:hAnsi="Palatino Linotype" w:cs="Tahoma"/>
          <w:sz w:val="22"/>
          <w:szCs w:val="22"/>
          <w:lang w:val="es-ES"/>
        </w:rPr>
        <w:t xml:space="preserve">Además, en el caso concreto, resulta aplicable el supuesto previsto en la fracción </w:t>
      </w:r>
      <w:r w:rsidR="00D82E4F">
        <w:rPr>
          <w:rFonts w:ascii="Palatino Linotype" w:hAnsi="Palatino Linotype" w:cs="Tahoma"/>
          <w:sz w:val="22"/>
          <w:szCs w:val="22"/>
          <w:lang w:val="es-ES"/>
        </w:rPr>
        <w:t>II</w:t>
      </w:r>
      <w:r w:rsidRPr="00626816">
        <w:rPr>
          <w:rFonts w:ascii="Palatino Linotype" w:hAnsi="Palatino Linotype" w:cs="Tahoma"/>
          <w:sz w:val="22"/>
          <w:szCs w:val="22"/>
          <w:lang w:val="es-ES"/>
        </w:rPr>
        <w:t xml:space="preserve"> de dicho artículo, dado que el Particular, se inconformó de </w:t>
      </w:r>
      <w:r w:rsidR="00360EAF">
        <w:rPr>
          <w:rFonts w:ascii="Palatino Linotype" w:hAnsi="Palatino Linotype" w:cs="Tahoma"/>
          <w:sz w:val="22"/>
          <w:szCs w:val="22"/>
          <w:lang w:val="es-ES"/>
        </w:rPr>
        <w:t xml:space="preserve">la </w:t>
      </w:r>
      <w:r w:rsidR="00D82E4F">
        <w:rPr>
          <w:rFonts w:ascii="Palatino Linotype" w:hAnsi="Palatino Linotype" w:cs="Tahoma"/>
          <w:sz w:val="22"/>
          <w:szCs w:val="22"/>
          <w:lang w:val="es-ES"/>
        </w:rPr>
        <w:t>clasificación</w:t>
      </w:r>
      <w:r w:rsidRPr="00626816">
        <w:rPr>
          <w:rFonts w:ascii="Palatino Linotype" w:hAnsi="Palatino Linotype" w:cs="Tahoma"/>
          <w:sz w:val="22"/>
          <w:szCs w:val="22"/>
          <w:lang w:val="es-ES"/>
        </w:rPr>
        <w:t>; por lo que resulta procedente el presente Medio de Impugnación.</w:t>
      </w:r>
    </w:p>
    <w:p w14:paraId="1AD964AC" w14:textId="77777777" w:rsidR="00505111" w:rsidRPr="007A7C93" w:rsidRDefault="00505111" w:rsidP="00432DB4">
      <w:pPr>
        <w:spacing w:line="360" w:lineRule="auto"/>
        <w:contextualSpacing/>
        <w:jc w:val="both"/>
        <w:rPr>
          <w:rFonts w:ascii="Palatino Linotype" w:hAnsi="Palatino Linotype" w:cs="Tahoma"/>
          <w:bCs/>
          <w:sz w:val="22"/>
          <w:szCs w:val="22"/>
          <w:lang w:val="es-ES"/>
        </w:rPr>
      </w:pPr>
    </w:p>
    <w:p w14:paraId="51E80A00" w14:textId="77777777" w:rsidR="00F93859" w:rsidRPr="007A7C93" w:rsidRDefault="00F93859" w:rsidP="00432DB4">
      <w:pPr>
        <w:spacing w:line="360" w:lineRule="auto"/>
        <w:jc w:val="both"/>
        <w:rPr>
          <w:rFonts w:ascii="Palatino Linotype" w:hAnsi="Palatino Linotype" w:cs="Tahoma"/>
          <w:b/>
          <w:bCs/>
          <w:color w:val="0D0D0D" w:themeColor="text1" w:themeTint="F2"/>
          <w:sz w:val="22"/>
          <w:szCs w:val="22"/>
        </w:rPr>
      </w:pPr>
      <w:r w:rsidRPr="007A7C93">
        <w:rPr>
          <w:rFonts w:ascii="Palatino Linotype" w:hAnsi="Palatino Linotype" w:cs="Tahoma"/>
          <w:b/>
          <w:bCs/>
          <w:color w:val="0D0D0D" w:themeColor="text1" w:themeTint="F2"/>
          <w:sz w:val="22"/>
          <w:szCs w:val="22"/>
        </w:rPr>
        <w:t>Causales de sobreseimiento</w:t>
      </w:r>
    </w:p>
    <w:p w14:paraId="4DD47685" w14:textId="77777777" w:rsidR="00F93859" w:rsidRPr="007A7C93" w:rsidRDefault="00F93859" w:rsidP="00432DB4">
      <w:pPr>
        <w:spacing w:line="360" w:lineRule="auto"/>
        <w:jc w:val="both"/>
        <w:rPr>
          <w:rFonts w:ascii="Palatino Linotype" w:hAnsi="Palatino Linotype" w:cs="Tahoma"/>
          <w:bCs/>
          <w:color w:val="0D0D0D" w:themeColor="text1" w:themeTint="F2"/>
          <w:sz w:val="22"/>
          <w:szCs w:val="22"/>
        </w:rPr>
      </w:pPr>
    </w:p>
    <w:p w14:paraId="6AD3A1F5" w14:textId="77777777" w:rsidR="00F93859" w:rsidRPr="007A7C93" w:rsidRDefault="00F93859" w:rsidP="00432DB4">
      <w:pPr>
        <w:spacing w:line="360" w:lineRule="auto"/>
        <w:jc w:val="both"/>
        <w:rPr>
          <w:rFonts w:ascii="Palatino Linotype" w:hAnsi="Palatino Linotype" w:cs="Tahoma"/>
          <w:bCs/>
          <w:color w:val="0D0D0D" w:themeColor="text1" w:themeTint="F2"/>
          <w:sz w:val="22"/>
          <w:szCs w:val="22"/>
        </w:rPr>
      </w:pPr>
      <w:r w:rsidRPr="007A7C93">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7A7C93" w:rsidRDefault="0004787C" w:rsidP="00432DB4">
      <w:pPr>
        <w:spacing w:line="360" w:lineRule="auto"/>
        <w:jc w:val="both"/>
        <w:rPr>
          <w:rFonts w:ascii="Palatino Linotype" w:hAnsi="Palatino Linotype" w:cs="Tahoma"/>
          <w:bCs/>
          <w:color w:val="0D0D0D" w:themeColor="text1" w:themeTint="F2"/>
          <w:sz w:val="22"/>
          <w:szCs w:val="22"/>
        </w:rPr>
      </w:pPr>
    </w:p>
    <w:p w14:paraId="181E608E" w14:textId="77777777" w:rsidR="00F93859" w:rsidRPr="007A7C93" w:rsidRDefault="00F93859" w:rsidP="00432DB4">
      <w:pPr>
        <w:spacing w:line="360" w:lineRule="auto"/>
        <w:jc w:val="both"/>
        <w:rPr>
          <w:rFonts w:ascii="Palatino Linotype" w:hAnsi="Palatino Linotype" w:cs="Tahoma"/>
          <w:sz w:val="22"/>
          <w:szCs w:val="28"/>
        </w:rPr>
      </w:pPr>
      <w:r w:rsidRPr="007A7C93">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7A7C93" w:rsidRDefault="00F93859" w:rsidP="00432DB4">
      <w:pPr>
        <w:spacing w:line="360" w:lineRule="auto"/>
        <w:jc w:val="both"/>
        <w:rPr>
          <w:rFonts w:ascii="Palatino Linotype" w:hAnsi="Palatino Linotype" w:cs="Tahoma"/>
          <w:sz w:val="22"/>
          <w:szCs w:val="28"/>
        </w:rPr>
      </w:pPr>
    </w:p>
    <w:p w14:paraId="0156C47A" w14:textId="77777777" w:rsidR="00F93859" w:rsidRPr="007A7C93" w:rsidRDefault="00F93859" w:rsidP="00432DB4">
      <w:pPr>
        <w:spacing w:line="360" w:lineRule="auto"/>
        <w:jc w:val="both"/>
        <w:rPr>
          <w:rFonts w:ascii="Palatino Linotype" w:hAnsi="Palatino Linotype" w:cs="Tahoma"/>
          <w:bCs/>
          <w:color w:val="0D0D0D" w:themeColor="text1" w:themeTint="F2"/>
          <w:sz w:val="22"/>
          <w:szCs w:val="22"/>
        </w:rPr>
      </w:pPr>
      <w:r w:rsidRPr="007A7C93">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695E21DB" w14:textId="77777777" w:rsidR="00BA5927" w:rsidRPr="007A7C93" w:rsidRDefault="00BA5927" w:rsidP="00432DB4">
      <w:pPr>
        <w:spacing w:line="360" w:lineRule="auto"/>
        <w:jc w:val="both"/>
        <w:rPr>
          <w:rFonts w:ascii="Palatino Linotype" w:hAnsi="Palatino Linotype" w:cs="Tahoma"/>
          <w:bCs/>
          <w:color w:val="0D0D0D" w:themeColor="text1" w:themeTint="F2"/>
          <w:sz w:val="22"/>
          <w:szCs w:val="22"/>
        </w:rPr>
      </w:pPr>
    </w:p>
    <w:p w14:paraId="000C8B81" w14:textId="77777777" w:rsidR="00F93859" w:rsidRPr="007A7C93" w:rsidRDefault="00F93859" w:rsidP="00432DB4">
      <w:pPr>
        <w:pStyle w:val="Ttulo2"/>
        <w:rPr>
          <w:lang w:val="es-ES"/>
        </w:rPr>
      </w:pPr>
      <w:bookmarkStart w:id="22" w:name="_Toc221202155"/>
      <w:r w:rsidRPr="007A7C93">
        <w:rPr>
          <w:lang w:val="es-ES"/>
        </w:rPr>
        <w:t>TERCERO. Determinación de la Controversia</w:t>
      </w:r>
      <w:bookmarkEnd w:id="22"/>
    </w:p>
    <w:p w14:paraId="7C507C79" w14:textId="77777777" w:rsidR="00F93859" w:rsidRPr="007A7C93" w:rsidRDefault="00F93859" w:rsidP="00432DB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F2BF0B" w14:textId="28364BDF" w:rsidR="0004787C" w:rsidRDefault="00F93859" w:rsidP="00432DB4">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7A7C93">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E033EE">
        <w:rPr>
          <w:rFonts w:ascii="Palatino Linotype" w:eastAsia="Calibri" w:hAnsi="Palatino Linotype" w:cs="Tahoma"/>
          <w:color w:val="000000"/>
          <w:sz w:val="22"/>
          <w:szCs w:val="22"/>
          <w:lang w:val="es-ES" w:eastAsia="es-MX"/>
        </w:rPr>
        <w:t xml:space="preserve"> </w:t>
      </w:r>
      <w:r w:rsidR="00D82E4F">
        <w:rPr>
          <w:rFonts w:ascii="Palatino Linotype" w:eastAsia="Calibri" w:hAnsi="Palatino Linotype" w:cs="Tahoma"/>
          <w:color w:val="000000"/>
          <w:sz w:val="22"/>
          <w:szCs w:val="22"/>
          <w:lang w:val="es-ES" w:eastAsia="es-MX"/>
        </w:rPr>
        <w:t>los cheques expedidos por la Tesorería Municipal del primero de enero al quince de marzo de dos mil veinticinco.</w:t>
      </w:r>
    </w:p>
    <w:p w14:paraId="7C7070AB" w14:textId="77777777" w:rsidR="00E033EE" w:rsidRPr="00E033EE" w:rsidRDefault="00E033EE" w:rsidP="00432DB4">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6013186D" w:rsidR="00F93859" w:rsidRPr="007A7C93" w:rsidRDefault="00F93859" w:rsidP="00432DB4">
      <w:pPr>
        <w:pStyle w:val="NormalWeb"/>
        <w:spacing w:after="0" w:line="360" w:lineRule="auto"/>
        <w:ind w:right="-28"/>
        <w:rPr>
          <w:rFonts w:ascii="Palatino Linotype" w:hAnsi="Palatino Linotype" w:cs="Tahoma"/>
          <w:bCs/>
          <w:iCs/>
          <w:sz w:val="22"/>
          <w:szCs w:val="22"/>
          <w:lang w:val="es-ES"/>
        </w:rPr>
      </w:pPr>
      <w:r w:rsidRPr="007A7C93">
        <w:rPr>
          <w:rFonts w:ascii="Palatino Linotype" w:hAnsi="Palatino Linotype" w:cs="Tahoma"/>
          <w:bCs/>
          <w:iCs/>
          <w:sz w:val="22"/>
          <w:szCs w:val="22"/>
          <w:lang w:val="es-ES"/>
        </w:rPr>
        <w:t>Ante la falta de respuesta del Ente Recurrido</w:t>
      </w:r>
      <w:r w:rsidR="005F4B24" w:rsidRPr="007A7C93">
        <w:rPr>
          <w:rFonts w:ascii="Palatino Linotype" w:hAnsi="Palatino Linotype" w:cs="Tahoma"/>
          <w:bCs/>
          <w:iCs/>
          <w:sz w:val="22"/>
          <w:szCs w:val="22"/>
          <w:lang w:val="es-ES"/>
        </w:rPr>
        <w:t xml:space="preserve">, </w:t>
      </w:r>
      <w:r w:rsidRPr="007A7C93">
        <w:rPr>
          <w:rFonts w:ascii="Palatino Linotype" w:hAnsi="Palatino Linotype" w:cs="Tahoma"/>
          <w:bCs/>
          <w:iCs/>
          <w:sz w:val="22"/>
          <w:szCs w:val="22"/>
          <w:lang w:val="es-ES"/>
        </w:rPr>
        <w:t>el Particular, justamente se inconformó</w:t>
      </w:r>
      <w:r w:rsidR="005F4B24" w:rsidRPr="007A7C93">
        <w:rPr>
          <w:rFonts w:ascii="Palatino Linotype" w:hAnsi="Palatino Linotype" w:cs="Tahoma"/>
          <w:bCs/>
          <w:iCs/>
          <w:sz w:val="22"/>
          <w:szCs w:val="22"/>
          <w:lang w:val="es-ES"/>
        </w:rPr>
        <w:t xml:space="preserve"> por la falta de entrega de la información</w:t>
      </w:r>
      <w:r w:rsidRPr="007A7C93">
        <w:rPr>
          <w:rFonts w:ascii="Palatino Linotype" w:hAnsi="Palatino Linotype" w:cs="Tahoma"/>
          <w:bCs/>
          <w:iCs/>
          <w:sz w:val="22"/>
          <w:szCs w:val="22"/>
          <w:lang w:val="es-ES"/>
        </w:rPr>
        <w:t xml:space="preserve">, lo cual se actualiza el supuesto previsto en el artículo 179, fracción </w:t>
      </w:r>
      <w:r w:rsidR="002C68DB">
        <w:rPr>
          <w:rFonts w:ascii="Palatino Linotype" w:hAnsi="Palatino Linotype" w:cs="Tahoma"/>
          <w:bCs/>
          <w:iCs/>
          <w:sz w:val="22"/>
          <w:szCs w:val="22"/>
          <w:lang w:val="es-ES"/>
        </w:rPr>
        <w:t>VI</w:t>
      </w:r>
      <w:r w:rsidRPr="007A7C93">
        <w:rPr>
          <w:rFonts w:ascii="Palatino Linotype" w:hAnsi="Palatino Linotype" w:cs="Tahoma"/>
          <w:bCs/>
          <w:iCs/>
          <w:sz w:val="22"/>
          <w:szCs w:val="22"/>
          <w:lang w:val="es-ES"/>
        </w:rPr>
        <w:t>I, de la Ley de Transparencia y Acceso a la Información Pública del Estado de México y Municipios</w:t>
      </w:r>
      <w:r w:rsidRPr="007A7C93">
        <w:rPr>
          <w:rFonts w:ascii="Palatino Linotype" w:hAnsi="Palatino Linotype" w:cs="Tahoma"/>
          <w:bCs/>
          <w:iCs/>
          <w:sz w:val="22"/>
          <w:szCs w:val="22"/>
          <w:shd w:val="clear" w:color="auto" w:fill="FFFFFF"/>
        </w:rPr>
        <w:t xml:space="preserve">. </w:t>
      </w:r>
      <w:r w:rsidRPr="007A7C93">
        <w:rPr>
          <w:rFonts w:ascii="Palatino Linotype" w:hAnsi="Palatino Linotype" w:cs="Tahoma"/>
          <w:sz w:val="22"/>
          <w:szCs w:val="22"/>
          <w:lang w:val="es-ES"/>
        </w:rPr>
        <w:t xml:space="preserve">Así las cosas, una vez admitido y notificado el Recurso de Revisión a las partes, </w:t>
      </w:r>
      <w:r w:rsidR="00D46FC7" w:rsidRPr="007A7C93">
        <w:rPr>
          <w:rFonts w:ascii="Palatino Linotype" w:hAnsi="Palatino Linotype" w:cs="Tahoma"/>
          <w:sz w:val="22"/>
          <w:szCs w:val="22"/>
          <w:lang w:val="es-ES"/>
        </w:rPr>
        <w:t>estas</w:t>
      </w:r>
      <w:r w:rsidR="00D46FC7" w:rsidRPr="007A7C93">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Default="00D46FC7" w:rsidP="00432DB4">
      <w:pPr>
        <w:pStyle w:val="NormalWeb"/>
        <w:spacing w:after="0" w:line="360" w:lineRule="auto"/>
        <w:ind w:right="-28"/>
        <w:rPr>
          <w:rFonts w:ascii="Palatino Linotype" w:eastAsia="Calibri" w:hAnsi="Palatino Linotype" w:cs="Tahoma"/>
          <w:iCs/>
          <w:sz w:val="22"/>
          <w:szCs w:val="22"/>
          <w:lang w:val="es-ES"/>
        </w:rPr>
      </w:pPr>
    </w:p>
    <w:p w14:paraId="4C7F6069" w14:textId="666AA89C" w:rsidR="00D055BD" w:rsidRDefault="00D055BD" w:rsidP="00432DB4">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626816">
        <w:rPr>
          <w:rFonts w:ascii="Palatino Linotype" w:eastAsiaTheme="minorHAnsi" w:hAnsi="Palatino Linotype" w:cstheme="minorBidi"/>
          <w:color w:val="000000" w:themeColor="text1"/>
          <w:sz w:val="22"/>
          <w:szCs w:val="22"/>
          <w:lang w:eastAsia="en-US"/>
        </w:rPr>
        <w:t>Mediante la Reso</w:t>
      </w:r>
      <w:r w:rsidR="00360EAF">
        <w:rPr>
          <w:rFonts w:ascii="Palatino Linotype" w:eastAsiaTheme="minorHAnsi" w:hAnsi="Palatino Linotype" w:cstheme="minorBidi"/>
          <w:color w:val="000000" w:themeColor="text1"/>
          <w:sz w:val="22"/>
          <w:szCs w:val="22"/>
          <w:lang w:eastAsia="en-US"/>
        </w:rPr>
        <w:t xml:space="preserve">lución del Recurso de Revisión </w:t>
      </w:r>
      <w:r w:rsidR="0093448A">
        <w:rPr>
          <w:rFonts w:ascii="Palatino Linotype" w:eastAsiaTheme="minorHAnsi" w:hAnsi="Palatino Linotype" w:cstheme="minorBidi"/>
          <w:color w:val="000000" w:themeColor="text1"/>
          <w:sz w:val="22"/>
          <w:szCs w:val="22"/>
          <w:lang w:eastAsia="en-US"/>
        </w:rPr>
        <w:t>04946/INFOEM/IP/RR/</w:t>
      </w:r>
      <w:r w:rsidR="00D82E4F">
        <w:rPr>
          <w:rFonts w:ascii="Palatino Linotype" w:eastAsiaTheme="minorHAnsi" w:hAnsi="Palatino Linotype" w:cstheme="minorBidi"/>
          <w:color w:val="000000" w:themeColor="text1"/>
          <w:sz w:val="22"/>
          <w:szCs w:val="22"/>
          <w:lang w:eastAsia="en-US"/>
        </w:rPr>
        <w:t>2025 y acumulado,</w:t>
      </w:r>
      <w:r w:rsidRPr="00626816">
        <w:rPr>
          <w:rFonts w:ascii="Palatino Linotype" w:eastAsiaTheme="minorHAnsi" w:hAnsi="Palatino Linotype" w:cstheme="minorBidi"/>
          <w:color w:val="000000" w:themeColor="text1"/>
          <w:sz w:val="22"/>
          <w:szCs w:val="22"/>
          <w:lang w:eastAsia="en-US"/>
        </w:rPr>
        <w:t xml:space="preserve"> el Pleno de este Instituto, determinó como </w:t>
      </w:r>
      <w:r w:rsidRPr="00626816">
        <w:rPr>
          <w:rFonts w:ascii="Palatino Linotype" w:eastAsiaTheme="minorHAnsi" w:hAnsi="Palatino Linotype" w:cstheme="minorBidi"/>
          <w:b/>
          <w:bCs/>
          <w:color w:val="000000" w:themeColor="text1"/>
          <w:sz w:val="22"/>
          <w:szCs w:val="22"/>
          <w:lang w:eastAsia="en-US"/>
        </w:rPr>
        <w:t>FUNDADO</w:t>
      </w:r>
      <w:r w:rsidRPr="00626816">
        <w:rPr>
          <w:rFonts w:ascii="Palatino Linotype" w:eastAsiaTheme="minorHAnsi" w:hAnsi="Palatino Linotype" w:cstheme="minorBidi"/>
          <w:color w:val="000000" w:themeColor="text1"/>
          <w:sz w:val="22"/>
          <w:szCs w:val="22"/>
          <w:lang w:eastAsia="en-US"/>
        </w:rPr>
        <w:t xml:space="preserve"> el agravio del Particular y se estableció procedente </w:t>
      </w:r>
      <w:r w:rsidRPr="00626816">
        <w:rPr>
          <w:rFonts w:ascii="Palatino Linotype" w:eastAsiaTheme="minorHAnsi" w:hAnsi="Palatino Linotype" w:cstheme="minorBidi"/>
          <w:b/>
          <w:bCs/>
          <w:color w:val="000000" w:themeColor="text1"/>
          <w:sz w:val="22"/>
          <w:szCs w:val="22"/>
          <w:lang w:eastAsia="en-US"/>
        </w:rPr>
        <w:t>ORDENAR</w:t>
      </w:r>
      <w:r w:rsidRPr="00626816">
        <w:rPr>
          <w:rFonts w:ascii="Palatino Linotype" w:eastAsiaTheme="minorHAnsi" w:hAnsi="Palatino Linotype" w:cstheme="minorBidi"/>
          <w:color w:val="000000" w:themeColor="text1"/>
          <w:sz w:val="22"/>
          <w:szCs w:val="22"/>
          <w:lang w:eastAsia="en-US"/>
        </w:rPr>
        <w:t xml:space="preserve"> al </w:t>
      </w:r>
      <w:r w:rsidR="0093448A">
        <w:rPr>
          <w:rFonts w:ascii="Palatino Linotype" w:eastAsiaTheme="minorHAnsi" w:hAnsi="Palatino Linotype" w:cstheme="minorBidi"/>
          <w:color w:val="000000" w:themeColor="text1"/>
          <w:sz w:val="22"/>
          <w:szCs w:val="22"/>
          <w:lang w:eastAsia="en-US"/>
        </w:rPr>
        <w:t>Ayuntamiento de Ecatepec de Morelos</w:t>
      </w:r>
      <w:r w:rsidRPr="00626816">
        <w:rPr>
          <w:rFonts w:ascii="Palatino Linotype" w:eastAsiaTheme="minorHAnsi" w:hAnsi="Palatino Linotype" w:cstheme="minorBidi"/>
          <w:color w:val="000000" w:themeColor="text1"/>
          <w:sz w:val="22"/>
          <w:szCs w:val="22"/>
          <w:lang w:eastAsia="en-US"/>
        </w:rPr>
        <w:t>, a efecto de que proporcionara la documentación requerida.</w:t>
      </w:r>
    </w:p>
    <w:p w14:paraId="2109B970" w14:textId="77777777" w:rsidR="00360EAF" w:rsidRPr="00626816" w:rsidRDefault="00360EAF" w:rsidP="00432DB4">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p>
    <w:p w14:paraId="30CBFC1E" w14:textId="44513EB3" w:rsidR="00D82E4F" w:rsidRPr="00D82E4F" w:rsidRDefault="00D055BD" w:rsidP="00432DB4">
      <w:pPr>
        <w:spacing w:line="360" w:lineRule="auto"/>
        <w:jc w:val="both"/>
        <w:rPr>
          <w:rFonts w:ascii="Palatino Linotype" w:eastAsia="Palatino Linotype" w:hAnsi="Palatino Linotype" w:cs="Tahoma"/>
          <w:color w:val="000000"/>
          <w:sz w:val="22"/>
          <w:szCs w:val="22"/>
          <w:lang w:val="es-ES" w:eastAsia="es-MX"/>
        </w:rPr>
      </w:pPr>
      <w:r w:rsidRPr="00626816">
        <w:rPr>
          <w:rFonts w:ascii="Palatino Linotype" w:eastAsiaTheme="minorHAnsi" w:hAnsi="Palatino Linotype" w:cstheme="minorBidi"/>
          <w:color w:val="000000" w:themeColor="text1"/>
          <w:sz w:val="22"/>
          <w:szCs w:val="22"/>
          <w:lang w:eastAsia="en-US"/>
        </w:rPr>
        <w:t xml:space="preserve">En cumplimiento a la determinación previamente señalada, el Sujeto Obligado </w:t>
      </w:r>
      <w:r w:rsidR="00D82E4F" w:rsidRPr="00D82E4F">
        <w:rPr>
          <w:rFonts w:ascii="Palatino Linotype" w:eastAsia="Palatino Linotype" w:hAnsi="Palatino Linotype" w:cs="Palatino Linotype"/>
          <w:color w:val="000000"/>
          <w:sz w:val="22"/>
          <w:szCs w:val="22"/>
          <w:lang w:eastAsia="es-MX"/>
        </w:rPr>
        <w:t xml:space="preserve">a través de la Tesorería Municipal mencionó que la información solicitada es susceptible de ser clasificada como reservada con fundamento en el artículo 140 fracción V de la Ley Transparencia y Acceso a la Información Pública del Estado de México y Municipios, en virtud de que contiene el número de cuenta bancario, el número de cuenta y datos confidenciales de personas terceras y su difusión puede ser utilizada por terceros ajenos al municipio o por otras personas dentro de la institución o de los bancos, para cometer ilícitos en perjuicio del patrimonio; </w:t>
      </w:r>
      <w:r w:rsidR="00D82E4F" w:rsidRPr="00D82E4F">
        <w:rPr>
          <w:rFonts w:ascii="Palatino Linotype" w:eastAsia="Palatino Linotype" w:hAnsi="Palatino Linotype" w:cs="Tahoma"/>
          <w:color w:val="000000"/>
          <w:sz w:val="22"/>
          <w:szCs w:val="22"/>
          <w:lang w:val="es-ES" w:eastAsia="es-MX"/>
        </w:rPr>
        <w:t xml:space="preserve">ante dicha </w:t>
      </w:r>
      <w:r w:rsidR="00D82E4F" w:rsidRPr="00D82E4F">
        <w:rPr>
          <w:rFonts w:ascii="Palatino Linotype" w:eastAsia="Palatino Linotype" w:hAnsi="Palatino Linotype" w:cs="Tahoma"/>
          <w:color w:val="000000"/>
          <w:sz w:val="22"/>
          <w:szCs w:val="22"/>
          <w:lang w:val="es-ES" w:eastAsia="es-MX"/>
        </w:rPr>
        <w:lastRenderedPageBreak/>
        <w:t>circunstancia, el Particular se inconformó de la clasificación de la información</w:t>
      </w:r>
      <w:r w:rsidR="00D82E4F">
        <w:rPr>
          <w:rFonts w:ascii="Palatino Linotype" w:eastAsia="Palatino Linotype" w:hAnsi="Palatino Linotype" w:cs="Tahoma"/>
          <w:color w:val="000000"/>
          <w:sz w:val="22"/>
          <w:szCs w:val="22"/>
          <w:lang w:val="es-ES" w:eastAsia="es-MX"/>
        </w:rPr>
        <w:t>,</w:t>
      </w:r>
      <w:r w:rsidR="00D82E4F" w:rsidRPr="00D82E4F">
        <w:rPr>
          <w:rFonts w:ascii="Palatino Linotype" w:eastAsia="Palatino Linotype" w:hAnsi="Palatino Linotype" w:cs="Tahoma"/>
          <w:color w:val="000000"/>
          <w:sz w:val="22"/>
          <w:szCs w:val="22"/>
          <w:lang w:val="es-ES" w:eastAsia="es-MX"/>
        </w:rPr>
        <w:t xml:space="preserve"> lo cual </w:t>
      </w:r>
      <w:r w:rsidR="00D82E4F" w:rsidRPr="00D82E4F">
        <w:rPr>
          <w:rFonts w:ascii="Palatino Linotype" w:eastAsia="Calibri" w:hAnsi="Palatino Linotype" w:cs="Tahoma"/>
          <w:color w:val="000000"/>
          <w:sz w:val="22"/>
          <w:szCs w:val="22"/>
          <w:lang w:eastAsia="es-MX"/>
        </w:rPr>
        <w:t>actualiza la causal de procedencia prevista en la fracción II, del artículo 179 de la Ley de Transparencia y Acceso a la Información Pública del Estado de México y Municipios</w:t>
      </w:r>
      <w:r w:rsidR="00D82E4F" w:rsidRPr="00D82E4F">
        <w:rPr>
          <w:rFonts w:ascii="Palatino Linotype" w:eastAsia="Palatino Linotype" w:hAnsi="Palatino Linotype" w:cs="Palatino Linotype"/>
          <w:color w:val="0D0D0D"/>
          <w:sz w:val="22"/>
          <w:szCs w:val="22"/>
          <w:lang w:eastAsia="es-MX"/>
        </w:rPr>
        <w:t xml:space="preserve">. </w:t>
      </w:r>
      <w:r w:rsidR="00D82E4F" w:rsidRPr="00D82E4F">
        <w:rPr>
          <w:rFonts w:ascii="Palatino Linotype" w:eastAsia="Calibri" w:hAnsi="Palatino Linotype" w:cs="Tahoma"/>
          <w:color w:val="000000"/>
          <w:sz w:val="22"/>
          <w:szCs w:val="22"/>
          <w:lang w:eastAsia="es-MX"/>
        </w:rPr>
        <w:t>Así, las cosas, una vez admitido y notificado el Recurso de Revisión a las partes, el Sujeto Obligado a través de la Tesorería Municipal ratificó su respuesta y adjuntó el Acta número ACT/ECA/CT/EXT/2</w:t>
      </w:r>
      <w:r w:rsidR="00D82E4F">
        <w:rPr>
          <w:rFonts w:ascii="Palatino Linotype" w:eastAsia="Calibri" w:hAnsi="Palatino Linotype" w:cs="Tahoma"/>
          <w:color w:val="000000"/>
          <w:sz w:val="22"/>
          <w:szCs w:val="22"/>
          <w:lang w:eastAsia="es-MX"/>
        </w:rPr>
        <w:t>3</w:t>
      </w:r>
      <w:r w:rsidR="00D82E4F" w:rsidRPr="00D82E4F">
        <w:rPr>
          <w:rFonts w:ascii="Palatino Linotype" w:eastAsia="Calibri" w:hAnsi="Palatino Linotype" w:cs="Tahoma"/>
          <w:color w:val="000000"/>
          <w:sz w:val="22"/>
          <w:szCs w:val="22"/>
          <w:lang w:eastAsia="es-MX"/>
        </w:rPr>
        <w:t xml:space="preserve">ª/2025, de la Vigésima </w:t>
      </w:r>
      <w:r w:rsidR="00D82E4F">
        <w:rPr>
          <w:rFonts w:ascii="Palatino Linotype" w:eastAsia="Calibri" w:hAnsi="Palatino Linotype" w:cs="Tahoma"/>
          <w:color w:val="000000"/>
          <w:sz w:val="22"/>
          <w:szCs w:val="22"/>
          <w:lang w:eastAsia="es-MX"/>
        </w:rPr>
        <w:t>Tercera</w:t>
      </w:r>
      <w:r w:rsidR="00D82E4F" w:rsidRPr="00D82E4F">
        <w:rPr>
          <w:rFonts w:ascii="Palatino Linotype" w:eastAsia="Calibri" w:hAnsi="Palatino Linotype" w:cs="Tahoma"/>
          <w:color w:val="000000"/>
          <w:sz w:val="22"/>
          <w:szCs w:val="22"/>
          <w:lang w:eastAsia="es-MX"/>
        </w:rPr>
        <w:t xml:space="preserve"> Sesión Extraordinaria del Comité de Transparencia, por medio de la cual confirma la clasificación de la información como reservada</w:t>
      </w:r>
      <w:r w:rsidR="00432DB4">
        <w:rPr>
          <w:rFonts w:ascii="Palatino Linotype" w:eastAsia="Calibri" w:hAnsi="Palatino Linotype" w:cs="Tahoma"/>
          <w:color w:val="000000"/>
          <w:sz w:val="22"/>
          <w:szCs w:val="22"/>
          <w:lang w:eastAsia="es-MX"/>
        </w:rPr>
        <w:t xml:space="preserve">; por su parte, el Particular ratificó su inconformidad </w:t>
      </w:r>
    </w:p>
    <w:p w14:paraId="1C93CC03" w14:textId="77777777" w:rsidR="00D82E4F" w:rsidRPr="00D82E4F" w:rsidRDefault="00D82E4F" w:rsidP="00432DB4">
      <w:pPr>
        <w:tabs>
          <w:tab w:val="left" w:pos="4962"/>
        </w:tabs>
        <w:spacing w:line="360" w:lineRule="auto"/>
        <w:jc w:val="both"/>
        <w:rPr>
          <w:rFonts w:ascii="Palatino Linotype" w:eastAsia="Calibri" w:hAnsi="Palatino Linotype" w:cs="Tahoma"/>
          <w:color w:val="000000"/>
          <w:sz w:val="22"/>
          <w:szCs w:val="22"/>
          <w:lang w:eastAsia="es-MX"/>
        </w:rPr>
      </w:pPr>
    </w:p>
    <w:p w14:paraId="0076447D" w14:textId="403E2665" w:rsidR="00432DB4" w:rsidRPr="007A7C93" w:rsidRDefault="00432DB4" w:rsidP="00432DB4">
      <w:pPr>
        <w:tabs>
          <w:tab w:val="left" w:pos="4962"/>
        </w:tabs>
        <w:spacing w:line="360" w:lineRule="auto"/>
        <w:jc w:val="both"/>
        <w:rPr>
          <w:rFonts w:ascii="Palatino Linotype" w:eastAsia="Calibri" w:hAnsi="Palatino Linotype" w:cs="Tahoma"/>
          <w:bCs/>
          <w:sz w:val="22"/>
          <w:szCs w:val="22"/>
        </w:rPr>
      </w:pPr>
      <w:r w:rsidRPr="007A7C93">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val="es-ES" w:eastAsia="es-ES_tradnl"/>
        </w:rPr>
        <w:t>;</w:t>
      </w:r>
      <w:r w:rsidRPr="007A7C93">
        <w:rPr>
          <w:rFonts w:ascii="Palatino Linotype" w:eastAsia="Calibri" w:hAnsi="Palatino Linotype" w:cs="Tahoma"/>
          <w:iCs/>
          <w:sz w:val="22"/>
          <w:szCs w:val="22"/>
          <w:lang w:eastAsia="es-ES_tradnl"/>
        </w:rPr>
        <w:t xml:space="preserve"> el escrito </w:t>
      </w:r>
      <w:proofErr w:type="spellStart"/>
      <w:r w:rsidRPr="007A7C93">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la resolución emitida; la respuesta entregada en cumplimiento; el Segundo Recurso de Revisión: los respectivos alegatos y manifestaciones de las partes</w:t>
      </w:r>
      <w:r w:rsidRPr="007A7C93">
        <w:rPr>
          <w:rFonts w:ascii="Palatino Linotype" w:eastAsia="Calibri" w:hAnsi="Palatino Linotype" w:cs="Tahoma"/>
          <w:iCs/>
          <w:sz w:val="22"/>
          <w:szCs w:val="22"/>
          <w:lang w:eastAsia="es-ES_tradnl"/>
        </w:rPr>
        <w:t xml:space="preserve">; </w:t>
      </w:r>
      <w:r w:rsidRPr="007A7C93">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B70D3ED" w14:textId="77777777" w:rsidR="000329B6" w:rsidRPr="007A7C93" w:rsidRDefault="000329B6" w:rsidP="00432DB4">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7A7C93" w:rsidRDefault="00F93859" w:rsidP="00432DB4">
      <w:pPr>
        <w:pStyle w:val="Ttulo2"/>
        <w:jc w:val="both"/>
      </w:pPr>
      <w:bookmarkStart w:id="23" w:name="_Toc221202156"/>
      <w:r w:rsidRPr="007A7C93">
        <w:rPr>
          <w:lang w:val="es-ES"/>
        </w:rPr>
        <w:t xml:space="preserve">CUARTO. </w:t>
      </w:r>
      <w:r w:rsidRPr="007A7C93">
        <w:t>Marco normativo aplicable en materia de transparencia y acceso a la información pública</w:t>
      </w:r>
      <w:bookmarkEnd w:id="23"/>
    </w:p>
    <w:p w14:paraId="46E96098" w14:textId="77777777" w:rsidR="00BA5927" w:rsidRPr="007A7C93" w:rsidRDefault="00BA5927" w:rsidP="00432DB4">
      <w:pPr>
        <w:spacing w:line="360" w:lineRule="auto"/>
        <w:jc w:val="both"/>
        <w:rPr>
          <w:rFonts w:ascii="Palatino Linotype" w:hAnsi="Palatino Linotype" w:cs="Tahoma"/>
          <w:sz w:val="22"/>
          <w:szCs w:val="22"/>
        </w:rPr>
      </w:pPr>
    </w:p>
    <w:p w14:paraId="6C744EA8" w14:textId="5A4C947D" w:rsidR="00BA5927" w:rsidRPr="007A7C93" w:rsidRDefault="00BA5927" w:rsidP="00432DB4">
      <w:pPr>
        <w:spacing w:line="360" w:lineRule="auto"/>
        <w:jc w:val="both"/>
        <w:rPr>
          <w:rFonts w:ascii="Palatino Linotype" w:hAnsi="Palatino Linotype" w:cs="Tahoma"/>
          <w:sz w:val="22"/>
          <w:szCs w:val="22"/>
        </w:rPr>
      </w:pPr>
      <w:r w:rsidRPr="007A7C9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7A7C93" w:rsidRDefault="00BA5927" w:rsidP="00432DB4">
      <w:pPr>
        <w:spacing w:line="360" w:lineRule="auto"/>
        <w:jc w:val="both"/>
        <w:rPr>
          <w:rFonts w:ascii="Palatino Linotype" w:hAnsi="Palatino Linotype" w:cs="Tahoma"/>
          <w:sz w:val="22"/>
          <w:szCs w:val="22"/>
        </w:rPr>
      </w:pPr>
    </w:p>
    <w:p w14:paraId="67458415" w14:textId="234AC19B" w:rsidR="00BA5927" w:rsidRPr="007A7C93" w:rsidRDefault="00D6661B" w:rsidP="00432DB4">
      <w:pPr>
        <w:spacing w:line="360" w:lineRule="auto"/>
        <w:jc w:val="both"/>
        <w:rPr>
          <w:rFonts w:ascii="Palatino Linotype" w:hAnsi="Palatino Linotype" w:cs="Tahoma"/>
          <w:sz w:val="22"/>
          <w:szCs w:val="22"/>
        </w:rPr>
      </w:pPr>
      <w:r w:rsidRPr="007A7C93">
        <w:rPr>
          <w:rFonts w:ascii="Palatino Linotype" w:hAnsi="Palatino Linotype" w:cs="Tahoma"/>
          <w:sz w:val="22"/>
          <w:szCs w:val="22"/>
        </w:rPr>
        <w:t>E</w:t>
      </w:r>
      <w:r w:rsidR="00BA5927" w:rsidRPr="007A7C93">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BA5927" w:rsidRPr="007A7C93">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70E914CF" w14:textId="77777777" w:rsidR="00BA5927" w:rsidRPr="007A7C93" w:rsidRDefault="00BA5927" w:rsidP="00432DB4">
      <w:pPr>
        <w:spacing w:line="360" w:lineRule="auto"/>
        <w:jc w:val="both"/>
        <w:rPr>
          <w:rFonts w:ascii="Palatino Linotype" w:hAnsi="Palatino Linotype" w:cs="Tahoma"/>
          <w:iCs/>
          <w:sz w:val="22"/>
          <w:szCs w:val="22"/>
        </w:rPr>
      </w:pPr>
    </w:p>
    <w:p w14:paraId="38D03AB7" w14:textId="77777777" w:rsidR="00BA5927" w:rsidRPr="007A7C93" w:rsidRDefault="00BA5927" w:rsidP="00432DB4">
      <w:pPr>
        <w:spacing w:line="360" w:lineRule="auto"/>
        <w:jc w:val="both"/>
        <w:rPr>
          <w:rFonts w:ascii="Palatino Linotype" w:hAnsi="Palatino Linotype" w:cs="Tahoma"/>
          <w:iCs/>
          <w:sz w:val="22"/>
          <w:szCs w:val="22"/>
        </w:rPr>
      </w:pPr>
      <w:r w:rsidRPr="007A7C93">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7A7C93" w:rsidRDefault="009C44AA" w:rsidP="00432DB4">
      <w:pPr>
        <w:spacing w:line="360" w:lineRule="auto"/>
        <w:jc w:val="both"/>
        <w:rPr>
          <w:rFonts w:ascii="Palatino Linotype" w:hAnsi="Palatino Linotype" w:cs="Tahoma"/>
          <w:iCs/>
          <w:sz w:val="22"/>
          <w:szCs w:val="22"/>
        </w:rPr>
      </w:pPr>
    </w:p>
    <w:p w14:paraId="666CD1C7" w14:textId="77777777" w:rsidR="00E716DD" w:rsidRPr="007A7C93" w:rsidRDefault="00E716DD" w:rsidP="00432DB4">
      <w:pPr>
        <w:spacing w:line="360" w:lineRule="auto"/>
        <w:jc w:val="both"/>
        <w:rPr>
          <w:rFonts w:ascii="Palatino Linotype" w:hAnsi="Palatino Linotype" w:cs="Tahoma"/>
          <w:iCs/>
          <w:sz w:val="22"/>
          <w:szCs w:val="22"/>
        </w:rPr>
      </w:pPr>
      <w:r w:rsidRPr="007A7C93">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7A7C93" w:rsidRDefault="00B07F56" w:rsidP="00432DB4">
      <w:pPr>
        <w:spacing w:line="360" w:lineRule="auto"/>
        <w:jc w:val="both"/>
        <w:rPr>
          <w:rFonts w:ascii="Palatino Linotype" w:hAnsi="Palatino Linotype" w:cs="Tahoma"/>
          <w:iCs/>
          <w:sz w:val="22"/>
          <w:szCs w:val="22"/>
        </w:rPr>
      </w:pPr>
    </w:p>
    <w:p w14:paraId="0338B81A" w14:textId="77777777" w:rsidR="00E716DD" w:rsidRPr="007A7C93" w:rsidRDefault="00E716DD" w:rsidP="00432DB4">
      <w:pPr>
        <w:spacing w:line="360" w:lineRule="auto"/>
        <w:jc w:val="both"/>
        <w:rPr>
          <w:rFonts w:ascii="Palatino Linotype" w:hAnsi="Palatino Linotype" w:cs="Tahoma"/>
          <w:iCs/>
          <w:sz w:val="22"/>
          <w:szCs w:val="22"/>
        </w:rPr>
      </w:pPr>
      <w:r w:rsidRPr="007A7C93">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7A7C93" w:rsidRDefault="00E716DD" w:rsidP="00432DB4">
      <w:pPr>
        <w:spacing w:line="360" w:lineRule="auto"/>
        <w:jc w:val="both"/>
        <w:rPr>
          <w:rFonts w:ascii="Palatino Linotype" w:hAnsi="Palatino Linotype" w:cs="Tahoma"/>
          <w:iCs/>
          <w:sz w:val="22"/>
          <w:szCs w:val="22"/>
        </w:rPr>
      </w:pPr>
    </w:p>
    <w:p w14:paraId="142DF62C" w14:textId="77777777" w:rsidR="00E716DD" w:rsidRPr="007A7C93" w:rsidRDefault="00E716DD" w:rsidP="00432DB4">
      <w:pPr>
        <w:spacing w:line="360" w:lineRule="auto"/>
        <w:jc w:val="both"/>
        <w:rPr>
          <w:rFonts w:ascii="Palatino Linotype" w:hAnsi="Palatino Linotype" w:cs="Tahoma"/>
          <w:iCs/>
          <w:sz w:val="22"/>
          <w:szCs w:val="22"/>
        </w:rPr>
      </w:pPr>
      <w:r w:rsidRPr="007A7C93">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7A7C93" w:rsidRDefault="00E716DD" w:rsidP="00432DB4">
      <w:pPr>
        <w:spacing w:line="360" w:lineRule="auto"/>
        <w:jc w:val="both"/>
        <w:rPr>
          <w:rFonts w:ascii="Palatino Linotype" w:hAnsi="Palatino Linotype" w:cs="Tahoma"/>
          <w:iCs/>
          <w:sz w:val="22"/>
          <w:szCs w:val="22"/>
          <w:lang w:val="es-ES"/>
        </w:rPr>
      </w:pPr>
    </w:p>
    <w:p w14:paraId="21CE24D2" w14:textId="77777777" w:rsidR="00E716DD" w:rsidRPr="007A7C93" w:rsidRDefault="00E716DD" w:rsidP="00432DB4">
      <w:pPr>
        <w:pStyle w:val="Ttulo2"/>
        <w:rPr>
          <w:lang w:val="es-ES"/>
        </w:rPr>
      </w:pPr>
      <w:bookmarkStart w:id="24" w:name="_Toc221202157"/>
      <w:r w:rsidRPr="007A7C93">
        <w:rPr>
          <w:lang w:val="es-ES"/>
        </w:rPr>
        <w:t>QUINTO. Estudio de Fondo</w:t>
      </w:r>
      <w:bookmarkEnd w:id="24"/>
    </w:p>
    <w:p w14:paraId="7C675EDB" w14:textId="77777777" w:rsidR="00E716DD" w:rsidRPr="007A7C93" w:rsidRDefault="00E716DD" w:rsidP="00432DB4">
      <w:pPr>
        <w:spacing w:line="360" w:lineRule="auto"/>
        <w:jc w:val="both"/>
        <w:rPr>
          <w:rFonts w:ascii="Palatino Linotype" w:hAnsi="Palatino Linotype" w:cs="Tahoma"/>
          <w:iCs/>
          <w:sz w:val="22"/>
          <w:szCs w:val="22"/>
          <w:lang w:val="es-ES"/>
        </w:rPr>
      </w:pPr>
    </w:p>
    <w:p w14:paraId="722DA477" w14:textId="04AB8E9C" w:rsidR="00F66760" w:rsidRDefault="00E716DD" w:rsidP="00432DB4">
      <w:pPr>
        <w:spacing w:line="360" w:lineRule="auto"/>
        <w:jc w:val="both"/>
        <w:rPr>
          <w:rFonts w:ascii="Palatino Linotype" w:eastAsia="Calibri" w:hAnsi="Palatino Linotype" w:cs="Tahoma"/>
          <w:bCs/>
          <w:sz w:val="22"/>
          <w:szCs w:val="22"/>
          <w:lang w:eastAsia="en-US"/>
        </w:rPr>
      </w:pPr>
      <w:r w:rsidRPr="007A7C93">
        <w:rPr>
          <w:rFonts w:ascii="Palatino Linotype" w:hAnsi="Palatino Linotype" w:cs="Tahoma"/>
          <w:iCs/>
          <w:sz w:val="22"/>
          <w:szCs w:val="22"/>
        </w:rPr>
        <w:t>Expuestas las posturas de las partes, se procede al análisis del agra</w:t>
      </w:r>
      <w:r w:rsidR="00B46E19">
        <w:rPr>
          <w:rFonts w:ascii="Palatino Linotype" w:hAnsi="Palatino Linotype" w:cs="Tahoma"/>
          <w:iCs/>
          <w:sz w:val="22"/>
          <w:szCs w:val="22"/>
        </w:rPr>
        <w:t>vio hecho valer por la persona r</w:t>
      </w:r>
      <w:r w:rsidRPr="007A7C93">
        <w:rPr>
          <w:rFonts w:ascii="Palatino Linotype" w:hAnsi="Palatino Linotype" w:cs="Tahoma"/>
          <w:iCs/>
          <w:sz w:val="22"/>
          <w:szCs w:val="22"/>
        </w:rPr>
        <w:t xml:space="preserve">ecurrente, concerniente a la </w:t>
      </w:r>
      <w:r w:rsidR="00D82E4F">
        <w:rPr>
          <w:rFonts w:ascii="Palatino Linotype" w:hAnsi="Palatino Linotype" w:cs="Tahoma"/>
          <w:iCs/>
          <w:sz w:val="22"/>
          <w:szCs w:val="22"/>
        </w:rPr>
        <w:t>clasificación de la información</w:t>
      </w:r>
      <w:r w:rsidR="00F66760">
        <w:rPr>
          <w:rFonts w:ascii="Palatino Linotype" w:hAnsi="Palatino Linotype" w:cs="Tahoma"/>
          <w:iCs/>
          <w:sz w:val="22"/>
          <w:szCs w:val="22"/>
        </w:rPr>
        <w:t xml:space="preserve">, para lo cual es necesario </w:t>
      </w:r>
      <w:r w:rsidR="007E7554">
        <w:rPr>
          <w:rFonts w:ascii="Palatino Linotype" w:hAnsi="Palatino Linotype" w:cs="Tahoma"/>
          <w:iCs/>
          <w:sz w:val="22"/>
          <w:szCs w:val="22"/>
        </w:rPr>
        <w:t>contextualizar la solicitud de información.</w:t>
      </w:r>
    </w:p>
    <w:p w14:paraId="1DBE84E8" w14:textId="77777777" w:rsidR="006A5C70" w:rsidRDefault="006A5C70" w:rsidP="00432DB4">
      <w:pPr>
        <w:spacing w:line="360" w:lineRule="auto"/>
        <w:jc w:val="both"/>
        <w:rPr>
          <w:rFonts w:ascii="Palatino Linotype" w:hAnsi="Palatino Linotype" w:cs="Tahoma"/>
          <w:iCs/>
          <w:sz w:val="22"/>
          <w:szCs w:val="22"/>
        </w:rPr>
      </w:pPr>
    </w:p>
    <w:p w14:paraId="5B614C34"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r w:rsidRPr="00D82E4F">
        <w:rPr>
          <w:rFonts w:ascii="Palatino Linotype" w:eastAsia="Palatino Linotype" w:hAnsi="Palatino Linotype" w:cs="Palatino Linotype"/>
          <w:color w:val="000000"/>
          <w:sz w:val="22"/>
          <w:szCs w:val="22"/>
          <w:lang w:eastAsia="es-MX"/>
        </w:rPr>
        <w:t xml:space="preserve">Al respecto, el artículo 4°, fracción XVIII, de la Ley General de Contabilidad Gubernamental, establece que </w:t>
      </w:r>
      <w:r w:rsidRPr="00D82E4F">
        <w:rPr>
          <w:rFonts w:ascii="Palatino Linotype" w:eastAsia="Palatino Linotype" w:hAnsi="Palatino Linotype" w:cs="Palatino Linotype"/>
          <w:b/>
          <w:bCs/>
          <w:color w:val="000000"/>
          <w:sz w:val="22"/>
          <w:szCs w:val="22"/>
          <w:lang w:eastAsia="es-MX"/>
        </w:rPr>
        <w:t xml:space="preserve">la información financiera consiste en información presupuestaria y contable </w:t>
      </w:r>
      <w:r w:rsidRPr="00D82E4F">
        <w:rPr>
          <w:rFonts w:ascii="Palatino Linotype" w:eastAsia="Palatino Linotype" w:hAnsi="Palatino Linotype" w:cs="Palatino Linotype"/>
          <w:b/>
          <w:bCs/>
          <w:color w:val="000000"/>
          <w:sz w:val="22"/>
          <w:szCs w:val="22"/>
          <w:lang w:eastAsia="es-MX"/>
        </w:rPr>
        <w:lastRenderedPageBreak/>
        <w:t>que se expresa en unidades monetarias las transacciones que realiza un ente público y los eventos económicos identificables y cuantificable</w:t>
      </w:r>
      <w:r w:rsidRPr="00D82E4F">
        <w:rPr>
          <w:rFonts w:ascii="Palatino Linotype" w:eastAsia="Palatino Linotype" w:hAnsi="Palatino Linotype" w:cs="Palatino Linotype"/>
          <w:color w:val="000000"/>
          <w:sz w:val="22"/>
          <w:szCs w:val="22"/>
          <w:lang w:eastAsia="es-MX"/>
        </w:rPr>
        <w:t xml:space="preserve"> la cual puede representarse por reportes, informes, estados y notas que expresan su situación financiera, los resultados de su operación y los cambios en su patrimonio.</w:t>
      </w:r>
    </w:p>
    <w:p w14:paraId="3EB5539D"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p>
    <w:p w14:paraId="4D557704"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r w:rsidRPr="00D82E4F">
        <w:rPr>
          <w:rFonts w:ascii="Palatino Linotype" w:eastAsia="Palatino Linotype" w:hAnsi="Palatino Linotype" w:cs="Palatino Linotype"/>
          <w:color w:val="000000"/>
          <w:sz w:val="22"/>
          <w:szCs w:val="22"/>
          <w:lang w:eastAsia="es-MX"/>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62C3AB25"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p>
    <w:p w14:paraId="07898A5A"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r w:rsidRPr="00D82E4F">
        <w:rPr>
          <w:rFonts w:ascii="Palatino Linotype" w:eastAsia="Palatino Linotype" w:hAnsi="Palatino Linotype" w:cs="Palatino Linotype"/>
          <w:color w:val="000000"/>
          <w:sz w:val="22"/>
          <w:szCs w:val="22"/>
          <w:lang w:eastAsia="es-MX"/>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428D655A"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p>
    <w:p w14:paraId="4576128C"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r w:rsidRPr="00D82E4F">
        <w:rPr>
          <w:rFonts w:ascii="Palatino Linotype" w:eastAsia="Palatino Linotype" w:hAnsi="Palatino Linotype" w:cs="Palatino Linotype"/>
          <w:color w:val="000000"/>
          <w:sz w:val="22"/>
          <w:szCs w:val="22"/>
          <w:lang w:eastAsia="es-MX"/>
        </w:rPr>
        <w:t>En ese contexto, los Sujetos Obligados deben generar pólizas contables que corresponden a un documento en el que se asientan las operaciones desarrolladas por las Entidades Públicas, con toda la información necesaria para su identificación; además, dichas pólizas se dividen en las siguientes:</w:t>
      </w:r>
    </w:p>
    <w:p w14:paraId="5DB2716E" w14:textId="77777777" w:rsidR="00D82E4F" w:rsidRPr="00D82E4F" w:rsidRDefault="00D82E4F" w:rsidP="00432DB4">
      <w:pPr>
        <w:spacing w:line="360" w:lineRule="auto"/>
        <w:jc w:val="both"/>
        <w:rPr>
          <w:rFonts w:ascii="Palatino Linotype" w:eastAsia="Palatino Linotype" w:hAnsi="Palatino Linotype" w:cs="Palatino Linotype"/>
          <w:color w:val="000000"/>
          <w:sz w:val="22"/>
          <w:szCs w:val="22"/>
          <w:lang w:eastAsia="es-MX"/>
        </w:rPr>
      </w:pPr>
    </w:p>
    <w:p w14:paraId="21B66A5F" w14:textId="77777777" w:rsidR="00D82E4F" w:rsidRPr="00D82E4F" w:rsidRDefault="00D82E4F" w:rsidP="00432DB4">
      <w:pPr>
        <w:numPr>
          <w:ilvl w:val="0"/>
          <w:numId w:val="4"/>
        </w:numPr>
        <w:spacing w:line="360" w:lineRule="auto"/>
        <w:contextualSpacing/>
        <w:jc w:val="both"/>
        <w:rPr>
          <w:rFonts w:ascii="Palatino Linotype" w:hAnsi="Palatino Linotype"/>
          <w:color w:val="000000"/>
          <w:sz w:val="22"/>
          <w:szCs w:val="24"/>
        </w:rPr>
      </w:pPr>
      <w:r w:rsidRPr="00D82E4F">
        <w:rPr>
          <w:rFonts w:ascii="Palatino Linotype" w:hAnsi="Palatino Linotype"/>
          <w:b/>
          <w:bCs/>
          <w:color w:val="000000"/>
          <w:sz w:val="22"/>
          <w:szCs w:val="24"/>
        </w:rPr>
        <w:t>Póliza de Egresos:</w:t>
      </w:r>
      <w:r w:rsidRPr="00D82E4F">
        <w:rPr>
          <w:rFonts w:ascii="Palatino Linotype" w:hAnsi="Palatino Linotype"/>
          <w:color w:val="000000"/>
          <w:sz w:val="22"/>
          <w:szCs w:val="24"/>
        </w:rPr>
        <w:t xml:space="preserve"> Corresponde a aquella donde se anotan las operaciones que implique egresos, es decir, la salida de dinero, en efectivo o transferencia, para el municipio. </w:t>
      </w:r>
    </w:p>
    <w:p w14:paraId="6E1B7715" w14:textId="77777777" w:rsidR="00D82E4F" w:rsidRPr="00D82E4F" w:rsidRDefault="00D82E4F" w:rsidP="00432DB4">
      <w:pPr>
        <w:spacing w:line="360" w:lineRule="auto"/>
        <w:ind w:left="720"/>
        <w:contextualSpacing/>
        <w:jc w:val="both"/>
        <w:rPr>
          <w:rFonts w:ascii="Palatino Linotype" w:hAnsi="Palatino Linotype"/>
          <w:color w:val="000000"/>
          <w:sz w:val="22"/>
          <w:szCs w:val="24"/>
        </w:rPr>
      </w:pPr>
    </w:p>
    <w:p w14:paraId="2EB43FCA" w14:textId="77777777" w:rsidR="00D82E4F" w:rsidRPr="00D82E4F" w:rsidRDefault="00D82E4F" w:rsidP="00432DB4">
      <w:pPr>
        <w:numPr>
          <w:ilvl w:val="0"/>
          <w:numId w:val="4"/>
        </w:numPr>
        <w:spacing w:line="360" w:lineRule="auto"/>
        <w:contextualSpacing/>
        <w:jc w:val="both"/>
        <w:rPr>
          <w:rFonts w:ascii="Palatino Linotype" w:hAnsi="Palatino Linotype"/>
          <w:color w:val="000000"/>
          <w:sz w:val="22"/>
          <w:szCs w:val="24"/>
        </w:rPr>
      </w:pPr>
      <w:r w:rsidRPr="00D82E4F">
        <w:rPr>
          <w:rFonts w:ascii="Palatino Linotype" w:hAnsi="Palatino Linotype"/>
          <w:b/>
          <w:bCs/>
          <w:color w:val="000000"/>
          <w:sz w:val="22"/>
          <w:szCs w:val="24"/>
        </w:rPr>
        <w:lastRenderedPageBreak/>
        <w:t>Póliza Cheque:</w:t>
      </w:r>
      <w:r w:rsidRPr="00D82E4F">
        <w:rPr>
          <w:rFonts w:ascii="Palatino Linotype" w:hAnsi="Palatino Linotype"/>
          <w:color w:val="000000"/>
          <w:sz w:val="22"/>
          <w:szCs w:val="24"/>
        </w:rPr>
        <w:t xml:space="preserve"> Es la que se elabora cuando la operación implique una salida de dinero del municipio, a través de un cheque.</w:t>
      </w:r>
    </w:p>
    <w:p w14:paraId="53FFF63B" w14:textId="77777777" w:rsidR="00D82E4F" w:rsidRPr="00D82E4F" w:rsidRDefault="00D82E4F" w:rsidP="00432DB4">
      <w:pPr>
        <w:spacing w:line="360" w:lineRule="auto"/>
        <w:contextualSpacing/>
        <w:jc w:val="both"/>
        <w:rPr>
          <w:rFonts w:ascii="Palatino Linotype" w:eastAsia="Palatino Linotype" w:hAnsi="Palatino Linotype" w:cs="Palatino Linotype"/>
          <w:color w:val="000000"/>
          <w:sz w:val="22"/>
          <w:szCs w:val="22"/>
          <w:lang w:eastAsia="es-MX"/>
        </w:rPr>
      </w:pPr>
    </w:p>
    <w:p w14:paraId="1D962B13" w14:textId="449EBB79" w:rsidR="00D82E4F" w:rsidRPr="00D82E4F" w:rsidRDefault="00D82E4F" w:rsidP="00432DB4">
      <w:pPr>
        <w:spacing w:line="360" w:lineRule="auto"/>
        <w:jc w:val="both"/>
        <w:rPr>
          <w:rFonts w:ascii="Palatino Linotype" w:hAnsi="Palatino Linotype" w:cs="Tahoma"/>
          <w:bCs/>
          <w:iCs/>
          <w:color w:val="000000"/>
          <w:sz w:val="22"/>
          <w:szCs w:val="22"/>
        </w:rPr>
      </w:pPr>
      <w:r w:rsidRPr="00D82E4F">
        <w:rPr>
          <w:rFonts w:ascii="Palatino Linotype" w:eastAsia="Palatino Linotype" w:hAnsi="Palatino Linotype" w:cs="Palatino Linotype"/>
          <w:color w:val="000000"/>
          <w:sz w:val="22"/>
          <w:szCs w:val="22"/>
          <w:lang w:eastAsia="es-MX"/>
        </w:rPr>
        <w:t>Por lo que</w:t>
      </w:r>
      <w:r w:rsidRPr="00D82E4F">
        <w:rPr>
          <w:rFonts w:ascii="Palatino Linotype" w:hAnsi="Palatino Linotype" w:cs="Tahoma"/>
          <w:bCs/>
          <w:iCs/>
          <w:color w:val="000000"/>
          <w:sz w:val="22"/>
          <w:szCs w:val="22"/>
        </w:rPr>
        <w:t xml:space="preserve">, de conformidad con los Lineamientos para la integración y presentación de los Informes Trimestrales Estatales y Municipales del ejercicio fiscal dos mil veinticinco, entre los formatos que maneja en el Módulo 1, se advierte que se encuentran Póliza </w:t>
      </w:r>
      <w:r>
        <w:rPr>
          <w:rFonts w:ascii="Palatino Linotype" w:hAnsi="Palatino Linotype" w:cs="Tahoma"/>
          <w:bCs/>
          <w:iCs/>
          <w:color w:val="000000"/>
          <w:sz w:val="22"/>
          <w:szCs w:val="22"/>
        </w:rPr>
        <w:t>de</w:t>
      </w:r>
      <w:r w:rsidRPr="00D82E4F">
        <w:rPr>
          <w:rFonts w:ascii="Palatino Linotype" w:hAnsi="Palatino Linotype" w:cs="Tahoma"/>
          <w:bCs/>
          <w:iCs/>
          <w:color w:val="000000"/>
          <w:sz w:val="22"/>
          <w:szCs w:val="22"/>
        </w:rPr>
        <w:t xml:space="preserve"> Cheque, con los documentos comprobatorios, mismos que serán entregados al Órgano Superior de Fiscalización del Estado de México. Además, se precisa que dichos documentos deberán contener las imágenes de la documentación comprobatoria y justificativa de los egresos</w:t>
      </w:r>
      <w:r>
        <w:rPr>
          <w:rFonts w:ascii="Palatino Linotype" w:hAnsi="Palatino Linotype" w:cs="Tahoma"/>
          <w:bCs/>
          <w:iCs/>
          <w:color w:val="000000"/>
          <w:sz w:val="22"/>
          <w:szCs w:val="22"/>
        </w:rPr>
        <w:t>.</w:t>
      </w:r>
    </w:p>
    <w:p w14:paraId="24FF3220" w14:textId="77777777" w:rsidR="00D82E4F" w:rsidRPr="00D82E4F" w:rsidRDefault="00D82E4F" w:rsidP="00432DB4">
      <w:pPr>
        <w:spacing w:line="360" w:lineRule="auto"/>
        <w:jc w:val="both"/>
        <w:rPr>
          <w:rFonts w:ascii="Palatino Linotype" w:hAnsi="Palatino Linotype" w:cs="Tahoma"/>
          <w:bCs/>
          <w:iCs/>
          <w:color w:val="000000"/>
          <w:sz w:val="22"/>
          <w:szCs w:val="22"/>
        </w:rPr>
      </w:pPr>
    </w:p>
    <w:p w14:paraId="6D32AE45" w14:textId="77777777" w:rsidR="00D82E4F" w:rsidRPr="00D82E4F" w:rsidRDefault="00D82E4F" w:rsidP="00432DB4">
      <w:pPr>
        <w:spacing w:line="360" w:lineRule="auto"/>
        <w:jc w:val="both"/>
        <w:rPr>
          <w:rFonts w:ascii="Palatino Linotype" w:hAnsi="Palatino Linotype" w:cs="Tahoma"/>
          <w:bCs/>
          <w:iCs/>
          <w:color w:val="000000"/>
          <w:sz w:val="22"/>
          <w:szCs w:val="22"/>
        </w:rPr>
      </w:pPr>
      <w:r w:rsidRPr="00D82E4F">
        <w:rPr>
          <w:rFonts w:ascii="Palatino Linotype" w:hAnsi="Palatino Linotype" w:cs="Tahoma"/>
          <w:bCs/>
          <w:iCs/>
          <w:color w:val="000000"/>
          <w:sz w:val="22"/>
          <w:szCs w:val="22"/>
        </w:rPr>
        <w:t>Ahora bien, los artículos 44 y 47, del Bando Municipal de Ecatepec de Morelos, dos mil veinticinco, precisa que, para el ejercicio de sus atribuciones, tanto el H. Ayuntamiento como la Presidenta Municipal, se auxiliarán de una Tesorería Municipal encargada de la recaudación de los ingresos municipales y la administración de la Hacienda Pública Municipal, responsable de realizar y verificar las erogaciones y funciones requeridas por el H. Ayuntamiento, la Presidenta Municipal Constitucional y demás dependencias de la Administración Pública Municipal.</w:t>
      </w:r>
    </w:p>
    <w:p w14:paraId="4C547331" w14:textId="77777777" w:rsidR="00D82E4F" w:rsidRPr="00D82E4F" w:rsidRDefault="00D82E4F" w:rsidP="00432DB4">
      <w:pPr>
        <w:spacing w:line="360" w:lineRule="auto"/>
        <w:jc w:val="both"/>
        <w:rPr>
          <w:rFonts w:ascii="Palatino Linotype" w:hAnsi="Palatino Linotype" w:cs="Tahoma"/>
          <w:bCs/>
          <w:iCs/>
          <w:color w:val="000000"/>
          <w:sz w:val="22"/>
          <w:szCs w:val="22"/>
        </w:rPr>
      </w:pPr>
    </w:p>
    <w:p w14:paraId="5ED40ED1" w14:textId="6726D454" w:rsidR="00D82E4F" w:rsidRPr="00D82E4F" w:rsidRDefault="00D82E4F" w:rsidP="00432DB4">
      <w:pPr>
        <w:spacing w:line="360" w:lineRule="auto"/>
        <w:jc w:val="both"/>
        <w:rPr>
          <w:rFonts w:ascii="Palatino Linotype" w:eastAsia="Palatino Linotype" w:hAnsi="Palatino Linotype" w:cs="Tahoma"/>
          <w:color w:val="000000"/>
          <w:sz w:val="22"/>
          <w:szCs w:val="22"/>
          <w:lang w:eastAsia="es-MX"/>
        </w:rPr>
      </w:pPr>
      <w:r w:rsidRPr="00D82E4F">
        <w:rPr>
          <w:rFonts w:ascii="Palatino Linotype" w:hAnsi="Palatino Linotype" w:cs="Tahoma"/>
          <w:bCs/>
          <w:iCs/>
          <w:color w:val="000000"/>
          <w:sz w:val="22"/>
          <w:szCs w:val="22"/>
        </w:rPr>
        <w:t xml:space="preserve">Conforme a lo anterior, se logra vislumbrar que la pretensión de la persona Recurrente es obtener, </w:t>
      </w:r>
      <w:r w:rsidR="00EB7836">
        <w:rPr>
          <w:rFonts w:ascii="Palatino Linotype" w:hAnsi="Palatino Linotype" w:cs="Tahoma"/>
          <w:bCs/>
          <w:iCs/>
          <w:color w:val="000000"/>
          <w:sz w:val="22"/>
          <w:szCs w:val="22"/>
        </w:rPr>
        <w:t>los documentos donde consten los</w:t>
      </w:r>
      <w:r w:rsidRPr="00D82E4F">
        <w:rPr>
          <w:rFonts w:ascii="Palatino Linotype" w:hAnsi="Palatino Linotype" w:cs="Tahoma"/>
          <w:bCs/>
          <w:iCs/>
          <w:color w:val="000000"/>
          <w:sz w:val="22"/>
          <w:szCs w:val="22"/>
        </w:rPr>
        <w:t xml:space="preserve"> cheque</w:t>
      </w:r>
      <w:r w:rsidR="00EB7836">
        <w:rPr>
          <w:rFonts w:ascii="Palatino Linotype" w:hAnsi="Palatino Linotype" w:cs="Tahoma"/>
          <w:bCs/>
          <w:iCs/>
          <w:color w:val="000000"/>
          <w:sz w:val="22"/>
          <w:szCs w:val="22"/>
        </w:rPr>
        <w:t>s expedidos por la Tesorería Municipal</w:t>
      </w:r>
      <w:r w:rsidRPr="00D82E4F">
        <w:rPr>
          <w:rFonts w:ascii="Palatino Linotype" w:hAnsi="Palatino Linotype" w:cs="Tahoma"/>
          <w:bCs/>
          <w:iCs/>
          <w:color w:val="000000"/>
          <w:sz w:val="22"/>
          <w:szCs w:val="22"/>
        </w:rPr>
        <w:t xml:space="preserve">, del primero </w:t>
      </w:r>
      <w:r w:rsidR="00EB7836">
        <w:rPr>
          <w:rFonts w:ascii="Palatino Linotype" w:hAnsi="Palatino Linotype" w:cs="Tahoma"/>
          <w:bCs/>
          <w:iCs/>
          <w:color w:val="000000"/>
          <w:sz w:val="22"/>
          <w:szCs w:val="22"/>
        </w:rPr>
        <w:t xml:space="preserve">de enero </w:t>
      </w:r>
      <w:r w:rsidRPr="00D82E4F">
        <w:rPr>
          <w:rFonts w:ascii="Palatino Linotype" w:hAnsi="Palatino Linotype" w:cs="Tahoma"/>
          <w:bCs/>
          <w:iCs/>
          <w:color w:val="000000"/>
          <w:sz w:val="22"/>
          <w:szCs w:val="22"/>
        </w:rPr>
        <w:t xml:space="preserve">al </w:t>
      </w:r>
      <w:r w:rsidR="00EB7836">
        <w:rPr>
          <w:rFonts w:ascii="Palatino Linotype" w:hAnsi="Palatino Linotype" w:cs="Tahoma"/>
          <w:bCs/>
          <w:iCs/>
          <w:color w:val="000000"/>
          <w:sz w:val="22"/>
          <w:szCs w:val="22"/>
        </w:rPr>
        <w:t>quince de marzo</w:t>
      </w:r>
      <w:r w:rsidRPr="00D82E4F">
        <w:rPr>
          <w:rFonts w:ascii="Palatino Linotype" w:hAnsi="Palatino Linotype" w:cs="Tahoma"/>
          <w:bCs/>
          <w:iCs/>
          <w:color w:val="000000"/>
          <w:sz w:val="22"/>
          <w:szCs w:val="22"/>
        </w:rPr>
        <w:t xml:space="preserve"> de dos mil veinticinco.</w:t>
      </w:r>
    </w:p>
    <w:p w14:paraId="084956F9" w14:textId="77777777" w:rsidR="00D82E4F" w:rsidRPr="00D82E4F" w:rsidRDefault="00D82E4F" w:rsidP="00432DB4">
      <w:pPr>
        <w:spacing w:line="360" w:lineRule="auto"/>
        <w:jc w:val="both"/>
        <w:rPr>
          <w:rFonts w:ascii="Palatino Linotype" w:hAnsi="Palatino Linotype" w:cs="Tahoma"/>
          <w:bCs/>
          <w:iCs/>
          <w:color w:val="000000"/>
          <w:sz w:val="22"/>
          <w:szCs w:val="22"/>
        </w:rPr>
      </w:pPr>
    </w:p>
    <w:p w14:paraId="009A4948" w14:textId="77777777" w:rsidR="00D82E4F" w:rsidRPr="00D82E4F" w:rsidRDefault="00D82E4F" w:rsidP="00432DB4">
      <w:pPr>
        <w:spacing w:line="360" w:lineRule="auto"/>
        <w:jc w:val="both"/>
        <w:rPr>
          <w:rFonts w:ascii="Palatino Linotype" w:hAnsi="Palatino Linotype" w:cs="Tahoma"/>
          <w:bCs/>
          <w:iCs/>
          <w:color w:val="000000"/>
          <w:sz w:val="22"/>
          <w:szCs w:val="22"/>
        </w:rPr>
      </w:pPr>
      <w:r w:rsidRPr="00D82E4F">
        <w:rPr>
          <w:rFonts w:ascii="Palatino Linotype" w:hAnsi="Palatino Linotype" w:cs="Tahoma"/>
          <w:bCs/>
          <w:iCs/>
          <w:color w:val="000000"/>
          <w:sz w:val="22"/>
          <w:szCs w:val="22"/>
        </w:rPr>
        <w:t xml:space="preserve">Establecida dicha circunstancia, de las constancias que obran en el expediente electrónico, se advierte que el Sujeto Obligado turno la solicitud de información a la Tesorería Municipal;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w:t>
      </w:r>
      <w:r w:rsidRPr="00D82E4F">
        <w:rPr>
          <w:rFonts w:ascii="Palatino Linotype" w:hAnsi="Palatino Linotype" w:cs="Tahoma"/>
          <w:bCs/>
          <w:iCs/>
          <w:color w:val="000000"/>
          <w:sz w:val="22"/>
          <w:szCs w:val="22"/>
        </w:rPr>
        <w:lastRenderedPageBreak/>
        <w:t>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9F9F2D3" w14:textId="77777777" w:rsidR="00D82E4F" w:rsidRPr="00D82E4F" w:rsidRDefault="00D82E4F" w:rsidP="00432DB4">
      <w:pPr>
        <w:spacing w:line="360" w:lineRule="auto"/>
        <w:jc w:val="both"/>
        <w:rPr>
          <w:rFonts w:ascii="Palatino Linotype" w:hAnsi="Palatino Linotype" w:cs="Tahoma"/>
          <w:bCs/>
          <w:iCs/>
          <w:color w:val="000000"/>
          <w:sz w:val="22"/>
          <w:szCs w:val="22"/>
        </w:rPr>
      </w:pPr>
    </w:p>
    <w:p w14:paraId="44E54DD0" w14:textId="77777777" w:rsidR="00D82E4F" w:rsidRPr="00D82E4F" w:rsidRDefault="00D82E4F" w:rsidP="00432DB4">
      <w:pPr>
        <w:spacing w:line="360" w:lineRule="auto"/>
        <w:jc w:val="both"/>
        <w:rPr>
          <w:rFonts w:ascii="Palatino Linotype" w:hAnsi="Palatino Linotype" w:cs="Tahoma"/>
          <w:bCs/>
          <w:iCs/>
          <w:color w:val="000000"/>
          <w:sz w:val="22"/>
          <w:szCs w:val="22"/>
        </w:rPr>
      </w:pPr>
      <w:r w:rsidRPr="00D82E4F">
        <w:rPr>
          <w:rFonts w:ascii="Palatino Linotype" w:hAnsi="Palatino Linotype" w:cs="Tahoma"/>
          <w:bCs/>
          <w:iCs/>
          <w:color w:val="000000"/>
          <w:sz w:val="22"/>
          <w:szCs w:val="22"/>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turno la solicitud de información al área competente de conocer de los comprobantes de pago.</w:t>
      </w:r>
    </w:p>
    <w:p w14:paraId="18C7CD4C" w14:textId="77777777" w:rsidR="00D82E4F" w:rsidRDefault="00D82E4F" w:rsidP="00432DB4">
      <w:pPr>
        <w:spacing w:line="360" w:lineRule="auto"/>
        <w:jc w:val="both"/>
        <w:rPr>
          <w:rFonts w:ascii="Palatino Linotype" w:hAnsi="Palatino Linotype" w:cs="Tahoma"/>
          <w:iCs/>
          <w:sz w:val="22"/>
          <w:szCs w:val="22"/>
        </w:rPr>
      </w:pPr>
    </w:p>
    <w:p w14:paraId="2EC4E7B6" w14:textId="77777777" w:rsidR="00FC5C4B" w:rsidRPr="00FC5C4B" w:rsidRDefault="00FC5C4B" w:rsidP="00432DB4">
      <w:pPr>
        <w:spacing w:line="360" w:lineRule="auto"/>
        <w:jc w:val="both"/>
        <w:rPr>
          <w:rFonts w:ascii="Palatino Linotype" w:eastAsia="Palatino Linotype" w:hAnsi="Palatino Linotype" w:cs="Palatino Linotype"/>
          <w:color w:val="0D0D0D"/>
          <w:sz w:val="22"/>
          <w:szCs w:val="22"/>
          <w:lang w:eastAsia="es-MX"/>
        </w:rPr>
      </w:pPr>
      <w:r w:rsidRPr="00FC5C4B">
        <w:rPr>
          <w:rFonts w:ascii="Palatino Linotype" w:eastAsia="Palatino Linotype" w:hAnsi="Palatino Linotype" w:cs="Palatino Linotype"/>
          <w:color w:val="000000"/>
          <w:sz w:val="22"/>
          <w:szCs w:val="22"/>
          <w:lang w:eastAsia="es-MX"/>
        </w:rPr>
        <w:t>Ahora bien, de las constancias que obran en el expediente electrónico, se advierte que el Sujeto Obligado</w:t>
      </w:r>
      <w:r w:rsidRPr="00FC5C4B">
        <w:rPr>
          <w:rFonts w:ascii="Palatino Linotype" w:eastAsia="Palatino Linotype" w:hAnsi="Palatino Linotype" w:cs="Palatino Linotype"/>
          <w:color w:val="0D0D0D"/>
          <w:sz w:val="22"/>
          <w:szCs w:val="22"/>
          <w:lang w:eastAsia="es-MX"/>
        </w:rPr>
        <w:t>, turnó la solicitud de información a la</w:t>
      </w:r>
      <w:r w:rsidRPr="00FC5C4B">
        <w:rPr>
          <w:rFonts w:ascii="Palatino Linotype" w:eastAsia="Palatino Linotype" w:hAnsi="Palatino Linotype" w:cs="Palatino Linotype"/>
          <w:color w:val="000000"/>
          <w:sz w:val="22"/>
          <w:szCs w:val="22"/>
          <w:lang w:eastAsia="es-MX"/>
        </w:rPr>
        <w:t xml:space="preserve"> Tesorería  Municipal; por lo que, es oportuno hacer referencia al </w:t>
      </w:r>
      <w:r w:rsidRPr="00FC5C4B">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Pr="00FC5C4B">
        <w:rPr>
          <w:rFonts w:ascii="Palatino Linotype" w:eastAsia="Palatino Linotype" w:hAnsi="Palatino Linotype" w:cs="Palatino Linotype"/>
          <w:color w:val="000000"/>
          <w:sz w:val="22"/>
          <w:szCs w:val="22"/>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2F9F00E" w14:textId="77777777" w:rsidR="00FC5C4B" w:rsidRPr="00FC5C4B" w:rsidRDefault="00FC5C4B" w:rsidP="00432DB4">
      <w:pPr>
        <w:spacing w:line="360" w:lineRule="auto"/>
        <w:ind w:left="720"/>
        <w:jc w:val="both"/>
        <w:rPr>
          <w:rFonts w:ascii="Palatino Linotype" w:eastAsia="Palatino Linotype" w:hAnsi="Palatino Linotype" w:cs="Palatino Linotype"/>
          <w:color w:val="000000"/>
          <w:sz w:val="22"/>
          <w:szCs w:val="22"/>
          <w:lang w:eastAsia="es-MX"/>
        </w:rPr>
      </w:pPr>
    </w:p>
    <w:p w14:paraId="597B391A" w14:textId="77777777" w:rsidR="00FC5C4B" w:rsidRPr="00FC5C4B" w:rsidRDefault="00FC5C4B" w:rsidP="00432DB4">
      <w:pPr>
        <w:spacing w:line="360" w:lineRule="auto"/>
        <w:jc w:val="both"/>
        <w:rPr>
          <w:rFonts w:ascii="Palatino Linotype" w:hAnsi="Palatino Linotype" w:cs="Tahoma"/>
          <w:bCs/>
          <w:iCs/>
          <w:sz w:val="22"/>
          <w:szCs w:val="22"/>
        </w:rPr>
      </w:pPr>
      <w:r w:rsidRPr="00FC5C4B">
        <w:rPr>
          <w:rFonts w:ascii="Palatino Linotype" w:hAnsi="Palatino Linotype" w:cs="Tahoma"/>
          <w:bCs/>
          <w:iCs/>
          <w:sz w:val="22"/>
          <w:szCs w:val="22"/>
        </w:rPr>
        <w:t>En ese orden de ideas, el Manual de Organización de la Tesorería Municipal, precisa que dicha área será la encargada de administrar los recursos públicos; para lo cual contará con la Subdirección de Egresos encargada de supervisar y coordinar la integración, aplicación y distribución de los recursos financieros; de revisar los cheques y transferencias de los proveedores y contratistas; así como, elaborar cheques y transferencias.</w:t>
      </w:r>
    </w:p>
    <w:p w14:paraId="674A897D" w14:textId="77777777" w:rsidR="00FC5C4B" w:rsidRPr="00FC5C4B" w:rsidRDefault="00FC5C4B" w:rsidP="00432DB4">
      <w:pPr>
        <w:spacing w:line="360" w:lineRule="auto"/>
        <w:ind w:left="720"/>
        <w:jc w:val="both"/>
        <w:rPr>
          <w:rFonts w:ascii="Palatino Linotype" w:eastAsia="Palatino Linotype" w:hAnsi="Palatino Linotype" w:cs="Palatino Linotype"/>
          <w:color w:val="000000"/>
          <w:sz w:val="22"/>
          <w:szCs w:val="22"/>
          <w:lang w:eastAsia="es-MX"/>
        </w:rPr>
      </w:pPr>
    </w:p>
    <w:p w14:paraId="31896198" w14:textId="77777777" w:rsidR="00FC5C4B" w:rsidRPr="00FC5C4B" w:rsidRDefault="00FC5C4B" w:rsidP="00432DB4">
      <w:pPr>
        <w:spacing w:line="360" w:lineRule="auto"/>
        <w:jc w:val="both"/>
        <w:rPr>
          <w:rFonts w:ascii="Palatino Linotype" w:eastAsia="Palatino Linotype" w:hAnsi="Palatino Linotype" w:cs="Palatino Linotype"/>
          <w:b/>
          <w:color w:val="000000"/>
          <w:sz w:val="22"/>
          <w:szCs w:val="22"/>
          <w:lang w:eastAsia="es-MX"/>
        </w:rPr>
      </w:pPr>
      <w:r w:rsidRPr="00FC5C4B">
        <w:rPr>
          <w:rFonts w:ascii="Palatino Linotype" w:eastAsia="Palatino Linotype" w:hAnsi="Palatino Linotype" w:cs="Palatino Linotype"/>
          <w:color w:val="000000"/>
          <w:sz w:val="22"/>
          <w:szCs w:val="22"/>
          <w:lang w:eastAsia="es-MX"/>
        </w:rPr>
        <w:lastRenderedPageBreak/>
        <w:t>Así, se logra colegir que el Sujeto Obligad</w:t>
      </w:r>
      <w:r w:rsidRPr="00FC5C4B">
        <w:rPr>
          <w:rFonts w:ascii="Palatino Linotype" w:eastAsia="Palatino Linotype" w:hAnsi="Palatino Linotype" w:cs="Palatino Linotype"/>
          <w:bCs/>
          <w:color w:val="000000"/>
          <w:sz w:val="22"/>
          <w:szCs w:val="22"/>
          <w:lang w:eastAsia="es-MX"/>
        </w:rPr>
        <w:t xml:space="preserve">o </w:t>
      </w:r>
      <w:r w:rsidRPr="00FC5C4B">
        <w:rPr>
          <w:rFonts w:ascii="Palatino Linotype" w:eastAsia="Palatino Linotype" w:hAnsi="Palatino Linotype" w:cs="Palatino Linotype"/>
          <w:b/>
          <w:color w:val="000000"/>
          <w:sz w:val="22"/>
          <w:szCs w:val="22"/>
          <w:u w:val="single"/>
          <w:lang w:eastAsia="es-MX"/>
        </w:rPr>
        <w:t>cumplió</w:t>
      </w:r>
      <w:r w:rsidRPr="00FC5C4B">
        <w:rPr>
          <w:rFonts w:ascii="Palatino Linotype" w:eastAsia="Palatino Linotype" w:hAnsi="Palatino Linotype" w:cs="Palatino Linotype"/>
          <w:color w:val="000000"/>
          <w:sz w:val="22"/>
          <w:szCs w:val="22"/>
          <w:lang w:eastAsia="es-MX"/>
        </w:rPr>
        <w:t xml:space="preserve"> con el procedimiento de búsqueda establecido en el artículo 162 de la Ley de Transparencia y Acceso a la Información Pública del Estado de México y Municipios, al gestionar el requerimiento de información a </w:t>
      </w:r>
      <w:r w:rsidRPr="00FC5C4B">
        <w:rPr>
          <w:rFonts w:ascii="Palatino Linotype" w:eastAsia="Palatino Linotype" w:hAnsi="Palatino Linotype" w:cs="Palatino Linotype"/>
          <w:b/>
          <w:bCs/>
          <w:color w:val="000000"/>
          <w:sz w:val="22"/>
          <w:szCs w:val="22"/>
          <w:lang w:eastAsia="es-MX"/>
        </w:rPr>
        <w:t>la Tesorería Municipal</w:t>
      </w:r>
      <w:r w:rsidRPr="00FC5C4B">
        <w:rPr>
          <w:rFonts w:ascii="Palatino Linotype" w:eastAsia="Palatino Linotype" w:hAnsi="Palatino Linotype" w:cs="Palatino Linotype"/>
          <w:b/>
          <w:color w:val="000000"/>
          <w:sz w:val="22"/>
          <w:szCs w:val="22"/>
          <w:lang w:eastAsia="es-MX"/>
        </w:rPr>
        <w:t>, área que realiza las erogaciones por medio de transferencia o cheque, por medio de su Subdirección de Egresos</w:t>
      </w:r>
      <w:r w:rsidRPr="00FC5C4B">
        <w:rPr>
          <w:rFonts w:ascii="Palatino Linotype" w:eastAsia="Palatino Linotype" w:hAnsi="Palatino Linotype" w:cs="Palatino Linotype"/>
          <w:color w:val="000000"/>
          <w:sz w:val="22"/>
          <w:szCs w:val="22"/>
          <w:lang w:eastAsia="es-MX"/>
        </w:rPr>
        <w:t xml:space="preserve">. </w:t>
      </w:r>
    </w:p>
    <w:p w14:paraId="7E71CE3F" w14:textId="77777777" w:rsid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6F023268"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Ahora bien, dicha área mencionó que la información solicitada no podía ser proporcionada al estar clasificada; sobre el tema, según Trujillo, Humberto (2019), en el “Diccionario de Transparencia y Acceso a la Información Pública” (p. 201), </w:t>
      </w:r>
      <w:r w:rsidRPr="00FC5C4B">
        <w:rPr>
          <w:rFonts w:ascii="Palatino Linotype" w:eastAsia="Palatino Linotype" w:hAnsi="Palatino Linotype" w:cs="Palatino Linotype"/>
          <w:b/>
          <w:bCs/>
          <w:color w:val="000000"/>
          <w:sz w:val="22"/>
          <w:szCs w:val="22"/>
          <w:lang w:eastAsia="es-MX"/>
        </w:rPr>
        <w:t>la negativa de acceso a la información</w:t>
      </w:r>
      <w:r w:rsidRPr="00FC5C4B">
        <w:rPr>
          <w:rFonts w:ascii="Palatino Linotype" w:eastAsia="Palatino Linotype" w:hAnsi="Palatino Linotype" w:cs="Palatino Linotype"/>
          <w:color w:val="000000"/>
          <w:sz w:val="22"/>
          <w:szCs w:val="22"/>
          <w:lang w:eastAsia="es-MX"/>
        </w:rPr>
        <w:t xml:space="preserve"> ocurre cuanto de manera fundada y motivada, una autoridad la niega o la limita, por alguna de las siguientes razones:</w:t>
      </w:r>
    </w:p>
    <w:p w14:paraId="4254B2CC" w14:textId="77777777" w:rsidR="00FC5C4B" w:rsidRPr="00FC5C4B" w:rsidRDefault="00FC5C4B" w:rsidP="00432DB4">
      <w:pPr>
        <w:spacing w:line="360" w:lineRule="auto"/>
        <w:jc w:val="both"/>
        <w:rPr>
          <w:rFonts w:ascii="Palatino Linotype" w:hAnsi="Palatino Linotype" w:cs="Tahoma"/>
          <w:iCs/>
          <w:color w:val="FF0000"/>
          <w:sz w:val="22"/>
          <w:szCs w:val="22"/>
        </w:rPr>
      </w:pPr>
    </w:p>
    <w:p w14:paraId="465C0F0E" w14:textId="77777777" w:rsidR="00FC5C4B" w:rsidRPr="00FC5C4B" w:rsidRDefault="00FC5C4B" w:rsidP="00432DB4">
      <w:pPr>
        <w:numPr>
          <w:ilvl w:val="0"/>
          <w:numId w:val="5"/>
        </w:numPr>
        <w:spacing w:line="360" w:lineRule="auto"/>
        <w:contextualSpacing/>
        <w:jc w:val="both"/>
        <w:rPr>
          <w:rFonts w:ascii="Palatino Linotype" w:hAnsi="Palatino Linotype"/>
          <w:color w:val="000000"/>
          <w:sz w:val="22"/>
          <w:szCs w:val="24"/>
        </w:rPr>
      </w:pPr>
      <w:r w:rsidRPr="00FC5C4B">
        <w:rPr>
          <w:rFonts w:ascii="Palatino Linotype" w:hAnsi="Palatino Linotype"/>
          <w:b/>
          <w:bCs/>
          <w:color w:val="000000"/>
          <w:sz w:val="22"/>
          <w:szCs w:val="24"/>
        </w:rPr>
        <w:t>La inexistencia de la información (p. 171):</w:t>
      </w:r>
      <w:r w:rsidRPr="00FC5C4B">
        <w:rPr>
          <w:rFonts w:ascii="Palatino Linotype" w:hAnsi="Palatino Linotype"/>
          <w:color w:val="000000"/>
          <w:sz w:val="22"/>
          <w:szCs w:val="24"/>
        </w:rPr>
        <w:t xml:space="preserve"> Sucede cuando la información solicitada no se encuentra en los archivos públicos o clasificados de los entes sujetos a las Leyes de Transparencia.</w:t>
      </w:r>
    </w:p>
    <w:p w14:paraId="54BA68D9"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0E5521BB" w14:textId="77777777" w:rsidR="00FC5C4B" w:rsidRPr="00FC5C4B" w:rsidRDefault="00FC5C4B" w:rsidP="00432DB4">
      <w:pPr>
        <w:numPr>
          <w:ilvl w:val="0"/>
          <w:numId w:val="5"/>
        </w:numPr>
        <w:spacing w:line="360" w:lineRule="auto"/>
        <w:contextualSpacing/>
        <w:jc w:val="both"/>
        <w:rPr>
          <w:rFonts w:ascii="Palatino Linotype" w:hAnsi="Palatino Linotype"/>
          <w:color w:val="000000"/>
          <w:sz w:val="22"/>
          <w:szCs w:val="24"/>
        </w:rPr>
      </w:pPr>
      <w:r w:rsidRPr="00FC5C4B">
        <w:rPr>
          <w:rFonts w:ascii="Palatino Linotype" w:hAnsi="Palatino Linotype"/>
          <w:b/>
          <w:bCs/>
          <w:color w:val="000000"/>
          <w:sz w:val="22"/>
          <w:szCs w:val="24"/>
        </w:rPr>
        <w:t>La incompetencia del Sujeto Obligado (p. 171):</w:t>
      </w:r>
      <w:r w:rsidRPr="00FC5C4B">
        <w:rPr>
          <w:rFonts w:ascii="Palatino Linotype" w:hAnsi="Palatino Linotype"/>
          <w:color w:val="000000"/>
          <w:sz w:val="22"/>
          <w:szCs w:val="24"/>
        </w:rPr>
        <w:t xml:space="preserve"> Ocurre cuando el Sujeto Obligado carece de atribuciones para poseer la información peticionada.</w:t>
      </w:r>
    </w:p>
    <w:p w14:paraId="72FBAEB0"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3C699923" w14:textId="77777777" w:rsidR="00FC5C4B" w:rsidRPr="00FC5C4B" w:rsidRDefault="00FC5C4B" w:rsidP="00432DB4">
      <w:pPr>
        <w:numPr>
          <w:ilvl w:val="0"/>
          <w:numId w:val="5"/>
        </w:numPr>
        <w:spacing w:line="360" w:lineRule="auto"/>
        <w:contextualSpacing/>
        <w:jc w:val="both"/>
        <w:rPr>
          <w:rFonts w:ascii="Palatino Linotype" w:hAnsi="Palatino Linotype" w:cs="Tahoma"/>
          <w:iCs/>
          <w:color w:val="000000"/>
          <w:sz w:val="22"/>
          <w:szCs w:val="24"/>
        </w:rPr>
      </w:pPr>
      <w:r w:rsidRPr="00FC5C4B">
        <w:rPr>
          <w:rFonts w:ascii="Palatino Linotype" w:hAnsi="Palatino Linotype"/>
          <w:b/>
          <w:bCs/>
          <w:color w:val="000000"/>
          <w:sz w:val="22"/>
          <w:szCs w:val="24"/>
        </w:rPr>
        <w:t>La clasificación de la información (p. 70):</w:t>
      </w:r>
      <w:r w:rsidRPr="00FC5C4B">
        <w:rPr>
          <w:rFonts w:ascii="Palatino Linotype" w:hAnsi="Palatino Linotype"/>
          <w:color w:val="000000"/>
          <w:sz w:val="22"/>
          <w:szCs w:val="24"/>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3A24AFA7"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2C736EA3"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Así, es de señalar que las excepciones al derecho de acceso a la información, consisten en que </w:t>
      </w:r>
      <w:r w:rsidRPr="00FC5C4B">
        <w:rPr>
          <w:rFonts w:ascii="Palatino Linotype" w:eastAsia="Palatino Linotype" w:hAnsi="Palatino Linotype" w:cs="Palatino Linotype"/>
          <w:b/>
          <w:bCs/>
          <w:color w:val="000000"/>
          <w:sz w:val="22"/>
          <w:szCs w:val="22"/>
          <w:lang w:eastAsia="es-MX"/>
        </w:rPr>
        <w:t>la documentación sea inexistente, obre en los archivos, pero se encuentre clasificada, o bien, el Sujeto Obligado sea incompetente</w:t>
      </w:r>
      <w:r w:rsidRPr="00FC5C4B">
        <w:rPr>
          <w:rFonts w:ascii="Palatino Linotype" w:eastAsia="Palatino Linotype" w:hAnsi="Palatino Linotype" w:cs="Palatino Linotype"/>
          <w:color w:val="000000"/>
          <w:sz w:val="22"/>
          <w:szCs w:val="22"/>
          <w:lang w:eastAsia="es-MX"/>
        </w:rPr>
        <w:t xml:space="preserve"> para contar con esta; esto es, la negativa de acceso a la </w:t>
      </w:r>
      <w:r w:rsidRPr="00FC5C4B">
        <w:rPr>
          <w:rFonts w:ascii="Palatino Linotype" w:eastAsia="Palatino Linotype" w:hAnsi="Palatino Linotype" w:cs="Palatino Linotype"/>
          <w:color w:val="000000"/>
          <w:sz w:val="22"/>
          <w:szCs w:val="22"/>
          <w:lang w:eastAsia="es-MX"/>
        </w:rPr>
        <w:lastRenderedPageBreak/>
        <w:t xml:space="preserve">información, recae cuando la documentación no se encuentre en los archivos del sujeto obligado, o bien exista, pero no pueda proporcionarse por contener datos </w:t>
      </w:r>
      <w:r w:rsidRPr="00FC5C4B">
        <w:rPr>
          <w:rFonts w:ascii="Palatino Linotype" w:eastAsia="Palatino Linotype" w:hAnsi="Palatino Linotype" w:cs="Palatino Linotype"/>
          <w:b/>
          <w:bCs/>
          <w:color w:val="000000"/>
          <w:sz w:val="22"/>
          <w:szCs w:val="22"/>
          <w:lang w:eastAsia="es-MX"/>
        </w:rPr>
        <w:t>confidenciales o reservados.</w:t>
      </w:r>
    </w:p>
    <w:p w14:paraId="3457DC1A"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30DE550D"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En ese contexto, es de referir que el Sujeto Obligado, precisó que no podía entregar la información al contener información confidencial, es decir, aludió a una clasificación;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FC5C4B">
        <w:rPr>
          <w:rFonts w:ascii="Palatino Linotype" w:eastAsia="Palatino Linotype" w:hAnsi="Palatino Linotype" w:cs="Palatino Linotype"/>
          <w:b/>
          <w:bCs/>
          <w:color w:val="000000"/>
          <w:sz w:val="22"/>
          <w:szCs w:val="22"/>
          <w:lang w:eastAsia="es-MX"/>
        </w:rPr>
        <w:t>reserva o confidencialidad</w:t>
      </w:r>
      <w:r w:rsidRPr="00FC5C4B">
        <w:rPr>
          <w:rFonts w:ascii="Palatino Linotype" w:eastAsia="Palatino Linotype" w:hAnsi="Palatino Linotype" w:cs="Palatino Linotype"/>
          <w:color w:val="000000"/>
          <w:sz w:val="22"/>
          <w:szCs w:val="22"/>
          <w:lang w:eastAsia="es-MX"/>
        </w:rPr>
        <w:t>. Además, que dichos entes deberán aplicar de manera restrictiva y limitada, las excepciones al derecho de acceso a la información, por lo que, tendrán que acreditar la procedencia.</w:t>
      </w:r>
    </w:p>
    <w:p w14:paraId="5C71AFF5"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10783AD9"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Por lo cual, en los casos en que se niegue el acceso a la información, por actualizarse alguno de los supuestos de clasificación, </w:t>
      </w:r>
      <w:r w:rsidRPr="00FC5C4B">
        <w:rPr>
          <w:rFonts w:ascii="Palatino Linotype" w:eastAsia="Palatino Linotype" w:hAnsi="Palatino Linotype" w:cs="Palatino Linotype"/>
          <w:b/>
          <w:bCs/>
          <w:color w:val="000000"/>
          <w:sz w:val="22"/>
          <w:szCs w:val="22"/>
          <w:lang w:eastAsia="es-MX"/>
        </w:rPr>
        <w:t>el Comité de Transparencia deberá confirmar, modificar o revocar la decisión;</w:t>
      </w:r>
      <w:r w:rsidRPr="00FC5C4B">
        <w:rPr>
          <w:rFonts w:ascii="Palatino Linotype" w:eastAsia="Palatino Linotype" w:hAnsi="Palatino Linotype" w:cs="Palatino Linotype"/>
          <w:color w:val="000000"/>
          <w:sz w:val="22"/>
          <w:szCs w:val="22"/>
          <w:lang w:eastAsia="es-MX"/>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F765F6F"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2B3825E7"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En ese contexto, de la interpretación del artículo 134 de la Ley de Transparencia y Acceso a la Información Pública del Estado de México y Municipios, se logra observar que </w:t>
      </w:r>
      <w:r w:rsidRPr="00FC5C4B">
        <w:rPr>
          <w:rFonts w:ascii="Palatino Linotype" w:eastAsia="Palatino Linotype" w:hAnsi="Palatino Linotype" w:cs="Palatino Linotype"/>
          <w:b/>
          <w:bCs/>
          <w:color w:val="000000"/>
          <w:sz w:val="22"/>
          <w:szCs w:val="22"/>
          <w:lang w:eastAsia="es-MX"/>
        </w:rPr>
        <w:t>la clasificación depende del contenido de los documentos, pues de su análisis se establece si corresponde a una clasificación total o parcial.</w:t>
      </w:r>
    </w:p>
    <w:p w14:paraId="2412DD12"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02B7C054" w14:textId="2B53D313"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En otro orden de ideas, la clasificación como reservada o confidencial, en materia de transparencia y acceso a la información, va tendiente al contenido de los documentos, sin </w:t>
      </w:r>
      <w:r w:rsidRPr="00FC5C4B">
        <w:rPr>
          <w:rFonts w:ascii="Palatino Linotype" w:eastAsia="Palatino Linotype" w:hAnsi="Palatino Linotype" w:cs="Palatino Linotype"/>
          <w:color w:val="000000"/>
          <w:sz w:val="22"/>
          <w:szCs w:val="22"/>
          <w:lang w:eastAsia="es-MX"/>
        </w:rPr>
        <w:lastRenderedPageBreak/>
        <w:t>tomar en cuenta otras situaciones como la localización o ubicación de los archivos, pues su fin es proteger la información contenida en estos</w:t>
      </w:r>
      <w:r w:rsidR="00432DB4">
        <w:rPr>
          <w:rFonts w:ascii="Palatino Linotype" w:eastAsia="Palatino Linotype" w:hAnsi="Palatino Linotype" w:cs="Palatino Linotype"/>
          <w:color w:val="000000"/>
          <w:sz w:val="22"/>
          <w:szCs w:val="22"/>
          <w:lang w:eastAsia="es-MX"/>
        </w:rPr>
        <w:t>.</w:t>
      </w:r>
    </w:p>
    <w:p w14:paraId="5E5A0040" w14:textId="77777777" w:rsid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p>
    <w:p w14:paraId="3DC877C3"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En ese contexto, según </w:t>
      </w:r>
      <w:proofErr w:type="spellStart"/>
      <w:r w:rsidRPr="00FC5C4B">
        <w:rPr>
          <w:rFonts w:ascii="Palatino Linotype" w:eastAsia="Palatino Linotype" w:hAnsi="Palatino Linotype" w:cs="Palatino Linotype"/>
          <w:color w:val="000000"/>
          <w:sz w:val="22"/>
          <w:szCs w:val="22"/>
          <w:lang w:eastAsia="es-MX"/>
        </w:rPr>
        <w:t>Bonifaz</w:t>
      </w:r>
      <w:proofErr w:type="spellEnd"/>
      <w:r w:rsidRPr="00FC5C4B">
        <w:rPr>
          <w:rFonts w:ascii="Palatino Linotype" w:eastAsia="Palatino Linotype" w:hAnsi="Palatino Linotype" w:cs="Palatino Linotype"/>
          <w:color w:val="000000"/>
          <w:sz w:val="22"/>
          <w:szCs w:val="22"/>
          <w:lang w:eastAsia="es-MX"/>
        </w:rPr>
        <w:t xml:space="preserve">, Leticia (2016), en la “Ley General de Transparencia y Acceso a la Información Pública Comentada” (p. 342), la </w:t>
      </w:r>
      <w:r w:rsidRPr="00FC5C4B">
        <w:rPr>
          <w:rFonts w:ascii="Palatino Linotype" w:eastAsia="Palatino Linotype" w:hAnsi="Palatino Linotype" w:cs="Palatino Linotype"/>
          <w:b/>
          <w:bCs/>
          <w:color w:val="000000"/>
          <w:sz w:val="22"/>
          <w:szCs w:val="22"/>
          <w:lang w:eastAsia="es-MX"/>
        </w:rPr>
        <w:t>clasificación de la información</w:t>
      </w:r>
      <w:r w:rsidRPr="00FC5C4B">
        <w:rPr>
          <w:rFonts w:ascii="Palatino Linotype" w:eastAsia="Palatino Linotype" w:hAnsi="Palatino Linotype" w:cs="Palatino Linotype"/>
          <w:color w:val="000000"/>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C5C4B">
        <w:rPr>
          <w:rFonts w:ascii="Palatino Linotype" w:eastAsia="Palatino Linotype" w:hAnsi="Palatino Linotype" w:cs="Palatino Linotype"/>
          <w:b/>
          <w:bCs/>
          <w:color w:val="000000"/>
          <w:sz w:val="22"/>
          <w:szCs w:val="22"/>
          <w:lang w:eastAsia="es-MX"/>
        </w:rPr>
        <w:t>de manera adecuada la negativa de información.</w:t>
      </w:r>
    </w:p>
    <w:p w14:paraId="4EA73C85"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p>
    <w:p w14:paraId="00C99B81" w14:textId="77777777" w:rsidR="00FC5C4B" w:rsidRPr="00FC5C4B" w:rsidRDefault="00FC5C4B" w:rsidP="00432DB4">
      <w:pPr>
        <w:spacing w:line="360" w:lineRule="auto"/>
        <w:jc w:val="both"/>
        <w:rPr>
          <w:rFonts w:ascii="Palatino Linotype" w:eastAsia="Palatino Linotype" w:hAnsi="Palatino Linotype" w:cs="Tahoma"/>
          <w:b/>
          <w:bCs/>
          <w:iCs/>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C5C4B">
        <w:rPr>
          <w:rFonts w:ascii="Palatino Linotype" w:eastAsia="Palatino Linotype" w:hAnsi="Palatino Linotype" w:cs="Palatino Linotype"/>
          <w:b/>
          <w:bCs/>
          <w:color w:val="000000"/>
          <w:sz w:val="22"/>
          <w:szCs w:val="22"/>
          <w:lang w:eastAsia="es-MX"/>
        </w:rPr>
        <w:t>análisis caso por caso.</w:t>
      </w:r>
    </w:p>
    <w:p w14:paraId="515F4787"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4F47F191"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Sobre lo anterior, el artículo 131 de la Ley referida, así como el Quinto de los Lineamientos Generales, establecen que los sujetos obligados deberán fundar y motivar debidamente la clasificación de la información.</w:t>
      </w:r>
    </w:p>
    <w:p w14:paraId="160B1FB8"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43CC99BB"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Al respecto, el Octavo de los Lineamientos Generales, precisa lo siguiente:</w:t>
      </w:r>
    </w:p>
    <w:p w14:paraId="1B326424"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77387E4F" w14:textId="77777777" w:rsidR="00FC5C4B" w:rsidRPr="00FC5C4B" w:rsidRDefault="00FC5C4B" w:rsidP="00432DB4">
      <w:pPr>
        <w:numPr>
          <w:ilvl w:val="0"/>
          <w:numId w:val="6"/>
        </w:numPr>
        <w:spacing w:line="360" w:lineRule="auto"/>
        <w:contextualSpacing/>
        <w:jc w:val="both"/>
        <w:rPr>
          <w:rFonts w:ascii="Palatino Linotype" w:hAnsi="Palatino Linotype"/>
          <w:color w:val="000000"/>
          <w:sz w:val="22"/>
          <w:szCs w:val="24"/>
          <w:u w:val="single"/>
        </w:rPr>
      </w:pPr>
      <w:r w:rsidRPr="00FC5C4B">
        <w:rPr>
          <w:rFonts w:ascii="Palatino Linotype" w:hAnsi="Palatino Linotype"/>
          <w:b/>
          <w:bCs/>
          <w:color w:val="000000"/>
          <w:sz w:val="22"/>
          <w:szCs w:val="24"/>
        </w:rPr>
        <w:t>Para fundar la clasificación</w:t>
      </w:r>
      <w:r w:rsidRPr="00FC5C4B">
        <w:rPr>
          <w:rFonts w:ascii="Palatino Linotype" w:hAnsi="Palatino Linotype"/>
          <w:color w:val="000000"/>
          <w:sz w:val="22"/>
          <w:szCs w:val="24"/>
        </w:rPr>
        <w:t xml:space="preserve"> de la información se deberán </w:t>
      </w:r>
      <w:r w:rsidRPr="00FC5C4B">
        <w:rPr>
          <w:rFonts w:ascii="Palatino Linotype" w:hAnsi="Palatino Linotype"/>
          <w:color w:val="000000"/>
          <w:sz w:val="22"/>
          <w:szCs w:val="24"/>
          <w:u w:val="single"/>
        </w:rPr>
        <w:t>señalar el artículo, fracción, inciso, párrafo o numeral de la Ley aplicable.</w:t>
      </w:r>
    </w:p>
    <w:p w14:paraId="4D52969B" w14:textId="77777777" w:rsidR="00FC5C4B" w:rsidRPr="00FC5C4B" w:rsidRDefault="00FC5C4B" w:rsidP="00432DB4">
      <w:pPr>
        <w:spacing w:line="360" w:lineRule="auto"/>
        <w:ind w:left="720"/>
        <w:contextualSpacing/>
        <w:jc w:val="both"/>
        <w:rPr>
          <w:rFonts w:ascii="Palatino Linotype" w:hAnsi="Palatino Linotype"/>
          <w:color w:val="000000"/>
          <w:sz w:val="22"/>
          <w:szCs w:val="24"/>
          <w:u w:val="single"/>
        </w:rPr>
      </w:pPr>
    </w:p>
    <w:p w14:paraId="7468A686" w14:textId="77777777" w:rsidR="00FC5C4B" w:rsidRPr="00FC5C4B" w:rsidRDefault="00FC5C4B" w:rsidP="00432DB4">
      <w:pPr>
        <w:numPr>
          <w:ilvl w:val="0"/>
          <w:numId w:val="6"/>
        </w:numPr>
        <w:spacing w:line="360" w:lineRule="auto"/>
        <w:contextualSpacing/>
        <w:jc w:val="both"/>
        <w:rPr>
          <w:rFonts w:ascii="Palatino Linotype" w:hAnsi="Palatino Linotype" w:cs="Tahoma"/>
          <w:iCs/>
          <w:color w:val="000000"/>
          <w:sz w:val="22"/>
          <w:szCs w:val="24"/>
        </w:rPr>
      </w:pPr>
      <w:r w:rsidRPr="00FC5C4B">
        <w:rPr>
          <w:rFonts w:ascii="Palatino Linotype" w:hAnsi="Palatino Linotype"/>
          <w:b/>
          <w:bCs/>
          <w:color w:val="000000"/>
          <w:sz w:val="22"/>
          <w:szCs w:val="24"/>
        </w:rPr>
        <w:lastRenderedPageBreak/>
        <w:t>Para motivar la clasificación</w:t>
      </w:r>
      <w:r w:rsidRPr="00FC5C4B">
        <w:rPr>
          <w:rFonts w:ascii="Palatino Linotype" w:hAnsi="Palatino Linotype"/>
          <w:color w:val="000000"/>
          <w:sz w:val="22"/>
          <w:szCs w:val="24"/>
        </w:rPr>
        <w:t xml:space="preserve"> se deberán </w:t>
      </w:r>
      <w:r w:rsidRPr="00FC5C4B">
        <w:rPr>
          <w:rFonts w:ascii="Palatino Linotype" w:hAnsi="Palatino Linotype"/>
          <w:color w:val="000000"/>
          <w:sz w:val="22"/>
          <w:szCs w:val="24"/>
          <w:u w:val="single"/>
        </w:rPr>
        <w:t>indicar las razones y circunstancias</w:t>
      </w:r>
      <w:r w:rsidRPr="00FC5C4B">
        <w:rPr>
          <w:rFonts w:ascii="Palatino Linotype" w:hAnsi="Palatino Linotype"/>
          <w:color w:val="000000"/>
          <w:sz w:val="22"/>
          <w:szCs w:val="24"/>
        </w:rPr>
        <w:t xml:space="preserve"> especiales que lo llevaron a concluir que el caso particular se ajusta al supuesto previsto por la norma legal invocada.</w:t>
      </w:r>
    </w:p>
    <w:p w14:paraId="6DC96A4C" w14:textId="77777777" w:rsidR="00FC5C4B" w:rsidRPr="00FC5C4B" w:rsidRDefault="00FC5C4B" w:rsidP="00432DB4">
      <w:pPr>
        <w:spacing w:line="360" w:lineRule="auto"/>
        <w:ind w:left="720"/>
        <w:contextualSpacing/>
        <w:jc w:val="both"/>
        <w:rPr>
          <w:rFonts w:cs="Tahoma"/>
          <w:iCs/>
          <w:color w:val="000000"/>
          <w:sz w:val="22"/>
          <w:szCs w:val="24"/>
        </w:rPr>
      </w:pPr>
    </w:p>
    <w:p w14:paraId="62FFDD1E"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CD2BD51"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0BB571BE" w14:textId="77777777" w:rsidR="00FC5C4B" w:rsidRPr="00FC5C4B" w:rsidRDefault="00FC5C4B" w:rsidP="00432DB4">
      <w:pPr>
        <w:spacing w:line="360" w:lineRule="auto"/>
        <w:ind w:left="567" w:right="567"/>
        <w:jc w:val="both"/>
        <w:rPr>
          <w:rFonts w:ascii="Palatino Linotype" w:eastAsia="Palatino Linotype" w:hAnsi="Palatino Linotype" w:cs="Palatino Linotype"/>
          <w:i/>
          <w:iCs/>
          <w:color w:val="000000"/>
          <w:lang w:eastAsia="es-MX"/>
        </w:rPr>
      </w:pPr>
      <w:r w:rsidRPr="00FC5C4B">
        <w:rPr>
          <w:rFonts w:ascii="Palatino Linotype" w:eastAsia="Palatino Linotype" w:hAnsi="Palatino Linotype" w:cs="Palatino Linotype"/>
          <w:b/>
          <w:bCs/>
          <w:i/>
          <w:iCs/>
          <w:color w:val="000000"/>
          <w:lang w:eastAsia="es-MX"/>
        </w:rPr>
        <w:t>“FUNDAMENTACION Y MOTIVACION, CONCEPTO DE.</w:t>
      </w:r>
      <w:r w:rsidRPr="00FC5C4B">
        <w:rPr>
          <w:rFonts w:ascii="Palatino Linotype" w:eastAsia="Palatino Linotype" w:hAnsi="Palatino Linotype" w:cs="Palatino Linotype"/>
          <w:i/>
          <w:iCs/>
          <w:color w:val="000000"/>
          <w:lang w:eastAsia="es-MX"/>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AD94B08" w14:textId="77777777" w:rsidR="00FC5C4B" w:rsidRPr="00FC5C4B" w:rsidRDefault="00FC5C4B" w:rsidP="00432DB4">
      <w:pPr>
        <w:spacing w:line="360" w:lineRule="auto"/>
        <w:jc w:val="both"/>
        <w:rPr>
          <w:rFonts w:ascii="Palatino Linotype" w:eastAsia="Palatino Linotype" w:hAnsi="Palatino Linotype" w:cs="Tahoma"/>
          <w:iCs/>
          <w:color w:val="000000"/>
          <w:sz w:val="22"/>
          <w:szCs w:val="22"/>
          <w:lang w:eastAsia="es-MX"/>
        </w:rPr>
      </w:pPr>
    </w:p>
    <w:p w14:paraId="0D2056EA"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Conforme a lo anterior, se advierte lo siguiente:</w:t>
      </w:r>
    </w:p>
    <w:p w14:paraId="2CB2FCCA"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6998AA8C" w14:textId="77777777" w:rsidR="00FC5C4B" w:rsidRPr="00FC5C4B" w:rsidRDefault="00FC5C4B" w:rsidP="00432DB4">
      <w:pPr>
        <w:numPr>
          <w:ilvl w:val="0"/>
          <w:numId w:val="7"/>
        </w:numPr>
        <w:spacing w:line="360" w:lineRule="auto"/>
        <w:contextualSpacing/>
        <w:jc w:val="both"/>
        <w:rPr>
          <w:rFonts w:ascii="Palatino Linotype" w:hAnsi="Palatino Linotype"/>
          <w:color w:val="000000"/>
          <w:sz w:val="22"/>
          <w:szCs w:val="24"/>
        </w:rPr>
      </w:pPr>
      <w:r w:rsidRPr="00FC5C4B">
        <w:rPr>
          <w:rFonts w:ascii="Palatino Linotype" w:hAnsi="Palatino Linotype"/>
          <w:b/>
          <w:bCs/>
          <w:color w:val="000000"/>
          <w:sz w:val="22"/>
          <w:szCs w:val="24"/>
        </w:rPr>
        <w:t>Fundamentación:</w:t>
      </w:r>
      <w:r w:rsidRPr="00FC5C4B">
        <w:rPr>
          <w:rFonts w:ascii="Palatino Linotype" w:hAnsi="Palatino Linotype"/>
          <w:color w:val="000000"/>
          <w:sz w:val="22"/>
          <w:szCs w:val="24"/>
        </w:rPr>
        <w:t xml:space="preserve"> Obligación de la autoridad que emite un acto, para citar los preceptos legales, sustantivos y adjetivos, en que se apoye para la determinación tomada. </w:t>
      </w:r>
    </w:p>
    <w:p w14:paraId="20D39C8C" w14:textId="77777777" w:rsidR="00FC5C4B" w:rsidRPr="00FC5C4B" w:rsidRDefault="00FC5C4B" w:rsidP="00432DB4">
      <w:pPr>
        <w:spacing w:line="360" w:lineRule="auto"/>
        <w:ind w:left="720"/>
        <w:contextualSpacing/>
        <w:jc w:val="both"/>
        <w:rPr>
          <w:rFonts w:ascii="Palatino Linotype" w:hAnsi="Palatino Linotype"/>
          <w:color w:val="000000"/>
          <w:sz w:val="22"/>
          <w:szCs w:val="24"/>
        </w:rPr>
      </w:pPr>
    </w:p>
    <w:p w14:paraId="7129589C" w14:textId="77777777" w:rsidR="00FC5C4B" w:rsidRPr="00FC5C4B" w:rsidRDefault="00FC5C4B" w:rsidP="00432DB4">
      <w:pPr>
        <w:numPr>
          <w:ilvl w:val="0"/>
          <w:numId w:val="7"/>
        </w:numPr>
        <w:spacing w:line="360" w:lineRule="auto"/>
        <w:contextualSpacing/>
        <w:jc w:val="both"/>
        <w:rPr>
          <w:rFonts w:ascii="Palatino Linotype" w:hAnsi="Palatino Linotype"/>
          <w:color w:val="000000"/>
          <w:sz w:val="22"/>
          <w:szCs w:val="24"/>
        </w:rPr>
      </w:pPr>
      <w:r w:rsidRPr="00FC5C4B">
        <w:rPr>
          <w:rFonts w:ascii="Palatino Linotype" w:hAnsi="Palatino Linotype"/>
          <w:b/>
          <w:bCs/>
          <w:color w:val="000000"/>
          <w:sz w:val="22"/>
          <w:szCs w:val="24"/>
        </w:rPr>
        <w:t>Motivación:</w:t>
      </w:r>
      <w:r w:rsidRPr="00FC5C4B">
        <w:rPr>
          <w:rFonts w:ascii="Palatino Linotype" w:hAnsi="Palatino Linotype"/>
          <w:color w:val="000000"/>
          <w:sz w:val="22"/>
          <w:szCs w:val="24"/>
        </w:rPr>
        <w:t xml:space="preserve"> Razonamientos lógico-jurídicos sobre porque se consideró en el caso en concreto, que se ajusta a la hipótesis normativa.</w:t>
      </w:r>
    </w:p>
    <w:p w14:paraId="62D474FC"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lastRenderedPageBreak/>
        <w:t>En ese contexto, de la respuesta entregada por la Tesorería Municipal, se logra vislumbrar que confundió la fundamentación y motivación de la clasificación, pues por una parte señala que se trata de información confidencial y por otra parte reservada, tal como se muestra a continuación:</w:t>
      </w:r>
    </w:p>
    <w:p w14:paraId="0B98DA7E"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0202B951" w14:textId="6909E003" w:rsidR="00FC5C4B" w:rsidRPr="00FC5C4B" w:rsidRDefault="00FC5C4B" w:rsidP="00432DB4">
      <w:pPr>
        <w:spacing w:line="360" w:lineRule="auto"/>
        <w:jc w:val="center"/>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noProof/>
          <w:color w:val="000000"/>
          <w:sz w:val="22"/>
          <w:szCs w:val="22"/>
          <w:lang w:eastAsia="es-MX"/>
        </w:rPr>
        <w:drawing>
          <wp:inline distT="0" distB="0" distL="0" distR="0" wp14:anchorId="3AE3B8B1" wp14:editId="52166C10">
            <wp:extent cx="5563376" cy="2267266"/>
            <wp:effectExtent l="0" t="0" r="0" b="0"/>
            <wp:docPr id="2036310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10867" name=""/>
                    <pic:cNvPicPr/>
                  </pic:nvPicPr>
                  <pic:blipFill>
                    <a:blip r:embed="rId8"/>
                    <a:stretch>
                      <a:fillRect/>
                    </a:stretch>
                  </pic:blipFill>
                  <pic:spPr>
                    <a:xfrm>
                      <a:off x="0" y="0"/>
                      <a:ext cx="5563376" cy="2267266"/>
                    </a:xfrm>
                    <a:prstGeom prst="rect">
                      <a:avLst/>
                    </a:prstGeom>
                  </pic:spPr>
                </pic:pic>
              </a:graphicData>
            </a:graphic>
          </wp:inline>
        </w:drawing>
      </w:r>
    </w:p>
    <w:p w14:paraId="3D8C0BFA" w14:textId="77777777" w:rsidR="00FC5C4B" w:rsidRPr="00FC5C4B" w:rsidRDefault="00FC5C4B" w:rsidP="00432DB4">
      <w:pPr>
        <w:spacing w:line="360" w:lineRule="auto"/>
        <w:jc w:val="center"/>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w:t>
      </w:r>
    </w:p>
    <w:p w14:paraId="40B44E77" w14:textId="3993A127" w:rsidR="00FC5C4B" w:rsidRDefault="00FC5C4B" w:rsidP="00432DB4">
      <w:pPr>
        <w:spacing w:line="360" w:lineRule="auto"/>
        <w:jc w:val="center"/>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noProof/>
          <w:color w:val="000000"/>
          <w:sz w:val="22"/>
          <w:szCs w:val="22"/>
          <w:lang w:eastAsia="es-MX"/>
        </w:rPr>
        <w:drawing>
          <wp:inline distT="0" distB="0" distL="0" distR="0" wp14:anchorId="6F9A2B1C" wp14:editId="31A22D7C">
            <wp:extent cx="5495925" cy="923925"/>
            <wp:effectExtent l="0" t="0" r="9525" b="9525"/>
            <wp:docPr id="1081891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91562" name=""/>
                    <pic:cNvPicPr/>
                  </pic:nvPicPr>
                  <pic:blipFill rotWithShape="1">
                    <a:blip r:embed="rId9"/>
                    <a:srcRect b="76399"/>
                    <a:stretch/>
                  </pic:blipFill>
                  <pic:spPr bwMode="auto">
                    <a:xfrm>
                      <a:off x="0" y="0"/>
                      <a:ext cx="5496692" cy="924054"/>
                    </a:xfrm>
                    <a:prstGeom prst="rect">
                      <a:avLst/>
                    </a:prstGeom>
                    <a:ln>
                      <a:noFill/>
                    </a:ln>
                    <a:extLst>
                      <a:ext uri="{53640926-AAD7-44D8-BBD7-CCE9431645EC}">
                        <a14:shadowObscured xmlns:a14="http://schemas.microsoft.com/office/drawing/2010/main"/>
                      </a:ext>
                    </a:extLst>
                  </pic:spPr>
                </pic:pic>
              </a:graphicData>
            </a:graphic>
          </wp:inline>
        </w:drawing>
      </w:r>
    </w:p>
    <w:p w14:paraId="64207C4B" w14:textId="2AB1D3CE" w:rsidR="00FC5C4B" w:rsidRPr="00FC5C4B" w:rsidRDefault="00FC5C4B" w:rsidP="00432DB4">
      <w:pPr>
        <w:spacing w:line="360" w:lineRule="auto"/>
        <w:jc w:val="center"/>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noProof/>
          <w:color w:val="000000"/>
          <w:sz w:val="22"/>
          <w:szCs w:val="22"/>
          <w:lang w:eastAsia="es-MX"/>
        </w:rPr>
        <w:drawing>
          <wp:inline distT="0" distB="0" distL="0" distR="0" wp14:anchorId="03175CFB" wp14:editId="2C3ADB70">
            <wp:extent cx="5495925" cy="361950"/>
            <wp:effectExtent l="0" t="0" r="9525" b="0"/>
            <wp:docPr id="1763187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91562" name=""/>
                    <pic:cNvPicPr/>
                  </pic:nvPicPr>
                  <pic:blipFill rotWithShape="1">
                    <a:blip r:embed="rId9"/>
                    <a:srcRect t="90754"/>
                    <a:stretch/>
                  </pic:blipFill>
                  <pic:spPr bwMode="auto">
                    <a:xfrm>
                      <a:off x="0" y="0"/>
                      <a:ext cx="5496692" cy="362000"/>
                    </a:xfrm>
                    <a:prstGeom prst="rect">
                      <a:avLst/>
                    </a:prstGeom>
                    <a:ln>
                      <a:noFill/>
                    </a:ln>
                    <a:extLst>
                      <a:ext uri="{53640926-AAD7-44D8-BBD7-CCE9431645EC}">
                        <a14:shadowObscured xmlns:a14="http://schemas.microsoft.com/office/drawing/2010/main"/>
                      </a:ext>
                    </a:extLst>
                  </pic:spPr>
                </pic:pic>
              </a:graphicData>
            </a:graphic>
          </wp:inline>
        </w:drawing>
      </w:r>
    </w:p>
    <w:p w14:paraId="6032F123"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1D59B79D"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En ese contexto, es de señalar que Ayuntamiento de Ecatepec de Morelos, no precisó de manera clara, fundada y motivada las razones por las cuales, consideraba que los documentos solicitados eran clasificados; ni el Comité de Transparencia emitió el acuerdo que confirmará dicha circunstancia, lo cual da como resultado que el agravio sea </w:t>
      </w:r>
      <w:r w:rsidRPr="00FC5C4B">
        <w:rPr>
          <w:rFonts w:ascii="Palatino Linotype" w:eastAsia="Palatino Linotype" w:hAnsi="Palatino Linotype" w:cs="Palatino Linotype"/>
          <w:b/>
          <w:bCs/>
          <w:color w:val="000000"/>
          <w:sz w:val="22"/>
          <w:szCs w:val="22"/>
          <w:lang w:eastAsia="es-MX"/>
        </w:rPr>
        <w:t>FUNDADO.</w:t>
      </w:r>
    </w:p>
    <w:p w14:paraId="15E5CB18" w14:textId="77777777" w:rsidR="00FC5C4B" w:rsidRPr="00FC5C4B" w:rsidRDefault="00FC5C4B" w:rsidP="00432DB4">
      <w:pPr>
        <w:spacing w:line="360" w:lineRule="auto"/>
        <w:jc w:val="both"/>
        <w:rPr>
          <w:rFonts w:ascii="Palatino Linotype" w:eastAsia="Palatino Linotype" w:hAnsi="Palatino Linotype" w:cs="Palatino Linotype"/>
          <w:b/>
          <w:bCs/>
          <w:color w:val="000000"/>
          <w:sz w:val="22"/>
          <w:szCs w:val="22"/>
          <w:lang w:eastAsia="es-MX"/>
        </w:rPr>
      </w:pPr>
    </w:p>
    <w:p w14:paraId="2BAD0F04" w14:textId="3962FC55" w:rsidR="00FC5C4B" w:rsidRPr="00FC5C4B" w:rsidRDefault="00FC5C4B" w:rsidP="00432DB4">
      <w:pPr>
        <w:spacing w:line="360" w:lineRule="auto"/>
        <w:jc w:val="both"/>
        <w:rPr>
          <w:rFonts w:ascii="Palatino Linotype" w:hAnsi="Palatino Linotype" w:cs="Tahoma"/>
          <w:bCs/>
          <w:sz w:val="22"/>
          <w:szCs w:val="22"/>
        </w:rPr>
      </w:pPr>
      <w:r w:rsidRPr="00FC5C4B">
        <w:rPr>
          <w:rFonts w:ascii="Palatino Linotype" w:hAnsi="Palatino Linotype" w:cs="Tahoma"/>
          <w:bCs/>
          <w:sz w:val="22"/>
          <w:szCs w:val="22"/>
        </w:rPr>
        <w:lastRenderedPageBreak/>
        <w:t xml:space="preserve">No obstante, durante la sustanciación del Medio de Impugnación, la Tesorería Municipal proporcionó el Acta de la Trigésima </w:t>
      </w:r>
      <w:r>
        <w:rPr>
          <w:rFonts w:ascii="Palatino Linotype" w:hAnsi="Palatino Linotype" w:cs="Tahoma"/>
          <w:bCs/>
          <w:sz w:val="22"/>
          <w:szCs w:val="22"/>
        </w:rPr>
        <w:t>Tercera S</w:t>
      </w:r>
      <w:r w:rsidRPr="00FC5C4B">
        <w:rPr>
          <w:rFonts w:ascii="Palatino Linotype" w:hAnsi="Palatino Linotype" w:cs="Tahoma"/>
          <w:bCs/>
          <w:sz w:val="22"/>
          <w:szCs w:val="22"/>
        </w:rPr>
        <w:t>esión Ordinaria del Comité de Transparencia, en donde aprobó la reserva de la información, tal como se muestra a continuación:</w:t>
      </w:r>
    </w:p>
    <w:p w14:paraId="2925E83E" w14:textId="77777777" w:rsidR="00FC5C4B" w:rsidRPr="00FC5C4B" w:rsidRDefault="00FC5C4B" w:rsidP="00432DB4">
      <w:pPr>
        <w:spacing w:line="360" w:lineRule="auto"/>
        <w:jc w:val="both"/>
        <w:rPr>
          <w:rFonts w:ascii="Palatino Linotype" w:hAnsi="Palatino Linotype" w:cs="Tahoma"/>
          <w:bCs/>
          <w:sz w:val="22"/>
          <w:szCs w:val="22"/>
        </w:rPr>
      </w:pPr>
    </w:p>
    <w:p w14:paraId="2E4B598F" w14:textId="1850CD74" w:rsidR="00FC5C4B" w:rsidRPr="00FC5C4B" w:rsidRDefault="00FC5C4B" w:rsidP="00432DB4">
      <w:pPr>
        <w:spacing w:line="360" w:lineRule="auto"/>
        <w:jc w:val="center"/>
        <w:rPr>
          <w:rFonts w:ascii="Palatino Linotype" w:hAnsi="Palatino Linotype" w:cs="Tahoma"/>
          <w:bCs/>
          <w:sz w:val="22"/>
          <w:szCs w:val="22"/>
        </w:rPr>
      </w:pPr>
      <w:r>
        <w:rPr>
          <w:noProof/>
          <w:lang w:eastAsia="es-MX"/>
        </w:rPr>
        <w:drawing>
          <wp:inline distT="0" distB="0" distL="0" distR="0" wp14:anchorId="6EE6A145" wp14:editId="13FF6CD5">
            <wp:extent cx="5048250" cy="487298"/>
            <wp:effectExtent l="0" t="0" r="0" b="8255"/>
            <wp:docPr id="731838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38852" name=""/>
                    <pic:cNvPicPr/>
                  </pic:nvPicPr>
                  <pic:blipFill>
                    <a:blip r:embed="rId10"/>
                    <a:stretch>
                      <a:fillRect/>
                    </a:stretch>
                  </pic:blipFill>
                  <pic:spPr>
                    <a:xfrm>
                      <a:off x="0" y="0"/>
                      <a:ext cx="5080651" cy="490426"/>
                    </a:xfrm>
                    <a:prstGeom prst="rect">
                      <a:avLst/>
                    </a:prstGeom>
                  </pic:spPr>
                </pic:pic>
              </a:graphicData>
            </a:graphic>
          </wp:inline>
        </w:drawing>
      </w:r>
    </w:p>
    <w:p w14:paraId="1BB77DEC" w14:textId="77777777" w:rsidR="00FC5C4B" w:rsidRPr="00FC5C4B" w:rsidRDefault="00FC5C4B" w:rsidP="00432DB4">
      <w:pPr>
        <w:spacing w:line="360" w:lineRule="auto"/>
        <w:jc w:val="both"/>
        <w:rPr>
          <w:rFonts w:ascii="Palatino Linotype" w:hAnsi="Palatino Linotype" w:cs="Tahoma"/>
          <w:bCs/>
          <w:iCs/>
          <w:color w:val="000000"/>
          <w:sz w:val="22"/>
          <w:szCs w:val="22"/>
        </w:rPr>
      </w:pPr>
    </w:p>
    <w:p w14:paraId="6966785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En ese orden de ideas, el Trigésimo tercero de los Lineamientos Generales, establece la forma en que se debe fundamentar y motivar la reserva de la información, es decir, a través de los siguientes pasos:</w:t>
      </w:r>
    </w:p>
    <w:p w14:paraId="1B235E8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36EE0802"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w:t>
      </w:r>
    </w:p>
    <w:p w14:paraId="64B5F995"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3434C68F"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Se deberá demostrar que la publicidad de la información generaría un riesgo de perjuicio, que rebasa el interés público;</w:t>
      </w:r>
    </w:p>
    <w:p w14:paraId="67B23855"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3B2813A8"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 xml:space="preserve">Se acreditará el vínculo entre la difusión de la información y la afectación del interés jurídico tutelado; </w:t>
      </w:r>
    </w:p>
    <w:p w14:paraId="0B86FAC3"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544EBF70"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Se precisará las razones objetivas por las que la apertura de la información generaría una afectación, por medio del riesgo real, demostrable e identificable;</w:t>
      </w:r>
    </w:p>
    <w:p w14:paraId="6C131928"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33B8FBD5"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Se deberán señalar las circunstancias de modo, tiempo y lugar del daño, y</w:t>
      </w:r>
    </w:p>
    <w:p w14:paraId="5AA1EE39"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113CE45D" w14:textId="77777777" w:rsidR="00FC5C4B" w:rsidRPr="00FC5C4B" w:rsidRDefault="00FC5C4B" w:rsidP="00432DB4">
      <w:pPr>
        <w:numPr>
          <w:ilvl w:val="0"/>
          <w:numId w:val="8"/>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lastRenderedPageBreak/>
        <w:t>Se elegirá la opción de excepción al acceso a la información que menos restrinja, la cual será adecuada y proporcional para la protección del interés público.</w:t>
      </w:r>
    </w:p>
    <w:p w14:paraId="68118D9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0471B07A" w14:textId="77777777" w:rsid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Ahora bien, de las constancias que obran en el expediente, se advierte que no fundamentó, ni motivó la clasificación de la información, de manera correcta, por las siguientes consideraciones:</w:t>
      </w:r>
    </w:p>
    <w:p w14:paraId="7501EB03"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188BEAE6" w14:textId="77777777" w:rsidR="00FC5C4B" w:rsidRPr="00FC5C4B" w:rsidRDefault="00FC5C4B" w:rsidP="00432DB4">
      <w:pPr>
        <w:numPr>
          <w:ilvl w:val="0"/>
          <w:numId w:val="9"/>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No fundamentó de manera adecuada la reserva, dado que trajo a colación diversas causales de reserva y confidencialidad, sin analizar de manera específica cada causal.</w:t>
      </w:r>
    </w:p>
    <w:p w14:paraId="4ABF4455" w14:textId="77777777" w:rsidR="00FC5C4B" w:rsidRPr="00FC5C4B" w:rsidRDefault="00FC5C4B" w:rsidP="00432DB4">
      <w:pPr>
        <w:tabs>
          <w:tab w:val="left" w:pos="4962"/>
        </w:tabs>
        <w:spacing w:line="360" w:lineRule="auto"/>
        <w:ind w:left="720"/>
        <w:contextualSpacing/>
        <w:jc w:val="both"/>
        <w:rPr>
          <w:rFonts w:ascii="Palatino Linotype" w:hAnsi="Palatino Linotype" w:cs="Tahoma"/>
          <w:iCs/>
          <w:sz w:val="22"/>
          <w:szCs w:val="22"/>
        </w:rPr>
      </w:pPr>
    </w:p>
    <w:p w14:paraId="26AD555C" w14:textId="77777777" w:rsidR="00FC5C4B" w:rsidRPr="00FC5C4B" w:rsidRDefault="00FC5C4B" w:rsidP="00432DB4">
      <w:pPr>
        <w:numPr>
          <w:ilvl w:val="0"/>
          <w:numId w:val="9"/>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No precisó las razones objetivas, concretas y específicas por las cuales la apertura de la información generaría una afectación que rebase el interés público, pues, el Sujeto Obligado confundió la argumentación, entre diversos supuestos de clasificación distintos.</w:t>
      </w:r>
    </w:p>
    <w:p w14:paraId="62B0742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2664CBD2" w14:textId="77777777" w:rsidR="00FC5C4B" w:rsidRPr="00FC5C4B" w:rsidRDefault="00FC5C4B" w:rsidP="00432DB4">
      <w:pPr>
        <w:numPr>
          <w:ilvl w:val="0"/>
          <w:numId w:val="9"/>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No acreditó el vínculo entre la información peticionada y la afectación que podría causar, pues únicamente precisó diversos supuestos establecidos en la Ley de la materia.</w:t>
      </w:r>
    </w:p>
    <w:p w14:paraId="03EBEDFE"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0D15CD51" w14:textId="77777777" w:rsidR="00FC5C4B" w:rsidRPr="00FC5C4B" w:rsidRDefault="00FC5C4B" w:rsidP="00432DB4">
      <w:pPr>
        <w:numPr>
          <w:ilvl w:val="0"/>
          <w:numId w:val="9"/>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Omitió señalar, las circunstancias de tiempo, modo y lugar del daño que produciría entregar la información peticionada.</w:t>
      </w:r>
    </w:p>
    <w:p w14:paraId="18725E11"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768F6A25" w14:textId="77777777" w:rsidR="00FC5C4B" w:rsidRPr="00FC5C4B" w:rsidRDefault="00FC5C4B" w:rsidP="00432DB4">
      <w:pPr>
        <w:numPr>
          <w:ilvl w:val="0"/>
          <w:numId w:val="9"/>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No se establecieron las razones, por las cuales la reserva era el medio menos restrictivo, para la protección del interés jurídico.</w:t>
      </w:r>
    </w:p>
    <w:p w14:paraId="76E80194" w14:textId="77777777" w:rsidR="00FC5C4B" w:rsidRPr="00FC5C4B" w:rsidRDefault="00FC5C4B" w:rsidP="00432DB4">
      <w:pPr>
        <w:spacing w:line="360" w:lineRule="auto"/>
        <w:jc w:val="both"/>
        <w:rPr>
          <w:rFonts w:ascii="Palatino Linotype" w:hAnsi="Palatino Linotype" w:cs="Tahoma"/>
          <w:bCs/>
          <w:iCs/>
          <w:color w:val="000000"/>
          <w:sz w:val="22"/>
          <w:szCs w:val="22"/>
        </w:rPr>
      </w:pPr>
    </w:p>
    <w:p w14:paraId="3D917996" w14:textId="77777777" w:rsidR="00FC5C4B" w:rsidRPr="00FC5C4B" w:rsidRDefault="00FC5C4B" w:rsidP="00432DB4">
      <w:pPr>
        <w:spacing w:line="360" w:lineRule="auto"/>
        <w:jc w:val="both"/>
        <w:rPr>
          <w:rFonts w:ascii="Palatino Linotype" w:eastAsia="Palatino Linotype" w:hAnsi="Palatino Linotype" w:cs="Tahoma"/>
          <w:iCs/>
          <w:color w:val="000000"/>
          <w:sz w:val="22"/>
          <w:szCs w:val="22"/>
          <w:lang w:eastAsia="es-MX"/>
        </w:rPr>
      </w:pPr>
      <w:r w:rsidRPr="00FC5C4B">
        <w:rPr>
          <w:rFonts w:ascii="Palatino Linotype" w:eastAsia="Palatino Linotype" w:hAnsi="Palatino Linotype" w:cs="Tahoma"/>
          <w:iCs/>
          <w:color w:val="000000"/>
          <w:sz w:val="22"/>
          <w:szCs w:val="22"/>
          <w:lang w:eastAsia="es-MX"/>
        </w:rPr>
        <w:t xml:space="preserve">Así, se advierte que el Sujeto Obligado, no fundamentó y motivó la reserva, pues no realizó de manera correcta, la prueba de daño, señalada en el Trigésimo tercero de los Lineamientos </w:t>
      </w:r>
      <w:r w:rsidRPr="00FC5C4B">
        <w:rPr>
          <w:rFonts w:ascii="Palatino Linotype" w:eastAsia="Palatino Linotype" w:hAnsi="Palatino Linotype" w:cs="Tahoma"/>
          <w:iCs/>
          <w:color w:val="000000"/>
          <w:sz w:val="22"/>
          <w:szCs w:val="22"/>
          <w:lang w:eastAsia="es-MX"/>
        </w:rPr>
        <w:lastRenderedPageBreak/>
        <w:t>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ahora bien, sin menospreciar lo anterior, este Instituto procederá al análisis de las causales de reserva citadas de manera expresa por el Sujeto Obligado, a saber, las siguiente:</w:t>
      </w:r>
    </w:p>
    <w:p w14:paraId="10F23BD9" w14:textId="77777777" w:rsidR="00FC5C4B" w:rsidRPr="00FC5C4B" w:rsidRDefault="00FC5C4B" w:rsidP="00432DB4">
      <w:pPr>
        <w:spacing w:line="360" w:lineRule="auto"/>
        <w:jc w:val="both"/>
        <w:rPr>
          <w:rFonts w:ascii="Palatino Linotype" w:eastAsia="Palatino Linotype" w:hAnsi="Palatino Linotype" w:cs="Tahoma"/>
          <w:iCs/>
          <w:color w:val="000000"/>
          <w:sz w:val="22"/>
          <w:szCs w:val="22"/>
          <w:lang w:eastAsia="es-MX"/>
        </w:rPr>
      </w:pPr>
    </w:p>
    <w:p w14:paraId="37EEAAD5" w14:textId="4EC96738" w:rsidR="00FC5C4B" w:rsidRPr="00FC5C4B" w:rsidRDefault="00FC5C4B" w:rsidP="00432DB4">
      <w:pPr>
        <w:spacing w:line="360" w:lineRule="auto"/>
        <w:jc w:val="center"/>
        <w:rPr>
          <w:rFonts w:ascii="Palatino Linotype" w:hAnsi="Palatino Linotype" w:cs="Tahoma"/>
          <w:bCs/>
          <w:iCs/>
          <w:color w:val="000000"/>
          <w:sz w:val="22"/>
          <w:szCs w:val="22"/>
        </w:rPr>
      </w:pPr>
      <w:r w:rsidRPr="00FC5C4B">
        <w:rPr>
          <w:rFonts w:ascii="Palatino Linotype" w:hAnsi="Palatino Linotype" w:cs="Tahoma"/>
          <w:bCs/>
          <w:iCs/>
          <w:noProof/>
          <w:color w:val="000000"/>
          <w:sz w:val="22"/>
          <w:szCs w:val="22"/>
          <w:lang w:eastAsia="es-MX"/>
        </w:rPr>
        <w:drawing>
          <wp:inline distT="0" distB="0" distL="0" distR="0" wp14:anchorId="1F89BDF1" wp14:editId="02487DED">
            <wp:extent cx="4867954" cy="1505160"/>
            <wp:effectExtent l="0" t="0" r="8890" b="0"/>
            <wp:docPr id="1429811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11863" name=""/>
                    <pic:cNvPicPr/>
                  </pic:nvPicPr>
                  <pic:blipFill>
                    <a:blip r:embed="rId11"/>
                    <a:stretch>
                      <a:fillRect/>
                    </a:stretch>
                  </pic:blipFill>
                  <pic:spPr>
                    <a:xfrm>
                      <a:off x="0" y="0"/>
                      <a:ext cx="4867954" cy="1505160"/>
                    </a:xfrm>
                    <a:prstGeom prst="rect">
                      <a:avLst/>
                    </a:prstGeom>
                  </pic:spPr>
                </pic:pic>
              </a:graphicData>
            </a:graphic>
          </wp:inline>
        </w:drawing>
      </w:r>
    </w:p>
    <w:p w14:paraId="5A1C6D4B" w14:textId="77777777" w:rsidR="00FC5C4B" w:rsidRPr="00FC5C4B" w:rsidRDefault="00FC5C4B" w:rsidP="00432DB4">
      <w:pPr>
        <w:spacing w:line="360" w:lineRule="auto"/>
        <w:jc w:val="both"/>
        <w:rPr>
          <w:rFonts w:ascii="Palatino Linotype" w:hAnsi="Palatino Linotype" w:cs="Tahoma"/>
          <w:bCs/>
          <w:iCs/>
          <w:color w:val="000000"/>
        </w:rPr>
      </w:pPr>
    </w:p>
    <w:p w14:paraId="0F99ADC4" w14:textId="77777777" w:rsidR="00FC5C4B" w:rsidRPr="00FC5C4B" w:rsidRDefault="00FC5C4B" w:rsidP="00432DB4">
      <w:pPr>
        <w:tabs>
          <w:tab w:val="left" w:pos="4962"/>
        </w:tabs>
        <w:spacing w:line="360" w:lineRule="auto"/>
        <w:jc w:val="both"/>
        <w:rPr>
          <w:rFonts w:ascii="Palatino Linotype" w:hAnsi="Palatino Linotype" w:cs="Tahoma"/>
          <w:iCs/>
          <w:sz w:val="22"/>
          <w:szCs w:val="22"/>
          <w:lang w:val="es-ES" w:eastAsia="es-ES_tradnl"/>
        </w:rPr>
      </w:pPr>
      <w:r w:rsidRPr="00FC5C4B">
        <w:rPr>
          <w:rFonts w:ascii="Palatino Linotype" w:hAnsi="Palatino Linotype" w:cs="Tahoma"/>
          <w:iCs/>
          <w:sz w:val="22"/>
          <w:szCs w:val="22"/>
          <w:lang w:val="es-ES" w:eastAsia="es-ES_tradnl"/>
        </w:rPr>
        <w:t>Ahora bien, el artículo 140, fracción V, inciso I, de la Ley de Transparencia y Acceso a la Información Pública del Estado de México y Municipios, prevé lo siguiente:</w:t>
      </w:r>
    </w:p>
    <w:p w14:paraId="15ABF1AD" w14:textId="77777777" w:rsidR="00FC5C4B" w:rsidRPr="00FC5C4B" w:rsidRDefault="00FC5C4B" w:rsidP="00432DB4">
      <w:pPr>
        <w:spacing w:line="360" w:lineRule="auto"/>
        <w:ind w:right="-93"/>
        <w:jc w:val="both"/>
        <w:rPr>
          <w:rFonts w:ascii="Palatino Linotype" w:hAnsi="Palatino Linotype" w:cs="Tahoma"/>
          <w:bCs/>
          <w:sz w:val="22"/>
          <w:szCs w:val="22"/>
          <w:lang w:eastAsia="en-US"/>
        </w:rPr>
      </w:pPr>
    </w:p>
    <w:p w14:paraId="0063398A"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val="es-ES" w:eastAsia="es-ES_tradnl"/>
        </w:rPr>
      </w:pPr>
      <w:bookmarkStart w:id="25" w:name="_Hlk202377824"/>
      <w:r w:rsidRPr="00FC5C4B">
        <w:rPr>
          <w:rFonts w:ascii="Palatino Linotype" w:hAnsi="Palatino Linotype" w:cs="Tahoma"/>
          <w:i/>
          <w:iCs/>
          <w:lang w:val="es-ES" w:eastAsia="es-ES_tradnl"/>
        </w:rPr>
        <w:t>“</w:t>
      </w:r>
      <w:r w:rsidRPr="00FC5C4B">
        <w:rPr>
          <w:rFonts w:ascii="Palatino Linotype" w:hAnsi="Palatino Linotype" w:cs="Tahoma"/>
          <w:b/>
          <w:i/>
          <w:iCs/>
          <w:lang w:val="es-ES" w:eastAsia="es-ES_tradnl"/>
        </w:rPr>
        <w:t>Artículo 140.</w:t>
      </w:r>
      <w:r w:rsidRPr="00FC5C4B">
        <w:rPr>
          <w:rFonts w:ascii="Palatino Linotype"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9A325BE"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val="es-ES" w:eastAsia="es-ES_tradnl"/>
        </w:rPr>
      </w:pPr>
      <w:r w:rsidRPr="00FC5C4B">
        <w:rPr>
          <w:rFonts w:ascii="Palatino Linotype" w:hAnsi="Palatino Linotype" w:cs="Tahoma"/>
          <w:i/>
          <w:iCs/>
          <w:lang w:val="es-ES" w:eastAsia="es-ES_tradnl"/>
        </w:rPr>
        <w:t>…</w:t>
      </w:r>
    </w:p>
    <w:p w14:paraId="02EBD63A"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eastAsia="es-ES_tradnl"/>
        </w:rPr>
      </w:pPr>
      <w:r w:rsidRPr="00FC5C4B">
        <w:rPr>
          <w:rFonts w:ascii="Palatino Linotype" w:hAnsi="Palatino Linotype" w:cs="Tahoma"/>
          <w:i/>
          <w:iCs/>
          <w:lang w:eastAsia="es-ES_tradnl"/>
        </w:rPr>
        <w:t>V. Aquella cuya divulgación obstruya o pueda causar un serio perjuicio a:</w:t>
      </w:r>
    </w:p>
    <w:p w14:paraId="2C8615A9"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eastAsia="es-ES_tradnl"/>
        </w:rPr>
      </w:pPr>
    </w:p>
    <w:p w14:paraId="2EF9BCC7"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eastAsia="es-ES_tradnl"/>
        </w:rPr>
      </w:pPr>
      <w:r w:rsidRPr="00FC5C4B">
        <w:rPr>
          <w:rFonts w:ascii="Palatino Linotype" w:hAnsi="Palatino Linotype" w:cs="Tahoma"/>
          <w:i/>
          <w:iCs/>
          <w:lang w:eastAsia="es-ES_tradnl"/>
        </w:rPr>
        <w:t>1. Las actividades de fiscalización, verificación, inspección, comprobación y auditoría sobre el cumplimiento de las Leyes; o</w:t>
      </w:r>
    </w:p>
    <w:p w14:paraId="3DCBFA9B" w14:textId="77777777" w:rsidR="00FC5C4B" w:rsidRPr="00FC5C4B" w:rsidRDefault="00FC5C4B" w:rsidP="00432DB4">
      <w:pPr>
        <w:tabs>
          <w:tab w:val="left" w:pos="4962"/>
        </w:tabs>
        <w:spacing w:line="360" w:lineRule="auto"/>
        <w:ind w:left="567" w:right="567"/>
        <w:jc w:val="both"/>
        <w:rPr>
          <w:rFonts w:ascii="Palatino Linotype" w:hAnsi="Palatino Linotype" w:cs="Tahoma"/>
          <w:i/>
          <w:iCs/>
          <w:lang w:val="es-ES" w:eastAsia="es-ES_tradnl"/>
        </w:rPr>
      </w:pPr>
      <w:r w:rsidRPr="00FC5C4B">
        <w:rPr>
          <w:rFonts w:ascii="Palatino Linotype" w:hAnsi="Palatino Linotype" w:cs="Tahoma"/>
          <w:i/>
          <w:iCs/>
          <w:lang w:val="es-ES" w:eastAsia="es-ES_tradnl"/>
        </w:rPr>
        <w:t>…”</w:t>
      </w:r>
    </w:p>
    <w:bookmarkEnd w:id="25"/>
    <w:p w14:paraId="5559DDC1" w14:textId="77777777" w:rsidR="00FC5C4B" w:rsidRPr="00FC5C4B" w:rsidRDefault="00FC5C4B" w:rsidP="00432DB4">
      <w:pPr>
        <w:spacing w:line="360" w:lineRule="auto"/>
        <w:ind w:left="927" w:right="567"/>
        <w:jc w:val="both"/>
        <w:rPr>
          <w:rFonts w:ascii="Palatino Linotype" w:hAnsi="Palatino Linotype" w:cs="Arial"/>
          <w:bCs/>
          <w:i/>
          <w:iCs/>
        </w:rPr>
      </w:pPr>
    </w:p>
    <w:p w14:paraId="739D1FF5"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lastRenderedPageBreak/>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6DDFFAF4" w14:textId="77777777" w:rsidR="00FC5C4B" w:rsidRPr="00FC5C4B" w:rsidRDefault="00FC5C4B" w:rsidP="00432DB4">
      <w:pPr>
        <w:tabs>
          <w:tab w:val="left" w:pos="4962"/>
        </w:tabs>
        <w:spacing w:line="360" w:lineRule="auto"/>
        <w:contextualSpacing/>
        <w:jc w:val="both"/>
        <w:rPr>
          <w:rFonts w:ascii="Palatino Linotype" w:hAnsi="Palatino Linotype" w:cs="Tahoma"/>
          <w:iCs/>
          <w:color w:val="ED0000"/>
          <w:sz w:val="22"/>
          <w:szCs w:val="22"/>
        </w:rPr>
      </w:pPr>
    </w:p>
    <w:p w14:paraId="44AB53B5"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r w:rsidRPr="00FC5C4B">
        <w:rPr>
          <w:rFonts w:ascii="Palatino Linotype" w:hAnsi="Palatino Linotype" w:cs="Tahoma"/>
          <w:b/>
          <w:bCs/>
          <w:i/>
          <w:lang w:val="es-ES" w:eastAsia="en-US"/>
        </w:rPr>
        <w:t>“Vigésimo cuarto. </w:t>
      </w:r>
      <w:r w:rsidRPr="00FC5C4B">
        <w:rPr>
          <w:rFonts w:ascii="Palatino Linotype" w:hAnsi="Palatino Linotype" w:cs="Tahoma"/>
          <w:bCs/>
          <w:i/>
          <w:lang w:val="es-ES" w:eastAsia="en-US"/>
        </w:rPr>
        <w:t xml:space="preserve">De conformidad con el artículo 113, fracción VI de la Ley General, podrá considerarse como </w:t>
      </w:r>
      <w:r w:rsidRPr="00FC5C4B">
        <w:rPr>
          <w:rFonts w:ascii="Palatino Linotype" w:hAnsi="Palatino Linotype" w:cs="Tahoma"/>
          <w:b/>
          <w:bCs/>
          <w:i/>
          <w:lang w:val="es-ES" w:eastAsia="en-US"/>
        </w:rPr>
        <w:t>reservada, aquella información que obstruya las actividades de verificación, inspección y auditoría relativas al cumplimiento de las leyes</w:t>
      </w:r>
      <w:r w:rsidRPr="00FC5C4B">
        <w:rPr>
          <w:rFonts w:ascii="Palatino Linotype" w:hAnsi="Palatino Linotype" w:cs="Tahoma"/>
          <w:bCs/>
          <w:i/>
          <w:lang w:val="es-ES" w:eastAsia="en-US"/>
        </w:rPr>
        <w:t>, cuando se actualicen los siguientes elementos:</w:t>
      </w:r>
    </w:p>
    <w:p w14:paraId="7BB72456"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p>
    <w:p w14:paraId="3BF9F26D"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r w:rsidRPr="00FC5C4B">
        <w:rPr>
          <w:rFonts w:ascii="Palatino Linotype" w:hAnsi="Palatino Linotype" w:cs="Tahoma"/>
          <w:b/>
          <w:bCs/>
          <w:i/>
          <w:lang w:val="es-ES" w:eastAsia="en-US"/>
        </w:rPr>
        <w:t>I.</w:t>
      </w:r>
      <w:r w:rsidRPr="00FC5C4B">
        <w:rPr>
          <w:rFonts w:ascii="Palatino Linotype" w:hAnsi="Palatino Linotype" w:cs="Tahoma"/>
          <w:bCs/>
          <w:i/>
          <w:lang w:val="es-ES" w:eastAsia="en-US"/>
        </w:rPr>
        <w:t> La existencia de un procedimiento de verificación del cumplimiento de las leyes;</w:t>
      </w:r>
    </w:p>
    <w:p w14:paraId="7ED60ABF"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r w:rsidRPr="00FC5C4B">
        <w:rPr>
          <w:rFonts w:ascii="Palatino Linotype" w:hAnsi="Palatino Linotype" w:cs="Tahoma"/>
          <w:b/>
          <w:bCs/>
          <w:i/>
          <w:lang w:val="es-ES" w:eastAsia="en-US"/>
        </w:rPr>
        <w:t>II</w:t>
      </w:r>
      <w:r w:rsidRPr="00FC5C4B">
        <w:rPr>
          <w:rFonts w:ascii="Palatino Linotype" w:hAnsi="Palatino Linotype" w:cs="Tahoma"/>
          <w:bCs/>
          <w:i/>
          <w:lang w:val="es-ES" w:eastAsia="en-US"/>
        </w:rPr>
        <w:t>. Que el procedimiento se encuentre en trámite;</w:t>
      </w:r>
    </w:p>
    <w:p w14:paraId="746748B4"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r w:rsidRPr="00FC5C4B">
        <w:rPr>
          <w:rFonts w:ascii="Palatino Linotype" w:hAnsi="Palatino Linotype" w:cs="Tahoma"/>
          <w:b/>
          <w:bCs/>
          <w:i/>
          <w:lang w:val="es-ES" w:eastAsia="en-US"/>
        </w:rPr>
        <w:t>III.</w:t>
      </w:r>
      <w:r w:rsidRPr="00FC5C4B">
        <w:rPr>
          <w:rFonts w:ascii="Palatino Linotype" w:hAnsi="Palatino Linotype" w:cs="Tahoma"/>
          <w:bCs/>
          <w:i/>
          <w:lang w:val="es-ES" w:eastAsia="en-US"/>
        </w:rPr>
        <w:t> La vinculación directa con las actividades que realiza la autoridad en el procedimiento de verificación del cumplimiento de las leyes, y</w:t>
      </w:r>
    </w:p>
    <w:p w14:paraId="395D2364" w14:textId="77777777" w:rsidR="00FC5C4B" w:rsidRPr="00FC5C4B" w:rsidRDefault="00FC5C4B" w:rsidP="00432DB4">
      <w:pPr>
        <w:spacing w:line="360" w:lineRule="auto"/>
        <w:ind w:left="567" w:right="567"/>
        <w:jc w:val="both"/>
        <w:rPr>
          <w:rFonts w:ascii="Palatino Linotype" w:hAnsi="Palatino Linotype" w:cs="Tahoma"/>
          <w:bCs/>
          <w:i/>
          <w:lang w:val="es-ES" w:eastAsia="en-US"/>
        </w:rPr>
      </w:pPr>
      <w:r w:rsidRPr="00FC5C4B">
        <w:rPr>
          <w:rFonts w:ascii="Palatino Linotype" w:hAnsi="Palatino Linotype" w:cs="Tahoma"/>
          <w:b/>
          <w:bCs/>
          <w:i/>
          <w:lang w:val="es-ES" w:eastAsia="en-US"/>
        </w:rPr>
        <w:t>IV.</w:t>
      </w:r>
      <w:r w:rsidRPr="00FC5C4B">
        <w:rPr>
          <w:rFonts w:ascii="Palatino Linotype" w:hAnsi="Palatino Linotype" w:cs="Tahoma"/>
          <w:bCs/>
          <w:i/>
          <w:lang w:val="es-ES" w:eastAsia="en-US"/>
        </w:rPr>
        <w:t> Que la difusión de la información impida u obstaculice las actividades de inspección, supervisión o vigilancia que realicen las autoridades en el procedimiento de verificación del cumplimiento de las leyes.”</w:t>
      </w:r>
    </w:p>
    <w:p w14:paraId="452392DD" w14:textId="77777777" w:rsidR="00FC5C4B" w:rsidRPr="00FC5C4B" w:rsidRDefault="00FC5C4B" w:rsidP="00432DB4">
      <w:pPr>
        <w:spacing w:line="360" w:lineRule="auto"/>
        <w:ind w:right="-93"/>
        <w:jc w:val="both"/>
        <w:rPr>
          <w:rFonts w:ascii="Palatino Linotype" w:hAnsi="Palatino Linotype" w:cs="Tahoma"/>
          <w:b/>
          <w:bCs/>
          <w:sz w:val="22"/>
          <w:szCs w:val="22"/>
          <w:lang w:val="es-ES" w:eastAsia="en-US"/>
        </w:rPr>
      </w:pPr>
    </w:p>
    <w:p w14:paraId="00C5F278" w14:textId="77777777" w:rsidR="00FC5C4B" w:rsidRPr="00FC5C4B" w:rsidRDefault="00FC5C4B" w:rsidP="00432DB4">
      <w:p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t xml:space="preserve">Del lineamiento en cita, se colige que se trata de información reservada aquella que </w:t>
      </w:r>
      <w:r w:rsidRPr="00FC5C4B">
        <w:rPr>
          <w:rFonts w:ascii="Palatino Linotype" w:hAnsi="Palatino Linotype" w:cs="Tahoma"/>
          <w:b/>
          <w:bCs/>
          <w:sz w:val="22"/>
          <w:szCs w:val="22"/>
          <w:lang w:val="es-ES" w:eastAsia="en-US"/>
        </w:rPr>
        <w:t xml:space="preserve">obstruya las actividades de </w:t>
      </w:r>
      <w:r w:rsidRPr="00FC5C4B">
        <w:rPr>
          <w:rFonts w:ascii="Palatino Linotype" w:hAnsi="Palatino Linotype" w:cs="Tahoma"/>
          <w:bCs/>
          <w:sz w:val="22"/>
          <w:szCs w:val="22"/>
          <w:lang w:val="es-ES" w:eastAsia="en-US"/>
        </w:rPr>
        <w:t xml:space="preserve">verificación, inspección y </w:t>
      </w:r>
      <w:r w:rsidRPr="00FC5C4B">
        <w:rPr>
          <w:rFonts w:ascii="Palatino Linotype" w:hAnsi="Palatino Linotype" w:cs="Tahoma"/>
          <w:b/>
          <w:bCs/>
          <w:sz w:val="22"/>
          <w:szCs w:val="22"/>
          <w:lang w:val="es-ES" w:eastAsia="en-US"/>
        </w:rPr>
        <w:t xml:space="preserve">auditoría relativas al cumplimiento de las leyes, </w:t>
      </w:r>
      <w:r w:rsidRPr="00FC5C4B">
        <w:rPr>
          <w:rFonts w:ascii="Palatino Linotype" w:hAnsi="Palatino Linotype" w:cs="Tahoma"/>
          <w:bCs/>
          <w:sz w:val="22"/>
          <w:szCs w:val="22"/>
          <w:lang w:val="es-ES" w:eastAsia="en-US"/>
        </w:rPr>
        <w:t xml:space="preserve">cuando se actualicen los siguientes elementos: </w:t>
      </w:r>
    </w:p>
    <w:p w14:paraId="44F39253" w14:textId="77777777" w:rsidR="00FC5C4B" w:rsidRPr="00FC5C4B" w:rsidRDefault="00FC5C4B" w:rsidP="00432DB4">
      <w:pPr>
        <w:spacing w:line="360" w:lineRule="auto"/>
        <w:ind w:right="-93"/>
        <w:jc w:val="both"/>
        <w:rPr>
          <w:rFonts w:ascii="Palatino Linotype" w:hAnsi="Palatino Linotype" w:cs="Tahoma"/>
          <w:bCs/>
          <w:sz w:val="22"/>
          <w:szCs w:val="22"/>
          <w:lang w:val="es-ES" w:eastAsia="en-US"/>
        </w:rPr>
      </w:pPr>
    </w:p>
    <w:p w14:paraId="4F4164DA" w14:textId="77777777" w:rsidR="00FC5C4B" w:rsidRPr="00FC5C4B" w:rsidRDefault="00FC5C4B" w:rsidP="00432DB4">
      <w:pPr>
        <w:numPr>
          <w:ilvl w:val="0"/>
          <w:numId w:val="10"/>
        </w:num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t xml:space="preserve">La existencia de un procedimiento de verificación del cumplimiento de las leyes. </w:t>
      </w:r>
    </w:p>
    <w:p w14:paraId="1AC6D750" w14:textId="77777777" w:rsidR="00FC5C4B" w:rsidRPr="00FC5C4B" w:rsidRDefault="00FC5C4B" w:rsidP="00432DB4">
      <w:pPr>
        <w:numPr>
          <w:ilvl w:val="0"/>
          <w:numId w:val="10"/>
        </w:num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t xml:space="preserve">Que ese procedimiento se encuentre en trámite. </w:t>
      </w:r>
    </w:p>
    <w:p w14:paraId="593EE2EA" w14:textId="77777777" w:rsidR="00FC5C4B" w:rsidRPr="00FC5C4B" w:rsidRDefault="00FC5C4B" w:rsidP="00432DB4">
      <w:pPr>
        <w:numPr>
          <w:ilvl w:val="0"/>
          <w:numId w:val="10"/>
        </w:num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t xml:space="preserve">La vinculación directa con las actividades que realiza la autoridad en el procedimiento de verificación del cumplimiento de las leyes. </w:t>
      </w:r>
    </w:p>
    <w:p w14:paraId="5C941674" w14:textId="77777777" w:rsidR="00FC5C4B" w:rsidRPr="00FC5C4B" w:rsidRDefault="00FC5C4B" w:rsidP="00432DB4">
      <w:pPr>
        <w:numPr>
          <w:ilvl w:val="0"/>
          <w:numId w:val="10"/>
        </w:num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lastRenderedPageBreak/>
        <w:t xml:space="preserve">Que la difusión de la información impida u obstaculice las actividades de inspección, supervisión o vigilancia que realicen las autoridades en el proceso de verificación del cumplimiento de las leyes. </w:t>
      </w:r>
    </w:p>
    <w:p w14:paraId="382E4C1D" w14:textId="77777777" w:rsidR="00FC5C4B" w:rsidRPr="00FC5C4B" w:rsidRDefault="00FC5C4B" w:rsidP="00432DB4">
      <w:pPr>
        <w:spacing w:line="360" w:lineRule="auto"/>
        <w:ind w:right="-93"/>
        <w:jc w:val="both"/>
        <w:rPr>
          <w:rFonts w:ascii="Palatino Linotype" w:hAnsi="Palatino Linotype" w:cs="Tahoma"/>
          <w:bCs/>
          <w:sz w:val="22"/>
          <w:szCs w:val="22"/>
          <w:lang w:val="es-ES" w:eastAsia="en-US"/>
        </w:rPr>
      </w:pPr>
    </w:p>
    <w:p w14:paraId="632AC48F" w14:textId="77777777" w:rsidR="00FC5C4B" w:rsidRPr="00FC5C4B" w:rsidRDefault="00FC5C4B" w:rsidP="00432DB4">
      <w:pPr>
        <w:spacing w:line="360" w:lineRule="auto"/>
        <w:ind w:right="-93"/>
        <w:jc w:val="both"/>
        <w:rPr>
          <w:rFonts w:ascii="Palatino Linotype" w:hAnsi="Palatino Linotype" w:cs="Tahoma"/>
          <w:bCs/>
          <w:sz w:val="22"/>
          <w:szCs w:val="22"/>
          <w:lang w:val="es-ES" w:eastAsia="en-US"/>
        </w:rPr>
      </w:pPr>
      <w:r w:rsidRPr="00FC5C4B">
        <w:rPr>
          <w:rFonts w:ascii="Palatino Linotype" w:hAnsi="Palatino Linotype" w:cs="Tahoma"/>
          <w:bCs/>
          <w:sz w:val="22"/>
          <w:szCs w:val="22"/>
          <w:lang w:val="es-ES" w:eastAsia="en-US"/>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7AC37B7C" w14:textId="77777777" w:rsidR="00FC5C4B" w:rsidRPr="00FC5C4B" w:rsidRDefault="00FC5C4B" w:rsidP="00432DB4">
      <w:pPr>
        <w:tabs>
          <w:tab w:val="left" w:pos="4962"/>
        </w:tabs>
        <w:spacing w:line="360" w:lineRule="auto"/>
        <w:contextualSpacing/>
        <w:jc w:val="both"/>
        <w:rPr>
          <w:rFonts w:ascii="Palatino Linotype" w:hAnsi="Palatino Linotype" w:cs="Tahoma"/>
          <w:iCs/>
          <w:color w:val="ED0000"/>
          <w:sz w:val="22"/>
          <w:szCs w:val="22"/>
        </w:rPr>
      </w:pPr>
    </w:p>
    <w:p w14:paraId="38654693"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sz w:val="22"/>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20513911" w14:textId="77777777" w:rsidR="00FC5C4B" w:rsidRPr="00FC5C4B" w:rsidRDefault="00FC5C4B" w:rsidP="00432DB4">
      <w:pPr>
        <w:tabs>
          <w:tab w:val="left" w:pos="4962"/>
        </w:tabs>
        <w:spacing w:line="360" w:lineRule="auto"/>
        <w:contextualSpacing/>
        <w:jc w:val="both"/>
        <w:rPr>
          <w:rFonts w:ascii="Palatino Linotype" w:hAnsi="Palatino Linotype"/>
          <w:sz w:val="22"/>
        </w:rPr>
      </w:pPr>
    </w:p>
    <w:p w14:paraId="6706F579"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sz w:val="22"/>
        </w:rPr>
        <w:t>Así las cosas, a continuación, se analizarán cada uno de los requisitos señalados anteriormente, con la finalidad de verificar si se configura la hipótesis de reserva en estudio:</w:t>
      </w:r>
    </w:p>
    <w:p w14:paraId="11041AEC" w14:textId="77777777" w:rsidR="00FC5C4B" w:rsidRPr="00FC5C4B" w:rsidRDefault="00FC5C4B" w:rsidP="00432DB4">
      <w:pPr>
        <w:tabs>
          <w:tab w:val="left" w:pos="4962"/>
        </w:tabs>
        <w:spacing w:line="360" w:lineRule="auto"/>
        <w:contextualSpacing/>
        <w:jc w:val="both"/>
        <w:rPr>
          <w:rFonts w:ascii="Palatino Linotype" w:hAnsi="Palatino Linotype"/>
          <w:sz w:val="22"/>
        </w:rPr>
      </w:pPr>
    </w:p>
    <w:p w14:paraId="65897BCA" w14:textId="77777777" w:rsidR="00FC5C4B" w:rsidRPr="00FC5C4B" w:rsidRDefault="00FC5C4B" w:rsidP="00432DB4">
      <w:pPr>
        <w:numPr>
          <w:ilvl w:val="0"/>
          <w:numId w:val="11"/>
        </w:numPr>
        <w:tabs>
          <w:tab w:val="left" w:pos="4962"/>
        </w:tabs>
        <w:spacing w:line="360" w:lineRule="auto"/>
        <w:contextualSpacing/>
        <w:jc w:val="both"/>
        <w:rPr>
          <w:rFonts w:ascii="Palatino Linotype" w:hAnsi="Palatino Linotype"/>
          <w:b/>
          <w:bCs/>
          <w:sz w:val="22"/>
          <w:szCs w:val="24"/>
        </w:rPr>
      </w:pPr>
      <w:r w:rsidRPr="00FC5C4B">
        <w:rPr>
          <w:rFonts w:ascii="Palatino Linotype" w:hAnsi="Palatino Linotype"/>
          <w:b/>
          <w:bCs/>
          <w:sz w:val="22"/>
          <w:szCs w:val="24"/>
        </w:rPr>
        <w:t>La existencia de un procedimiento de verificación del cumplimiento de las leyes</w:t>
      </w:r>
    </w:p>
    <w:p w14:paraId="665EED17" w14:textId="77777777" w:rsidR="00FC5C4B" w:rsidRPr="00FC5C4B" w:rsidRDefault="00FC5C4B" w:rsidP="00432DB4">
      <w:pPr>
        <w:tabs>
          <w:tab w:val="left" w:pos="4962"/>
        </w:tabs>
        <w:spacing w:line="360" w:lineRule="auto"/>
        <w:jc w:val="both"/>
        <w:rPr>
          <w:rFonts w:ascii="Palatino Linotype" w:hAnsi="Palatino Linotype"/>
          <w:b/>
          <w:bCs/>
        </w:rPr>
      </w:pPr>
    </w:p>
    <w:p w14:paraId="62BA7D18"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sz w:val="22"/>
        </w:rPr>
        <w:t>Al respecto, es de señalar que el Ayuntamiento no acreditó de ninguna manera, la existencia de un procedimiento de verificación del cumplimiento de las leyes, al no señalar algún elemento que permita su identificación.</w:t>
      </w:r>
    </w:p>
    <w:p w14:paraId="275DF795" w14:textId="77777777" w:rsidR="00FC5C4B" w:rsidRPr="00FC5C4B" w:rsidRDefault="00FC5C4B" w:rsidP="00432DB4">
      <w:pPr>
        <w:tabs>
          <w:tab w:val="left" w:pos="4962"/>
        </w:tabs>
        <w:spacing w:line="360" w:lineRule="auto"/>
        <w:contextualSpacing/>
        <w:jc w:val="both"/>
        <w:rPr>
          <w:rFonts w:ascii="Palatino Linotype" w:hAnsi="Palatino Linotype"/>
          <w:sz w:val="22"/>
        </w:rPr>
      </w:pPr>
    </w:p>
    <w:p w14:paraId="5AEFDE40"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sz w:val="22"/>
        </w:rPr>
        <w:t>Por tales circunstancias, se advierte que no existe un procedimiento de verificación del cumplimiento de las leyes, ni que pueda existir alguno respecto a la información peticionada,</w:t>
      </w:r>
    </w:p>
    <w:p w14:paraId="3F2E3642" w14:textId="77777777" w:rsidR="00FC5C4B" w:rsidRPr="00FC5C4B" w:rsidRDefault="00FC5C4B" w:rsidP="00432DB4">
      <w:pPr>
        <w:tabs>
          <w:tab w:val="left" w:pos="4962"/>
        </w:tabs>
        <w:spacing w:line="360" w:lineRule="auto"/>
        <w:contextualSpacing/>
        <w:jc w:val="both"/>
        <w:rPr>
          <w:rFonts w:ascii="Palatino Linotype" w:hAnsi="Palatino Linotype"/>
          <w:sz w:val="22"/>
        </w:rPr>
      </w:pPr>
      <w:proofErr w:type="gramStart"/>
      <w:r w:rsidRPr="00FC5C4B">
        <w:rPr>
          <w:rFonts w:ascii="Palatino Linotype" w:hAnsi="Palatino Linotype"/>
          <w:sz w:val="22"/>
        </w:rPr>
        <w:t>por</w:t>
      </w:r>
      <w:proofErr w:type="gramEnd"/>
      <w:r w:rsidRPr="00FC5C4B">
        <w:rPr>
          <w:rFonts w:ascii="Palatino Linotype" w:hAnsi="Palatino Linotype"/>
          <w:sz w:val="22"/>
        </w:rPr>
        <w:t xml:space="preserve"> lo que no se acredita el requisito número uno. Dicha determinación, toma relevancia, pues la no actualización de uno de los elementos, trae como consecuencia la improcedencia de la </w:t>
      </w:r>
      <w:r w:rsidRPr="00FC5C4B">
        <w:rPr>
          <w:rFonts w:ascii="Palatino Linotype" w:hAnsi="Palatino Linotype"/>
          <w:sz w:val="22"/>
        </w:rPr>
        <w:lastRenderedPageBreak/>
        <w:t>reserva, en términos del inciso 1, de la fracción V, del artículo 140 de la Ley de Transparencia y Acceso a la Información Pública del Estado de México y Municipios.</w:t>
      </w:r>
    </w:p>
    <w:p w14:paraId="6AE4693A" w14:textId="77777777" w:rsidR="00FC5C4B" w:rsidRPr="00FC5C4B" w:rsidRDefault="00FC5C4B" w:rsidP="00432DB4">
      <w:pPr>
        <w:tabs>
          <w:tab w:val="left" w:pos="4962"/>
        </w:tabs>
        <w:spacing w:line="360" w:lineRule="auto"/>
        <w:contextualSpacing/>
        <w:jc w:val="both"/>
        <w:rPr>
          <w:rFonts w:ascii="Palatino Linotype" w:hAnsi="Palatino Linotype"/>
          <w:sz w:val="22"/>
        </w:rPr>
      </w:pPr>
    </w:p>
    <w:p w14:paraId="57A5BB72"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sz w:val="22"/>
        </w:rPr>
        <w:t>Lo anterior, toma relevancia pues al no haber iniciado algún procedimiento de verificación de leyes, no existe una vinculación con las actividades que realiza la autoridad en el procedimiento de verificación y, por lo tanto, la difusión de dicha información, no impide u obstaculiza las actividades de inspección, supervisión o vigilancia.</w:t>
      </w:r>
    </w:p>
    <w:p w14:paraId="0C14FB7B" w14:textId="77777777" w:rsidR="00FC5C4B" w:rsidRPr="00FC5C4B" w:rsidRDefault="00FC5C4B" w:rsidP="00432DB4">
      <w:pPr>
        <w:tabs>
          <w:tab w:val="left" w:pos="4962"/>
        </w:tabs>
        <w:spacing w:line="360" w:lineRule="auto"/>
        <w:contextualSpacing/>
        <w:jc w:val="both"/>
        <w:rPr>
          <w:rFonts w:ascii="Palatino Linotype" w:hAnsi="Palatino Linotype"/>
          <w:sz w:val="22"/>
        </w:rPr>
      </w:pPr>
    </w:p>
    <w:p w14:paraId="1C0042DA" w14:textId="77777777" w:rsidR="00FC5C4B" w:rsidRPr="00FC5C4B" w:rsidRDefault="00FC5C4B" w:rsidP="00432DB4">
      <w:pPr>
        <w:tabs>
          <w:tab w:val="left" w:pos="4962"/>
        </w:tabs>
        <w:spacing w:line="360" w:lineRule="auto"/>
        <w:contextualSpacing/>
        <w:jc w:val="both"/>
        <w:rPr>
          <w:rFonts w:ascii="Palatino Linotype" w:hAnsi="Palatino Linotype"/>
          <w:b/>
          <w:bCs/>
          <w:sz w:val="22"/>
        </w:rPr>
      </w:pPr>
      <w:r w:rsidRPr="00FC5C4B">
        <w:rPr>
          <w:rFonts w:ascii="Palatino Linotype" w:hAnsi="Palatino Linotype"/>
          <w:sz w:val="22"/>
        </w:rPr>
        <w:t xml:space="preserve">Por tales consideraciones, </w:t>
      </w:r>
      <w:r w:rsidRPr="00FC5C4B">
        <w:rPr>
          <w:rFonts w:ascii="Palatino Linotype" w:hAnsi="Palatino Linotype"/>
          <w:b/>
          <w:bCs/>
          <w:sz w:val="22"/>
        </w:rPr>
        <w:t>no se actualiza la causal de reserva, establecida en el artículo 140, fracción V, inciso 1, de la Ley de Transparencia y Acceso a la Información Pública del Estado de México y Municipios y por lo cual, resulta procedente ordenar la entrega de la información requerida.</w:t>
      </w:r>
    </w:p>
    <w:p w14:paraId="51115C44" w14:textId="77777777" w:rsidR="00FC5C4B" w:rsidRPr="00FC5C4B" w:rsidRDefault="00FC5C4B" w:rsidP="00432DB4">
      <w:pPr>
        <w:tabs>
          <w:tab w:val="left" w:pos="4962"/>
        </w:tabs>
        <w:spacing w:line="360" w:lineRule="auto"/>
        <w:contextualSpacing/>
        <w:jc w:val="both"/>
        <w:rPr>
          <w:rFonts w:ascii="Palatino Linotype" w:hAnsi="Palatino Linotype"/>
          <w:b/>
          <w:bCs/>
          <w:sz w:val="22"/>
        </w:rPr>
      </w:pPr>
    </w:p>
    <w:p w14:paraId="220D89F3" w14:textId="77777777" w:rsidR="00FC5C4B" w:rsidRPr="00FC5C4B" w:rsidRDefault="00FC5C4B" w:rsidP="00432DB4">
      <w:pPr>
        <w:tabs>
          <w:tab w:val="left" w:pos="4962"/>
        </w:tabs>
        <w:spacing w:line="360" w:lineRule="auto"/>
        <w:contextualSpacing/>
        <w:jc w:val="both"/>
        <w:rPr>
          <w:rFonts w:ascii="Palatino Linotype" w:hAnsi="Palatino Linotype"/>
          <w:sz w:val="22"/>
        </w:rPr>
      </w:pPr>
      <w:r w:rsidRPr="00FC5C4B">
        <w:rPr>
          <w:rFonts w:ascii="Palatino Linotype" w:hAnsi="Palatino Linotype" w:cs="Tahoma"/>
          <w:iCs/>
          <w:color w:val="000000"/>
          <w:sz w:val="22"/>
          <w:szCs w:val="22"/>
        </w:rPr>
        <w:t>Ahora bien</w:t>
      </w:r>
      <w:r w:rsidRPr="00FC5C4B">
        <w:rPr>
          <w:rFonts w:ascii="Palatino Linotype" w:hAnsi="Palatino Linotype"/>
          <w:color w:val="000000"/>
          <w:sz w:val="22"/>
        </w:rPr>
        <w:t xml:space="preserve">, </w:t>
      </w:r>
      <w:r w:rsidRPr="00FC5C4B">
        <w:rPr>
          <w:rFonts w:ascii="Palatino Linotype" w:hAnsi="Palatino Linotype"/>
          <w:sz w:val="22"/>
        </w:rPr>
        <w:t>el artículo 140, fracción V, numeral 2, de la Ley citada, (homólogo a parte del artículo 113, fracción V de la Ley General de Transparencia y Acceso a la Información Pública), prevé lo siguiente:</w:t>
      </w:r>
    </w:p>
    <w:p w14:paraId="7C7202AB" w14:textId="77777777" w:rsidR="00FC5C4B" w:rsidRPr="00FC5C4B" w:rsidRDefault="00FC5C4B" w:rsidP="00432DB4">
      <w:pPr>
        <w:tabs>
          <w:tab w:val="left" w:pos="4962"/>
        </w:tabs>
        <w:spacing w:line="360" w:lineRule="auto"/>
        <w:contextualSpacing/>
        <w:jc w:val="both"/>
        <w:rPr>
          <w:rFonts w:ascii="Palatino Linotype" w:hAnsi="Palatino Linotype" w:cs="Tahoma"/>
          <w:iCs/>
          <w:color w:val="ED0000"/>
          <w:sz w:val="22"/>
          <w:szCs w:val="22"/>
        </w:rPr>
      </w:pPr>
    </w:p>
    <w:p w14:paraId="3CDD60B1"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val="es-ES" w:eastAsia="es-ES_tradnl"/>
        </w:rPr>
      </w:pPr>
      <w:r w:rsidRPr="00FC5C4B">
        <w:rPr>
          <w:rFonts w:ascii="Palatino Linotype" w:hAnsi="Palatino Linotype" w:cs="Tahoma"/>
          <w:i/>
          <w:iCs/>
          <w:color w:val="000000"/>
          <w:lang w:val="es-ES" w:eastAsia="es-ES_tradnl"/>
        </w:rPr>
        <w:t>“</w:t>
      </w:r>
      <w:r w:rsidRPr="00FC5C4B">
        <w:rPr>
          <w:rFonts w:ascii="Palatino Linotype" w:hAnsi="Palatino Linotype" w:cs="Tahoma"/>
          <w:b/>
          <w:i/>
          <w:iCs/>
          <w:color w:val="000000"/>
          <w:lang w:val="es-ES" w:eastAsia="es-ES_tradnl"/>
        </w:rPr>
        <w:t>Artículo 140.</w:t>
      </w:r>
      <w:r w:rsidRPr="00FC5C4B">
        <w:rPr>
          <w:rFonts w:ascii="Palatino Linotype" w:hAnsi="Palatino Linotype" w:cs="Tahoma"/>
          <w:i/>
          <w:iCs/>
          <w:color w:val="000000"/>
          <w:lang w:val="es-ES" w:eastAsia="es-ES_tradnl"/>
        </w:rPr>
        <w:t xml:space="preserve"> El acceso a la información pública será restringido excepcionalmente, cuando por razones de interés público, ésta sea clasificada como reservada, conforme a los criterios siguientes: </w:t>
      </w:r>
    </w:p>
    <w:p w14:paraId="13D348D6"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val="es-ES" w:eastAsia="es-ES_tradnl"/>
        </w:rPr>
      </w:pPr>
      <w:r w:rsidRPr="00FC5C4B">
        <w:rPr>
          <w:rFonts w:ascii="Palatino Linotype" w:hAnsi="Palatino Linotype" w:cs="Tahoma"/>
          <w:i/>
          <w:iCs/>
          <w:color w:val="000000"/>
          <w:lang w:val="es-ES" w:eastAsia="es-ES_tradnl"/>
        </w:rPr>
        <w:t>…</w:t>
      </w:r>
    </w:p>
    <w:p w14:paraId="2B9DE7C0"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eastAsia="es-ES_tradnl"/>
        </w:rPr>
      </w:pPr>
      <w:r w:rsidRPr="00FC5C4B">
        <w:rPr>
          <w:rFonts w:ascii="Palatino Linotype" w:hAnsi="Palatino Linotype" w:cs="Tahoma"/>
          <w:i/>
          <w:iCs/>
          <w:color w:val="000000"/>
          <w:lang w:eastAsia="es-ES_tradnl"/>
        </w:rPr>
        <w:t>V. Aquella cuya divulgación obstruya o pueda causar un serio perjuicio a:</w:t>
      </w:r>
    </w:p>
    <w:p w14:paraId="63D07874"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val="es-ES" w:eastAsia="es-ES_tradnl"/>
        </w:rPr>
      </w:pPr>
      <w:r w:rsidRPr="00FC5C4B">
        <w:rPr>
          <w:rFonts w:ascii="Palatino Linotype" w:hAnsi="Palatino Linotype" w:cs="Tahoma"/>
          <w:i/>
          <w:iCs/>
          <w:color w:val="000000"/>
          <w:lang w:eastAsia="es-ES_tradnl"/>
        </w:rPr>
        <w:t>…</w:t>
      </w:r>
    </w:p>
    <w:p w14:paraId="4FA9F3D3"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val="es-ES" w:eastAsia="es-ES_tradnl"/>
        </w:rPr>
      </w:pPr>
      <w:r w:rsidRPr="00FC5C4B">
        <w:rPr>
          <w:rFonts w:ascii="Palatino Linotype" w:hAnsi="Palatino Linotype" w:cs="Tahoma"/>
          <w:i/>
          <w:iCs/>
          <w:color w:val="000000"/>
          <w:lang w:eastAsia="es-ES_tradnl"/>
        </w:rPr>
        <w:t>2. La recaudación de las contribuciones.</w:t>
      </w:r>
    </w:p>
    <w:p w14:paraId="45FBBEE4" w14:textId="77777777" w:rsidR="00FC5C4B" w:rsidRPr="00FC5C4B" w:rsidRDefault="00FC5C4B" w:rsidP="00432DB4">
      <w:pPr>
        <w:tabs>
          <w:tab w:val="left" w:pos="4962"/>
        </w:tabs>
        <w:spacing w:line="360" w:lineRule="auto"/>
        <w:ind w:left="567" w:right="567"/>
        <w:jc w:val="both"/>
        <w:rPr>
          <w:rFonts w:ascii="Palatino Linotype" w:hAnsi="Palatino Linotype" w:cs="Tahoma"/>
          <w:i/>
          <w:iCs/>
          <w:color w:val="000000"/>
          <w:lang w:val="es-ES" w:eastAsia="es-ES_tradnl"/>
        </w:rPr>
      </w:pPr>
      <w:r w:rsidRPr="00FC5C4B">
        <w:rPr>
          <w:rFonts w:ascii="Palatino Linotype" w:hAnsi="Palatino Linotype" w:cs="Tahoma"/>
          <w:i/>
          <w:iCs/>
          <w:color w:val="000000"/>
          <w:lang w:val="es-ES" w:eastAsia="es-ES_tradnl"/>
        </w:rPr>
        <w:t xml:space="preserve">…” </w:t>
      </w:r>
    </w:p>
    <w:p w14:paraId="65D7177A"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07AC9DAF"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lastRenderedPageBreak/>
        <w:t>De dicho precepto normativo se desprende que podrá clasificarse como información reservada aquella cuya publicación obstruya o cause perjuicio a la recaudación de contribuciones. Por su parte, los Lineamientos Generales establecen lo siguiente:</w:t>
      </w:r>
    </w:p>
    <w:p w14:paraId="0429E771"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56A09B9D" w14:textId="77777777" w:rsidR="00FC5C4B" w:rsidRPr="00FC5C4B" w:rsidRDefault="00FC5C4B" w:rsidP="00432DB4">
      <w:pPr>
        <w:spacing w:line="360" w:lineRule="auto"/>
        <w:ind w:left="567" w:right="567"/>
        <w:jc w:val="both"/>
        <w:rPr>
          <w:rFonts w:ascii="Palatino Linotype" w:hAnsi="Palatino Linotype" w:cs="Arial"/>
          <w:bCs/>
          <w:i/>
          <w:iCs/>
        </w:rPr>
      </w:pPr>
      <w:r w:rsidRPr="00FC5C4B">
        <w:rPr>
          <w:rFonts w:ascii="Palatino Linotype" w:hAnsi="Palatino Linotype" w:cs="Arial"/>
          <w:bCs/>
          <w:i/>
          <w:iCs/>
        </w:rPr>
        <w:t>“…</w:t>
      </w:r>
      <w:r w:rsidRPr="00FC5C4B">
        <w:rPr>
          <w:rFonts w:ascii="Palatino Linotype" w:hAnsi="Palatino Linotype" w:cs="Arial"/>
          <w:b/>
          <w:i/>
          <w:iCs/>
        </w:rPr>
        <w:t>Vigésimo quinto.</w:t>
      </w:r>
      <w:r w:rsidRPr="00FC5C4B">
        <w:rPr>
          <w:rFonts w:ascii="Palatino Linotype" w:hAnsi="Palatino Linotype" w:cs="Arial"/>
          <w:bCs/>
          <w:i/>
          <w:iCs/>
        </w:rPr>
        <w:t>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6A7EAD6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18CF1A51"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Del lineamiento en cita, se colige que se trata de información reservada, aquella que cuya difusión pueda obstruir o impedir el ejercicio de las facultades de recaudación y comprobación del cumplimiento de obligaciones fiscales por parte del Ayuntamiento.</w:t>
      </w:r>
    </w:p>
    <w:p w14:paraId="5C315D5B"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6CD75448"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Al respecto, los artículos 115, fracción IV, de la Constitución Política de los Estados Unidos Mexicanos y 125, fracciones I a III, de la Constitución Política de los Estado Libre y Soberano de México, precisan que los Municipios administrarán libremente su hacienda, la cual se formará de los rendimientos de los bienes que les pertenezcan, así como de las contribuciones y otros ingresos tengan, conforme a lo siguiente:</w:t>
      </w:r>
    </w:p>
    <w:p w14:paraId="1BC94166"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12DEA79F" w14:textId="77777777" w:rsidR="00FC5C4B" w:rsidRPr="00FC5C4B" w:rsidRDefault="00FC5C4B" w:rsidP="00432DB4">
      <w:pPr>
        <w:numPr>
          <w:ilvl w:val="0"/>
          <w:numId w:val="12"/>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Podrán percibir contribuciones que establezcan los Estados sobre la propiedad</w:t>
      </w:r>
    </w:p>
    <w:p w14:paraId="02D12FC5" w14:textId="77777777" w:rsidR="00FC5C4B" w:rsidRPr="00FC5C4B" w:rsidRDefault="00FC5C4B" w:rsidP="00432DB4">
      <w:pPr>
        <w:numPr>
          <w:ilvl w:val="0"/>
          <w:numId w:val="12"/>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inmobiliaria, de su fraccionamiento, división, consolidación, traslación y mejora;</w:t>
      </w:r>
    </w:p>
    <w:p w14:paraId="2E22441A" w14:textId="77777777" w:rsidR="00FC5C4B" w:rsidRPr="00FC5C4B" w:rsidRDefault="00FC5C4B" w:rsidP="00432DB4">
      <w:pPr>
        <w:numPr>
          <w:ilvl w:val="0"/>
          <w:numId w:val="12"/>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Las participaciones federales, y</w:t>
      </w:r>
    </w:p>
    <w:p w14:paraId="739B6160" w14:textId="77777777" w:rsidR="00FC5C4B" w:rsidRPr="00FC5C4B" w:rsidRDefault="00FC5C4B" w:rsidP="00432DB4">
      <w:pPr>
        <w:numPr>
          <w:ilvl w:val="0"/>
          <w:numId w:val="12"/>
        </w:numPr>
        <w:tabs>
          <w:tab w:val="left" w:pos="4962"/>
        </w:tabs>
        <w:spacing w:line="360" w:lineRule="auto"/>
        <w:contextualSpacing/>
        <w:jc w:val="both"/>
        <w:rPr>
          <w:rFonts w:ascii="Palatino Linotype" w:hAnsi="Palatino Linotype" w:cs="Tahoma"/>
          <w:iCs/>
          <w:sz w:val="22"/>
          <w:szCs w:val="22"/>
        </w:rPr>
      </w:pPr>
      <w:r w:rsidRPr="00FC5C4B">
        <w:rPr>
          <w:rFonts w:ascii="Palatino Linotype" w:hAnsi="Palatino Linotype" w:cs="Tahoma"/>
          <w:iCs/>
          <w:sz w:val="22"/>
          <w:szCs w:val="22"/>
        </w:rPr>
        <w:t>Los ingresos derivados de la prestación de servicios públicos.</w:t>
      </w:r>
    </w:p>
    <w:p w14:paraId="2AF39F1B" w14:textId="77777777" w:rsidR="00FC5C4B" w:rsidRPr="00FC5C4B" w:rsidRDefault="00FC5C4B" w:rsidP="00432DB4">
      <w:pPr>
        <w:tabs>
          <w:tab w:val="left" w:pos="4962"/>
        </w:tabs>
        <w:spacing w:line="360" w:lineRule="auto"/>
        <w:contextualSpacing/>
        <w:jc w:val="both"/>
        <w:rPr>
          <w:rFonts w:ascii="Palatino Linotype" w:hAnsi="Palatino Linotype" w:cs="Tahoma"/>
          <w:iCs/>
          <w:sz w:val="22"/>
          <w:szCs w:val="22"/>
        </w:rPr>
      </w:pPr>
    </w:p>
    <w:p w14:paraId="5F2B92C4"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Al respecto, los artículos 115, fracción IV, de la Constitución Política de los Estados Unidos Mexicanos y 125, fracciones I a III, de la Constitución Política de los Estado Libre y Soberano </w:t>
      </w:r>
      <w:r w:rsidRPr="00FC5C4B">
        <w:rPr>
          <w:rFonts w:ascii="Palatino Linotype" w:eastAsia="Palatino Linotype" w:hAnsi="Palatino Linotype" w:cs="Palatino Linotype"/>
          <w:color w:val="000000"/>
          <w:sz w:val="22"/>
          <w:szCs w:val="22"/>
          <w:lang w:eastAsia="es-MX"/>
        </w:rPr>
        <w:lastRenderedPageBreak/>
        <w:t>de México, precisan que los Municipios administrarán libremente su hacienda, la cual se formará de los rendimientos de los bienes que les pertenezcan, así como de las contribuciones y otros ingresos tengan, conforme a lo siguiente:</w:t>
      </w:r>
    </w:p>
    <w:p w14:paraId="25AA5FBE" w14:textId="77777777"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p>
    <w:p w14:paraId="1427BD24" w14:textId="77777777" w:rsidR="00FC5C4B" w:rsidRDefault="00FC5C4B" w:rsidP="00432DB4">
      <w:pPr>
        <w:numPr>
          <w:ilvl w:val="0"/>
          <w:numId w:val="13"/>
        </w:num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Podrán percibir contribuciones que establezcan los Estados sobre la propiedad inmobiliaria, de su fraccionamiento, división, consolidación, traslación y mejora;</w:t>
      </w:r>
    </w:p>
    <w:p w14:paraId="07CE993C" w14:textId="77777777" w:rsidR="00FC5C4B" w:rsidRPr="00FC5C4B" w:rsidRDefault="00FC5C4B" w:rsidP="00432DB4">
      <w:pPr>
        <w:spacing w:line="360" w:lineRule="auto"/>
        <w:ind w:left="720"/>
        <w:jc w:val="both"/>
        <w:rPr>
          <w:rFonts w:ascii="Palatino Linotype" w:eastAsia="Palatino Linotype" w:hAnsi="Palatino Linotype" w:cs="Palatino Linotype"/>
          <w:color w:val="000000"/>
          <w:sz w:val="22"/>
          <w:szCs w:val="22"/>
          <w:lang w:eastAsia="es-MX"/>
        </w:rPr>
      </w:pPr>
    </w:p>
    <w:p w14:paraId="538FBBA2" w14:textId="77777777" w:rsidR="00FC5C4B" w:rsidRPr="00FC5C4B" w:rsidRDefault="00FC5C4B" w:rsidP="00432DB4">
      <w:pPr>
        <w:numPr>
          <w:ilvl w:val="0"/>
          <w:numId w:val="13"/>
        </w:num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Las participaciones federales, y</w:t>
      </w:r>
    </w:p>
    <w:p w14:paraId="4C1E2079" w14:textId="77777777" w:rsidR="00FC5C4B" w:rsidRPr="00FC5C4B" w:rsidRDefault="00FC5C4B" w:rsidP="00432DB4">
      <w:pPr>
        <w:numPr>
          <w:ilvl w:val="0"/>
          <w:numId w:val="13"/>
        </w:num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Los ingresos derivados de la prestación de servicios públicos.</w:t>
      </w:r>
    </w:p>
    <w:p w14:paraId="3AD0AE01" w14:textId="77777777" w:rsidR="00FC5C4B" w:rsidRPr="00FC5C4B" w:rsidRDefault="00FC5C4B" w:rsidP="00432DB4">
      <w:pPr>
        <w:spacing w:line="360" w:lineRule="auto"/>
        <w:ind w:left="720"/>
        <w:rPr>
          <w:rFonts w:ascii="Palatino Linotype" w:eastAsia="Palatino Linotype" w:hAnsi="Palatino Linotype" w:cs="Palatino Linotype"/>
          <w:color w:val="000000"/>
          <w:sz w:val="22"/>
          <w:szCs w:val="22"/>
          <w:lang w:eastAsia="es-MX"/>
        </w:rPr>
      </w:pPr>
    </w:p>
    <w:p w14:paraId="72B0335A" w14:textId="5655546D" w:rsidR="00FC5C4B" w:rsidRPr="00FC5C4B" w:rsidRDefault="00FC5C4B" w:rsidP="00432DB4">
      <w:pPr>
        <w:spacing w:line="360" w:lineRule="auto"/>
        <w:jc w:val="both"/>
        <w:rPr>
          <w:rFonts w:ascii="Palatino Linotype" w:eastAsia="Palatino Linotype" w:hAnsi="Palatino Linotype" w:cs="Palatino Linotype"/>
          <w:color w:val="000000"/>
          <w:sz w:val="22"/>
          <w:szCs w:val="22"/>
          <w:lang w:eastAsia="es-MX"/>
        </w:rPr>
      </w:pPr>
      <w:r w:rsidRPr="00FC5C4B">
        <w:rPr>
          <w:rFonts w:ascii="Palatino Linotype" w:eastAsia="Palatino Linotype" w:hAnsi="Palatino Linotype" w:cs="Palatino Linotype"/>
          <w:color w:val="000000"/>
          <w:sz w:val="22"/>
          <w:szCs w:val="22"/>
          <w:lang w:eastAsia="es-MX"/>
        </w:rPr>
        <w:t xml:space="preserve">Conforme a lo expuesto, se colige que el Ayuntamiento de </w:t>
      </w:r>
      <w:r>
        <w:rPr>
          <w:rFonts w:ascii="Palatino Linotype" w:eastAsia="Palatino Linotype" w:hAnsi="Palatino Linotype" w:cs="Palatino Linotype"/>
          <w:color w:val="000000"/>
          <w:sz w:val="22"/>
          <w:szCs w:val="22"/>
          <w:lang w:eastAsia="es-MX"/>
        </w:rPr>
        <w:t>Ecatepec de Morelos</w:t>
      </w:r>
      <w:r w:rsidRPr="00FC5C4B">
        <w:rPr>
          <w:rFonts w:ascii="Palatino Linotype" w:eastAsia="Palatino Linotype" w:hAnsi="Palatino Linotype" w:cs="Palatino Linotype"/>
          <w:color w:val="000000"/>
          <w:sz w:val="22"/>
          <w:szCs w:val="22"/>
          <w:lang w:eastAsia="es-MX"/>
        </w:rPr>
        <w:t xml:space="preserve"> es una autoridad fiscal, encargada de recabar diversos derechos, contribuciones, entre otros y, por lo tanto, cuenta en sus archivos información que puede obstruir o impedir el ejercicio de sus facultades que lleva como autoridad competente para recaudar, fiscalizar y comprobar el cumplimiento de las obligaciones fiscales.</w:t>
      </w:r>
    </w:p>
    <w:p w14:paraId="6CAEFF79"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sz w:val="22"/>
        </w:rPr>
      </w:pPr>
    </w:p>
    <w:p w14:paraId="108BC7DC" w14:textId="0622359C" w:rsidR="00FC5C4B" w:rsidRPr="00FC5C4B" w:rsidRDefault="00FC5C4B" w:rsidP="00432DB4">
      <w:pPr>
        <w:tabs>
          <w:tab w:val="left" w:pos="4962"/>
        </w:tabs>
        <w:spacing w:line="360" w:lineRule="auto"/>
        <w:contextualSpacing/>
        <w:jc w:val="both"/>
        <w:rPr>
          <w:rFonts w:ascii="Palatino Linotype" w:eastAsia="Calibri" w:hAnsi="Palatino Linotype" w:cs="Tahoma"/>
          <w:sz w:val="22"/>
        </w:rPr>
      </w:pPr>
      <w:r w:rsidRPr="00FC5C4B">
        <w:rPr>
          <w:rFonts w:ascii="Palatino Linotype" w:eastAsia="Calibri" w:hAnsi="Palatino Linotype" w:cs="Tahoma"/>
          <w:sz w:val="22"/>
        </w:rPr>
        <w:t xml:space="preserve">Sin embargo, cabe recordar que la pretensión del ahora Recurrente, es </w:t>
      </w:r>
      <w:r>
        <w:rPr>
          <w:rFonts w:ascii="Palatino Linotype" w:eastAsia="Calibri" w:hAnsi="Palatino Linotype" w:cs="Tahoma"/>
          <w:sz w:val="22"/>
        </w:rPr>
        <w:t>conocer respecto a los recursos públicos erogados por medio de cheque</w:t>
      </w:r>
      <w:r w:rsidRPr="00FC5C4B">
        <w:rPr>
          <w:rFonts w:ascii="Palatino Linotype" w:eastAsia="Calibri" w:hAnsi="Palatino Linotype" w:cs="Tahoma"/>
          <w:sz w:val="22"/>
        </w:rPr>
        <w:t>; por lo que, no se logra advertir la forma en que con dicha información pueda afectar la función de recaudar contribuciones del Sujeto Obligado, pues dicha información no da cuenta de la forma en que realizan dichas actividades, ni se trata de aquella obtenida en virtud de los trámites relativos a la aplicación de las disposiciones tributarias, así  como, de sus facultades de comprobación.</w:t>
      </w:r>
    </w:p>
    <w:p w14:paraId="5D7F02FC"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sz w:val="22"/>
        </w:rPr>
      </w:pPr>
    </w:p>
    <w:p w14:paraId="6CA262FF"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sz w:val="22"/>
        </w:rPr>
      </w:pPr>
      <w:r w:rsidRPr="00FC5C4B">
        <w:rPr>
          <w:rFonts w:ascii="Palatino Linotype" w:eastAsia="Calibri" w:hAnsi="Palatino Linotype" w:cs="Tahoma"/>
          <w:sz w:val="22"/>
        </w:rPr>
        <w:t>Por tales circunstancias, se considera que la información solicitada por el Sujeto Obligado no</w:t>
      </w:r>
    </w:p>
    <w:p w14:paraId="2CBCCE98" w14:textId="1CFA73A5" w:rsidR="00FC5C4B" w:rsidRPr="00FC5C4B" w:rsidRDefault="00FC5C4B" w:rsidP="00432DB4">
      <w:pPr>
        <w:tabs>
          <w:tab w:val="left" w:pos="4962"/>
        </w:tabs>
        <w:spacing w:line="360" w:lineRule="auto"/>
        <w:contextualSpacing/>
        <w:jc w:val="both"/>
        <w:rPr>
          <w:rFonts w:ascii="Palatino Linotype" w:eastAsia="Calibri" w:hAnsi="Palatino Linotype" w:cs="Tahoma"/>
          <w:sz w:val="22"/>
        </w:rPr>
      </w:pPr>
      <w:proofErr w:type="gramStart"/>
      <w:r w:rsidRPr="00FC5C4B">
        <w:rPr>
          <w:rFonts w:ascii="Palatino Linotype" w:eastAsia="Calibri" w:hAnsi="Palatino Linotype" w:cs="Tahoma"/>
          <w:sz w:val="22"/>
        </w:rPr>
        <w:t>actualiza</w:t>
      </w:r>
      <w:proofErr w:type="gramEnd"/>
      <w:r w:rsidRPr="00FC5C4B">
        <w:rPr>
          <w:rFonts w:ascii="Palatino Linotype" w:eastAsia="Calibri" w:hAnsi="Palatino Linotype" w:cs="Tahoma"/>
          <w:sz w:val="22"/>
        </w:rPr>
        <w:t xml:space="preserve"> la causal de reserva, establecida en el artículo 140, fracción V, numeral 2 de la Ley de Transparencia y Acceso a la Información Pública del Estado de México y Municipios, pues </w:t>
      </w:r>
      <w:r w:rsidRPr="00FC5C4B">
        <w:rPr>
          <w:rFonts w:ascii="Palatino Linotype" w:eastAsia="Calibri" w:hAnsi="Palatino Linotype" w:cs="Tahoma"/>
          <w:sz w:val="22"/>
        </w:rPr>
        <w:lastRenderedPageBreak/>
        <w:t>como se indicó no obstruye o impide el ejercicio de las facultades de recaudación del Ayuntamiento.</w:t>
      </w:r>
      <w:r w:rsidRPr="00FC5C4B">
        <w:t xml:space="preserve"> </w:t>
      </w:r>
    </w:p>
    <w:p w14:paraId="624E5DBB" w14:textId="77777777" w:rsidR="00FC5C4B" w:rsidRDefault="00FC5C4B" w:rsidP="00432DB4">
      <w:pPr>
        <w:spacing w:line="360" w:lineRule="auto"/>
        <w:jc w:val="both"/>
        <w:rPr>
          <w:rFonts w:ascii="Palatino Linotype" w:hAnsi="Palatino Linotype" w:cs="Tahoma"/>
          <w:bCs/>
          <w:iCs/>
          <w:color w:val="000000"/>
          <w:sz w:val="22"/>
          <w:szCs w:val="22"/>
        </w:rPr>
      </w:pPr>
    </w:p>
    <w:p w14:paraId="736EB7D5" w14:textId="77777777" w:rsidR="00FC5C4B" w:rsidRPr="00FC5C4B" w:rsidRDefault="00FC5C4B" w:rsidP="00432DB4">
      <w:pPr>
        <w:spacing w:line="360" w:lineRule="auto"/>
        <w:jc w:val="both"/>
        <w:rPr>
          <w:rFonts w:ascii="Palatino Linotype" w:eastAsia="Palatino Linotype" w:hAnsi="Palatino Linotype" w:cs="Tahoma"/>
          <w:bCs/>
          <w:color w:val="000000"/>
          <w:sz w:val="22"/>
          <w:szCs w:val="22"/>
          <w:lang w:val="es-ES" w:eastAsia="es-MX"/>
        </w:rPr>
      </w:pPr>
      <w:r w:rsidRPr="00FC5C4B">
        <w:rPr>
          <w:rFonts w:ascii="Palatino Linotype" w:eastAsia="Palatino Linotype" w:hAnsi="Palatino Linotype" w:cs="Tahoma"/>
          <w:bCs/>
          <w:color w:val="000000"/>
          <w:sz w:val="22"/>
          <w:szCs w:val="22"/>
          <w:lang w:val="es-ES" w:eastAsia="es-MX"/>
        </w:rPr>
        <w:t xml:space="preserve">En ese contexto, los artículos 3°, fracción XLV, y 137 de la Ley de Transparencia y Acceso a la Información Pública del Estado de México y Municipios y los numerales Segundo, fracción XVIII, y Quincuagésimo sexto de los </w:t>
      </w:r>
      <w:r w:rsidRPr="00FC5C4B">
        <w:rPr>
          <w:rFonts w:ascii="Palatino Linotype" w:eastAsia="Palatino Linotype" w:hAnsi="Palatino Linotype" w:cs="Palatino Linotype"/>
          <w:color w:val="000000"/>
          <w:sz w:val="22"/>
          <w:szCs w:val="22"/>
          <w:lang w:eastAsia="es-MX"/>
        </w:rPr>
        <w:t>Lineamientos Generales</w:t>
      </w:r>
      <w:r w:rsidRPr="00FC5C4B">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798F4B9B" w14:textId="77777777" w:rsidR="00FC5C4B" w:rsidRPr="00FC5C4B" w:rsidRDefault="00FC5C4B" w:rsidP="00432DB4">
      <w:pPr>
        <w:spacing w:line="360" w:lineRule="auto"/>
        <w:jc w:val="both"/>
        <w:rPr>
          <w:rFonts w:ascii="Palatino Linotype" w:eastAsia="Palatino Linotype" w:hAnsi="Palatino Linotype" w:cs="Tahoma"/>
          <w:bCs/>
          <w:color w:val="000000"/>
          <w:sz w:val="22"/>
          <w:szCs w:val="22"/>
          <w:lang w:val="es-ES" w:eastAsia="es-MX"/>
        </w:rPr>
      </w:pPr>
    </w:p>
    <w:p w14:paraId="09546270" w14:textId="77777777" w:rsidR="00FC5C4B" w:rsidRDefault="00FC5C4B" w:rsidP="00432DB4">
      <w:pPr>
        <w:spacing w:line="360" w:lineRule="auto"/>
        <w:jc w:val="both"/>
        <w:rPr>
          <w:rFonts w:ascii="Palatino Linotype" w:eastAsia="Palatino Linotype" w:hAnsi="Palatino Linotype" w:cs="Tahoma"/>
          <w:bCs/>
          <w:color w:val="000000"/>
          <w:sz w:val="22"/>
          <w:szCs w:val="22"/>
          <w:lang w:val="es-ES" w:eastAsia="es-MX"/>
        </w:rPr>
      </w:pPr>
      <w:r w:rsidRPr="00FC5C4B">
        <w:rPr>
          <w:rFonts w:ascii="Palatino Linotype" w:eastAsia="Palatino Linotype" w:hAnsi="Palatino Linotype" w:cs="Tahoma"/>
          <w:bCs/>
          <w:color w:val="000000"/>
          <w:sz w:val="22"/>
          <w:szCs w:val="22"/>
          <w:lang w:val="es-ES" w:eastAsia="es-MX"/>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 con lo cual se robustece que no procede la reservada aludida.</w:t>
      </w:r>
    </w:p>
    <w:p w14:paraId="18188DF0" w14:textId="77777777" w:rsidR="00E36106" w:rsidRDefault="00E36106" w:rsidP="00432DB4">
      <w:pPr>
        <w:spacing w:line="360" w:lineRule="auto"/>
        <w:jc w:val="both"/>
        <w:rPr>
          <w:rFonts w:ascii="Palatino Linotype" w:eastAsia="Palatino Linotype" w:hAnsi="Palatino Linotype" w:cs="Tahoma"/>
          <w:bCs/>
          <w:color w:val="000000"/>
          <w:sz w:val="22"/>
          <w:szCs w:val="22"/>
          <w:lang w:val="es-ES" w:eastAsia="es-MX"/>
        </w:rPr>
      </w:pPr>
    </w:p>
    <w:p w14:paraId="63CB93D0" w14:textId="77777777" w:rsidR="00E36106" w:rsidRPr="00E36106" w:rsidRDefault="00E36106" w:rsidP="00432DB4">
      <w:pPr>
        <w:spacing w:line="360" w:lineRule="auto"/>
        <w:jc w:val="both"/>
        <w:rPr>
          <w:rFonts w:ascii="Palatino Linotype" w:hAnsi="Palatino Linotype" w:cs="Arial"/>
          <w:color w:val="000000"/>
          <w:sz w:val="22"/>
          <w:szCs w:val="22"/>
          <w:lang w:val="x-none"/>
        </w:rPr>
      </w:pPr>
      <w:r w:rsidRPr="00E36106">
        <w:rPr>
          <w:rFonts w:ascii="Palatino Linotype" w:eastAsia="Palatino Linotype" w:hAnsi="Palatino Linotype" w:cs="Palatino Linotype"/>
          <w:color w:val="000000"/>
          <w:sz w:val="22"/>
          <w:szCs w:val="22"/>
          <w:lang w:eastAsia="es-MX"/>
        </w:rPr>
        <w:t xml:space="preserve">Además, se considera que los documentos solicitados rinden cuentas </w:t>
      </w:r>
      <w:r w:rsidRPr="00E36106">
        <w:rPr>
          <w:rFonts w:ascii="Palatino Linotype" w:eastAsia="Calibri" w:hAnsi="Palatino Linotype" w:cs="Tahoma"/>
          <w:bCs/>
          <w:color w:val="000000"/>
          <w:sz w:val="22"/>
          <w:szCs w:val="22"/>
          <w:lang w:eastAsia="es-MX"/>
        </w:rPr>
        <w:t>de la forma en que utiliza el Ayuntamiento los recursos públicos</w:t>
      </w:r>
      <w:r w:rsidRPr="00E36106">
        <w:rPr>
          <w:rFonts w:ascii="Palatino Linotype" w:hAnsi="Palatino Linotype" w:cs="Tahoma"/>
          <w:bCs/>
          <w:iCs/>
          <w:color w:val="000000"/>
          <w:sz w:val="22"/>
          <w:szCs w:val="22"/>
          <w:lang w:val="es-ES_tradnl"/>
        </w:rPr>
        <w:t>; sobre</w:t>
      </w:r>
      <w:r w:rsidRPr="00E36106">
        <w:rPr>
          <w:rFonts w:ascii="Palatino Linotype" w:hAnsi="Palatino Linotype" w:cs="Tahoma"/>
          <w:color w:val="000000"/>
          <w:sz w:val="22"/>
          <w:szCs w:val="22"/>
          <w:lang w:val="es-ES"/>
        </w:rPr>
        <w:t xml:space="preserve"> el tema, </w:t>
      </w:r>
      <w:r w:rsidRPr="00E36106">
        <w:rPr>
          <w:rFonts w:ascii="Palatino Linotype" w:hAnsi="Palatino Linotype" w:cs="Arial"/>
          <w:bCs/>
          <w:color w:val="000000"/>
          <w:sz w:val="22"/>
          <w:szCs w:val="22"/>
        </w:rPr>
        <w:t xml:space="preserve">según Arizmendi, Guillermo (2016), en la “Ley General de Transparencia y Acceso a la Información Pública Comentada” (p. 240 y 241), los recursos públicos, deber ser administrado con responsabilidad y transparencia. </w:t>
      </w:r>
      <w:r w:rsidRPr="00E36106">
        <w:rPr>
          <w:rFonts w:ascii="Palatino Linotype" w:hAnsi="Palatino Linotype" w:cs="Tahoma"/>
          <w:color w:val="000000"/>
          <w:sz w:val="22"/>
          <w:szCs w:val="22"/>
          <w:lang w:val="es-ES"/>
        </w:rPr>
        <w:t xml:space="preserve">En ese orden de ideas, según Trujillo, Humberto (2019), en el “Diccionario de Transparencia y Acceso a la Información Pública” (p. 276), </w:t>
      </w:r>
      <w:r w:rsidRPr="00E36106">
        <w:rPr>
          <w:rFonts w:ascii="Palatino Linotype" w:hAnsi="Palatino Linotype" w:cs="Tahoma"/>
          <w:b/>
          <w:color w:val="000000"/>
          <w:sz w:val="22"/>
          <w:szCs w:val="22"/>
          <w:lang w:val="es-ES"/>
        </w:rPr>
        <w:t xml:space="preserve">los recursos públicos son los ingresos económicos, que obtiene el Estado y que asigna (a partir del presupuesto) al ejercicio de sus actividades, </w:t>
      </w:r>
      <w:r w:rsidRPr="00E36106">
        <w:rPr>
          <w:rFonts w:ascii="Palatino Linotype" w:hAnsi="Palatino Linotype" w:cs="Tahoma"/>
          <w:b/>
          <w:color w:val="000000"/>
          <w:sz w:val="22"/>
          <w:szCs w:val="22"/>
          <w:lang w:val="es-ES"/>
        </w:rPr>
        <w:lastRenderedPageBreak/>
        <w:t>los cuales deben ser asignados de manera transparente y bajo un sistema de rendición de cuentas, para que las personas puedan monitorear, evaluar y cuestionar su gasto.</w:t>
      </w:r>
    </w:p>
    <w:p w14:paraId="13F272A0" w14:textId="77777777" w:rsidR="00E36106" w:rsidRPr="00E36106" w:rsidRDefault="00E36106" w:rsidP="00432DB4">
      <w:pPr>
        <w:spacing w:line="360" w:lineRule="auto"/>
        <w:jc w:val="both"/>
        <w:rPr>
          <w:rFonts w:ascii="Palatino Linotype" w:hAnsi="Palatino Linotype" w:cs="Tahoma"/>
          <w:b/>
          <w:color w:val="000000"/>
          <w:sz w:val="22"/>
          <w:szCs w:val="22"/>
          <w:lang w:val="es-ES"/>
        </w:rPr>
      </w:pPr>
    </w:p>
    <w:p w14:paraId="5724125B" w14:textId="77777777" w:rsidR="00E36106" w:rsidRPr="00E36106" w:rsidRDefault="00E36106" w:rsidP="00432DB4">
      <w:pPr>
        <w:spacing w:line="360" w:lineRule="auto"/>
        <w:jc w:val="both"/>
        <w:rPr>
          <w:rFonts w:ascii="Palatino Linotype" w:hAnsi="Palatino Linotype" w:cs="Tahoma"/>
          <w:color w:val="000000"/>
          <w:sz w:val="22"/>
          <w:szCs w:val="22"/>
        </w:rPr>
      </w:pPr>
      <w:r w:rsidRPr="00E36106">
        <w:rPr>
          <w:rFonts w:ascii="Palatino Linotype" w:hAnsi="Palatino Linotype" w:cs="Tahoma"/>
          <w:color w:val="000000"/>
          <w:sz w:val="22"/>
          <w:szCs w:val="22"/>
          <w:lang w:val="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E36106">
        <w:rPr>
          <w:rFonts w:ascii="Palatino Linotype" w:hAnsi="Palatino Linotype" w:cs="Tahoma"/>
          <w:b/>
          <w:color w:val="000000"/>
          <w:sz w:val="22"/>
          <w:szCs w:val="22"/>
          <w:lang w:val="es-ES"/>
        </w:rPr>
        <w:t xml:space="preserve">transparencia </w:t>
      </w:r>
      <w:r w:rsidRPr="00E36106">
        <w:rPr>
          <w:rFonts w:ascii="Palatino Linotype" w:hAnsi="Palatino Linotype" w:cs="Tahoma"/>
          <w:color w:val="000000"/>
          <w:sz w:val="22"/>
          <w:szCs w:val="22"/>
          <w:lang w:val="es-ES"/>
        </w:rPr>
        <w:t xml:space="preserve">y honradez; sobre lo referido,  </w:t>
      </w:r>
      <w:r w:rsidRPr="00E36106">
        <w:rPr>
          <w:rFonts w:ascii="Palatino Linotype" w:hAnsi="Palatino Linotype" w:cs="Tahoma"/>
          <w:color w:val="000000"/>
          <w:sz w:val="22"/>
          <w:szCs w:val="22"/>
        </w:rPr>
        <w:t>la Tesis número 1a.CXLV/2009, Novena Época, publicada en el Semanario Judicial de la Federación, Tomo XXX, de septiembre de dos mil nueve, (p. 2712), establece lo siguiente:</w:t>
      </w:r>
    </w:p>
    <w:p w14:paraId="1DE109AC" w14:textId="77777777" w:rsidR="00E36106" w:rsidRPr="00E36106" w:rsidRDefault="00E36106" w:rsidP="00432DB4">
      <w:pPr>
        <w:spacing w:line="360" w:lineRule="auto"/>
        <w:jc w:val="both"/>
        <w:rPr>
          <w:rFonts w:ascii="Palatino Linotype" w:hAnsi="Palatino Linotype" w:cs="Tahoma"/>
          <w:color w:val="000000"/>
          <w:sz w:val="22"/>
          <w:szCs w:val="22"/>
          <w:lang w:val="es-ES"/>
        </w:rPr>
      </w:pPr>
    </w:p>
    <w:p w14:paraId="5D3CD271" w14:textId="77777777" w:rsidR="00E36106" w:rsidRPr="00E36106" w:rsidRDefault="00E36106" w:rsidP="00432DB4">
      <w:pPr>
        <w:spacing w:line="360" w:lineRule="auto"/>
        <w:ind w:left="567" w:right="567"/>
        <w:jc w:val="both"/>
        <w:rPr>
          <w:rFonts w:ascii="Palatino Linotype" w:hAnsi="Palatino Linotype" w:cs="Tahoma"/>
          <w:bCs/>
          <w:i/>
          <w:iCs/>
          <w:color w:val="000000"/>
          <w:lang w:val="es-ES"/>
        </w:rPr>
      </w:pPr>
      <w:r w:rsidRPr="00E36106">
        <w:rPr>
          <w:rFonts w:ascii="Palatino Linotype" w:hAnsi="Palatino Linotype" w:cs="Tahoma"/>
          <w:b/>
          <w:bCs/>
          <w:i/>
          <w:iCs/>
          <w:color w:val="000000"/>
          <w:lang w:val="es-ES"/>
        </w:rPr>
        <w:t>“</w:t>
      </w:r>
      <w:r w:rsidRPr="00E36106">
        <w:rPr>
          <w:rFonts w:ascii="Palatino Linotype" w:hAnsi="Palatino Linotype" w:cs="Tahoma"/>
          <w:b/>
          <w:bCs/>
          <w:i/>
          <w:iCs/>
          <w:color w:val="000000"/>
        </w:rPr>
        <w:t xml:space="preserve">GASTO PÚBLICO. EL ARTÍCULO 134 DE LA CONSTITUCIÓN POLÍTICA DE LOS ESTADOS UNIDOS MEXICANOS ELEVA A RANGO CONSTITUCIONAL LOS PRINCIPIOS DE LEGALIDAD, EFICIENCIA, EFICACIA, ECONOMÍA, TRANSPARENCIA Y HONRADEZ EN ESTA MATERIA. </w:t>
      </w:r>
      <w:r w:rsidRPr="00E36106">
        <w:rPr>
          <w:rFonts w:ascii="Palatino Linotype" w:hAnsi="Palatino Linotype" w:cs="Tahoma"/>
          <w:bCs/>
          <w:i/>
          <w:iCs/>
          <w:color w:val="000000"/>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E36106">
        <w:rPr>
          <w:rFonts w:ascii="Palatino Linotype" w:hAnsi="Palatino Linotype" w:cs="Tahoma"/>
          <w:bCs/>
          <w:i/>
          <w:iCs/>
          <w:color w:val="000000"/>
          <w:lang w:val="es-ES"/>
        </w:rPr>
        <w:t>”</w:t>
      </w:r>
    </w:p>
    <w:p w14:paraId="0162136B"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p>
    <w:p w14:paraId="2A8FA599"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r w:rsidRPr="00E36106">
        <w:rPr>
          <w:rFonts w:ascii="Palatino Linotype" w:hAnsi="Palatino Linotype" w:cs="Tahoma"/>
          <w:bCs/>
          <w:iCs/>
          <w:color w:val="000000"/>
          <w:sz w:val="22"/>
          <w:szCs w:val="22"/>
          <w:lang w:val="es-ES"/>
        </w:rPr>
        <w:t xml:space="preserve">Como se logra observar, el ejercicio de recursos públicos por parte de los tres niveles de Gobierno, que incluye a los Municipios, debe seguir el Principio de Transparencia, que implica </w:t>
      </w:r>
      <w:r w:rsidRPr="00E36106">
        <w:rPr>
          <w:rFonts w:ascii="Palatino Linotype" w:hAnsi="Palatino Linotype" w:cs="Tahoma"/>
          <w:bCs/>
          <w:iCs/>
          <w:color w:val="000000"/>
          <w:sz w:val="22"/>
          <w:szCs w:val="22"/>
          <w:lang w:val="es-ES"/>
        </w:rPr>
        <w:lastRenderedPageBreak/>
        <w:t>permitir a la ciudadanía conocer en la forma en que se gasta el Estado, los recursos con los que cuenta para el cumplimiento de sus obligaciones y atribuciones.</w:t>
      </w:r>
    </w:p>
    <w:p w14:paraId="63D09B20"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p>
    <w:p w14:paraId="54DBF6F9" w14:textId="77777777" w:rsidR="00E36106" w:rsidRPr="00E36106" w:rsidRDefault="00E36106" w:rsidP="00432DB4">
      <w:pPr>
        <w:spacing w:line="360" w:lineRule="auto"/>
        <w:jc w:val="both"/>
        <w:rPr>
          <w:rFonts w:ascii="Palatino Linotype" w:hAnsi="Palatino Linotype" w:cs="Tahoma"/>
          <w:color w:val="000000"/>
          <w:sz w:val="22"/>
          <w:szCs w:val="22"/>
          <w:lang w:val="es-ES"/>
        </w:rPr>
      </w:pPr>
      <w:r w:rsidRPr="00E36106">
        <w:rPr>
          <w:rFonts w:ascii="Palatino Linotype" w:hAnsi="Palatino Linotype" w:cs="Tahoma"/>
          <w:bCs/>
          <w:iCs/>
          <w:color w:val="000000"/>
          <w:sz w:val="22"/>
          <w:szCs w:val="22"/>
          <w:lang w:val="es-ES"/>
        </w:rPr>
        <w:t xml:space="preserve">Al respecto, </w:t>
      </w:r>
      <w:r w:rsidRPr="00E36106">
        <w:rPr>
          <w:rFonts w:ascii="Palatino Linotype" w:hAnsi="Palatino Linotype" w:cs="Tahoma"/>
          <w:color w:val="000000"/>
          <w:sz w:val="22"/>
          <w:szCs w:val="22"/>
          <w:lang w:val="es-ES"/>
        </w:rPr>
        <w:t xml:space="preserve">según Merino, Mauricio (2019), en el “Diccionario de Transparencia y Acceso a la Información Pública” (p. 276), </w:t>
      </w:r>
      <w:r w:rsidRPr="00E36106">
        <w:rPr>
          <w:rFonts w:ascii="Palatino Linotype" w:hAnsi="Palatino Linotype" w:cs="Tahoma"/>
          <w:b/>
          <w:color w:val="000000"/>
          <w:sz w:val="22"/>
          <w:szCs w:val="22"/>
          <w:lang w:val="es-ES"/>
        </w:rPr>
        <w:t xml:space="preserve">la rendición de cuentas, </w:t>
      </w:r>
      <w:r w:rsidRPr="00E36106">
        <w:rPr>
          <w:rFonts w:ascii="Palatino Linotype" w:hAnsi="Palatino Linotype" w:cs="Tahoma"/>
          <w:color w:val="000000"/>
          <w:sz w:val="22"/>
          <w:szCs w:val="22"/>
          <w:lang w:val="es-ES"/>
        </w:rPr>
        <w:t xml:space="preserve">es un ejercicio de transparencia e información pública; es un medio a través del cual los gobiernos informan al público de sus actividades, </w:t>
      </w:r>
      <w:r w:rsidRPr="00E36106">
        <w:rPr>
          <w:rFonts w:ascii="Palatino Linotype" w:hAnsi="Palatino Linotype" w:cs="Tahoma"/>
          <w:b/>
          <w:color w:val="000000"/>
          <w:sz w:val="22"/>
          <w:szCs w:val="22"/>
          <w:lang w:val="es-ES"/>
        </w:rPr>
        <w:t>de los recursos que han ejercido</w:t>
      </w:r>
      <w:r w:rsidRPr="00E36106">
        <w:rPr>
          <w:rFonts w:ascii="Palatino Linotype" w:hAnsi="Palatino Linotype" w:cs="Tahoma"/>
          <w:color w:val="000000"/>
          <w:sz w:val="22"/>
          <w:szCs w:val="22"/>
          <w:lang w:val="es-ES"/>
        </w:rPr>
        <w:t xml:space="preserve"> y de los resultados obtenidos.</w:t>
      </w:r>
    </w:p>
    <w:p w14:paraId="159E969C" w14:textId="77777777" w:rsidR="00E36106" w:rsidRPr="00E36106" w:rsidRDefault="00E36106" w:rsidP="00432DB4">
      <w:pPr>
        <w:spacing w:line="360" w:lineRule="auto"/>
        <w:jc w:val="both"/>
        <w:rPr>
          <w:rFonts w:ascii="Palatino Linotype" w:hAnsi="Palatino Linotype" w:cs="Tahoma"/>
          <w:color w:val="000000"/>
          <w:sz w:val="22"/>
          <w:szCs w:val="22"/>
          <w:lang w:val="es-ES"/>
        </w:rPr>
      </w:pPr>
    </w:p>
    <w:p w14:paraId="0004A496"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r w:rsidRPr="00E36106">
        <w:rPr>
          <w:rFonts w:ascii="Palatino Linotype" w:hAnsi="Palatino Linotype" w:cs="Tahoma"/>
          <w:bCs/>
          <w:iCs/>
          <w:color w:val="000000"/>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4D2AADA9"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p>
    <w:p w14:paraId="79551BD0" w14:textId="77777777" w:rsidR="00E36106" w:rsidRPr="00E36106" w:rsidRDefault="00E36106" w:rsidP="00432DB4">
      <w:pPr>
        <w:spacing w:line="360" w:lineRule="auto"/>
        <w:jc w:val="both"/>
        <w:rPr>
          <w:rFonts w:ascii="Palatino Linotype" w:hAnsi="Palatino Linotype" w:cs="Tahoma"/>
          <w:bCs/>
          <w:iCs/>
          <w:color w:val="000000"/>
          <w:sz w:val="22"/>
          <w:szCs w:val="22"/>
          <w:lang w:val="es-ES"/>
        </w:rPr>
      </w:pPr>
      <w:r w:rsidRPr="00E36106">
        <w:rPr>
          <w:rFonts w:ascii="Palatino Linotype" w:hAnsi="Palatino Linotype" w:cs="Tahoma"/>
          <w:bCs/>
          <w:iCs/>
          <w:color w:val="000000"/>
          <w:sz w:val="22"/>
          <w:szCs w:val="22"/>
          <w:lang w:val="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731F460C" w14:textId="77777777" w:rsidR="00E36106" w:rsidRPr="00FC5C4B" w:rsidRDefault="00E36106" w:rsidP="00432DB4">
      <w:pPr>
        <w:spacing w:line="360" w:lineRule="auto"/>
        <w:jc w:val="both"/>
        <w:rPr>
          <w:rFonts w:ascii="Palatino Linotype" w:eastAsia="Palatino Linotype" w:hAnsi="Palatino Linotype" w:cs="Tahoma"/>
          <w:bCs/>
          <w:color w:val="000000"/>
          <w:sz w:val="22"/>
          <w:szCs w:val="22"/>
          <w:lang w:val="es-ES" w:eastAsia="es-MX"/>
        </w:rPr>
      </w:pPr>
    </w:p>
    <w:p w14:paraId="11E62547" w14:textId="35F34D94" w:rsidR="00FC5C4B" w:rsidRPr="00FC5C4B" w:rsidRDefault="00FC5C4B" w:rsidP="00432DB4">
      <w:pPr>
        <w:tabs>
          <w:tab w:val="left" w:pos="4962"/>
        </w:tabs>
        <w:spacing w:line="360" w:lineRule="auto"/>
        <w:contextualSpacing/>
        <w:jc w:val="both"/>
        <w:rPr>
          <w:rFonts w:ascii="Palatino Linotype" w:eastAsia="Calibri" w:hAnsi="Palatino Linotype" w:cs="Tahoma"/>
          <w:color w:val="000000"/>
          <w:sz w:val="22"/>
          <w:szCs w:val="22"/>
          <w:lang w:eastAsia="es-MX"/>
        </w:rPr>
      </w:pPr>
      <w:r w:rsidRPr="00FC5C4B">
        <w:rPr>
          <w:rFonts w:ascii="Palatino Linotype" w:eastAsia="Calibri" w:hAnsi="Palatino Linotype" w:cs="Tahoma"/>
          <w:color w:val="000000"/>
          <w:sz w:val="22"/>
          <w:szCs w:val="22"/>
          <w:lang w:eastAsia="es-MX"/>
        </w:rPr>
        <w:t xml:space="preserve">Así, resulta procedente ordenar la entrega </w:t>
      </w:r>
      <w:r w:rsidR="00E36106">
        <w:rPr>
          <w:rFonts w:ascii="Palatino Linotype" w:eastAsia="Calibri" w:hAnsi="Palatino Linotype" w:cs="Tahoma"/>
          <w:color w:val="000000"/>
          <w:sz w:val="22"/>
          <w:szCs w:val="22"/>
          <w:lang w:eastAsia="es-MX"/>
        </w:rPr>
        <w:t>de los documentos que den cuenta de los cheques expedidos</w:t>
      </w:r>
      <w:r w:rsidRPr="00FC5C4B">
        <w:rPr>
          <w:rFonts w:ascii="Palatino Linotype" w:eastAsia="Calibri" w:hAnsi="Palatino Linotype" w:cs="Tahoma"/>
          <w:color w:val="000000"/>
          <w:sz w:val="22"/>
          <w:szCs w:val="22"/>
          <w:lang w:eastAsia="es-MX"/>
        </w:rPr>
        <w:t xml:space="preserve"> por la Tesorería Municipal, del primero de enero al </w:t>
      </w:r>
      <w:r w:rsidR="00E36106">
        <w:rPr>
          <w:rFonts w:ascii="Palatino Linotype" w:eastAsia="Calibri" w:hAnsi="Palatino Linotype" w:cs="Tahoma"/>
          <w:color w:val="000000"/>
          <w:sz w:val="22"/>
          <w:szCs w:val="22"/>
          <w:lang w:eastAsia="es-MX"/>
        </w:rPr>
        <w:t>quince de marzo</w:t>
      </w:r>
      <w:r w:rsidRPr="00FC5C4B">
        <w:rPr>
          <w:rFonts w:ascii="Palatino Linotype" w:eastAsia="Calibri" w:hAnsi="Palatino Linotype" w:cs="Tahoma"/>
          <w:color w:val="000000"/>
          <w:sz w:val="22"/>
          <w:szCs w:val="22"/>
          <w:lang w:eastAsia="es-MX"/>
        </w:rPr>
        <w:t xml:space="preserve"> de dos mil veinticinco; dicha determinación toma sustento, en el artículo 12 de la Ley de la materia, los </w:t>
      </w:r>
      <w:r w:rsidRPr="00FC5C4B">
        <w:rPr>
          <w:rFonts w:ascii="Palatino Linotype" w:eastAsia="Calibri" w:hAnsi="Palatino Linotype" w:cs="Tahoma"/>
          <w:color w:val="000000"/>
          <w:sz w:val="22"/>
          <w:szCs w:val="22"/>
          <w:lang w:eastAsia="es-MX"/>
        </w:rPr>
        <w:lastRenderedPageBreak/>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530DE99"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7ED86A32"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color w:val="000000"/>
          <w:sz w:val="22"/>
          <w:szCs w:val="22"/>
          <w:lang w:eastAsia="es-MX"/>
        </w:rPr>
      </w:pPr>
      <w:r w:rsidRPr="00FC5C4B">
        <w:rPr>
          <w:rFonts w:ascii="Palatino Linotype" w:eastAsia="Calibri" w:hAnsi="Palatino Linotype" w:cs="Tahoma"/>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FC5C4B">
        <w:rPr>
          <w:rFonts w:ascii="Palatino Linotype" w:eastAsia="Calibri" w:hAnsi="Palatino Linotype" w:cs="Tahoma"/>
          <w:i/>
          <w:iCs/>
          <w:color w:val="000000"/>
          <w:sz w:val="22"/>
          <w:szCs w:val="22"/>
          <w:lang w:eastAsia="es-MX"/>
        </w:rPr>
        <w:t>ad hoc</w:t>
      </w:r>
      <w:r w:rsidRPr="00FC5C4B">
        <w:rPr>
          <w:rFonts w:ascii="Palatino Linotype" w:eastAsia="Calibri" w:hAnsi="Palatino Linotype" w:cs="Tahoma"/>
          <w:color w:val="000000"/>
          <w:sz w:val="22"/>
          <w:szCs w:val="22"/>
          <w:lang w:eastAsia="es-MX"/>
        </w:rPr>
        <w:t>; lo cual, toma sustento en el artículo 160 de la Ley de Transparencia y Acceso a la Información Pública del Estado de México y Municipios,</w:t>
      </w:r>
      <w:r w:rsidRPr="00FC5C4B">
        <w:rPr>
          <w:rFonts w:ascii="Palatino Linotype" w:eastAsia="Palatino Linotype" w:hAnsi="Palatino Linotype" w:cs="Palatino Linotype"/>
          <w:color w:val="000000"/>
          <w:sz w:val="22"/>
          <w:szCs w:val="22"/>
          <w:lang w:eastAsia="es-MX"/>
        </w:rPr>
        <w:t xml:space="preserve"> </w:t>
      </w:r>
      <w:r w:rsidRPr="00FC5C4B">
        <w:rPr>
          <w:rFonts w:ascii="Palatino Linotype" w:eastAsia="Calibri" w:hAnsi="Palatino Linotype" w:cs="Tahoma"/>
          <w:color w:val="000000"/>
          <w:sz w:val="22"/>
          <w:szCs w:val="22"/>
          <w:lang w:eastAsia="es-MX"/>
        </w:rPr>
        <w:t>el cual refiere que los sujetos obligados deberán entregar la información que obre en sus archivos.</w:t>
      </w:r>
    </w:p>
    <w:p w14:paraId="4F6EFF77" w14:textId="77777777" w:rsidR="00FC5C4B" w:rsidRPr="00FC5C4B" w:rsidRDefault="00FC5C4B" w:rsidP="00432DB4">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6EB438C3" w14:textId="58AC8591" w:rsidR="00E36106" w:rsidRPr="00E36106" w:rsidRDefault="00FC5C4B" w:rsidP="00432DB4">
      <w:pPr>
        <w:spacing w:line="360" w:lineRule="auto"/>
        <w:jc w:val="both"/>
        <w:rPr>
          <w:rFonts w:ascii="Palatino Linotype" w:eastAsia="Calibri" w:hAnsi="Palatino Linotype" w:cs="Arial"/>
          <w:color w:val="000000"/>
          <w:sz w:val="22"/>
          <w:szCs w:val="22"/>
          <w:lang w:eastAsia="en-US"/>
        </w:rPr>
      </w:pPr>
      <w:r w:rsidRPr="00FC5C4B">
        <w:rPr>
          <w:rFonts w:ascii="Palatino Linotype" w:eastAsia="Calibri" w:hAnsi="Palatino Linotype" w:cs="Tahoma"/>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r w:rsidR="00E36106">
        <w:rPr>
          <w:rFonts w:ascii="Palatino Linotype" w:eastAsia="Calibri" w:hAnsi="Palatino Linotype" w:cs="Tahoma"/>
          <w:color w:val="000000"/>
          <w:sz w:val="22"/>
          <w:szCs w:val="22"/>
          <w:lang w:eastAsia="es-MX"/>
        </w:rPr>
        <w:t xml:space="preserve">, que de manera enunciativa, más no limitativa se encuentran los documentos comprobatorios de entrega del cheque, mismo que debe obrar en la póliza respectiva, como podría ser el acuse de recepción o entrega. </w:t>
      </w:r>
      <w:r w:rsidR="00E36106" w:rsidRPr="00E36106">
        <w:rPr>
          <w:rFonts w:ascii="Palatino Linotype" w:eastAsia="Calibri" w:hAnsi="Palatino Linotype" w:cs="Arial"/>
          <w:color w:val="000000"/>
          <w:sz w:val="22"/>
          <w:szCs w:val="22"/>
          <w:lang w:eastAsia="en-US"/>
        </w:rPr>
        <w:t xml:space="preserve">Ahora bien, </w:t>
      </w:r>
      <w:r w:rsidR="00E36106">
        <w:rPr>
          <w:rFonts w:ascii="Palatino Linotype" w:eastAsia="Calibri" w:hAnsi="Palatino Linotype" w:cs="Arial"/>
          <w:color w:val="000000"/>
          <w:sz w:val="22"/>
          <w:szCs w:val="22"/>
          <w:lang w:eastAsia="en-US"/>
        </w:rPr>
        <w:t>los documentos que den cuenta de la información solicitada, podrían contener los siguientes datos:</w:t>
      </w:r>
    </w:p>
    <w:p w14:paraId="12F291CB" w14:textId="77777777" w:rsidR="00E36106" w:rsidRPr="00E36106" w:rsidRDefault="00E36106" w:rsidP="00432DB4">
      <w:pPr>
        <w:tabs>
          <w:tab w:val="left" w:pos="4962"/>
        </w:tabs>
        <w:spacing w:line="360" w:lineRule="auto"/>
        <w:jc w:val="both"/>
        <w:rPr>
          <w:rFonts w:ascii="Palatino Linotype" w:eastAsia="Calibri" w:hAnsi="Palatino Linotype" w:cs="Arial"/>
          <w:color w:val="000000"/>
          <w:sz w:val="22"/>
          <w:szCs w:val="22"/>
          <w:lang w:eastAsia="en-US"/>
        </w:rPr>
      </w:pPr>
    </w:p>
    <w:p w14:paraId="7ECFE372" w14:textId="77777777" w:rsidR="00E36106" w:rsidRPr="00E36106" w:rsidRDefault="00E36106" w:rsidP="00432DB4">
      <w:pPr>
        <w:numPr>
          <w:ilvl w:val="0"/>
          <w:numId w:val="14"/>
        </w:numPr>
        <w:spacing w:line="360" w:lineRule="auto"/>
        <w:contextualSpacing/>
        <w:jc w:val="both"/>
        <w:rPr>
          <w:rFonts w:ascii="Palatino Linotype" w:hAnsi="Palatino Linotype"/>
          <w:color w:val="000000"/>
          <w:sz w:val="22"/>
          <w:szCs w:val="24"/>
        </w:rPr>
      </w:pPr>
      <w:r w:rsidRPr="00E36106">
        <w:rPr>
          <w:rFonts w:ascii="Palatino Linotype" w:hAnsi="Palatino Linotype"/>
          <w:color w:val="000000"/>
          <w:sz w:val="22"/>
          <w:szCs w:val="24"/>
        </w:rPr>
        <w:t>Nombre de persona física o Razón social;</w:t>
      </w:r>
    </w:p>
    <w:p w14:paraId="0855904B" w14:textId="77777777" w:rsidR="00E36106" w:rsidRPr="00E36106" w:rsidRDefault="00E36106" w:rsidP="00432DB4">
      <w:pPr>
        <w:numPr>
          <w:ilvl w:val="0"/>
          <w:numId w:val="14"/>
        </w:numPr>
        <w:spacing w:line="360" w:lineRule="auto"/>
        <w:contextualSpacing/>
        <w:jc w:val="both"/>
        <w:rPr>
          <w:rFonts w:ascii="Palatino Linotype" w:hAnsi="Palatino Linotype"/>
          <w:color w:val="000000"/>
          <w:sz w:val="22"/>
          <w:szCs w:val="24"/>
        </w:rPr>
      </w:pPr>
      <w:r w:rsidRPr="00E36106">
        <w:rPr>
          <w:rFonts w:ascii="Palatino Linotype" w:hAnsi="Palatino Linotype"/>
          <w:color w:val="000000"/>
          <w:sz w:val="22"/>
          <w:szCs w:val="24"/>
        </w:rPr>
        <w:t>Número de cuenta bancaria o clave interbancaria;</w:t>
      </w:r>
    </w:p>
    <w:p w14:paraId="558D34BB" w14:textId="77777777" w:rsidR="00E36106" w:rsidRPr="00E36106" w:rsidRDefault="00E36106" w:rsidP="00432DB4">
      <w:pPr>
        <w:numPr>
          <w:ilvl w:val="0"/>
          <w:numId w:val="14"/>
        </w:numPr>
        <w:spacing w:line="360" w:lineRule="auto"/>
        <w:contextualSpacing/>
        <w:jc w:val="both"/>
        <w:rPr>
          <w:rFonts w:ascii="Palatino Linotype" w:hAnsi="Palatino Linotype"/>
          <w:color w:val="000000"/>
          <w:sz w:val="22"/>
          <w:szCs w:val="24"/>
        </w:rPr>
      </w:pPr>
      <w:r w:rsidRPr="00E36106">
        <w:rPr>
          <w:rFonts w:ascii="Palatino Linotype" w:eastAsia="Calibri" w:hAnsi="Palatino Linotype" w:cs="Tahoma"/>
          <w:bCs/>
          <w:iCs/>
          <w:color w:val="000000"/>
          <w:sz w:val="22"/>
          <w:szCs w:val="24"/>
          <w:lang w:val="es-ES"/>
        </w:rPr>
        <w:t>Nombre de institución bancaria, y</w:t>
      </w:r>
    </w:p>
    <w:p w14:paraId="252CDF93" w14:textId="77777777" w:rsidR="00E36106" w:rsidRPr="00E36106" w:rsidRDefault="00E36106" w:rsidP="00432DB4">
      <w:pPr>
        <w:widowControl w:val="0"/>
        <w:numPr>
          <w:ilvl w:val="0"/>
          <w:numId w:val="14"/>
        </w:numPr>
        <w:tabs>
          <w:tab w:val="center" w:pos="4522"/>
        </w:tabs>
        <w:spacing w:line="360" w:lineRule="auto"/>
        <w:contextualSpacing/>
        <w:jc w:val="both"/>
        <w:rPr>
          <w:rFonts w:ascii="Palatino Linotype" w:eastAsia="Calibri" w:hAnsi="Palatino Linotype" w:cs="Tahoma"/>
          <w:color w:val="000000"/>
          <w:sz w:val="22"/>
          <w:szCs w:val="24"/>
          <w:lang w:val="es-ES"/>
        </w:rPr>
      </w:pPr>
      <w:r w:rsidRPr="00E36106">
        <w:rPr>
          <w:rFonts w:ascii="Palatino Linotype" w:eastAsia="Calibri" w:hAnsi="Palatino Linotype" w:cs="Tahoma"/>
          <w:color w:val="000000"/>
          <w:sz w:val="22"/>
          <w:szCs w:val="24"/>
          <w:lang w:val="es-ES"/>
        </w:rPr>
        <w:t>Registro Federal de Contribuyentes.</w:t>
      </w:r>
    </w:p>
    <w:p w14:paraId="4589C49F"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5148E6C5" w14:textId="77777777" w:rsidR="00E36106" w:rsidRPr="00E36106" w:rsidRDefault="00E36106" w:rsidP="00432DB4">
      <w:pPr>
        <w:spacing w:line="360" w:lineRule="auto"/>
        <w:ind w:right="142"/>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lastRenderedPageBreak/>
        <w:t>El artículo 143, fracción I, de la Ley de Transparencia Local, establece que la información privada y los datos personales, concernientes a una persona física o jurídica colectiva identificada o identificable son confidenciales.</w:t>
      </w:r>
    </w:p>
    <w:p w14:paraId="74C9F9B1" w14:textId="77777777" w:rsidR="00E36106" w:rsidRPr="00E36106" w:rsidRDefault="00E36106" w:rsidP="00432DB4">
      <w:pPr>
        <w:spacing w:line="360" w:lineRule="auto"/>
        <w:ind w:right="142"/>
        <w:jc w:val="both"/>
        <w:rPr>
          <w:rFonts w:ascii="Palatino Linotype" w:eastAsia="Palatino Linotype" w:hAnsi="Palatino Linotype" w:cs="Palatino Linotype"/>
          <w:color w:val="000000"/>
          <w:sz w:val="22"/>
          <w:szCs w:val="22"/>
          <w:lang w:eastAsia="es-MX"/>
        </w:rPr>
      </w:pPr>
    </w:p>
    <w:p w14:paraId="037CEB3F" w14:textId="77777777" w:rsidR="00E36106" w:rsidRPr="00E36106" w:rsidRDefault="00E36106" w:rsidP="00432DB4">
      <w:pPr>
        <w:spacing w:line="360" w:lineRule="auto"/>
        <w:ind w:right="-28"/>
        <w:contextualSpacing/>
        <w:jc w:val="both"/>
        <w:rPr>
          <w:rFonts w:ascii="Palatino Linotype" w:hAnsi="Palatino Linotype"/>
          <w:sz w:val="22"/>
          <w:szCs w:val="22"/>
        </w:rPr>
      </w:pPr>
      <w:r w:rsidRPr="00E36106">
        <w:rPr>
          <w:rFonts w:ascii="Palatino Linotype" w:hAnsi="Palatino Linotype"/>
          <w:sz w:val="22"/>
          <w:szCs w:val="22"/>
        </w:rPr>
        <w:t>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5991BF" w14:textId="77777777" w:rsidR="00E36106" w:rsidRPr="00E36106" w:rsidRDefault="00E36106" w:rsidP="00432DB4">
      <w:pPr>
        <w:spacing w:line="360" w:lineRule="auto"/>
        <w:ind w:right="-28"/>
        <w:contextualSpacing/>
        <w:jc w:val="both"/>
        <w:rPr>
          <w:rFonts w:ascii="Palatino Linotype" w:hAnsi="Palatino Linotype"/>
          <w:sz w:val="22"/>
          <w:szCs w:val="22"/>
        </w:rPr>
      </w:pPr>
    </w:p>
    <w:p w14:paraId="09393FA1" w14:textId="77777777" w:rsidR="00E36106" w:rsidRPr="00E36106" w:rsidRDefault="00E36106" w:rsidP="00432DB4">
      <w:pPr>
        <w:spacing w:line="360" w:lineRule="auto"/>
        <w:ind w:right="-28"/>
        <w:contextualSpacing/>
        <w:jc w:val="both"/>
        <w:rPr>
          <w:rFonts w:ascii="Palatino Linotype" w:hAnsi="Palatino Linotype"/>
          <w:sz w:val="22"/>
          <w:szCs w:val="22"/>
        </w:rPr>
      </w:pPr>
      <w:r w:rsidRPr="00E36106">
        <w:rPr>
          <w:rFonts w:ascii="Palatino Linotype" w:hAnsi="Palatino Linotype"/>
          <w:sz w:val="22"/>
          <w:szCs w:val="22"/>
        </w:rPr>
        <w:t>En términos de lo expuesto, la documentación y aquellos datos que se consideren confidenciales, serán una limitante del derecho de acceso a la información, siempre y cuando:</w:t>
      </w:r>
    </w:p>
    <w:p w14:paraId="744AC4E6" w14:textId="77777777" w:rsidR="00E36106" w:rsidRPr="00E36106" w:rsidRDefault="00E36106" w:rsidP="00432DB4">
      <w:pPr>
        <w:spacing w:line="360" w:lineRule="auto"/>
        <w:ind w:right="-28"/>
        <w:contextualSpacing/>
        <w:jc w:val="both"/>
        <w:rPr>
          <w:rFonts w:ascii="Palatino Linotype" w:hAnsi="Palatino Linotype"/>
          <w:sz w:val="22"/>
          <w:szCs w:val="22"/>
        </w:rPr>
      </w:pPr>
    </w:p>
    <w:p w14:paraId="73709B58" w14:textId="77777777" w:rsidR="00E36106" w:rsidRPr="00E36106" w:rsidRDefault="00E36106" w:rsidP="00432DB4">
      <w:pPr>
        <w:numPr>
          <w:ilvl w:val="0"/>
          <w:numId w:val="15"/>
        </w:numPr>
        <w:spacing w:line="360" w:lineRule="auto"/>
        <w:ind w:right="-28"/>
        <w:contextualSpacing/>
        <w:jc w:val="both"/>
        <w:rPr>
          <w:rFonts w:ascii="Palatino Linotype" w:hAnsi="Palatino Linotype"/>
          <w:sz w:val="22"/>
          <w:szCs w:val="24"/>
        </w:rPr>
      </w:pPr>
      <w:r w:rsidRPr="00E36106">
        <w:rPr>
          <w:rFonts w:ascii="Palatino Linotype" w:hAnsi="Palatino Linotype"/>
          <w:sz w:val="22"/>
          <w:szCs w:val="24"/>
        </w:rPr>
        <w:t xml:space="preserve">Se trate de datos personales o información privada; esto es, información concerniente a una persona física o jurídico colectiva y que esta sea identificada o identificable. </w:t>
      </w:r>
    </w:p>
    <w:p w14:paraId="42047F79" w14:textId="77777777" w:rsidR="00E36106" w:rsidRPr="00E36106" w:rsidRDefault="00E36106" w:rsidP="00432DB4">
      <w:pPr>
        <w:numPr>
          <w:ilvl w:val="0"/>
          <w:numId w:val="15"/>
        </w:numPr>
        <w:spacing w:line="360" w:lineRule="auto"/>
        <w:ind w:right="-28"/>
        <w:contextualSpacing/>
        <w:jc w:val="both"/>
        <w:rPr>
          <w:rFonts w:ascii="Palatino Linotype" w:hAnsi="Palatino Linotype"/>
          <w:sz w:val="22"/>
          <w:szCs w:val="24"/>
        </w:rPr>
      </w:pPr>
      <w:r w:rsidRPr="00E36106">
        <w:rPr>
          <w:rFonts w:ascii="Palatino Linotype" w:hAnsi="Palatino Linotype"/>
          <w:sz w:val="22"/>
          <w:szCs w:val="24"/>
        </w:rPr>
        <w:t xml:space="preserve">Para la difusión de los datos, se requiera el consentimiento del titular. </w:t>
      </w:r>
    </w:p>
    <w:p w14:paraId="419B0C37" w14:textId="77777777" w:rsidR="00E36106" w:rsidRPr="00E36106" w:rsidRDefault="00E36106" w:rsidP="00432DB4">
      <w:pPr>
        <w:spacing w:line="360" w:lineRule="auto"/>
        <w:ind w:right="-28"/>
        <w:contextualSpacing/>
        <w:jc w:val="both"/>
        <w:rPr>
          <w:rFonts w:ascii="Palatino Linotype" w:hAnsi="Palatino Linotype"/>
          <w:sz w:val="22"/>
          <w:szCs w:val="22"/>
        </w:rPr>
      </w:pPr>
    </w:p>
    <w:p w14:paraId="743069DA" w14:textId="77777777" w:rsidR="00E36106" w:rsidRPr="00E36106" w:rsidRDefault="00E36106" w:rsidP="00432DB4">
      <w:pPr>
        <w:spacing w:line="360" w:lineRule="auto"/>
        <w:ind w:right="-28"/>
        <w:contextualSpacing/>
        <w:jc w:val="both"/>
        <w:rPr>
          <w:rFonts w:ascii="Palatino Linotype" w:hAnsi="Palatino Linotype"/>
          <w:sz w:val="22"/>
          <w:szCs w:val="22"/>
        </w:rPr>
      </w:pPr>
      <w:r w:rsidRPr="00E36106">
        <w:rPr>
          <w:rFonts w:ascii="Palatino Linotype" w:hAnsi="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E36106">
        <w:rPr>
          <w:rFonts w:ascii="Palatino Linotype" w:hAnsi="Palatino Linotype"/>
          <w:sz w:val="22"/>
          <w:szCs w:val="22"/>
        </w:rPr>
        <w:lastRenderedPageBreak/>
        <w:t xml:space="preserve">cualquier documento informativo físico o electrónico), establecida en cualquier formato o modalidad. </w:t>
      </w:r>
    </w:p>
    <w:p w14:paraId="0059C22A" w14:textId="77777777" w:rsidR="00E36106" w:rsidRPr="00E36106" w:rsidRDefault="00E36106" w:rsidP="00432DB4">
      <w:pPr>
        <w:spacing w:line="360" w:lineRule="auto"/>
        <w:ind w:right="-28"/>
        <w:contextualSpacing/>
        <w:jc w:val="both"/>
        <w:rPr>
          <w:rFonts w:ascii="Palatino Linotype" w:hAnsi="Palatino Linotype"/>
          <w:sz w:val="22"/>
          <w:szCs w:val="22"/>
        </w:rPr>
      </w:pPr>
    </w:p>
    <w:p w14:paraId="0E7A8360" w14:textId="77777777" w:rsidR="00E36106" w:rsidRPr="00E36106" w:rsidRDefault="00E36106" w:rsidP="00432DB4">
      <w:pPr>
        <w:spacing w:line="360" w:lineRule="auto"/>
        <w:ind w:right="-28"/>
        <w:contextualSpacing/>
        <w:jc w:val="both"/>
        <w:rPr>
          <w:rFonts w:ascii="Palatino Linotype" w:hAnsi="Palatino Linotype"/>
          <w:sz w:val="22"/>
          <w:szCs w:val="22"/>
        </w:rPr>
      </w:pPr>
      <w:r w:rsidRPr="00E36106">
        <w:rPr>
          <w:rFonts w:ascii="Palatino Linotype" w:hAnsi="Palatino Linotype"/>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D0EC39C" w14:textId="77777777" w:rsidR="00E36106" w:rsidRPr="00E36106" w:rsidRDefault="00E36106" w:rsidP="00432DB4">
      <w:pPr>
        <w:spacing w:line="360" w:lineRule="auto"/>
        <w:ind w:right="-28"/>
        <w:contextualSpacing/>
        <w:jc w:val="both"/>
        <w:rPr>
          <w:rFonts w:ascii="Palatino Linotype" w:hAnsi="Palatino Linotype"/>
          <w:sz w:val="22"/>
          <w:szCs w:val="22"/>
        </w:rPr>
      </w:pPr>
    </w:p>
    <w:p w14:paraId="0A72EF54" w14:textId="77777777" w:rsidR="00E36106" w:rsidRPr="00E36106" w:rsidRDefault="00E36106" w:rsidP="00432DB4">
      <w:pPr>
        <w:numPr>
          <w:ilvl w:val="0"/>
          <w:numId w:val="17"/>
        </w:numPr>
        <w:spacing w:line="360" w:lineRule="auto"/>
        <w:contextualSpacing/>
        <w:jc w:val="both"/>
        <w:rPr>
          <w:rFonts w:ascii="Palatino Linotype" w:hAnsi="Palatino Linotype"/>
          <w:b/>
          <w:color w:val="0D0D0D"/>
          <w:sz w:val="22"/>
          <w:szCs w:val="24"/>
        </w:rPr>
      </w:pPr>
      <w:r w:rsidRPr="00E36106">
        <w:rPr>
          <w:rFonts w:ascii="Palatino Linotype" w:hAnsi="Palatino Linotype"/>
          <w:b/>
          <w:color w:val="0D0D0D"/>
          <w:sz w:val="22"/>
          <w:szCs w:val="24"/>
        </w:rPr>
        <w:t>Nombre de personas físicas empleados, proveedores, contratistas y que recibieron recursos públicos por cualquier motivo (beneficiarios).</w:t>
      </w:r>
    </w:p>
    <w:p w14:paraId="76542343"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14D9CB1E"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0251FAAB"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1E0A3183"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081A3BB2"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7170E29E"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lastRenderedPageBreak/>
        <w:t>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12B2C821"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6FB44FDC"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73689BC3"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0F2C76F6" w14:textId="77777777" w:rsidR="00E36106" w:rsidRPr="00E36106" w:rsidRDefault="00E36106" w:rsidP="00432DB4">
      <w:pPr>
        <w:spacing w:line="360" w:lineRule="auto"/>
        <w:jc w:val="center"/>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noProof/>
          <w:color w:val="000000"/>
          <w:sz w:val="22"/>
          <w:szCs w:val="22"/>
          <w:lang w:eastAsia="es-MX"/>
        </w:rPr>
        <w:drawing>
          <wp:inline distT="0" distB="0" distL="0" distR="0" wp14:anchorId="09866794" wp14:editId="04404FFE">
            <wp:extent cx="5353050" cy="1123950"/>
            <wp:effectExtent l="0" t="0" r="0" b="0"/>
            <wp:docPr id="5"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t="4538"/>
                    <a:stretch>
                      <a:fillRect/>
                    </a:stretch>
                  </pic:blipFill>
                  <pic:spPr bwMode="auto">
                    <a:xfrm>
                      <a:off x="0" y="0"/>
                      <a:ext cx="5353050" cy="1123950"/>
                    </a:xfrm>
                    <a:prstGeom prst="rect">
                      <a:avLst/>
                    </a:prstGeom>
                    <a:noFill/>
                    <a:ln>
                      <a:noFill/>
                    </a:ln>
                  </pic:spPr>
                </pic:pic>
              </a:graphicData>
            </a:graphic>
          </wp:inline>
        </w:drawing>
      </w:r>
    </w:p>
    <w:p w14:paraId="37DC7D3B"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20BD0D50" w14:textId="77777777" w:rsidR="00E36106" w:rsidRPr="00E36106" w:rsidRDefault="00E36106" w:rsidP="00432DB4">
      <w:pPr>
        <w:spacing w:line="360" w:lineRule="auto"/>
        <w:jc w:val="center"/>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noProof/>
          <w:color w:val="000000"/>
          <w:sz w:val="22"/>
          <w:szCs w:val="22"/>
          <w:lang w:eastAsia="es-MX"/>
        </w:rPr>
        <w:drawing>
          <wp:inline distT="0" distB="0" distL="0" distR="0" wp14:anchorId="324971BB" wp14:editId="469CDE16">
            <wp:extent cx="5486400" cy="7143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0FB4777A" w14:textId="77777777" w:rsidR="00E36106" w:rsidRPr="00E36106" w:rsidRDefault="00E36106" w:rsidP="00432DB4">
      <w:pPr>
        <w:spacing w:line="360" w:lineRule="auto"/>
        <w:jc w:val="center"/>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noProof/>
          <w:color w:val="000000"/>
          <w:sz w:val="22"/>
          <w:szCs w:val="22"/>
          <w:lang w:eastAsia="es-MX"/>
        </w:rPr>
        <w:drawing>
          <wp:inline distT="0" distB="0" distL="0" distR="0" wp14:anchorId="0B00D2F4" wp14:editId="39A98FC4">
            <wp:extent cx="5400675" cy="466725"/>
            <wp:effectExtent l="0" t="0" r="9525" b="952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19584CC1"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6B853BE3" w14:textId="77777777" w:rsidR="00E36106" w:rsidRPr="00E36106" w:rsidRDefault="00E36106" w:rsidP="00432DB4">
      <w:pPr>
        <w:spacing w:line="360" w:lineRule="auto"/>
        <w:jc w:val="center"/>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noProof/>
          <w:color w:val="000000"/>
          <w:sz w:val="22"/>
          <w:szCs w:val="22"/>
          <w:lang w:eastAsia="es-MX"/>
        </w:rPr>
        <w:lastRenderedPageBreak/>
        <w:drawing>
          <wp:inline distT="0" distB="0" distL="0" distR="0" wp14:anchorId="38FD23BA" wp14:editId="62506205">
            <wp:extent cx="5372100" cy="1590675"/>
            <wp:effectExtent l="0" t="0" r="0" b="9525"/>
            <wp:docPr id="8"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1590675"/>
                    </a:xfrm>
                    <a:prstGeom prst="rect">
                      <a:avLst/>
                    </a:prstGeom>
                    <a:noFill/>
                    <a:ln>
                      <a:noFill/>
                    </a:ln>
                  </pic:spPr>
                </pic:pic>
              </a:graphicData>
            </a:graphic>
          </wp:inline>
        </w:drawing>
      </w:r>
    </w:p>
    <w:p w14:paraId="71576102"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 xml:space="preserve"> </w:t>
      </w:r>
    </w:p>
    <w:p w14:paraId="40317925"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Por lo tanto, la Ley de Transparencia y Acceso a la Información Pública del Estado de México y Municipios, considera que los datos de servidores públicos y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45015E2D"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6086C71A"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Por lo que, se considera que no procede la clasificación del nombre de los proveedores, contratistas, empleados y personas que recibieron recursos públicos (beneficiarios), en términos del artículo 143, fracción I de la Ley de Transparencia y Acceso a la Información Pública del Estado de México y Municipios.</w:t>
      </w:r>
    </w:p>
    <w:p w14:paraId="2D9119B9"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3294898D" w14:textId="77777777" w:rsidR="00E36106" w:rsidRPr="00E36106" w:rsidRDefault="00E36106" w:rsidP="00432DB4">
      <w:pPr>
        <w:numPr>
          <w:ilvl w:val="0"/>
          <w:numId w:val="18"/>
        </w:numPr>
        <w:spacing w:line="360" w:lineRule="auto"/>
        <w:contextualSpacing/>
        <w:jc w:val="both"/>
        <w:rPr>
          <w:rFonts w:ascii="Palatino Linotype" w:hAnsi="Palatino Linotype"/>
          <w:b/>
          <w:color w:val="0D0D0D"/>
          <w:sz w:val="22"/>
          <w:szCs w:val="24"/>
        </w:rPr>
      </w:pPr>
      <w:r w:rsidRPr="00E36106">
        <w:rPr>
          <w:rFonts w:ascii="Palatino Linotype" w:hAnsi="Palatino Linotype"/>
          <w:b/>
          <w:color w:val="0D0D0D"/>
          <w:sz w:val="22"/>
          <w:szCs w:val="24"/>
        </w:rPr>
        <w:t>Cuenta bancaria y clave interbancaria de personas físicas o morales (particulares, servidores públicos, proveedores, contratistas, entre otros)</w:t>
      </w:r>
    </w:p>
    <w:p w14:paraId="076DBAAC"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179F00CC"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w:t>
      </w:r>
      <w:r w:rsidRPr="00E36106">
        <w:rPr>
          <w:rFonts w:ascii="Palatino Linotype" w:eastAsia="Palatino Linotype" w:hAnsi="Palatino Linotype" w:cs="Palatino Linotype"/>
          <w:color w:val="0D0D0D"/>
          <w:sz w:val="22"/>
          <w:szCs w:val="22"/>
          <w:lang w:eastAsia="es-MX"/>
        </w:rPr>
        <w:lastRenderedPageBreak/>
        <w:t>señalada por el cliente y, por lo tanto, los datos bancarios corresponden a información que se encuentra relacionada con el patrimonio de la persona titular de la cuenta.</w:t>
      </w:r>
    </w:p>
    <w:p w14:paraId="49EE614F"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 xml:space="preserve"> </w:t>
      </w:r>
    </w:p>
    <w:p w14:paraId="5917ED50"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05F7F932" w14:textId="77777777" w:rsidR="00E36106" w:rsidRPr="00E36106" w:rsidRDefault="00E36106" w:rsidP="00432DB4">
      <w:pPr>
        <w:spacing w:line="360" w:lineRule="auto"/>
        <w:jc w:val="both"/>
        <w:rPr>
          <w:rFonts w:ascii="Palatino Linotype" w:eastAsia="Palatino Linotype" w:hAnsi="Palatino Linotype" w:cs="Palatino Linotype"/>
          <w:b/>
          <w:bCs/>
          <w:color w:val="0D0D0D"/>
          <w:sz w:val="22"/>
          <w:szCs w:val="22"/>
          <w:lang w:eastAsia="es-MX"/>
        </w:rPr>
      </w:pPr>
    </w:p>
    <w:p w14:paraId="151FB28E" w14:textId="77777777" w:rsidR="00E36106" w:rsidRPr="00E36106" w:rsidRDefault="00E36106" w:rsidP="00432DB4">
      <w:pPr>
        <w:spacing w:line="360" w:lineRule="auto"/>
        <w:ind w:left="720"/>
        <w:jc w:val="both"/>
        <w:rPr>
          <w:rFonts w:ascii="Palatino Linotype" w:eastAsia="Palatino Linotype" w:hAnsi="Palatino Linotype" w:cs="Palatino Linotype"/>
          <w:i/>
          <w:color w:val="0D0D0D"/>
          <w:szCs w:val="22"/>
          <w:lang w:eastAsia="es-MX"/>
        </w:rPr>
      </w:pPr>
      <w:r w:rsidRPr="00E36106">
        <w:rPr>
          <w:rFonts w:ascii="Palatino Linotype" w:eastAsia="Palatino Linotype" w:hAnsi="Palatino Linotype" w:cs="Palatino Linotype"/>
          <w:b/>
          <w:bCs/>
          <w:i/>
          <w:color w:val="0D0D0D"/>
          <w:szCs w:val="22"/>
          <w:lang w:eastAsia="es-MX"/>
        </w:rPr>
        <w:t>“Cuentas bancarias y/o CLABE interbancaria de personas físicas y morales privadas.</w:t>
      </w:r>
      <w:r w:rsidRPr="00E36106">
        <w:rPr>
          <w:rFonts w:ascii="Palatino Linotype" w:eastAsia="Palatino Linotype" w:hAnsi="Palatino Linotype" w:cs="Palatino Linotype"/>
          <w:i/>
          <w:color w:val="0D0D0D"/>
          <w:szCs w:val="22"/>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11BEAF"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 xml:space="preserve"> </w:t>
      </w:r>
    </w:p>
    <w:p w14:paraId="4FCD3C41"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r w:rsidRPr="00E36106">
        <w:rPr>
          <w:rFonts w:ascii="Palatino Linotype" w:eastAsia="Palatino Linotype" w:hAnsi="Palatino Linotype" w:cs="Palatino Linotype"/>
          <w:color w:val="0D0D0D"/>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0F8D6D0C" w14:textId="77777777" w:rsidR="00E36106" w:rsidRPr="00E36106" w:rsidRDefault="00E36106" w:rsidP="00432DB4">
      <w:pPr>
        <w:spacing w:line="360" w:lineRule="auto"/>
        <w:jc w:val="both"/>
        <w:rPr>
          <w:rFonts w:ascii="Palatino Linotype" w:eastAsia="Palatino Linotype" w:hAnsi="Palatino Linotype" w:cs="Palatino Linotype"/>
          <w:color w:val="0D0D0D"/>
          <w:sz w:val="22"/>
          <w:szCs w:val="22"/>
          <w:lang w:eastAsia="es-MX"/>
        </w:rPr>
      </w:pPr>
    </w:p>
    <w:p w14:paraId="3F9D1A42" w14:textId="77777777" w:rsidR="00E36106" w:rsidRPr="00E36106" w:rsidRDefault="00E36106" w:rsidP="00432DB4">
      <w:pPr>
        <w:numPr>
          <w:ilvl w:val="0"/>
          <w:numId w:val="18"/>
        </w:numPr>
        <w:spacing w:line="360" w:lineRule="auto"/>
        <w:contextualSpacing/>
        <w:jc w:val="both"/>
        <w:rPr>
          <w:rFonts w:ascii="Palatino Linotype" w:hAnsi="Palatino Linotype"/>
          <w:b/>
          <w:color w:val="0D0D0D"/>
          <w:sz w:val="22"/>
          <w:szCs w:val="24"/>
        </w:rPr>
      </w:pPr>
      <w:r w:rsidRPr="00E36106">
        <w:rPr>
          <w:rFonts w:ascii="Palatino Linotype" w:hAnsi="Palatino Linotype"/>
          <w:b/>
          <w:color w:val="0D0D0D"/>
          <w:sz w:val="22"/>
          <w:szCs w:val="24"/>
        </w:rPr>
        <w:t>Cuenta bancaria y clave interbancaria de instituciones públicas</w:t>
      </w:r>
    </w:p>
    <w:p w14:paraId="090538F6" w14:textId="77777777" w:rsidR="00E36106" w:rsidRPr="00E36106" w:rsidRDefault="00E36106" w:rsidP="00432DB4">
      <w:pPr>
        <w:spacing w:line="360" w:lineRule="auto"/>
        <w:ind w:right="-28"/>
        <w:jc w:val="both"/>
        <w:rPr>
          <w:rFonts w:ascii="Palatino Linotype" w:eastAsia="Palatino Linotype" w:hAnsi="Palatino Linotype" w:cs="Palatino Linotype"/>
          <w:color w:val="000000"/>
          <w:sz w:val="22"/>
          <w:szCs w:val="22"/>
          <w:lang w:eastAsia="es-MX"/>
        </w:rPr>
      </w:pPr>
    </w:p>
    <w:p w14:paraId="2866E6D2" w14:textId="77777777" w:rsidR="00E36106" w:rsidRPr="00E36106" w:rsidRDefault="00E36106" w:rsidP="00432DB4">
      <w:pPr>
        <w:spacing w:line="360" w:lineRule="auto"/>
        <w:contextualSpacing/>
        <w:jc w:val="both"/>
        <w:rPr>
          <w:rFonts w:ascii="Palatino Linotype" w:eastAsia="Calibri" w:hAnsi="Palatino Linotype" w:cs="Tahoma"/>
          <w:bCs/>
          <w:color w:val="000000"/>
          <w:sz w:val="22"/>
          <w:szCs w:val="22"/>
        </w:rPr>
      </w:pPr>
      <w:r w:rsidRPr="00E36106">
        <w:rPr>
          <w:rFonts w:ascii="Palatino Linotype" w:eastAsia="Calibri" w:hAnsi="Palatino Linotype" w:cs="Tahoma"/>
          <w:bCs/>
          <w:color w:val="000000"/>
          <w:sz w:val="22"/>
          <w:szCs w:val="22"/>
        </w:rPr>
        <w:t xml:space="preserve">En relación con el número de cuenta de instituciones públicas, en donde reciben o transfieren recursos públicos, debe señalarse que la misma es considerada como información pública, </w:t>
      </w:r>
      <w:r w:rsidRPr="00E36106">
        <w:rPr>
          <w:rFonts w:ascii="Palatino Linotype" w:eastAsia="Calibri" w:hAnsi="Palatino Linotype" w:cs="Tahoma"/>
          <w:bCs/>
          <w:color w:val="000000"/>
          <w:sz w:val="22"/>
          <w:szCs w:val="22"/>
        </w:rPr>
        <w:lastRenderedPageBreak/>
        <w:t>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0EB1DBA3" w14:textId="77777777" w:rsidR="00E36106" w:rsidRPr="00E36106" w:rsidRDefault="00E36106" w:rsidP="00432DB4">
      <w:pPr>
        <w:spacing w:line="360" w:lineRule="auto"/>
        <w:contextualSpacing/>
        <w:jc w:val="both"/>
        <w:rPr>
          <w:rFonts w:ascii="Palatino Linotype" w:eastAsia="Calibri" w:hAnsi="Palatino Linotype" w:cs="Tahoma"/>
          <w:bCs/>
          <w:i/>
          <w:color w:val="000000"/>
          <w:sz w:val="22"/>
          <w:szCs w:val="22"/>
        </w:rPr>
      </w:pPr>
    </w:p>
    <w:p w14:paraId="5843AB6B" w14:textId="77777777" w:rsidR="00E36106" w:rsidRPr="00E36106" w:rsidRDefault="00E36106" w:rsidP="00432DB4">
      <w:pPr>
        <w:spacing w:line="360" w:lineRule="auto"/>
        <w:ind w:left="567" w:right="567"/>
        <w:contextualSpacing/>
        <w:jc w:val="both"/>
        <w:rPr>
          <w:rFonts w:ascii="Palatino Linotype" w:eastAsia="Calibri" w:hAnsi="Palatino Linotype" w:cs="Tahoma"/>
          <w:bCs/>
          <w:i/>
          <w:color w:val="000000"/>
        </w:rPr>
      </w:pPr>
      <w:r w:rsidRPr="00E36106">
        <w:rPr>
          <w:rFonts w:ascii="Palatino Linotype" w:eastAsia="Calibri" w:hAnsi="Palatino Linotype" w:cs="Tahoma"/>
          <w:b/>
          <w:bCs/>
          <w:i/>
          <w:color w:val="000000"/>
        </w:rPr>
        <w:t>“Cuentas bancarias y/o CLABE interbancaria de sujetos obligados que reciben y/o transfieren recursos públicos, son información pública.</w:t>
      </w:r>
      <w:r w:rsidRPr="00E36106">
        <w:rPr>
          <w:rFonts w:ascii="Palatino Linotype" w:eastAsia="Calibri" w:hAnsi="Palatino Linotype" w:cs="Tahoma"/>
          <w:bCs/>
          <w:i/>
          <w:color w:val="000000"/>
        </w:rPr>
        <w:t xml:space="preserve"> La difusión de las cuentas bancarias y claves interbancarias pertenecientes a un sujeto obligado favorece la rendición de cuentas al transparentar la forma en que se administran los recursos públicos, </w:t>
      </w:r>
      <w:r w:rsidRPr="00E36106">
        <w:rPr>
          <w:rFonts w:ascii="Palatino Linotype" w:eastAsia="Calibri" w:hAnsi="Palatino Linotype" w:cs="Tahoma"/>
          <w:bCs/>
          <w:i/>
          <w:color w:val="000000"/>
          <w:u w:val="single"/>
        </w:rPr>
        <w:t>razón por la cual no pueden considerarse como información clasificada.</w:t>
      </w:r>
      <w:r w:rsidRPr="00E36106">
        <w:rPr>
          <w:rFonts w:ascii="Palatino Linotype" w:eastAsia="Calibri" w:hAnsi="Palatino Linotype" w:cs="Tahoma"/>
          <w:bCs/>
          <w:i/>
          <w:color w:val="000000"/>
        </w:rPr>
        <w:t>”</w:t>
      </w:r>
    </w:p>
    <w:p w14:paraId="37141258" w14:textId="77777777" w:rsidR="00E36106" w:rsidRPr="00E36106" w:rsidRDefault="00E36106" w:rsidP="00432DB4">
      <w:pPr>
        <w:spacing w:line="360" w:lineRule="auto"/>
        <w:contextualSpacing/>
        <w:jc w:val="both"/>
        <w:rPr>
          <w:rFonts w:ascii="Palatino Linotype" w:eastAsia="Calibri" w:hAnsi="Palatino Linotype" w:cs="Tahoma"/>
          <w:b/>
          <w:bCs/>
          <w:color w:val="000000"/>
          <w:sz w:val="22"/>
          <w:szCs w:val="22"/>
        </w:rPr>
      </w:pPr>
    </w:p>
    <w:p w14:paraId="18109815" w14:textId="77777777" w:rsidR="00E36106" w:rsidRPr="00E36106" w:rsidRDefault="00E36106" w:rsidP="00432DB4">
      <w:pPr>
        <w:spacing w:line="360" w:lineRule="auto"/>
        <w:contextualSpacing/>
        <w:jc w:val="both"/>
        <w:rPr>
          <w:rFonts w:ascii="Palatino Linotype" w:eastAsia="Calibri" w:hAnsi="Palatino Linotype" w:cs="Tahoma"/>
          <w:bCs/>
          <w:color w:val="000000"/>
          <w:sz w:val="22"/>
          <w:szCs w:val="22"/>
        </w:rPr>
      </w:pPr>
      <w:r w:rsidRPr="00E36106">
        <w:rPr>
          <w:rFonts w:ascii="Palatino Linotype" w:eastAsia="Calibri" w:hAnsi="Palatino Linotype" w:cs="Tahoma"/>
          <w:bCs/>
          <w:color w:val="000000"/>
          <w:sz w:val="22"/>
          <w:szCs w:val="22"/>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4FA71680"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5817012B" w14:textId="77777777" w:rsidR="00E36106" w:rsidRPr="00E36106" w:rsidRDefault="00E36106" w:rsidP="00432DB4">
      <w:pPr>
        <w:numPr>
          <w:ilvl w:val="0"/>
          <w:numId w:val="18"/>
        </w:numPr>
        <w:spacing w:line="360" w:lineRule="auto"/>
        <w:contextualSpacing/>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 xml:space="preserve">Registro Federal de Contribuyentes </w:t>
      </w:r>
    </w:p>
    <w:p w14:paraId="0594B234"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348537BA" w14:textId="77777777" w:rsidR="00E36106" w:rsidRPr="00E36106" w:rsidRDefault="00E36106" w:rsidP="00432DB4">
      <w:pPr>
        <w:spacing w:line="360" w:lineRule="auto"/>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Persona física (servidor público, proveedor o contratista)</w:t>
      </w:r>
    </w:p>
    <w:p w14:paraId="75B7B54E"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23B37044"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w:t>
      </w:r>
      <w:r w:rsidRPr="00E36106">
        <w:rPr>
          <w:rFonts w:ascii="Palatino Linotype" w:eastAsia="Palatino Linotype" w:hAnsi="Palatino Linotype" w:cs="Palatino Linotype"/>
          <w:color w:val="000000"/>
          <w:sz w:val="22"/>
          <w:szCs w:val="22"/>
          <w:lang w:eastAsia="es-MX"/>
        </w:rPr>
        <w:lastRenderedPageBreak/>
        <w:t>cédula de identificación fiscal (Registro Federal de Contribuyentes); por lo que la entrega de dicho dato permite verificar cumplimiento de esta disposición legal.</w:t>
      </w:r>
    </w:p>
    <w:p w14:paraId="35E6AF27"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6DDA4BD3"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6A9BC3A1"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74ACD991"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62386F7"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p>
    <w:p w14:paraId="3BFD6BCD"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041D688D"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77408ADD" w14:textId="77777777" w:rsidR="00E36106" w:rsidRPr="00E36106" w:rsidRDefault="00E36106" w:rsidP="00432DB4">
      <w:pPr>
        <w:tabs>
          <w:tab w:val="center" w:pos="4522"/>
        </w:tabs>
        <w:spacing w:line="360" w:lineRule="auto"/>
        <w:ind w:left="567" w:right="567"/>
        <w:jc w:val="both"/>
        <w:rPr>
          <w:rFonts w:ascii="Palatino Linotype" w:eastAsia="Palatino Linotype" w:hAnsi="Palatino Linotype" w:cs="Palatino Linotype"/>
          <w:i/>
          <w:color w:val="000000"/>
          <w:lang w:eastAsia="es-MX"/>
        </w:rPr>
      </w:pPr>
      <w:r w:rsidRPr="00E36106">
        <w:rPr>
          <w:rFonts w:ascii="Palatino Linotype" w:eastAsia="Palatino Linotype" w:hAnsi="Palatino Linotype" w:cs="Palatino Linotype"/>
          <w:b/>
          <w:i/>
          <w:color w:val="000000"/>
          <w:lang w:eastAsia="es-MX"/>
        </w:rPr>
        <w:t xml:space="preserve">“Registro Federal de Contribuyentes (RFC) de personas físicas proveedores o contratistas. </w:t>
      </w:r>
      <w:r w:rsidRPr="00E36106">
        <w:rPr>
          <w:rFonts w:ascii="Palatino Linotype" w:eastAsia="Palatino Linotype" w:hAnsi="Palatino Linotype" w:cs="Palatino Linotype"/>
          <w:i/>
          <w:color w:val="000000"/>
          <w:lang w:eastAsia="es-MX"/>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21C2F7C"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0E564A71"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b/>
          <w:color w:val="000000"/>
          <w:sz w:val="22"/>
          <w:szCs w:val="22"/>
          <w:u w:val="single"/>
          <w:lang w:eastAsia="es-MX"/>
        </w:rPr>
      </w:pPr>
      <w:r w:rsidRPr="00E36106">
        <w:rPr>
          <w:rFonts w:ascii="Palatino Linotype" w:eastAsia="Palatino Linotype" w:hAnsi="Palatino Linotype" w:cs="Palatino Linotype"/>
          <w:color w:val="000000"/>
          <w:sz w:val="22"/>
          <w:szCs w:val="22"/>
          <w:lang w:eastAsia="es-MX"/>
        </w:rPr>
        <w:lastRenderedPageBreak/>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F7292D8"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b/>
          <w:color w:val="000000"/>
          <w:sz w:val="22"/>
          <w:szCs w:val="22"/>
          <w:lang w:eastAsia="es-MX"/>
        </w:rPr>
      </w:pPr>
    </w:p>
    <w:p w14:paraId="09781F0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Persona Moral</w:t>
      </w:r>
    </w:p>
    <w:p w14:paraId="604ABF48"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2E991D66"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4309AFA4"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65A3FB6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Por ende, la información correspondiente al Registro Federal de Contribuyentes de una persona moral da cuenta del cumplimiento o no en sus obligaciones fiscales; por tanto, no se actualiza su clasificación como confidencial.</w:t>
      </w:r>
    </w:p>
    <w:p w14:paraId="5EF0433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424F2936"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 xml:space="preserve">Además, resulta aplicable por analogía el Criterio Orientador, de la Segunda Época, con número de registro SO/008/2019, emitido por el entonces Instituto Nacional de Transparencia, Acceso a la Información y Protección de Datos Personales, vigente a la fecha de la solicitud, </w:t>
      </w:r>
      <w:r w:rsidRPr="00E36106">
        <w:rPr>
          <w:rFonts w:ascii="Palatino Linotype" w:eastAsia="Palatino Linotype" w:hAnsi="Palatino Linotype" w:cs="Palatino Linotype"/>
          <w:color w:val="000000"/>
          <w:sz w:val="22"/>
          <w:szCs w:val="22"/>
          <w:lang w:eastAsia="es-MX"/>
        </w:rPr>
        <w:lastRenderedPageBreak/>
        <w:t>que precisa que el Registro Federal de Contribuyentes de personas morales, es público, al no referir a hechos o actos de carácter económico, contable, jurídico o administrativo que sean útiles o representen una ventaja a sus competidores.</w:t>
      </w:r>
    </w:p>
    <w:p w14:paraId="71ECD81A"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262B5555" w14:textId="77777777" w:rsidR="00E36106" w:rsidRPr="00E36106" w:rsidRDefault="00E36106" w:rsidP="00432DB4">
      <w:pPr>
        <w:spacing w:line="360" w:lineRule="auto"/>
        <w:rPr>
          <w:rFonts w:ascii="Palatino Linotype" w:eastAsia="Palatino Linotype" w:hAnsi="Palatino Linotype" w:cs="Palatino Linotype"/>
          <w:b/>
          <w:color w:val="000000"/>
          <w:sz w:val="22"/>
          <w:szCs w:val="22"/>
          <w:lang w:eastAsia="es-MX"/>
        </w:rPr>
      </w:pPr>
    </w:p>
    <w:p w14:paraId="67756954" w14:textId="77777777" w:rsidR="00E36106" w:rsidRPr="00E36106" w:rsidRDefault="00E36106" w:rsidP="00432DB4">
      <w:pPr>
        <w:numPr>
          <w:ilvl w:val="0"/>
          <w:numId w:val="18"/>
        </w:numPr>
        <w:spacing w:line="360" w:lineRule="auto"/>
        <w:contextualSpacing/>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Número de teléfono y correo electrónico de proveedor o contratista</w:t>
      </w:r>
    </w:p>
    <w:p w14:paraId="1E56B859"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b/>
          <w:color w:val="000000"/>
          <w:sz w:val="22"/>
          <w:szCs w:val="22"/>
          <w:lang w:eastAsia="es-MX"/>
        </w:rPr>
      </w:pPr>
    </w:p>
    <w:p w14:paraId="7FEAF95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El número asignado a un teléfono,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746C2B43"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74C48D11"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Como se refirió, en el presente caso, los datos en comento, se tratan de los medios de contacto de los proveedores que tiene la Secretaría de Cultura y Turismo, los cuales, si bien hacen identificable a una persona, en el presente caso, se trata de una persona proveedora que recibe recursos públicos, derivado de los contratos celebrados con la Dependencia y, por lo tanto, dichos datos guardan la naturaleza de públicos.</w:t>
      </w:r>
    </w:p>
    <w:p w14:paraId="3364BC63"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3A9BFB81" w14:textId="77777777" w:rsid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53A3AFB9"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0D0C6007" w14:textId="10F4B8DA" w:rsidR="00E36106" w:rsidRPr="00E36106" w:rsidRDefault="00E36106" w:rsidP="00432DB4">
      <w:pPr>
        <w:numPr>
          <w:ilvl w:val="0"/>
          <w:numId w:val="18"/>
        </w:numPr>
        <w:spacing w:line="360" w:lineRule="auto"/>
        <w:contextualSpacing/>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b/>
          <w:color w:val="000000"/>
          <w:sz w:val="22"/>
          <w:szCs w:val="22"/>
          <w:lang w:eastAsia="es-MX"/>
        </w:rPr>
        <w:t xml:space="preserve">Firma </w:t>
      </w:r>
      <w:r>
        <w:rPr>
          <w:rFonts w:ascii="Palatino Linotype" w:eastAsia="Palatino Linotype" w:hAnsi="Palatino Linotype" w:cs="Palatino Linotype"/>
          <w:b/>
          <w:color w:val="000000"/>
          <w:sz w:val="22"/>
          <w:szCs w:val="22"/>
          <w:lang w:eastAsia="es-MX"/>
        </w:rPr>
        <w:t>de persona física que recibió un cheque</w:t>
      </w:r>
    </w:p>
    <w:p w14:paraId="2ECCB00E" w14:textId="77777777" w:rsidR="00E36106" w:rsidRPr="00E36106" w:rsidRDefault="00E36106" w:rsidP="00432DB4">
      <w:pPr>
        <w:spacing w:line="360" w:lineRule="auto"/>
        <w:rPr>
          <w:rFonts w:ascii="Palatino Linotype" w:eastAsia="Palatino Linotype" w:hAnsi="Palatino Linotype" w:cs="Palatino Linotype"/>
          <w:color w:val="000000"/>
          <w:sz w:val="22"/>
          <w:szCs w:val="22"/>
          <w:lang w:eastAsia="es-MX"/>
        </w:rPr>
      </w:pPr>
    </w:p>
    <w:p w14:paraId="7D8AD5CF" w14:textId="77777777"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 proveedor o representante legal, por lo que, expresa el consentimiento del contratista para realizar o recibir ciertas obligaciones; además, que le otorga validez al instrumento jurídico, en el presente caso, la celebración de contratos para la adquisición o arrendamiento de bienes y servicios.</w:t>
      </w:r>
    </w:p>
    <w:p w14:paraId="52396667" w14:textId="77777777" w:rsidR="00E36106" w:rsidRPr="00E36106" w:rsidRDefault="00E36106" w:rsidP="00432DB4">
      <w:pPr>
        <w:spacing w:line="360" w:lineRule="auto"/>
        <w:rPr>
          <w:rFonts w:ascii="Palatino Linotype" w:eastAsia="Palatino Linotype" w:hAnsi="Palatino Linotype" w:cs="Palatino Linotype"/>
          <w:color w:val="000000"/>
          <w:sz w:val="22"/>
          <w:szCs w:val="22"/>
          <w:lang w:eastAsia="es-MX"/>
        </w:rPr>
      </w:pPr>
    </w:p>
    <w:p w14:paraId="7F1A4F29" w14:textId="45231C29" w:rsidR="00E36106" w:rsidRPr="00E36106" w:rsidRDefault="00E36106" w:rsidP="00432DB4">
      <w:pPr>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Conforme a lo anterior, no procede la clasificación de la firma localizados en los documentos que den cuenta de la información solicitada, en términos del artículo 143, fracción I de la Ley de Transparencia y Acceso a la Información Pública del Estado de México y Municipios</w:t>
      </w:r>
      <w:r>
        <w:rPr>
          <w:rFonts w:ascii="Palatino Linotype" w:eastAsia="Palatino Linotype" w:hAnsi="Palatino Linotype" w:cs="Palatino Linotype"/>
          <w:color w:val="000000"/>
          <w:sz w:val="22"/>
          <w:szCs w:val="22"/>
          <w:lang w:eastAsia="es-MX"/>
        </w:rPr>
        <w:t>, pues rinde cuentas de la recepción de recursos públicos.</w:t>
      </w:r>
    </w:p>
    <w:p w14:paraId="2F5BDE9E" w14:textId="77777777" w:rsidR="00E36106" w:rsidRPr="00E36106" w:rsidRDefault="00E36106" w:rsidP="00432DB4">
      <w:pPr>
        <w:spacing w:line="360" w:lineRule="auto"/>
        <w:rPr>
          <w:rFonts w:ascii="Palatino Linotype" w:eastAsia="Palatino Linotype" w:hAnsi="Palatino Linotype" w:cs="Palatino Linotype"/>
          <w:b/>
          <w:color w:val="000000"/>
          <w:sz w:val="22"/>
          <w:szCs w:val="22"/>
          <w:lang w:eastAsia="es-MX"/>
        </w:rPr>
      </w:pPr>
    </w:p>
    <w:p w14:paraId="72781DA6" w14:textId="77777777" w:rsidR="00E36106" w:rsidRPr="00E36106" w:rsidRDefault="00E36106" w:rsidP="00432DB4">
      <w:pPr>
        <w:numPr>
          <w:ilvl w:val="0"/>
          <w:numId w:val="18"/>
        </w:numPr>
        <w:spacing w:line="360" w:lineRule="auto"/>
        <w:contextualSpacing/>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Domicilio Fiscal o legal para recibir y oír notificaciones (proveedor o contratista persona física o moral).</w:t>
      </w:r>
    </w:p>
    <w:p w14:paraId="051669BC"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47E311A9"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6D295B5B"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66A29F87"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De la misma manera, lo establece los diversos 29 y 33 del Código Civil Federal, al precisar que el domicilio de personas físicas</w:t>
      </w:r>
      <w:r w:rsidRPr="00E36106">
        <w:rPr>
          <w:rFonts w:ascii="Palatino Linotype" w:eastAsia="Palatino Linotype" w:hAnsi="Palatino Linotype" w:cs="Palatino Linotype"/>
          <w:b/>
          <w:color w:val="000000"/>
          <w:sz w:val="22"/>
          <w:szCs w:val="22"/>
          <w:lang w:eastAsia="es-MX"/>
        </w:rPr>
        <w:t xml:space="preserve">, es el lugar donde residen habitualmente, el lugar del centro </w:t>
      </w:r>
      <w:r w:rsidRPr="00E36106">
        <w:rPr>
          <w:rFonts w:ascii="Palatino Linotype" w:eastAsia="Palatino Linotype" w:hAnsi="Palatino Linotype" w:cs="Palatino Linotype"/>
          <w:b/>
          <w:color w:val="000000"/>
          <w:sz w:val="22"/>
          <w:szCs w:val="22"/>
          <w:lang w:eastAsia="es-MX"/>
        </w:rPr>
        <w:lastRenderedPageBreak/>
        <w:t xml:space="preserve">principal de sus negocios, donde residan o el lugar donde se encuentren; </w:t>
      </w:r>
      <w:r w:rsidRPr="00E36106">
        <w:rPr>
          <w:rFonts w:ascii="Palatino Linotype" w:eastAsia="Palatino Linotype" w:hAnsi="Palatino Linotype" w:cs="Palatino Linotype"/>
          <w:color w:val="000000"/>
          <w:sz w:val="22"/>
          <w:szCs w:val="22"/>
          <w:lang w:eastAsia="es-MX"/>
        </w:rPr>
        <w:t>mientras que, de las personas morales, aquel donde se halle su administración.</w:t>
      </w:r>
    </w:p>
    <w:p w14:paraId="07CEE66C"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b/>
          <w:color w:val="000000"/>
          <w:sz w:val="22"/>
          <w:szCs w:val="22"/>
          <w:lang w:eastAsia="es-MX"/>
        </w:rPr>
      </w:pPr>
    </w:p>
    <w:p w14:paraId="276A71B0"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Además, respecto al domicilio fiscal, resulta necesario traer el artículo 10 del Código Fiscal de la Federación, que establece que, tratándose de personas físicas, corresponderá dicho dato:</w:t>
      </w:r>
    </w:p>
    <w:p w14:paraId="3998261C"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1CFACA5A" w14:textId="77777777" w:rsidR="00E36106" w:rsidRPr="00E36106" w:rsidRDefault="00E36106" w:rsidP="00432DB4">
      <w:pPr>
        <w:numPr>
          <w:ilvl w:val="0"/>
          <w:numId w:val="16"/>
        </w:numPr>
        <w:pBdr>
          <w:top w:val="nil"/>
          <w:left w:val="nil"/>
          <w:bottom w:val="nil"/>
          <w:right w:val="nil"/>
          <w:between w:val="nil"/>
        </w:pBd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El lugar donde realizan actividades empresariales, el local, en que se encuentre el principal asiente de sus negocios, y</w:t>
      </w:r>
    </w:p>
    <w:p w14:paraId="5C31B1CA"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797E7D14" w14:textId="77777777" w:rsidR="00E36106" w:rsidRPr="00E36106" w:rsidRDefault="00E36106" w:rsidP="00432DB4">
      <w:pPr>
        <w:numPr>
          <w:ilvl w:val="0"/>
          <w:numId w:val="16"/>
        </w:numPr>
        <w:pBdr>
          <w:top w:val="nil"/>
          <w:left w:val="nil"/>
          <w:bottom w:val="nil"/>
          <w:right w:val="nil"/>
          <w:between w:val="nil"/>
        </w:pBd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La casa habitación, cuando no cuenta con un local o lugar donde realice las acciones previamente señaladas.</w:t>
      </w:r>
    </w:p>
    <w:p w14:paraId="04915B49"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5767AC1A"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3F423E3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6B594C2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5BCB1FED"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1A94A3F0"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5361E3AF"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6D68A4EF"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628C6866"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3F8DE965" w14:textId="77777777" w:rsidR="00E36106" w:rsidRPr="00E36106" w:rsidRDefault="00E36106" w:rsidP="00432DB4">
      <w:pPr>
        <w:numPr>
          <w:ilvl w:val="0"/>
          <w:numId w:val="18"/>
        </w:numPr>
        <w:spacing w:line="360" w:lineRule="auto"/>
        <w:contextualSpacing/>
        <w:jc w:val="both"/>
        <w:rPr>
          <w:rFonts w:ascii="Palatino Linotype" w:eastAsia="Palatino Linotype" w:hAnsi="Palatino Linotype" w:cs="Palatino Linotype"/>
          <w:b/>
          <w:color w:val="000000"/>
          <w:sz w:val="22"/>
          <w:szCs w:val="22"/>
          <w:lang w:eastAsia="es-MX"/>
        </w:rPr>
      </w:pPr>
      <w:r w:rsidRPr="00E36106">
        <w:rPr>
          <w:rFonts w:ascii="Palatino Linotype" w:eastAsia="Palatino Linotype" w:hAnsi="Palatino Linotype" w:cs="Palatino Linotype"/>
          <w:b/>
          <w:color w:val="000000"/>
          <w:sz w:val="22"/>
          <w:szCs w:val="22"/>
          <w:lang w:eastAsia="es-MX"/>
        </w:rPr>
        <w:t>Nombre de institución bancaria</w:t>
      </w:r>
    </w:p>
    <w:p w14:paraId="423FA773"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1F07C5DD"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083E7605"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5F426346"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lastRenderedPageBreak/>
        <w:t xml:space="preserve">En ese orden de ideas, en el portal de la Comisión Nacional para la Protección y Defensa de los Usuarios de Servicios Financieros (consultadas el dieciocho de enero de dos mil veintitrés), en </w:t>
      </w:r>
      <w:hyperlink r:id="rId15">
        <w:r w:rsidRPr="00E36106">
          <w:rPr>
            <w:rFonts w:ascii="Palatino Linotype" w:eastAsia="Palatino Linotype" w:hAnsi="Palatino Linotype" w:cs="Palatino Linotype"/>
            <w:color w:val="0000FF"/>
            <w:sz w:val="22"/>
            <w:szCs w:val="22"/>
            <w:u w:val="single"/>
            <w:lang w:eastAsia="es-MX"/>
          </w:rPr>
          <w:t>https://www.condusef.gob.mx/Revista/index.php/usuario-inteligente/condusef-responde/777-la-condusef-te-puede-ayudar</w:t>
        </w:r>
      </w:hyperlink>
      <w:r w:rsidRPr="00E36106">
        <w:rPr>
          <w:rFonts w:ascii="Palatino Linotype" w:eastAsia="Palatino Linotype" w:hAnsi="Palatino Linotype" w:cs="Palatino Linotype"/>
          <w:color w:val="000000"/>
          <w:sz w:val="22"/>
          <w:szCs w:val="22"/>
          <w:lang w:eastAsia="es-MX"/>
        </w:rPr>
        <w:t>), se establece que los bancos son instituciones financieras; conforme a lo anterior, se puede advertir que las instituciones bancarias, son personas morales.</w:t>
      </w:r>
    </w:p>
    <w:p w14:paraId="10E75CE2"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16E30586"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1E579ABB"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21D7C27D"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 xml:space="preserve">Lo anterior, se robustece con el hecho de que existe el Sistema de Registro de Prestadores de Servicios Financieros (consultadas el dieciocho de enero de dos mil veintitrés), a las trece horas, en la liga </w:t>
      </w:r>
      <w:hyperlink r:id="rId16">
        <w:r w:rsidRPr="00E36106">
          <w:rPr>
            <w:rFonts w:ascii="Palatino Linotype" w:eastAsia="Palatino Linotype" w:hAnsi="Palatino Linotype" w:cs="Palatino Linotype"/>
            <w:color w:val="0000FF"/>
            <w:sz w:val="22"/>
            <w:szCs w:val="22"/>
            <w:u w:val="single"/>
            <w:lang w:eastAsia="es-MX"/>
          </w:rPr>
          <w:t>https://webapps.condusef.gob.mx/SIPRES/jsp/pub/index.jsp</w:t>
        </w:r>
      </w:hyperlink>
      <w:r w:rsidRPr="00E36106">
        <w:rPr>
          <w:rFonts w:ascii="Palatino Linotype" w:eastAsia="Palatino Linotype" w:hAnsi="Palatino Linotype" w:cs="Palatino Linotype"/>
          <w:color w:val="000000"/>
          <w:sz w:val="22"/>
          <w:szCs w:val="22"/>
          <w:lang w:eastAsia="es-MX"/>
        </w:rPr>
        <w:t xml:space="preserve">), que es un registro de </w:t>
      </w:r>
      <w:r w:rsidRPr="00E36106">
        <w:rPr>
          <w:rFonts w:ascii="Palatino Linotype" w:eastAsia="Palatino Linotype" w:hAnsi="Palatino Linotype" w:cs="Palatino Linotype"/>
          <w:b/>
          <w:color w:val="000000"/>
          <w:sz w:val="22"/>
          <w:szCs w:val="22"/>
          <w:lang w:eastAsia="es-MX"/>
        </w:rPr>
        <w:t xml:space="preserve">carácter público, </w:t>
      </w:r>
      <w:r w:rsidRPr="00E36106">
        <w:rPr>
          <w:rFonts w:ascii="Palatino Linotype" w:eastAsia="Palatino Linotype" w:hAnsi="Palatino Linotype" w:cs="Palatino Linotype"/>
          <w:color w:val="000000"/>
          <w:sz w:val="22"/>
          <w:szCs w:val="22"/>
          <w:lang w:eastAsia="es-MX"/>
        </w:rPr>
        <w:t>cuyo objetivo principal, consiste en proporcionar información corporativa y general de las instituciones financieras</w:t>
      </w:r>
      <w:r w:rsidRPr="00E36106">
        <w:rPr>
          <w:rFonts w:ascii="Palatino Linotype" w:eastAsia="Palatino Linotype" w:hAnsi="Palatino Linotype" w:cs="Palatino Linotype"/>
          <w:b/>
          <w:color w:val="000000"/>
          <w:sz w:val="22"/>
          <w:szCs w:val="22"/>
          <w:lang w:eastAsia="es-MX"/>
        </w:rPr>
        <w:t xml:space="preserve">; además, que permite conocer al público general, información de dichos entes, </w:t>
      </w:r>
      <w:r w:rsidRPr="00E36106">
        <w:rPr>
          <w:rFonts w:ascii="Palatino Linotype" w:eastAsia="Palatino Linotype" w:hAnsi="Palatino Linotype" w:cs="Palatino Linotype"/>
          <w:color w:val="000000"/>
          <w:sz w:val="22"/>
          <w:szCs w:val="22"/>
          <w:lang w:eastAsia="es-MX"/>
        </w:rPr>
        <w:t xml:space="preserve">se muestra un ejemplo a continuación: </w:t>
      </w:r>
    </w:p>
    <w:p w14:paraId="6D4D04FB"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3EC50DA4" w14:textId="77777777" w:rsidR="00E36106" w:rsidRPr="00E36106" w:rsidRDefault="00E36106" w:rsidP="00432DB4">
      <w:pPr>
        <w:tabs>
          <w:tab w:val="center" w:pos="4522"/>
        </w:tabs>
        <w:spacing w:line="360" w:lineRule="auto"/>
        <w:jc w:val="center"/>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noProof/>
          <w:color w:val="000000"/>
          <w:sz w:val="22"/>
          <w:szCs w:val="22"/>
          <w:lang w:eastAsia="es-MX"/>
        </w:rPr>
        <w:drawing>
          <wp:inline distT="0" distB="0" distL="0" distR="0" wp14:anchorId="40CD56A6" wp14:editId="2E615EA7">
            <wp:extent cx="4229100" cy="1743075"/>
            <wp:effectExtent l="0" t="0" r="0" b="9525"/>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7"/>
                    <a:srcRect t="2" b="379"/>
                    <a:stretch>
                      <a:fillRect/>
                    </a:stretch>
                  </pic:blipFill>
                  <pic:spPr>
                    <a:xfrm>
                      <a:off x="0" y="0"/>
                      <a:ext cx="4229100" cy="1743075"/>
                    </a:xfrm>
                    <a:prstGeom prst="rect">
                      <a:avLst/>
                    </a:prstGeom>
                    <a:ln/>
                  </pic:spPr>
                </pic:pic>
              </a:graphicData>
            </a:graphic>
          </wp:inline>
        </w:drawing>
      </w:r>
    </w:p>
    <w:p w14:paraId="7A847BF0"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lastRenderedPageBreak/>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4793AA49"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06F8955B" w14:textId="77777777" w:rsidR="00E36106" w:rsidRPr="00E36106" w:rsidRDefault="00E36106" w:rsidP="00432DB4">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E36106">
        <w:rPr>
          <w:rFonts w:ascii="Palatino Linotype" w:eastAsia="Palatino Linotype" w:hAnsi="Palatino Linotype" w:cs="Palatino Linotype"/>
          <w:color w:val="000000"/>
          <w:sz w:val="22"/>
          <w:szCs w:val="22"/>
          <w:lang w:eastAsia="es-MX"/>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1BAE6F08" w14:textId="6CB38C9A" w:rsidR="00D20443" w:rsidRDefault="00D20443" w:rsidP="00432DB4">
      <w:pPr>
        <w:spacing w:line="360" w:lineRule="auto"/>
        <w:jc w:val="both"/>
        <w:rPr>
          <w:rFonts w:ascii="Palatino Linotype" w:hAnsi="Palatino Linotype" w:cs="Tahoma"/>
          <w:bCs/>
          <w:iCs/>
          <w:sz w:val="22"/>
        </w:rPr>
      </w:pPr>
    </w:p>
    <w:p w14:paraId="0CFA0BA1" w14:textId="3A79E59D" w:rsidR="00E36106" w:rsidRPr="00E36106" w:rsidRDefault="00E36106" w:rsidP="00432DB4">
      <w:pPr>
        <w:spacing w:line="360" w:lineRule="auto"/>
        <w:jc w:val="both"/>
        <w:rPr>
          <w:rFonts w:ascii="Palatino Linotype" w:hAnsi="Palatino Linotype" w:cs="Tahoma"/>
          <w:bCs/>
          <w:iCs/>
          <w:sz w:val="22"/>
          <w:szCs w:val="22"/>
        </w:rPr>
      </w:pPr>
      <w:r w:rsidRPr="00E36106">
        <w:rPr>
          <w:rFonts w:ascii="Palatino Linotype" w:hAnsi="Palatino Linotype" w:cs="Tahoma"/>
          <w:bCs/>
          <w:iCs/>
          <w:sz w:val="22"/>
          <w:szCs w:val="22"/>
          <w:lang w:val="es-ES"/>
        </w:rPr>
        <w:t xml:space="preserve">Finalmente, no pasa desapercibido, que el ahora Recurrente, requirió que se diera vista </w:t>
      </w:r>
      <w:r>
        <w:rPr>
          <w:rFonts w:ascii="Palatino Linotype" w:hAnsi="Palatino Linotype" w:cs="Tahoma"/>
          <w:bCs/>
          <w:iCs/>
          <w:sz w:val="22"/>
          <w:szCs w:val="22"/>
          <w:lang w:val="es-ES"/>
        </w:rPr>
        <w:t>a la autoridad correspondiente</w:t>
      </w:r>
      <w:r w:rsidRPr="00E36106">
        <w:rPr>
          <w:rFonts w:ascii="Palatino Linotype" w:hAnsi="Palatino Linotype" w:cs="Tahoma"/>
          <w:bCs/>
          <w:iCs/>
          <w:sz w:val="22"/>
          <w:szCs w:val="22"/>
          <w:lang w:val="es-ES"/>
        </w:rPr>
        <w:t xml:space="preserve">, a efecto de que se iniciara un procedimiento de responsabilidades en contra de los servidores públicos. </w:t>
      </w:r>
      <w:r w:rsidRPr="00E36106">
        <w:rPr>
          <w:rFonts w:ascii="Palatino Linotype" w:hAnsi="Palatino Linotype" w:cs="Tahoma"/>
          <w:bCs/>
          <w:iCs/>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6F9CC866" w14:textId="77777777" w:rsidR="00E36106" w:rsidRPr="00E36106" w:rsidRDefault="00E36106" w:rsidP="00432DB4">
      <w:pPr>
        <w:spacing w:line="360" w:lineRule="auto"/>
        <w:jc w:val="both"/>
        <w:rPr>
          <w:rFonts w:ascii="Palatino Linotype" w:hAnsi="Palatino Linotype" w:cs="Tahoma"/>
          <w:bCs/>
          <w:iCs/>
          <w:sz w:val="22"/>
          <w:szCs w:val="22"/>
        </w:rPr>
      </w:pPr>
    </w:p>
    <w:p w14:paraId="6CC0D1A3" w14:textId="77777777" w:rsidR="00E36106" w:rsidRPr="00E36106" w:rsidRDefault="00E36106" w:rsidP="00432DB4">
      <w:pPr>
        <w:spacing w:line="360" w:lineRule="auto"/>
        <w:jc w:val="both"/>
        <w:rPr>
          <w:rFonts w:ascii="Palatino Linotype" w:hAnsi="Palatino Linotype" w:cs="Tahoma"/>
          <w:bCs/>
          <w:iCs/>
          <w:sz w:val="22"/>
          <w:szCs w:val="22"/>
        </w:rPr>
      </w:pPr>
      <w:r w:rsidRPr="00E36106">
        <w:rPr>
          <w:rFonts w:ascii="Palatino Linotype" w:hAnsi="Palatino Linotype" w:cs="Tahoma"/>
          <w:bCs/>
          <w:iCs/>
          <w:sz w:val="22"/>
          <w:szCs w:val="22"/>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3C37394D" w14:textId="77777777" w:rsidR="00E36106" w:rsidRPr="00E36106" w:rsidRDefault="00E36106" w:rsidP="00432DB4">
      <w:pPr>
        <w:spacing w:line="360" w:lineRule="auto"/>
        <w:jc w:val="both"/>
        <w:rPr>
          <w:rFonts w:ascii="Palatino Linotype" w:hAnsi="Palatino Linotype" w:cs="Tahoma"/>
          <w:bCs/>
          <w:iCs/>
          <w:sz w:val="22"/>
          <w:szCs w:val="22"/>
        </w:rPr>
      </w:pPr>
    </w:p>
    <w:p w14:paraId="2D9E05C8" w14:textId="77777777" w:rsidR="00E36106" w:rsidRPr="00E36106" w:rsidRDefault="00E36106" w:rsidP="00432DB4">
      <w:pPr>
        <w:spacing w:line="360" w:lineRule="auto"/>
        <w:jc w:val="both"/>
        <w:rPr>
          <w:rFonts w:ascii="Palatino Linotype" w:hAnsi="Palatino Linotype" w:cs="Tahoma"/>
          <w:bCs/>
          <w:iCs/>
          <w:sz w:val="22"/>
          <w:szCs w:val="22"/>
        </w:rPr>
      </w:pPr>
      <w:r w:rsidRPr="00E36106">
        <w:rPr>
          <w:rFonts w:ascii="Palatino Linotype" w:hAnsi="Palatino Linotype" w:cs="Tahoma"/>
          <w:bCs/>
          <w:iCs/>
          <w:sz w:val="22"/>
          <w:szCs w:val="22"/>
        </w:rPr>
        <w:t xml:space="preserve">Por su parte, el artículo 223 de la Ley de Transparencia y Acceso a la Información Pública del Estado de México y Municipios, prevé que este Instituto deberá dar vista a la Contraloría </w:t>
      </w:r>
      <w:r w:rsidRPr="00E36106">
        <w:rPr>
          <w:rFonts w:ascii="Palatino Linotype" w:hAnsi="Palatino Linotype" w:cs="Tahoma"/>
          <w:bCs/>
          <w:iCs/>
          <w:sz w:val="22"/>
          <w:szCs w:val="22"/>
        </w:rPr>
        <w:lastRenderedPageBreak/>
        <w:t>Interna, con el fin de que determine el grado de responsabilidad de los servidores públicos que incumplan con las obligaciones establecidas en la Ley.</w:t>
      </w:r>
    </w:p>
    <w:p w14:paraId="22509616" w14:textId="77777777" w:rsidR="00E36106" w:rsidRPr="00E36106" w:rsidRDefault="00E36106" w:rsidP="00432DB4">
      <w:pPr>
        <w:spacing w:line="360" w:lineRule="auto"/>
        <w:jc w:val="both"/>
        <w:rPr>
          <w:rFonts w:ascii="Palatino Linotype" w:hAnsi="Palatino Linotype" w:cs="Tahoma"/>
          <w:bCs/>
          <w:iCs/>
          <w:sz w:val="22"/>
          <w:szCs w:val="22"/>
          <w:lang w:val="es-ES"/>
        </w:rPr>
      </w:pPr>
    </w:p>
    <w:p w14:paraId="089A87F6" w14:textId="0C7A0CF9" w:rsidR="00E36106" w:rsidRPr="00E36106" w:rsidRDefault="00E36106" w:rsidP="00432DB4">
      <w:pPr>
        <w:spacing w:line="360" w:lineRule="auto"/>
        <w:jc w:val="both"/>
        <w:rPr>
          <w:rFonts w:ascii="Palatino Linotype" w:hAnsi="Palatino Linotype" w:cs="Tahoma"/>
          <w:bCs/>
          <w:iCs/>
          <w:sz w:val="22"/>
          <w:szCs w:val="22"/>
        </w:rPr>
      </w:pPr>
      <w:r w:rsidRPr="00E36106">
        <w:rPr>
          <w:rFonts w:ascii="Palatino Linotype" w:hAnsi="Palatino Linotype" w:cs="Tahoma"/>
          <w:bCs/>
          <w:iCs/>
          <w:sz w:val="22"/>
          <w:szCs w:val="22"/>
          <w:lang w:val="es-ES"/>
        </w:rPr>
        <w:t xml:space="preserve">En el presente caso, este Instituto no cuenta con elementos necesarios para indicar que el actuar del Sujeto Obligado actuó con negligencia, dolo o mala fe al atender la solicitud de información; por lo que, no resulta procedente dar vista en el presente asunto. Sin embargo, se dejan a salvo los derechos del Particular, para que dé así requerirlo, presente la queja o denuncia, ante el Órgano Interno de Control del </w:t>
      </w:r>
      <w:r w:rsidRPr="00E36106">
        <w:rPr>
          <w:rFonts w:ascii="Palatino Linotype" w:hAnsi="Palatino Linotype" w:cs="Tahoma"/>
          <w:iCs/>
          <w:sz w:val="22"/>
          <w:szCs w:val="22"/>
        </w:rPr>
        <w:t>Sujeto Obligado</w:t>
      </w:r>
      <w:r>
        <w:rPr>
          <w:rFonts w:ascii="Palatino Linotype" w:hAnsi="Palatino Linotype" w:cs="Tahoma"/>
          <w:iCs/>
          <w:sz w:val="22"/>
          <w:szCs w:val="22"/>
        </w:rPr>
        <w:t xml:space="preserve">; además, se le informa que en la Resolución del Recurso de Revisión </w:t>
      </w:r>
      <w:r>
        <w:rPr>
          <w:rFonts w:ascii="Palatino Linotype" w:eastAsia="Calibri" w:hAnsi="Palatino Linotype" w:cs="Tahoma"/>
          <w:bCs/>
          <w:sz w:val="22"/>
          <w:szCs w:val="22"/>
          <w:lang w:eastAsia="en-US"/>
        </w:rPr>
        <w:t xml:space="preserve">04946/INFOEM/IP/RR/2025, se le dio vista a la Secretaría Técnica del Pleno a efecto que </w:t>
      </w:r>
      <w:r w:rsidR="001A14FB">
        <w:rPr>
          <w:rFonts w:ascii="Palatino Linotype" w:eastAsia="Calibri" w:hAnsi="Palatino Linotype" w:cs="Tahoma"/>
          <w:bCs/>
          <w:sz w:val="22"/>
          <w:szCs w:val="22"/>
          <w:lang w:eastAsia="en-US"/>
        </w:rPr>
        <w:t>en atención a sus atribuciones actuara en razón de su competencia.</w:t>
      </w:r>
    </w:p>
    <w:p w14:paraId="77E2D032" w14:textId="77777777" w:rsidR="00E36106" w:rsidRPr="00E36106" w:rsidRDefault="00E36106" w:rsidP="00432DB4">
      <w:pPr>
        <w:spacing w:line="360" w:lineRule="auto"/>
        <w:jc w:val="both"/>
        <w:rPr>
          <w:rFonts w:ascii="Palatino Linotype" w:hAnsi="Palatino Linotype" w:cs="Tahoma"/>
          <w:bCs/>
          <w:iCs/>
          <w:sz w:val="22"/>
        </w:rPr>
      </w:pPr>
    </w:p>
    <w:p w14:paraId="5B220687" w14:textId="45A57D78" w:rsidR="001C6B9A" w:rsidRPr="007A7C93" w:rsidRDefault="001C6B9A" w:rsidP="00432DB4">
      <w:pPr>
        <w:pStyle w:val="Ttulo2"/>
      </w:pPr>
      <w:bookmarkStart w:id="26" w:name="_Toc221202158"/>
      <w:r w:rsidRPr="007A7C93">
        <w:t>SEXTO. Decisión</w:t>
      </w:r>
      <w:bookmarkEnd w:id="26"/>
    </w:p>
    <w:p w14:paraId="43614774" w14:textId="77777777" w:rsidR="001C6B9A" w:rsidRPr="007A7C93" w:rsidRDefault="001C6B9A" w:rsidP="00432DB4">
      <w:pPr>
        <w:spacing w:line="360" w:lineRule="auto"/>
        <w:jc w:val="both"/>
        <w:rPr>
          <w:rFonts w:ascii="Palatino Linotype" w:hAnsi="Palatino Linotype" w:cs="Tahoma"/>
          <w:sz w:val="22"/>
          <w:szCs w:val="22"/>
        </w:rPr>
      </w:pPr>
    </w:p>
    <w:p w14:paraId="4F8B3B54" w14:textId="77777777" w:rsidR="00D95198" w:rsidRPr="00D95198" w:rsidRDefault="00D95198" w:rsidP="00432DB4">
      <w:pPr>
        <w:spacing w:line="360" w:lineRule="auto"/>
        <w:jc w:val="both"/>
        <w:rPr>
          <w:rFonts w:ascii="Palatino Linotype" w:hAnsi="Palatino Linotype" w:cs="Tahoma"/>
          <w:sz w:val="22"/>
          <w:szCs w:val="22"/>
        </w:rPr>
      </w:pPr>
      <w:r w:rsidRPr="00D95198">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p>
    <w:p w14:paraId="1F7F2430" w14:textId="6DB3DB0F" w:rsidR="00895942" w:rsidRDefault="00E36106" w:rsidP="00432DB4">
      <w:pPr>
        <w:spacing w:line="360" w:lineRule="auto"/>
        <w:jc w:val="both"/>
        <w:rPr>
          <w:rFonts w:ascii="Palatino Linotype" w:hAnsi="Palatino Linotype" w:cs="Tahoma"/>
          <w:sz w:val="22"/>
          <w:szCs w:val="22"/>
        </w:rPr>
      </w:pPr>
      <w:r>
        <w:rPr>
          <w:rFonts w:ascii="Palatino Linotype" w:hAnsi="Palatino Linotype" w:cs="Tahoma"/>
          <w:b/>
          <w:sz w:val="22"/>
          <w:szCs w:val="22"/>
        </w:rPr>
        <w:t>REVO</w:t>
      </w:r>
      <w:r w:rsidR="00D95198" w:rsidRPr="00D95198">
        <w:rPr>
          <w:rFonts w:ascii="Palatino Linotype" w:hAnsi="Palatino Linotype" w:cs="Tahoma"/>
          <w:b/>
          <w:sz w:val="22"/>
          <w:szCs w:val="22"/>
        </w:rPr>
        <w:t>CAR</w:t>
      </w:r>
      <w:r w:rsidR="00D95198" w:rsidRPr="00D95198">
        <w:rPr>
          <w:rFonts w:ascii="Palatino Linotype" w:hAnsi="Palatino Linotype" w:cs="Tahoma"/>
          <w:sz w:val="22"/>
          <w:szCs w:val="22"/>
        </w:rPr>
        <w:t xml:space="preserve"> la respuesta otorgada por el Sujeto Obligado a la solicitud de información a efecto de que, entregue la información solicitada.</w:t>
      </w:r>
    </w:p>
    <w:p w14:paraId="12520EA1" w14:textId="77777777" w:rsidR="00C351A6" w:rsidRPr="007A7C93" w:rsidRDefault="00C351A6" w:rsidP="00432DB4">
      <w:pPr>
        <w:spacing w:line="360" w:lineRule="auto"/>
        <w:jc w:val="both"/>
        <w:rPr>
          <w:rFonts w:ascii="Palatino Linotype" w:hAnsi="Palatino Linotype" w:cs="Tahoma"/>
          <w:bCs/>
          <w:iCs/>
          <w:sz w:val="22"/>
          <w:szCs w:val="22"/>
          <w:lang w:val="es-ES"/>
        </w:rPr>
      </w:pPr>
    </w:p>
    <w:p w14:paraId="7A3B2B22" w14:textId="77777777" w:rsidR="00D95198" w:rsidRPr="00626816" w:rsidRDefault="00D95198" w:rsidP="00432DB4">
      <w:pPr>
        <w:spacing w:line="360" w:lineRule="auto"/>
        <w:jc w:val="both"/>
        <w:rPr>
          <w:rFonts w:ascii="Palatino Linotype" w:hAnsi="Palatino Linotype" w:cs="Tahoma"/>
          <w:b/>
          <w:bCs/>
          <w:iCs/>
          <w:sz w:val="22"/>
          <w:szCs w:val="22"/>
          <w:lang w:val="es-ES"/>
        </w:rPr>
      </w:pPr>
      <w:r w:rsidRPr="00626816">
        <w:rPr>
          <w:rFonts w:ascii="Palatino Linotype" w:hAnsi="Palatino Linotype" w:cs="Tahoma"/>
          <w:b/>
          <w:bCs/>
          <w:iCs/>
          <w:sz w:val="22"/>
          <w:szCs w:val="22"/>
          <w:lang w:val="es-ES"/>
        </w:rPr>
        <w:t>Términos de la Resolución para conocimiento del Particular</w:t>
      </w:r>
    </w:p>
    <w:p w14:paraId="4AF2ADAA" w14:textId="77777777" w:rsidR="00D95198" w:rsidRPr="00626816" w:rsidRDefault="00D95198" w:rsidP="00432DB4">
      <w:pPr>
        <w:spacing w:line="360" w:lineRule="auto"/>
        <w:jc w:val="both"/>
        <w:rPr>
          <w:rFonts w:ascii="Palatino Linotype" w:hAnsi="Palatino Linotype" w:cs="Tahoma"/>
          <w:b/>
          <w:bCs/>
          <w:iCs/>
          <w:sz w:val="22"/>
          <w:szCs w:val="22"/>
          <w:lang w:val="es-ES"/>
        </w:rPr>
      </w:pPr>
    </w:p>
    <w:p w14:paraId="03C2B841" w14:textId="77777777" w:rsidR="001A14FB" w:rsidRPr="001A14FB" w:rsidRDefault="001A14FB" w:rsidP="00432DB4">
      <w:pPr>
        <w:spacing w:line="360" w:lineRule="auto"/>
        <w:jc w:val="both"/>
        <w:rPr>
          <w:rFonts w:ascii="Palatino Linotype" w:eastAsia="Palatino Linotype" w:hAnsi="Palatino Linotype" w:cs="Palatino Linotype"/>
          <w:color w:val="000000"/>
          <w:sz w:val="22"/>
          <w:szCs w:val="22"/>
          <w:lang w:eastAsia="es-MX"/>
        </w:rPr>
      </w:pPr>
      <w:r w:rsidRPr="001A14FB">
        <w:rPr>
          <w:rFonts w:ascii="Palatino Linotype" w:eastAsia="Palatino Linotype" w:hAnsi="Palatino Linotype" w:cs="Palatino Linotype"/>
          <w:color w:val="000000"/>
          <w:sz w:val="22"/>
          <w:szCs w:val="22"/>
          <w:lang w:eastAsia="es-MX"/>
        </w:rPr>
        <w:t xml:space="preserve">Se le hace del conocimiento a la persona Recurrente que, en el presente asunto, se le da la razón, pues si bien el Sujeto Obligado dio respuesta, no acreditó la clasificación de la información como reservada, por lo que, deberá entregar la información solicitada en versión pública. </w:t>
      </w:r>
    </w:p>
    <w:p w14:paraId="0AAB6D2C" w14:textId="77777777" w:rsidR="00D95198" w:rsidRDefault="00D95198" w:rsidP="00432DB4">
      <w:pPr>
        <w:spacing w:line="360" w:lineRule="auto"/>
        <w:jc w:val="both"/>
        <w:rPr>
          <w:rFonts w:ascii="Palatino Linotype" w:hAnsi="Palatino Linotype" w:cs="Tahoma"/>
          <w:bCs/>
          <w:iCs/>
          <w:sz w:val="22"/>
          <w:szCs w:val="22"/>
        </w:rPr>
      </w:pPr>
    </w:p>
    <w:p w14:paraId="043DEEF3" w14:textId="77777777" w:rsidR="00432DB4" w:rsidRDefault="00432DB4" w:rsidP="00432DB4">
      <w:pPr>
        <w:spacing w:line="360" w:lineRule="auto"/>
        <w:jc w:val="both"/>
        <w:rPr>
          <w:rFonts w:ascii="Palatino Linotype" w:hAnsi="Palatino Linotype" w:cs="Tahoma"/>
          <w:bCs/>
          <w:iCs/>
          <w:sz w:val="22"/>
          <w:szCs w:val="22"/>
        </w:rPr>
      </w:pPr>
    </w:p>
    <w:p w14:paraId="63915CB5" w14:textId="77777777" w:rsidR="00432DB4" w:rsidRPr="001A14FB" w:rsidRDefault="00432DB4" w:rsidP="00432DB4">
      <w:pPr>
        <w:spacing w:line="360" w:lineRule="auto"/>
        <w:jc w:val="both"/>
        <w:rPr>
          <w:rFonts w:ascii="Palatino Linotype" w:hAnsi="Palatino Linotype" w:cs="Tahoma"/>
          <w:bCs/>
          <w:iCs/>
          <w:sz w:val="22"/>
          <w:szCs w:val="22"/>
        </w:rPr>
      </w:pPr>
    </w:p>
    <w:p w14:paraId="6D87F218" w14:textId="77777777" w:rsidR="00D95198" w:rsidRDefault="00D95198" w:rsidP="00432DB4">
      <w:pPr>
        <w:spacing w:line="360" w:lineRule="auto"/>
        <w:jc w:val="both"/>
        <w:rPr>
          <w:rFonts w:ascii="Palatino Linotype" w:hAnsi="Palatino Linotype"/>
          <w:bCs/>
          <w:iCs/>
          <w:color w:val="000000"/>
          <w:sz w:val="22"/>
          <w:szCs w:val="22"/>
          <w:lang w:val="es-ES_tradnl"/>
        </w:rPr>
      </w:pPr>
      <w:r w:rsidRPr="00B57830">
        <w:rPr>
          <w:rFonts w:ascii="Palatino Linotype" w:hAnsi="Palatino Linotype"/>
          <w:bCs/>
          <w:iCs/>
          <w:color w:val="000000"/>
          <w:sz w:val="22"/>
          <w:szCs w:val="22"/>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135F7D01" w14:textId="77777777" w:rsidR="00D95198" w:rsidRPr="00626816" w:rsidRDefault="00D95198" w:rsidP="00432DB4">
      <w:pPr>
        <w:spacing w:line="360" w:lineRule="auto"/>
        <w:jc w:val="both"/>
        <w:rPr>
          <w:rFonts w:ascii="Palatino Linotype" w:eastAsia="Calibri" w:hAnsi="Palatino Linotype"/>
          <w:color w:val="000000"/>
          <w:sz w:val="22"/>
          <w:szCs w:val="22"/>
          <w:lang w:eastAsia="en-US"/>
        </w:rPr>
      </w:pPr>
    </w:p>
    <w:p w14:paraId="514B539F" w14:textId="77777777" w:rsidR="00D95198" w:rsidRPr="00626816" w:rsidRDefault="00D95198" w:rsidP="00432DB4">
      <w:pPr>
        <w:spacing w:line="360" w:lineRule="auto"/>
        <w:jc w:val="both"/>
        <w:rPr>
          <w:rFonts w:ascii="Palatino Linotype" w:hAnsi="Palatino Linotype" w:cs="Tahoma"/>
          <w:bCs/>
          <w:iCs/>
          <w:sz w:val="22"/>
          <w:szCs w:val="22"/>
        </w:rPr>
      </w:pPr>
      <w:r w:rsidRPr="00626816">
        <w:rPr>
          <w:rFonts w:ascii="Palatino Linotype" w:hAnsi="Palatino Linotype" w:cs="Tahoma"/>
          <w:bCs/>
          <w:iCs/>
          <w:sz w:val="22"/>
          <w:szCs w:val="22"/>
        </w:rPr>
        <w:t>Por lo expuesto y fundado, este Pleno:</w:t>
      </w:r>
    </w:p>
    <w:p w14:paraId="2A3C222A" w14:textId="77777777" w:rsidR="003A796B" w:rsidRDefault="003A796B" w:rsidP="00432DB4">
      <w:pPr>
        <w:spacing w:line="360" w:lineRule="auto"/>
        <w:jc w:val="both"/>
        <w:rPr>
          <w:rFonts w:ascii="Palatino Linotype" w:hAnsi="Palatino Linotype" w:cs="Tahoma"/>
          <w:bCs/>
          <w:iCs/>
          <w:sz w:val="22"/>
          <w:szCs w:val="22"/>
        </w:rPr>
      </w:pPr>
    </w:p>
    <w:p w14:paraId="31431AD7" w14:textId="77777777" w:rsidR="00FF7C33" w:rsidRPr="007A7C93" w:rsidRDefault="00FF7C33" w:rsidP="00432DB4">
      <w:pPr>
        <w:pStyle w:val="Ttulo1"/>
      </w:pPr>
      <w:bookmarkStart w:id="27" w:name="_Toc221202159"/>
      <w:r w:rsidRPr="007A7C93">
        <w:t>R E S U E L V E</w:t>
      </w:r>
      <w:bookmarkEnd w:id="27"/>
    </w:p>
    <w:p w14:paraId="39DB2FA1" w14:textId="77777777" w:rsidR="00F57883" w:rsidRPr="007A7C93" w:rsidRDefault="00F57883" w:rsidP="00432DB4">
      <w:pPr>
        <w:spacing w:line="360" w:lineRule="auto"/>
        <w:jc w:val="both"/>
        <w:rPr>
          <w:rFonts w:ascii="Palatino Linotype" w:hAnsi="Palatino Linotype" w:cs="Tahoma"/>
          <w:b/>
          <w:bCs/>
          <w:iCs/>
          <w:sz w:val="22"/>
          <w:szCs w:val="22"/>
        </w:rPr>
      </w:pPr>
    </w:p>
    <w:p w14:paraId="15952F75" w14:textId="0F7ECC27" w:rsidR="00FC0A7F" w:rsidRDefault="00D95198" w:rsidP="00432DB4">
      <w:pPr>
        <w:spacing w:line="360" w:lineRule="auto"/>
        <w:jc w:val="both"/>
        <w:rPr>
          <w:rFonts w:ascii="Palatino Linotype" w:eastAsia="Calibri" w:hAnsi="Palatino Linotype" w:cs="Tahoma"/>
          <w:bCs/>
          <w:color w:val="000000"/>
          <w:sz w:val="22"/>
          <w:szCs w:val="22"/>
          <w:lang w:eastAsia="es-MX"/>
        </w:rPr>
      </w:pPr>
      <w:r w:rsidRPr="00626816">
        <w:rPr>
          <w:rFonts w:ascii="Palatino Linotype" w:hAnsi="Palatino Linotype" w:cs="Tahoma"/>
          <w:b/>
          <w:bCs/>
          <w:iCs/>
          <w:sz w:val="22"/>
          <w:szCs w:val="22"/>
        </w:rPr>
        <w:t xml:space="preserve">PRIMERO. </w:t>
      </w:r>
      <w:r w:rsidRPr="00626816">
        <w:rPr>
          <w:rFonts w:ascii="Palatino Linotype" w:eastAsia="Palatino Linotype" w:hAnsi="Palatino Linotype" w:cs="Tahoma"/>
          <w:bCs/>
          <w:color w:val="000000"/>
          <w:sz w:val="22"/>
          <w:szCs w:val="22"/>
          <w:lang w:eastAsia="es-MX"/>
        </w:rPr>
        <w:t xml:space="preserve">Se </w:t>
      </w:r>
      <w:r w:rsidR="00E36106">
        <w:rPr>
          <w:rFonts w:ascii="Palatino Linotype" w:eastAsia="Palatino Linotype" w:hAnsi="Palatino Linotype" w:cs="Tahoma"/>
          <w:b/>
          <w:bCs/>
          <w:color w:val="000000"/>
          <w:sz w:val="22"/>
          <w:szCs w:val="22"/>
          <w:lang w:eastAsia="es-MX"/>
        </w:rPr>
        <w:t>REVO</w:t>
      </w:r>
      <w:r w:rsidR="003E4344">
        <w:rPr>
          <w:rFonts w:ascii="Palatino Linotype" w:eastAsia="Palatino Linotype" w:hAnsi="Palatino Linotype" w:cs="Tahoma"/>
          <w:b/>
          <w:bCs/>
          <w:color w:val="000000"/>
          <w:sz w:val="22"/>
          <w:szCs w:val="22"/>
          <w:lang w:eastAsia="es-MX"/>
        </w:rPr>
        <w:t>CA</w:t>
      </w:r>
      <w:r w:rsidRPr="00626816">
        <w:rPr>
          <w:rFonts w:ascii="Palatino Linotype" w:eastAsia="Palatino Linotype" w:hAnsi="Palatino Linotype" w:cs="Tahoma"/>
          <w:b/>
          <w:bCs/>
          <w:color w:val="000000"/>
          <w:sz w:val="22"/>
          <w:szCs w:val="22"/>
          <w:lang w:eastAsia="es-MX"/>
        </w:rPr>
        <w:t xml:space="preserve"> </w:t>
      </w:r>
      <w:r w:rsidRPr="00626816">
        <w:rPr>
          <w:rFonts w:ascii="Palatino Linotype" w:eastAsia="Palatino Linotype" w:hAnsi="Palatino Linotype" w:cs="Tahoma"/>
          <w:bCs/>
          <w:color w:val="000000"/>
          <w:sz w:val="22"/>
          <w:szCs w:val="22"/>
          <w:lang w:eastAsia="es-MX"/>
        </w:rPr>
        <w:t xml:space="preserve">la respuesta entregada por el </w:t>
      </w:r>
      <w:r w:rsidR="0093448A">
        <w:rPr>
          <w:rFonts w:ascii="Palatino Linotype" w:eastAsia="Palatino Linotype" w:hAnsi="Palatino Linotype" w:cs="Tahoma"/>
          <w:bCs/>
          <w:color w:val="000000"/>
          <w:sz w:val="22"/>
          <w:szCs w:val="22"/>
          <w:lang w:eastAsia="es-MX"/>
        </w:rPr>
        <w:t>Ayuntamiento de Ecatepec de Morelos</w:t>
      </w:r>
      <w:r w:rsidRPr="00626816">
        <w:rPr>
          <w:rFonts w:ascii="Palatino Linotype" w:eastAsia="Palatino Linotype" w:hAnsi="Palatino Linotype" w:cs="Tahoma"/>
          <w:bCs/>
          <w:color w:val="000000"/>
          <w:sz w:val="22"/>
          <w:szCs w:val="22"/>
          <w:lang w:eastAsia="es-MX"/>
        </w:rPr>
        <w:t xml:space="preserve">, </w:t>
      </w:r>
      <w:r>
        <w:rPr>
          <w:rFonts w:ascii="Palatino Linotype" w:eastAsia="Palatino Linotype" w:hAnsi="Palatino Linotype" w:cs="Tahoma"/>
          <w:bCs/>
          <w:color w:val="000000"/>
          <w:sz w:val="22"/>
          <w:szCs w:val="22"/>
          <w:lang w:eastAsia="es-MX"/>
        </w:rPr>
        <w:t xml:space="preserve">en cumplimiento a la Resolución del Recurso de Revisión </w:t>
      </w:r>
      <w:r w:rsidR="0093448A">
        <w:rPr>
          <w:rFonts w:ascii="Palatino Linotype" w:hAnsi="Palatino Linotype" w:cs="Tahoma"/>
          <w:bCs/>
          <w:iCs/>
          <w:sz w:val="22"/>
          <w:szCs w:val="22"/>
        </w:rPr>
        <w:t>04946/INFOEM/IP/RR/2025</w:t>
      </w:r>
      <w:r w:rsidRPr="00626816">
        <w:rPr>
          <w:rFonts w:ascii="Palatino Linotype" w:eastAsia="Palatino Linotype" w:hAnsi="Palatino Linotype" w:cs="Palatino Linotype"/>
          <w:bCs/>
          <w:color w:val="000000"/>
          <w:sz w:val="22"/>
          <w:szCs w:val="22"/>
          <w:lang w:eastAsia="es-MX"/>
        </w:rPr>
        <w:t xml:space="preserve">, por resultar </w:t>
      </w:r>
      <w:r w:rsidRPr="00626816">
        <w:rPr>
          <w:rFonts w:ascii="Palatino Linotype" w:eastAsia="Palatino Linotype" w:hAnsi="Palatino Linotype" w:cs="Palatino Linotype"/>
          <w:b/>
          <w:bCs/>
          <w:color w:val="000000"/>
          <w:sz w:val="22"/>
          <w:szCs w:val="22"/>
          <w:lang w:eastAsia="es-MX"/>
        </w:rPr>
        <w:t>FUNDADAS</w:t>
      </w:r>
      <w:r w:rsidRPr="00626816">
        <w:rPr>
          <w:rFonts w:ascii="Palatino Linotype" w:eastAsia="Palatino Linotype" w:hAnsi="Palatino Linotype" w:cs="Tahoma"/>
          <w:b/>
          <w:bCs/>
          <w:color w:val="000000"/>
          <w:sz w:val="22"/>
          <w:szCs w:val="22"/>
          <w:lang w:eastAsia="es-MX"/>
        </w:rPr>
        <w:t xml:space="preserve"> </w:t>
      </w:r>
      <w:r w:rsidRPr="00626816">
        <w:rPr>
          <w:rFonts w:ascii="Palatino Linotype" w:eastAsia="Calibri" w:hAnsi="Palatino Linotype" w:cs="Tahoma"/>
          <w:bCs/>
          <w:color w:val="000000"/>
          <w:sz w:val="22"/>
          <w:szCs w:val="22"/>
          <w:lang w:eastAsia="es-MX"/>
        </w:rPr>
        <w:t>las razones o motivos de inconformidad hechos valer por el Recurrente</w:t>
      </w:r>
      <w:r w:rsidRPr="00626816">
        <w:rPr>
          <w:rFonts w:ascii="Palatino Linotype" w:eastAsia="Palatino Linotype" w:hAnsi="Palatino Linotype" w:cs="Tahoma"/>
          <w:bCs/>
          <w:color w:val="000000"/>
          <w:sz w:val="22"/>
          <w:szCs w:val="22"/>
          <w:lang w:eastAsia="es-MX"/>
        </w:rPr>
        <w:t xml:space="preserve">, </w:t>
      </w:r>
      <w:r w:rsidRPr="00626816">
        <w:rPr>
          <w:rFonts w:ascii="Palatino Linotype" w:eastAsia="Calibri" w:hAnsi="Palatino Linotype" w:cs="Tahoma"/>
          <w:bCs/>
          <w:color w:val="000000"/>
          <w:sz w:val="22"/>
          <w:szCs w:val="22"/>
          <w:lang w:eastAsia="es-MX"/>
        </w:rPr>
        <w:t>en términos de los considerandos QUINTO y SEXTO de la presente Resolución</w:t>
      </w:r>
    </w:p>
    <w:p w14:paraId="206B3949" w14:textId="77777777" w:rsidR="00D95198" w:rsidRDefault="00D95198" w:rsidP="00432DB4">
      <w:pPr>
        <w:spacing w:line="360" w:lineRule="auto"/>
        <w:jc w:val="both"/>
        <w:rPr>
          <w:rFonts w:ascii="Palatino Linotype" w:hAnsi="Palatino Linotype" w:cs="Tahoma"/>
          <w:bCs/>
          <w:iCs/>
          <w:sz w:val="22"/>
          <w:szCs w:val="22"/>
        </w:rPr>
      </w:pPr>
    </w:p>
    <w:p w14:paraId="6A8E56D8" w14:textId="31FCA904" w:rsidR="00D95198" w:rsidRPr="00D95198" w:rsidRDefault="00D95198" w:rsidP="00432DB4">
      <w:pPr>
        <w:spacing w:line="360" w:lineRule="auto"/>
        <w:jc w:val="both"/>
        <w:rPr>
          <w:rFonts w:ascii="Palatino Linotype" w:hAnsi="Palatino Linotype" w:cs="Tahoma"/>
          <w:bCs/>
          <w:iCs/>
          <w:sz w:val="22"/>
          <w:szCs w:val="22"/>
          <w:lang w:val="es-ES"/>
        </w:rPr>
      </w:pPr>
      <w:r w:rsidRPr="00D95198">
        <w:rPr>
          <w:rFonts w:ascii="Palatino Linotype" w:hAnsi="Palatino Linotype" w:cs="Tahoma"/>
          <w:b/>
          <w:bCs/>
          <w:iCs/>
          <w:sz w:val="22"/>
          <w:szCs w:val="22"/>
          <w:lang w:val="es-ES"/>
        </w:rPr>
        <w:t xml:space="preserve">SEGUNDO. </w:t>
      </w:r>
      <w:r w:rsidRPr="00D95198">
        <w:rPr>
          <w:rFonts w:ascii="Palatino Linotype" w:hAnsi="Palatino Linotype" w:cs="Tahoma"/>
          <w:bCs/>
          <w:iCs/>
          <w:sz w:val="22"/>
          <w:szCs w:val="22"/>
          <w:lang w:val="es-ES"/>
        </w:rPr>
        <w:t xml:space="preserve">Se </w:t>
      </w:r>
      <w:r w:rsidRPr="00D95198">
        <w:rPr>
          <w:rFonts w:ascii="Palatino Linotype" w:hAnsi="Palatino Linotype" w:cs="Tahoma"/>
          <w:b/>
          <w:bCs/>
          <w:iCs/>
          <w:sz w:val="22"/>
          <w:szCs w:val="22"/>
          <w:lang w:val="es-ES"/>
        </w:rPr>
        <w:t>ORDENA</w:t>
      </w:r>
      <w:r w:rsidRPr="00D95198">
        <w:rPr>
          <w:rFonts w:ascii="Palatino Linotype" w:hAnsi="Palatino Linotype" w:cs="Tahoma"/>
          <w:bCs/>
          <w:iCs/>
          <w:sz w:val="22"/>
          <w:szCs w:val="22"/>
          <w:lang w:val="es-ES"/>
        </w:rPr>
        <w:t xml:space="preserve"> al Sujeto Obligado, a efecto de que previa búsqueda exhaustiva y razonable en los archivos de las unidades administrativas competentes, entregue a través del Sistema de Acceso a la Información Mexiquense (SAIMEX), en su caso en versión pública, lo</w:t>
      </w:r>
      <w:r w:rsidR="000B2C1D">
        <w:rPr>
          <w:rFonts w:ascii="Palatino Linotype" w:hAnsi="Palatino Linotype" w:cs="Tahoma"/>
          <w:bCs/>
          <w:iCs/>
          <w:sz w:val="22"/>
          <w:szCs w:val="22"/>
          <w:lang w:val="es-ES"/>
        </w:rPr>
        <w:t xml:space="preserve">s documentos </w:t>
      </w:r>
      <w:r w:rsidR="00E36106">
        <w:rPr>
          <w:rFonts w:ascii="Palatino Linotype" w:hAnsi="Palatino Linotype" w:cs="Tahoma"/>
          <w:bCs/>
          <w:iCs/>
          <w:sz w:val="22"/>
          <w:szCs w:val="22"/>
          <w:lang w:val="es-ES"/>
        </w:rPr>
        <w:t>donde conste</w:t>
      </w:r>
      <w:r w:rsidR="000B2C1D">
        <w:rPr>
          <w:rFonts w:ascii="Palatino Linotype" w:hAnsi="Palatino Linotype" w:cs="Tahoma"/>
          <w:bCs/>
          <w:iCs/>
          <w:sz w:val="22"/>
          <w:szCs w:val="22"/>
          <w:lang w:val="es-ES"/>
        </w:rPr>
        <w:t xml:space="preserve"> lo</w:t>
      </w:r>
      <w:r w:rsidRPr="00D95198">
        <w:rPr>
          <w:rFonts w:ascii="Palatino Linotype" w:hAnsi="Palatino Linotype" w:cs="Tahoma"/>
          <w:bCs/>
          <w:iCs/>
          <w:sz w:val="22"/>
          <w:szCs w:val="22"/>
          <w:lang w:val="es-ES"/>
        </w:rPr>
        <w:t xml:space="preserve"> siguiente:</w:t>
      </w:r>
    </w:p>
    <w:p w14:paraId="71A69301" w14:textId="77777777" w:rsidR="00D95198" w:rsidRPr="00D95198" w:rsidRDefault="00D95198" w:rsidP="00432DB4">
      <w:pPr>
        <w:spacing w:line="360" w:lineRule="auto"/>
        <w:jc w:val="both"/>
        <w:rPr>
          <w:rFonts w:ascii="Palatino Linotype" w:hAnsi="Palatino Linotype" w:cs="Tahoma"/>
          <w:bCs/>
          <w:iCs/>
          <w:sz w:val="22"/>
          <w:szCs w:val="22"/>
          <w:lang w:val="es-ES"/>
        </w:rPr>
      </w:pPr>
    </w:p>
    <w:p w14:paraId="08EA7079" w14:textId="1058752C" w:rsidR="00E26B53" w:rsidRPr="000B2C1D" w:rsidRDefault="00E36106" w:rsidP="00432DB4">
      <w:pPr>
        <w:pStyle w:val="Prrafodelista"/>
        <w:numPr>
          <w:ilvl w:val="0"/>
          <w:numId w:val="3"/>
        </w:numPr>
        <w:spacing w:line="360" w:lineRule="auto"/>
        <w:jc w:val="both"/>
        <w:rPr>
          <w:rFonts w:ascii="Palatino Linotype" w:hAnsi="Palatino Linotype" w:cs="Tahoma"/>
          <w:bCs/>
          <w:iCs/>
          <w:szCs w:val="22"/>
          <w:lang w:val="es-ES"/>
        </w:rPr>
      </w:pPr>
      <w:r>
        <w:rPr>
          <w:rFonts w:ascii="Palatino Linotype" w:hAnsi="Palatino Linotype" w:cs="Tahoma"/>
          <w:bCs/>
          <w:iCs/>
          <w:szCs w:val="22"/>
          <w:lang w:val="es-ES"/>
        </w:rPr>
        <w:t>Los cheques expedidos por la Tesorería Municipal, del primero de enero al quince de marzo de dos mil veinticinco.</w:t>
      </w:r>
    </w:p>
    <w:p w14:paraId="7C78887C" w14:textId="77777777" w:rsidR="00D95198" w:rsidRDefault="00D95198" w:rsidP="00432DB4">
      <w:pPr>
        <w:spacing w:line="360" w:lineRule="auto"/>
        <w:jc w:val="both"/>
        <w:rPr>
          <w:rFonts w:ascii="Palatino Linotype" w:hAnsi="Palatino Linotype" w:cs="Tahoma"/>
          <w:bCs/>
          <w:iCs/>
          <w:sz w:val="22"/>
          <w:szCs w:val="22"/>
          <w:lang w:val="es-ES"/>
        </w:rPr>
      </w:pPr>
    </w:p>
    <w:p w14:paraId="027DCAF9" w14:textId="604F8709" w:rsidR="00D95198" w:rsidRPr="00D95198" w:rsidRDefault="00D95198" w:rsidP="00432DB4">
      <w:pPr>
        <w:spacing w:line="360" w:lineRule="auto"/>
        <w:jc w:val="both"/>
        <w:rPr>
          <w:rFonts w:ascii="Palatino Linotype" w:hAnsi="Palatino Linotype" w:cs="Tahoma"/>
          <w:bCs/>
          <w:iCs/>
          <w:sz w:val="22"/>
          <w:szCs w:val="22"/>
        </w:rPr>
      </w:pPr>
      <w:r w:rsidRPr="00D95198">
        <w:rPr>
          <w:rFonts w:ascii="Palatino Linotype" w:hAnsi="Palatino Linotype" w:cs="Tahoma"/>
          <w:bCs/>
          <w:iCs/>
          <w:sz w:val="22"/>
          <w:szCs w:val="22"/>
        </w:rPr>
        <w:t>Además,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2EE07658" w14:textId="77777777" w:rsidR="00D95198" w:rsidRDefault="00D95198" w:rsidP="00432DB4">
      <w:pPr>
        <w:spacing w:line="360" w:lineRule="auto"/>
        <w:ind w:left="360"/>
        <w:jc w:val="both"/>
        <w:rPr>
          <w:rFonts w:ascii="Palatino Linotype" w:hAnsi="Palatino Linotype" w:cs="Tahoma"/>
          <w:bCs/>
          <w:iCs/>
          <w:sz w:val="22"/>
          <w:szCs w:val="22"/>
        </w:rPr>
      </w:pPr>
    </w:p>
    <w:p w14:paraId="7428D72C" w14:textId="77777777" w:rsidR="00D95198" w:rsidRPr="00D95198" w:rsidRDefault="00D95198" w:rsidP="00432DB4">
      <w:pPr>
        <w:spacing w:line="360" w:lineRule="auto"/>
        <w:ind w:right="-28"/>
        <w:jc w:val="both"/>
        <w:rPr>
          <w:rFonts w:ascii="Palatino Linotype" w:eastAsia="Palatino Linotype" w:hAnsi="Palatino Linotype" w:cs="Tahoma"/>
          <w:bCs/>
          <w:iCs/>
          <w:color w:val="000000"/>
          <w:sz w:val="22"/>
          <w:szCs w:val="22"/>
          <w:lang w:eastAsia="es-MX"/>
        </w:rPr>
      </w:pPr>
      <w:r w:rsidRPr="00D95198">
        <w:rPr>
          <w:rFonts w:ascii="Palatino Linotype" w:eastAsia="Calibri" w:hAnsi="Palatino Linotype" w:cs="Tahoma"/>
          <w:b/>
          <w:bCs/>
          <w:color w:val="000000"/>
          <w:sz w:val="22"/>
          <w:szCs w:val="22"/>
          <w:lang w:eastAsia="es-MX"/>
        </w:rPr>
        <w:t xml:space="preserve">TERCERO. </w:t>
      </w:r>
      <w:r w:rsidRPr="00D95198">
        <w:rPr>
          <w:rFonts w:ascii="Palatino Linotype" w:eastAsia="Palatino Linotype" w:hAnsi="Palatino Linotype" w:cs="Tahoma"/>
          <w:b/>
          <w:bCs/>
          <w:iCs/>
          <w:color w:val="000000"/>
          <w:sz w:val="22"/>
          <w:szCs w:val="22"/>
          <w:lang w:eastAsia="es-MX"/>
        </w:rPr>
        <w:t xml:space="preserve">NOTIFÍQUESE POR SAIMEX </w:t>
      </w:r>
      <w:r w:rsidRPr="00D95198">
        <w:rPr>
          <w:rFonts w:ascii="Palatino Linotype" w:eastAsia="Palatino Linotype" w:hAnsi="Palatino Linotype" w:cs="Tahoma"/>
          <w:bCs/>
          <w:iCs/>
          <w:color w:val="000000"/>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3718EA4B" w14:textId="77777777" w:rsidR="00D95198" w:rsidRPr="00D95198" w:rsidRDefault="00D95198" w:rsidP="00432DB4">
      <w:pPr>
        <w:spacing w:line="360" w:lineRule="auto"/>
        <w:ind w:right="-28"/>
        <w:jc w:val="both"/>
        <w:rPr>
          <w:rFonts w:ascii="Palatino Linotype" w:eastAsia="Palatino Linotype" w:hAnsi="Palatino Linotype" w:cs="Tahoma"/>
          <w:bCs/>
          <w:iCs/>
          <w:color w:val="000000"/>
          <w:sz w:val="22"/>
          <w:szCs w:val="22"/>
          <w:lang w:eastAsia="es-MX"/>
        </w:rPr>
      </w:pPr>
    </w:p>
    <w:p w14:paraId="1DEA060C" w14:textId="7B3E033B" w:rsidR="00D95198" w:rsidRPr="00D95198" w:rsidRDefault="00D95198" w:rsidP="00432DB4">
      <w:pPr>
        <w:spacing w:line="360" w:lineRule="auto"/>
        <w:jc w:val="both"/>
        <w:rPr>
          <w:rFonts w:ascii="Palatino Linotype" w:eastAsia="Palatino Linotype" w:hAnsi="Palatino Linotype" w:cs="Tahoma"/>
          <w:color w:val="000000"/>
          <w:sz w:val="22"/>
          <w:szCs w:val="22"/>
          <w:lang w:eastAsia="es-MX"/>
        </w:rPr>
      </w:pPr>
      <w:r w:rsidRPr="00D95198">
        <w:rPr>
          <w:rFonts w:ascii="Palatino Linotype" w:eastAsia="Calibri" w:hAnsi="Palatino Linotype" w:cs="Tahoma"/>
          <w:b/>
          <w:color w:val="000000"/>
          <w:sz w:val="22"/>
          <w:szCs w:val="22"/>
          <w:lang w:eastAsia="es-MX"/>
        </w:rPr>
        <w:t>CUARTO</w:t>
      </w:r>
      <w:r w:rsidRPr="00D95198">
        <w:rPr>
          <w:rFonts w:ascii="Palatino Linotype" w:eastAsia="Calibri" w:hAnsi="Palatino Linotype" w:cs="Tahoma"/>
          <w:b/>
          <w:bCs/>
          <w:color w:val="000000"/>
          <w:sz w:val="22"/>
          <w:szCs w:val="22"/>
          <w:lang w:eastAsia="es-MX"/>
        </w:rPr>
        <w:t xml:space="preserve">. </w:t>
      </w:r>
      <w:r w:rsidRPr="00D95198">
        <w:rPr>
          <w:rFonts w:ascii="Palatino Linotype" w:eastAsia="Palatino Linotype" w:hAnsi="Palatino Linotype" w:cs="Tahoma"/>
          <w:b/>
          <w:color w:val="000000"/>
          <w:sz w:val="22"/>
          <w:szCs w:val="22"/>
          <w:lang w:eastAsia="es-MX"/>
        </w:rPr>
        <w:t>NOTIFÍQUESE POR SAIMEX</w:t>
      </w:r>
      <w:r w:rsidRPr="00D95198">
        <w:rPr>
          <w:rFonts w:ascii="Palatino Linotype" w:eastAsia="Palatino Linotype" w:hAnsi="Palatino Linotype" w:cs="Tahoma"/>
          <w:color w:val="000000"/>
          <w:sz w:val="22"/>
          <w:szCs w:val="22"/>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F6C9EF" w14:textId="77777777" w:rsidR="00D95198" w:rsidRPr="00D95198" w:rsidRDefault="00D95198" w:rsidP="00432DB4">
      <w:pPr>
        <w:pStyle w:val="Prrafodelista"/>
        <w:spacing w:line="360" w:lineRule="auto"/>
        <w:ind w:left="1065"/>
        <w:jc w:val="both"/>
        <w:rPr>
          <w:rFonts w:ascii="Palatino Linotype" w:hAnsi="Palatino Linotype" w:cs="Tahoma"/>
          <w:b/>
          <w:bCs/>
          <w:iCs/>
          <w:sz w:val="24"/>
          <w:szCs w:val="22"/>
        </w:rPr>
      </w:pPr>
    </w:p>
    <w:p w14:paraId="57ADABEA" w14:textId="7214E476" w:rsidR="00D95198" w:rsidRPr="00D95198" w:rsidRDefault="00D95198" w:rsidP="00432DB4">
      <w:pPr>
        <w:spacing w:line="360" w:lineRule="auto"/>
        <w:jc w:val="both"/>
        <w:rPr>
          <w:rFonts w:ascii="Palatino Linotype" w:eastAsia="Calibri" w:hAnsi="Palatino Linotype" w:cs="Tahoma"/>
          <w:bCs/>
          <w:color w:val="000000"/>
          <w:sz w:val="22"/>
          <w:szCs w:val="22"/>
          <w:lang w:eastAsia="es-MX"/>
        </w:rPr>
      </w:pPr>
      <w:r w:rsidRPr="00D95198">
        <w:rPr>
          <w:rFonts w:ascii="Palatino Linotype" w:eastAsia="Calibri" w:hAnsi="Palatino Linotype" w:cs="Tahoma"/>
          <w:bCs/>
          <w:color w:val="000000"/>
          <w:sz w:val="22"/>
          <w:szCs w:val="22"/>
          <w:lang w:eastAsia="es-MX"/>
        </w:rPr>
        <w:t>ASÍ LO RESUELVE, POR </w:t>
      </w:r>
      <w:r w:rsidRPr="00D95198">
        <w:rPr>
          <w:rFonts w:ascii="Palatino Linotype" w:eastAsia="Calibri" w:hAnsi="Palatino Linotype" w:cs="Tahoma"/>
          <w:b/>
          <w:bCs/>
          <w:color w:val="000000"/>
          <w:sz w:val="22"/>
          <w:szCs w:val="22"/>
          <w:lang w:eastAsia="es-MX"/>
        </w:rPr>
        <w:t>UNANIMIDAD</w:t>
      </w:r>
      <w:r w:rsidRPr="00D95198">
        <w:rPr>
          <w:rFonts w:ascii="Palatino Linotype" w:eastAsia="Calibri" w:hAnsi="Palatino Linotype" w:cs="Tahoma"/>
          <w:bCs/>
          <w:color w:val="000000"/>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36106">
        <w:rPr>
          <w:rFonts w:ascii="Palatino Linotype" w:eastAsia="Calibri" w:hAnsi="Palatino Linotype" w:cs="Tahoma"/>
          <w:bCs/>
          <w:color w:val="000000"/>
          <w:sz w:val="22"/>
          <w:szCs w:val="22"/>
          <w:lang w:eastAsia="es-MX"/>
        </w:rPr>
        <w:t xml:space="preserve">CUARTA </w:t>
      </w:r>
      <w:r w:rsidRPr="00D95198">
        <w:rPr>
          <w:rFonts w:ascii="Palatino Linotype" w:eastAsia="Calibri" w:hAnsi="Palatino Linotype" w:cs="Tahoma"/>
          <w:bCs/>
          <w:color w:val="000000"/>
          <w:sz w:val="22"/>
          <w:szCs w:val="22"/>
          <w:lang w:eastAsia="es-MX"/>
        </w:rPr>
        <w:t xml:space="preserve">SESIÓN ORDINARIA, CELEBRADA EL </w:t>
      </w:r>
      <w:r w:rsidR="00432DB4">
        <w:rPr>
          <w:rFonts w:ascii="Palatino Linotype" w:eastAsia="Calibri" w:hAnsi="Palatino Linotype" w:cs="Tahoma"/>
          <w:bCs/>
          <w:color w:val="000000"/>
          <w:sz w:val="22"/>
          <w:szCs w:val="22"/>
          <w:lang w:eastAsia="es-MX"/>
        </w:rPr>
        <w:t>CINCO</w:t>
      </w:r>
      <w:r w:rsidR="00E36106">
        <w:rPr>
          <w:rFonts w:ascii="Palatino Linotype" w:eastAsia="Calibri" w:hAnsi="Palatino Linotype" w:cs="Tahoma"/>
          <w:bCs/>
          <w:color w:val="000000"/>
          <w:sz w:val="22"/>
          <w:szCs w:val="22"/>
          <w:lang w:eastAsia="es-MX"/>
        </w:rPr>
        <w:t xml:space="preserve"> DE FEBRERO</w:t>
      </w:r>
      <w:r>
        <w:rPr>
          <w:rFonts w:ascii="Palatino Linotype" w:eastAsia="Calibri" w:hAnsi="Palatino Linotype" w:cs="Tahoma"/>
          <w:bCs/>
          <w:color w:val="000000"/>
          <w:sz w:val="22"/>
          <w:szCs w:val="22"/>
          <w:lang w:eastAsia="es-MX"/>
        </w:rPr>
        <w:t xml:space="preserve"> DE DOS MIL VEINTIS</w:t>
      </w:r>
      <w:r w:rsidR="00E36106">
        <w:rPr>
          <w:rFonts w:ascii="Palatino Linotype" w:eastAsia="Calibri" w:hAnsi="Palatino Linotype" w:cs="Tahoma"/>
          <w:bCs/>
          <w:color w:val="000000"/>
          <w:sz w:val="22"/>
          <w:szCs w:val="22"/>
          <w:lang w:eastAsia="es-MX"/>
        </w:rPr>
        <w:t>É</w:t>
      </w:r>
      <w:r>
        <w:rPr>
          <w:rFonts w:ascii="Palatino Linotype" w:eastAsia="Calibri" w:hAnsi="Palatino Linotype" w:cs="Tahoma"/>
          <w:bCs/>
          <w:color w:val="000000"/>
          <w:sz w:val="22"/>
          <w:szCs w:val="22"/>
          <w:lang w:eastAsia="es-MX"/>
        </w:rPr>
        <w:t>IS</w:t>
      </w:r>
      <w:r w:rsidRPr="00D95198">
        <w:rPr>
          <w:rFonts w:ascii="Palatino Linotype" w:eastAsia="Calibri" w:hAnsi="Palatino Linotype" w:cs="Tahoma"/>
          <w:bCs/>
          <w:color w:val="000000"/>
          <w:sz w:val="22"/>
          <w:szCs w:val="22"/>
          <w:lang w:eastAsia="es-MX"/>
        </w:rPr>
        <w:t xml:space="preserve">, ANTE EL SECRETARIO TÉCNICO DEL PLENO, ALEXIS TAPIA RAMÍREZ. </w:t>
      </w:r>
    </w:p>
    <w:p w14:paraId="77CAFB09" w14:textId="77777777" w:rsidR="00FF7C33" w:rsidRDefault="00FF7C33" w:rsidP="00432DB4">
      <w:pPr>
        <w:spacing w:line="360" w:lineRule="auto"/>
        <w:jc w:val="both"/>
        <w:rPr>
          <w:rFonts w:ascii="Palatino Linotype" w:hAnsi="Palatino Linotype" w:cs="Tahoma"/>
          <w:bCs/>
          <w:iCs/>
          <w:sz w:val="22"/>
          <w:szCs w:val="22"/>
          <w:lang w:val="es-ES"/>
        </w:rPr>
      </w:pPr>
    </w:p>
    <w:p w14:paraId="70581F2D" w14:textId="77777777" w:rsidR="00FF7C33" w:rsidRDefault="00FF7C33" w:rsidP="00432DB4">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32DB4">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32DB4">
      <w:pPr>
        <w:spacing w:line="360" w:lineRule="auto"/>
        <w:jc w:val="both"/>
        <w:rPr>
          <w:rFonts w:ascii="Palatino Linotype" w:hAnsi="Palatino Linotype" w:cs="Tahoma"/>
          <w:bCs/>
          <w:iCs/>
          <w:sz w:val="22"/>
          <w:szCs w:val="22"/>
        </w:rPr>
      </w:pPr>
    </w:p>
    <w:p w14:paraId="6DC56F2E" w14:textId="77777777" w:rsidR="005749CA" w:rsidRDefault="005749CA" w:rsidP="00432DB4">
      <w:pPr>
        <w:spacing w:line="360" w:lineRule="auto"/>
        <w:jc w:val="both"/>
        <w:rPr>
          <w:rFonts w:ascii="Palatino Linotype" w:hAnsi="Palatino Linotype" w:cs="Tahoma"/>
          <w:bCs/>
          <w:iCs/>
          <w:sz w:val="22"/>
          <w:szCs w:val="22"/>
        </w:rPr>
      </w:pPr>
    </w:p>
    <w:p w14:paraId="6BB0D79C" w14:textId="77777777" w:rsidR="00D22BC6" w:rsidRDefault="00D22BC6" w:rsidP="00432DB4">
      <w:pPr>
        <w:spacing w:line="360" w:lineRule="auto"/>
        <w:jc w:val="both"/>
        <w:rPr>
          <w:rFonts w:ascii="Palatino Linotype" w:hAnsi="Palatino Linotype" w:cs="Tahoma"/>
          <w:bCs/>
          <w:iCs/>
          <w:sz w:val="22"/>
          <w:szCs w:val="22"/>
        </w:rPr>
      </w:pPr>
    </w:p>
    <w:p w14:paraId="602E1518" w14:textId="77777777" w:rsidR="00D22BC6" w:rsidRDefault="00D22BC6" w:rsidP="00432DB4">
      <w:pPr>
        <w:spacing w:line="360" w:lineRule="auto"/>
        <w:jc w:val="both"/>
        <w:rPr>
          <w:rFonts w:ascii="Palatino Linotype" w:hAnsi="Palatino Linotype" w:cs="Tahoma"/>
          <w:bCs/>
          <w:iCs/>
          <w:sz w:val="22"/>
          <w:szCs w:val="22"/>
        </w:rPr>
      </w:pPr>
    </w:p>
    <w:p w14:paraId="164C9FE6" w14:textId="77777777" w:rsidR="00D22BC6" w:rsidRDefault="00D22BC6" w:rsidP="00432DB4">
      <w:pPr>
        <w:spacing w:line="360" w:lineRule="auto"/>
        <w:jc w:val="both"/>
        <w:rPr>
          <w:rFonts w:ascii="Palatino Linotype" w:hAnsi="Palatino Linotype" w:cs="Tahoma"/>
          <w:bCs/>
          <w:iCs/>
          <w:sz w:val="22"/>
          <w:szCs w:val="22"/>
        </w:rPr>
      </w:pPr>
    </w:p>
    <w:p w14:paraId="326E9FF0" w14:textId="77777777" w:rsidR="00D22BC6" w:rsidRDefault="00D22BC6" w:rsidP="00432DB4">
      <w:pPr>
        <w:spacing w:line="360" w:lineRule="auto"/>
        <w:jc w:val="both"/>
        <w:rPr>
          <w:rFonts w:ascii="Palatino Linotype" w:hAnsi="Palatino Linotype" w:cs="Tahoma"/>
          <w:bCs/>
          <w:iCs/>
          <w:sz w:val="22"/>
          <w:szCs w:val="22"/>
        </w:rPr>
      </w:pPr>
    </w:p>
    <w:p w14:paraId="1F3EAB87" w14:textId="77777777" w:rsidR="00D22BC6" w:rsidRDefault="00D22BC6" w:rsidP="00432DB4">
      <w:pPr>
        <w:spacing w:line="360" w:lineRule="auto"/>
        <w:jc w:val="both"/>
        <w:rPr>
          <w:rFonts w:ascii="Palatino Linotype" w:hAnsi="Palatino Linotype" w:cs="Tahoma"/>
          <w:bCs/>
          <w:iCs/>
          <w:sz w:val="22"/>
          <w:szCs w:val="22"/>
        </w:rPr>
      </w:pPr>
    </w:p>
    <w:p w14:paraId="3F060923" w14:textId="77777777" w:rsidR="00D22BC6" w:rsidRDefault="00D22BC6" w:rsidP="00432DB4">
      <w:pPr>
        <w:spacing w:line="360" w:lineRule="auto"/>
        <w:jc w:val="both"/>
        <w:rPr>
          <w:rFonts w:ascii="Palatino Linotype" w:hAnsi="Palatino Linotype" w:cs="Tahoma"/>
          <w:bCs/>
          <w:iCs/>
          <w:sz w:val="22"/>
          <w:szCs w:val="22"/>
        </w:rPr>
      </w:pPr>
    </w:p>
    <w:p w14:paraId="490B5239" w14:textId="77777777" w:rsidR="00D22BC6" w:rsidRDefault="00D22BC6" w:rsidP="00432DB4">
      <w:pPr>
        <w:spacing w:line="360" w:lineRule="auto"/>
        <w:jc w:val="both"/>
        <w:rPr>
          <w:rFonts w:ascii="Palatino Linotype" w:hAnsi="Palatino Linotype" w:cs="Tahoma"/>
          <w:bCs/>
          <w:iCs/>
          <w:sz w:val="22"/>
          <w:szCs w:val="22"/>
        </w:rPr>
      </w:pPr>
    </w:p>
    <w:p w14:paraId="0043D885" w14:textId="77777777" w:rsidR="00D22BC6" w:rsidRDefault="00D22BC6" w:rsidP="00432DB4">
      <w:pPr>
        <w:spacing w:line="360" w:lineRule="auto"/>
        <w:jc w:val="both"/>
        <w:rPr>
          <w:rFonts w:ascii="Palatino Linotype" w:hAnsi="Palatino Linotype" w:cs="Tahoma"/>
          <w:bCs/>
          <w:iCs/>
          <w:sz w:val="22"/>
          <w:szCs w:val="22"/>
        </w:rPr>
      </w:pPr>
    </w:p>
    <w:p w14:paraId="431841DE" w14:textId="77777777" w:rsidR="00D22BC6" w:rsidRDefault="00D22BC6" w:rsidP="00432DB4">
      <w:pPr>
        <w:spacing w:line="360" w:lineRule="auto"/>
        <w:jc w:val="both"/>
        <w:rPr>
          <w:rFonts w:ascii="Palatino Linotype" w:hAnsi="Palatino Linotype" w:cs="Tahoma"/>
          <w:bCs/>
          <w:iCs/>
          <w:sz w:val="22"/>
          <w:szCs w:val="22"/>
        </w:rPr>
      </w:pPr>
    </w:p>
    <w:p w14:paraId="662355B0" w14:textId="77777777" w:rsidR="00D22BC6" w:rsidRDefault="00D22BC6" w:rsidP="00432DB4">
      <w:pPr>
        <w:spacing w:line="360" w:lineRule="auto"/>
        <w:jc w:val="both"/>
        <w:rPr>
          <w:rFonts w:ascii="Palatino Linotype" w:hAnsi="Palatino Linotype" w:cs="Tahoma"/>
          <w:bCs/>
          <w:iCs/>
          <w:sz w:val="22"/>
          <w:szCs w:val="22"/>
        </w:rPr>
      </w:pPr>
    </w:p>
    <w:p w14:paraId="7EDA84E4" w14:textId="77777777" w:rsidR="00D22BC6" w:rsidRDefault="00D22BC6" w:rsidP="00432DB4">
      <w:pPr>
        <w:spacing w:line="360" w:lineRule="auto"/>
        <w:jc w:val="both"/>
        <w:rPr>
          <w:rFonts w:ascii="Palatino Linotype" w:hAnsi="Palatino Linotype" w:cs="Tahoma"/>
          <w:bCs/>
          <w:iCs/>
          <w:sz w:val="22"/>
          <w:szCs w:val="22"/>
        </w:rPr>
      </w:pPr>
    </w:p>
    <w:p w14:paraId="63845411" w14:textId="77777777" w:rsidR="00D22BC6" w:rsidRDefault="00D22BC6" w:rsidP="00432DB4">
      <w:pPr>
        <w:spacing w:line="360" w:lineRule="auto"/>
        <w:jc w:val="both"/>
        <w:rPr>
          <w:rFonts w:ascii="Palatino Linotype" w:hAnsi="Palatino Linotype" w:cs="Tahoma"/>
          <w:bCs/>
          <w:iCs/>
          <w:sz w:val="22"/>
          <w:szCs w:val="22"/>
        </w:rPr>
      </w:pPr>
    </w:p>
    <w:p w14:paraId="3C796D2F" w14:textId="77777777" w:rsidR="00D22BC6" w:rsidRDefault="00D22BC6" w:rsidP="00432DB4">
      <w:pPr>
        <w:spacing w:line="360" w:lineRule="auto"/>
        <w:jc w:val="both"/>
        <w:rPr>
          <w:rFonts w:ascii="Palatino Linotype" w:hAnsi="Palatino Linotype" w:cs="Tahoma"/>
          <w:bCs/>
          <w:iCs/>
          <w:sz w:val="22"/>
          <w:szCs w:val="22"/>
        </w:rPr>
      </w:pPr>
    </w:p>
    <w:p w14:paraId="55EF4FC3" w14:textId="77777777" w:rsidR="00D22BC6" w:rsidRDefault="00D22BC6" w:rsidP="00432DB4">
      <w:pPr>
        <w:spacing w:line="360" w:lineRule="auto"/>
        <w:jc w:val="both"/>
        <w:rPr>
          <w:rFonts w:ascii="Palatino Linotype" w:hAnsi="Palatino Linotype" w:cs="Tahoma"/>
          <w:bCs/>
          <w:iCs/>
          <w:sz w:val="22"/>
          <w:szCs w:val="22"/>
        </w:rPr>
      </w:pPr>
    </w:p>
    <w:p w14:paraId="4F171899" w14:textId="77777777" w:rsidR="00D22BC6" w:rsidRDefault="00D22BC6" w:rsidP="00432DB4">
      <w:pPr>
        <w:spacing w:line="360" w:lineRule="auto"/>
        <w:jc w:val="both"/>
        <w:rPr>
          <w:rFonts w:ascii="Palatino Linotype" w:hAnsi="Palatino Linotype" w:cs="Tahoma"/>
          <w:bCs/>
          <w:iCs/>
          <w:sz w:val="22"/>
          <w:szCs w:val="22"/>
        </w:rPr>
      </w:pPr>
    </w:p>
    <w:p w14:paraId="55E773BD" w14:textId="77777777" w:rsidR="00D22BC6" w:rsidRDefault="00D22BC6" w:rsidP="00432DB4">
      <w:pPr>
        <w:spacing w:line="360" w:lineRule="auto"/>
        <w:jc w:val="both"/>
        <w:rPr>
          <w:rFonts w:ascii="Palatino Linotype" w:hAnsi="Palatino Linotype" w:cs="Tahoma"/>
          <w:bCs/>
          <w:iCs/>
          <w:sz w:val="22"/>
          <w:szCs w:val="22"/>
        </w:rPr>
      </w:pPr>
    </w:p>
    <w:p w14:paraId="3876420E" w14:textId="77777777" w:rsidR="00D22BC6" w:rsidRDefault="00D22BC6" w:rsidP="00432DB4">
      <w:pPr>
        <w:spacing w:line="360" w:lineRule="auto"/>
        <w:jc w:val="both"/>
        <w:rPr>
          <w:rFonts w:ascii="Palatino Linotype" w:hAnsi="Palatino Linotype" w:cs="Tahoma"/>
          <w:bCs/>
          <w:iCs/>
          <w:sz w:val="22"/>
          <w:szCs w:val="22"/>
        </w:rPr>
      </w:pPr>
    </w:p>
    <w:p w14:paraId="0A06E74C" w14:textId="77777777" w:rsidR="00D22BC6" w:rsidRDefault="00D22BC6" w:rsidP="00432DB4">
      <w:pPr>
        <w:spacing w:line="360" w:lineRule="auto"/>
        <w:jc w:val="both"/>
        <w:rPr>
          <w:rFonts w:ascii="Palatino Linotype" w:hAnsi="Palatino Linotype" w:cs="Tahoma"/>
          <w:bCs/>
          <w:iCs/>
          <w:sz w:val="22"/>
          <w:szCs w:val="22"/>
        </w:rPr>
      </w:pPr>
    </w:p>
    <w:p w14:paraId="58D764A7" w14:textId="77777777" w:rsidR="00D22BC6" w:rsidRPr="005749CA" w:rsidRDefault="00D22BC6" w:rsidP="00432DB4">
      <w:pPr>
        <w:spacing w:line="360" w:lineRule="auto"/>
        <w:jc w:val="both"/>
        <w:rPr>
          <w:rFonts w:ascii="Palatino Linotype" w:hAnsi="Palatino Linotype" w:cs="Tahoma"/>
          <w:bCs/>
          <w:iCs/>
          <w:sz w:val="22"/>
          <w:szCs w:val="22"/>
        </w:rPr>
      </w:pPr>
    </w:p>
    <w:p w14:paraId="46969796" w14:textId="77777777" w:rsidR="006D789D" w:rsidRPr="00822BC6" w:rsidRDefault="006D789D" w:rsidP="00432DB4">
      <w:pPr>
        <w:spacing w:line="360" w:lineRule="auto"/>
        <w:jc w:val="both"/>
        <w:rPr>
          <w:rFonts w:ascii="Palatino Linotype" w:hAnsi="Palatino Linotype" w:cs="Tahoma"/>
          <w:bCs/>
          <w:iCs/>
          <w:sz w:val="22"/>
          <w:szCs w:val="22"/>
        </w:rPr>
      </w:pPr>
    </w:p>
    <w:p w14:paraId="133B346F" w14:textId="77777777" w:rsidR="00822BC6" w:rsidRPr="00E716DD" w:rsidRDefault="00822BC6" w:rsidP="00432DB4">
      <w:pPr>
        <w:spacing w:line="360" w:lineRule="auto"/>
        <w:jc w:val="both"/>
        <w:rPr>
          <w:rFonts w:ascii="Palatino Linotype" w:hAnsi="Palatino Linotype" w:cs="Tahoma"/>
          <w:iCs/>
          <w:sz w:val="22"/>
          <w:szCs w:val="22"/>
        </w:rPr>
      </w:pPr>
    </w:p>
    <w:p w14:paraId="699026C3" w14:textId="77777777" w:rsidR="00E716DD" w:rsidRPr="00F93859" w:rsidRDefault="00E716DD" w:rsidP="00432DB4">
      <w:pPr>
        <w:spacing w:line="360" w:lineRule="auto"/>
        <w:jc w:val="both"/>
        <w:rPr>
          <w:rFonts w:ascii="Palatino Linotype" w:hAnsi="Palatino Linotype" w:cs="Tahoma"/>
          <w:b/>
          <w:bCs/>
          <w:iCs/>
          <w:sz w:val="22"/>
          <w:szCs w:val="22"/>
        </w:rPr>
      </w:pPr>
    </w:p>
    <w:p w14:paraId="744813CA" w14:textId="77777777" w:rsidR="004F3A02" w:rsidRPr="004F3A02" w:rsidRDefault="004F3A02" w:rsidP="00432DB4">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866F8" w14:textId="77777777" w:rsidR="008E5464" w:rsidRDefault="008E5464" w:rsidP="00B31222">
      <w:r>
        <w:separator/>
      </w:r>
    </w:p>
  </w:endnote>
  <w:endnote w:type="continuationSeparator" w:id="0">
    <w:p w14:paraId="327AA2F4" w14:textId="77777777" w:rsidR="008E5464" w:rsidRDefault="008E546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35DB7" w:rsidRPr="00C13895" w:rsidRDefault="00835DB7">
            <w:pPr>
              <w:pStyle w:val="Piedepgina"/>
              <w:jc w:val="right"/>
              <w:rPr>
                <w:sz w:val="26"/>
                <w:szCs w:val="26"/>
              </w:rPr>
            </w:pPr>
          </w:p>
          <w:p w14:paraId="4EA60772" w14:textId="77777777" w:rsidR="00835DB7" w:rsidRDefault="00835D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1909">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1909">
              <w:rPr>
                <w:b/>
                <w:bCs/>
                <w:noProof/>
              </w:rPr>
              <w:t>57</w:t>
            </w:r>
            <w:r>
              <w:rPr>
                <w:b/>
                <w:bCs/>
                <w:sz w:val="24"/>
                <w:szCs w:val="24"/>
              </w:rPr>
              <w:fldChar w:fldCharType="end"/>
            </w:r>
          </w:p>
        </w:sdtContent>
      </w:sdt>
    </w:sdtContent>
  </w:sdt>
  <w:p w14:paraId="52786F2A" w14:textId="77777777" w:rsidR="00835DB7" w:rsidRDefault="00835D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35DB7" w:rsidRDefault="00835DB7">
            <w:pPr>
              <w:pStyle w:val="Piedepgina"/>
              <w:jc w:val="right"/>
            </w:pPr>
          </w:p>
          <w:p w14:paraId="2D2F5338" w14:textId="77777777" w:rsidR="00835DB7" w:rsidRDefault="00835D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19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1909">
              <w:rPr>
                <w:b/>
                <w:bCs/>
                <w:noProof/>
              </w:rPr>
              <w:t>57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9F94" w14:textId="77777777" w:rsidR="008E5464" w:rsidRDefault="008E5464" w:rsidP="00B31222">
      <w:r>
        <w:separator/>
      </w:r>
    </w:p>
  </w:footnote>
  <w:footnote w:type="continuationSeparator" w:id="0">
    <w:p w14:paraId="728584CC" w14:textId="77777777" w:rsidR="008E5464" w:rsidRDefault="008E546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35DB7" w:rsidRPr="005C106F" w14:paraId="50E888ED" w14:textId="77777777" w:rsidTr="00895942">
      <w:trPr>
        <w:trHeight w:val="1412"/>
      </w:trPr>
      <w:tc>
        <w:tcPr>
          <w:tcW w:w="8222" w:type="dxa"/>
          <w:shd w:val="clear" w:color="auto" w:fill="auto"/>
        </w:tcPr>
        <w:p w14:paraId="31C5A07E" w14:textId="77777777" w:rsidR="00D82E4F" w:rsidRDefault="00D82E4F"/>
        <w:tbl>
          <w:tblPr>
            <w:tblStyle w:val="Tablaconcuadrcula"/>
            <w:tblW w:w="67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35DB7" w14:paraId="401FF1E4" w14:textId="77777777" w:rsidTr="006273CC">
            <w:trPr>
              <w:trHeight w:val="144"/>
            </w:trPr>
            <w:tc>
              <w:tcPr>
                <w:tcW w:w="2552" w:type="dxa"/>
              </w:tcPr>
              <w:p w14:paraId="2FAA5A5D" w14:textId="71E8EA3B" w:rsidR="00835DB7" w:rsidRPr="00026EBB" w:rsidRDefault="00835D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AF2DC8C" w:rsidR="00835DB7" w:rsidRPr="009C44AA" w:rsidRDefault="0093448A"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04946/INFOEM/ICR-106/IP/RR/2025</w:t>
                </w:r>
              </w:p>
            </w:tc>
          </w:tr>
          <w:tr w:rsidR="00835DB7" w14:paraId="6B793921" w14:textId="77777777" w:rsidTr="006273CC">
            <w:trPr>
              <w:trHeight w:val="144"/>
            </w:trPr>
            <w:tc>
              <w:tcPr>
                <w:tcW w:w="2552" w:type="dxa"/>
              </w:tcPr>
              <w:p w14:paraId="248F8814" w14:textId="77777777" w:rsidR="00835DB7" w:rsidRPr="00026EBB" w:rsidRDefault="00835D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414FFFBC" w:rsidR="00835DB7" w:rsidRPr="009C44AA" w:rsidRDefault="0093448A"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hAnsi="Palatino Linotype"/>
                    <w:bCs/>
                    <w:color w:val="000000"/>
                    <w:sz w:val="22"/>
                    <w:szCs w:val="14"/>
                  </w:rPr>
                  <w:t>Ayuntamiento de Ecatepec de Morelos</w:t>
                </w:r>
              </w:p>
            </w:tc>
          </w:tr>
          <w:tr w:rsidR="00835DB7" w14:paraId="5F57F04A" w14:textId="77777777" w:rsidTr="006273CC">
            <w:trPr>
              <w:trHeight w:val="138"/>
            </w:trPr>
            <w:tc>
              <w:tcPr>
                <w:tcW w:w="2552" w:type="dxa"/>
              </w:tcPr>
              <w:p w14:paraId="249191FD" w14:textId="77777777" w:rsidR="00835DB7" w:rsidRPr="00026EBB" w:rsidRDefault="00835D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35DB7" w:rsidRPr="009C44AA" w:rsidRDefault="00835DB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35DB7" w:rsidRPr="005C106F" w:rsidRDefault="00835DB7" w:rsidP="005743D2">
          <w:pPr>
            <w:tabs>
              <w:tab w:val="right" w:pos="8838"/>
            </w:tabs>
            <w:ind w:left="-28"/>
            <w:jc w:val="both"/>
            <w:rPr>
              <w:rFonts w:ascii="Arial" w:eastAsia="Calibri" w:hAnsi="Arial" w:cs="Arial"/>
              <w:b/>
              <w:sz w:val="22"/>
              <w:szCs w:val="22"/>
              <w:lang w:eastAsia="en-US"/>
            </w:rPr>
          </w:pPr>
        </w:p>
      </w:tc>
    </w:tr>
  </w:tbl>
  <w:p w14:paraId="03D9BF59" w14:textId="4D62241B" w:rsidR="00835DB7" w:rsidRDefault="008E5464"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9.4pt;margin-top:-123.6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35DB7" w:rsidRDefault="008E5464">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49" type="#_x0000_t75" alt="MARCA DE AGUA - HOJA RESOLUCIÓN" style="position:absolute;margin-left:-79.7pt;margin-top:-120.9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2405"/>
      <w:gridCol w:w="4257"/>
    </w:tblGrid>
    <w:tr w:rsidR="00835DB7" w:rsidRPr="00264223" w14:paraId="47FE01F0" w14:textId="77777777" w:rsidTr="006273CC">
      <w:trPr>
        <w:trHeight w:val="466"/>
      </w:trPr>
      <w:tc>
        <w:tcPr>
          <w:tcW w:w="2694" w:type="dxa"/>
          <w:vAlign w:val="bottom"/>
        </w:tcPr>
        <w:p w14:paraId="797F08EF" w14:textId="77777777" w:rsidR="00835DB7" w:rsidRPr="00026EBB" w:rsidRDefault="00835DB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35DB7" w:rsidRPr="0091633A" w:rsidRDefault="00835DB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1263C2F7" w:rsidR="00835DB7" w:rsidRPr="00A404EA" w:rsidRDefault="0093448A"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04946/INFOEM/ICR-106/IP/RR/2025</w:t>
          </w:r>
        </w:p>
      </w:tc>
    </w:tr>
    <w:tr w:rsidR="00835DB7" w:rsidRPr="00264223" w14:paraId="3B115A83" w14:textId="77777777" w:rsidTr="006273CC">
      <w:trPr>
        <w:trHeight w:val="119"/>
      </w:trPr>
      <w:tc>
        <w:tcPr>
          <w:tcW w:w="2694" w:type="dxa"/>
        </w:tcPr>
        <w:p w14:paraId="769D227C" w14:textId="77777777" w:rsidR="00835DB7" w:rsidRPr="00026EBB" w:rsidRDefault="00835D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35DB7" w:rsidRPr="00026EBB" w:rsidRDefault="00835DB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099C39FD" w:rsidR="00835DB7" w:rsidRPr="00474ED7" w:rsidRDefault="00521909" w:rsidP="00765288">
          <w:pPr>
            <w:tabs>
              <w:tab w:val="right" w:pos="8838"/>
            </w:tabs>
            <w:spacing w:line="276" w:lineRule="auto"/>
            <w:ind w:right="-246"/>
            <w:jc w:val="both"/>
            <w:rPr>
              <w:rFonts w:ascii="Palatino Linotype" w:eastAsia="Calibri" w:hAnsi="Palatino Linotype" w:cs="Tahoma"/>
              <w:sz w:val="22"/>
              <w:szCs w:val="22"/>
              <w:lang w:eastAsia="en-US"/>
            </w:rPr>
          </w:pPr>
          <w:r w:rsidRPr="00521909">
            <w:rPr>
              <w:rFonts w:ascii="Palatino Linotype" w:eastAsia="Calibri" w:hAnsi="Palatino Linotype" w:cs="Tahoma"/>
              <w:sz w:val="22"/>
              <w:szCs w:val="22"/>
              <w:highlight w:val="black"/>
              <w:lang w:eastAsia="en-US"/>
            </w:rPr>
            <w:t>--------------------------------</w:t>
          </w:r>
        </w:p>
      </w:tc>
    </w:tr>
    <w:tr w:rsidR="00835DB7" w:rsidRPr="00264223" w14:paraId="111B16D3" w14:textId="77777777" w:rsidTr="006273CC">
      <w:trPr>
        <w:trHeight w:val="234"/>
      </w:trPr>
      <w:tc>
        <w:tcPr>
          <w:tcW w:w="2694" w:type="dxa"/>
        </w:tcPr>
        <w:p w14:paraId="23CA2497" w14:textId="2D869CFF" w:rsidR="00835DB7" w:rsidRPr="00026EBB" w:rsidRDefault="00835D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35DB7" w:rsidRPr="00026EBB" w:rsidRDefault="00835DB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28DB2AC9" w:rsidR="00835DB7" w:rsidRPr="006273CC" w:rsidRDefault="0093448A" w:rsidP="006273CC">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hAnsi="Palatino Linotype"/>
              <w:bCs/>
              <w:color w:val="000000"/>
              <w:sz w:val="22"/>
              <w:szCs w:val="14"/>
            </w:rPr>
            <w:t>Ayuntamiento de Ecatepec de Morelos</w:t>
          </w:r>
        </w:p>
      </w:tc>
    </w:tr>
    <w:tr w:rsidR="00835DB7" w:rsidRPr="00264223" w14:paraId="69512480" w14:textId="77777777" w:rsidTr="006273CC">
      <w:trPr>
        <w:trHeight w:val="234"/>
      </w:trPr>
      <w:tc>
        <w:tcPr>
          <w:tcW w:w="2694" w:type="dxa"/>
        </w:tcPr>
        <w:p w14:paraId="574761F6" w14:textId="77777777" w:rsidR="00835DB7" w:rsidRPr="00026EBB" w:rsidRDefault="00835D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35DB7" w:rsidRPr="00026EBB" w:rsidRDefault="00835DB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35DB7" w:rsidRDefault="00835DB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35DB7" w:rsidRPr="00E67009" w:rsidRDefault="00835DB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442144"/>
    <w:multiLevelType w:val="hybridMultilevel"/>
    <w:tmpl w:val="E38401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397525"/>
    <w:multiLevelType w:val="hybridMultilevel"/>
    <w:tmpl w:val="62EED0B2"/>
    <w:lvl w:ilvl="0" w:tplc="B6046C48">
      <w:numFmt w:val="bullet"/>
      <w:lvlText w:val="-"/>
      <w:lvlJc w:val="left"/>
      <w:pPr>
        <w:ind w:left="1065" w:hanging="705"/>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D14D8"/>
    <w:multiLevelType w:val="hybridMultilevel"/>
    <w:tmpl w:val="BA9691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8C027A1"/>
    <w:multiLevelType w:val="hybridMultilevel"/>
    <w:tmpl w:val="9008F3C2"/>
    <w:lvl w:ilvl="0" w:tplc="F2E0166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E22EEF"/>
    <w:multiLevelType w:val="multilevel"/>
    <w:tmpl w:val="92E2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A07A15"/>
    <w:multiLevelType w:val="hybridMultilevel"/>
    <w:tmpl w:val="98A2E8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A723059"/>
    <w:multiLevelType w:val="hybridMultilevel"/>
    <w:tmpl w:val="E3840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15"/>
  </w:num>
  <w:num w:numId="5">
    <w:abstractNumId w:val="6"/>
  </w:num>
  <w:num w:numId="6">
    <w:abstractNumId w:val="8"/>
  </w:num>
  <w:num w:numId="7">
    <w:abstractNumId w:val="5"/>
  </w:num>
  <w:num w:numId="8">
    <w:abstractNumId w:val="16"/>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0"/>
  </w:num>
  <w:num w:numId="15">
    <w:abstractNumId w:val="7"/>
  </w:num>
  <w:num w:numId="16">
    <w:abstractNumId w:val="4"/>
  </w:num>
  <w:num w:numId="17">
    <w:abstractNumId w:val="9"/>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4FDC"/>
    <w:rsid w:val="00025C32"/>
    <w:rsid w:val="000268D8"/>
    <w:rsid w:val="00026EBB"/>
    <w:rsid w:val="000307EE"/>
    <w:rsid w:val="0003130B"/>
    <w:rsid w:val="000313A7"/>
    <w:rsid w:val="000313C2"/>
    <w:rsid w:val="0003232F"/>
    <w:rsid w:val="000329B6"/>
    <w:rsid w:val="00032BB3"/>
    <w:rsid w:val="00032F5B"/>
    <w:rsid w:val="00034E9D"/>
    <w:rsid w:val="0003645D"/>
    <w:rsid w:val="000373BC"/>
    <w:rsid w:val="00037B34"/>
    <w:rsid w:val="00037F4B"/>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23"/>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1D"/>
    <w:rsid w:val="000B2C93"/>
    <w:rsid w:val="000B36DD"/>
    <w:rsid w:val="000B5711"/>
    <w:rsid w:val="000B6020"/>
    <w:rsid w:val="000B691A"/>
    <w:rsid w:val="000C2283"/>
    <w:rsid w:val="000C2672"/>
    <w:rsid w:val="000C27CA"/>
    <w:rsid w:val="000C2DB4"/>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80D"/>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0644"/>
    <w:rsid w:val="001719E4"/>
    <w:rsid w:val="00171ADD"/>
    <w:rsid w:val="001720AA"/>
    <w:rsid w:val="001720DD"/>
    <w:rsid w:val="001722E5"/>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4FB"/>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4887"/>
    <w:rsid w:val="001D6E30"/>
    <w:rsid w:val="001D7012"/>
    <w:rsid w:val="001D7BD2"/>
    <w:rsid w:val="001D7E70"/>
    <w:rsid w:val="001E0D5D"/>
    <w:rsid w:val="001E1355"/>
    <w:rsid w:val="001E2A4D"/>
    <w:rsid w:val="001E4BFA"/>
    <w:rsid w:val="001E53C2"/>
    <w:rsid w:val="001E551B"/>
    <w:rsid w:val="001F0962"/>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E20"/>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BC2"/>
    <w:rsid w:val="00250EC0"/>
    <w:rsid w:val="00251C92"/>
    <w:rsid w:val="00251F2E"/>
    <w:rsid w:val="00252669"/>
    <w:rsid w:val="002534FB"/>
    <w:rsid w:val="00253EAE"/>
    <w:rsid w:val="00254209"/>
    <w:rsid w:val="00254288"/>
    <w:rsid w:val="002545AA"/>
    <w:rsid w:val="0025469C"/>
    <w:rsid w:val="00257074"/>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5BBF"/>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5E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8DB"/>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1EC1"/>
    <w:rsid w:val="00312313"/>
    <w:rsid w:val="00313E3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0EAF"/>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24A7"/>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5CA"/>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3C27"/>
    <w:rsid w:val="003D463A"/>
    <w:rsid w:val="003D6B3D"/>
    <w:rsid w:val="003E1278"/>
    <w:rsid w:val="003E13A6"/>
    <w:rsid w:val="003E16CF"/>
    <w:rsid w:val="003E1C21"/>
    <w:rsid w:val="003E31E5"/>
    <w:rsid w:val="003E32ED"/>
    <w:rsid w:val="003E3A39"/>
    <w:rsid w:val="003E4344"/>
    <w:rsid w:val="003E4693"/>
    <w:rsid w:val="003E56BD"/>
    <w:rsid w:val="003E58C9"/>
    <w:rsid w:val="003E79C7"/>
    <w:rsid w:val="003F204B"/>
    <w:rsid w:val="003F36D7"/>
    <w:rsid w:val="003F4DBD"/>
    <w:rsid w:val="003F578D"/>
    <w:rsid w:val="003F5E0D"/>
    <w:rsid w:val="003F650B"/>
    <w:rsid w:val="003F67B8"/>
    <w:rsid w:val="003F7A60"/>
    <w:rsid w:val="004004E9"/>
    <w:rsid w:val="0040063B"/>
    <w:rsid w:val="00400FDE"/>
    <w:rsid w:val="00402109"/>
    <w:rsid w:val="00402595"/>
    <w:rsid w:val="0040325E"/>
    <w:rsid w:val="004033A7"/>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2DB4"/>
    <w:rsid w:val="00436FD3"/>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03E0"/>
    <w:rsid w:val="00470601"/>
    <w:rsid w:val="004711A3"/>
    <w:rsid w:val="00471D5D"/>
    <w:rsid w:val="00473F17"/>
    <w:rsid w:val="00474ED7"/>
    <w:rsid w:val="00474EE0"/>
    <w:rsid w:val="004751D6"/>
    <w:rsid w:val="00475973"/>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1C3"/>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1BE4"/>
    <w:rsid w:val="005124DC"/>
    <w:rsid w:val="00512F7F"/>
    <w:rsid w:val="0051401F"/>
    <w:rsid w:val="00515991"/>
    <w:rsid w:val="00520C3D"/>
    <w:rsid w:val="00520DD5"/>
    <w:rsid w:val="005214F8"/>
    <w:rsid w:val="00521909"/>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874"/>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5616"/>
    <w:rsid w:val="005A6369"/>
    <w:rsid w:val="005B0196"/>
    <w:rsid w:val="005B0D7C"/>
    <w:rsid w:val="005B0DAF"/>
    <w:rsid w:val="005B0E86"/>
    <w:rsid w:val="005B27D6"/>
    <w:rsid w:val="005B2CD4"/>
    <w:rsid w:val="005B3A3B"/>
    <w:rsid w:val="005B5972"/>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1FE3"/>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408F"/>
    <w:rsid w:val="006969BA"/>
    <w:rsid w:val="006A018D"/>
    <w:rsid w:val="006A026A"/>
    <w:rsid w:val="006A0425"/>
    <w:rsid w:val="006A1D62"/>
    <w:rsid w:val="006A2935"/>
    <w:rsid w:val="006A29B6"/>
    <w:rsid w:val="006A3759"/>
    <w:rsid w:val="006A4AFF"/>
    <w:rsid w:val="006A4F25"/>
    <w:rsid w:val="006A5C70"/>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359E"/>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3F2D"/>
    <w:rsid w:val="00714C6F"/>
    <w:rsid w:val="0071540F"/>
    <w:rsid w:val="00717731"/>
    <w:rsid w:val="00720761"/>
    <w:rsid w:val="007229A1"/>
    <w:rsid w:val="007235AA"/>
    <w:rsid w:val="007254C7"/>
    <w:rsid w:val="00727405"/>
    <w:rsid w:val="0072794B"/>
    <w:rsid w:val="007300C9"/>
    <w:rsid w:val="00731AE5"/>
    <w:rsid w:val="00731C2B"/>
    <w:rsid w:val="00732289"/>
    <w:rsid w:val="0073268D"/>
    <w:rsid w:val="00735915"/>
    <w:rsid w:val="00735C21"/>
    <w:rsid w:val="0073614A"/>
    <w:rsid w:val="00736FF2"/>
    <w:rsid w:val="00740C8C"/>
    <w:rsid w:val="00741AC4"/>
    <w:rsid w:val="0074232E"/>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C05C4"/>
    <w:rsid w:val="007C1700"/>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55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DB7"/>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01D"/>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5464"/>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448A"/>
    <w:rsid w:val="00936574"/>
    <w:rsid w:val="00943BCE"/>
    <w:rsid w:val="0094599B"/>
    <w:rsid w:val="00947608"/>
    <w:rsid w:val="009519A6"/>
    <w:rsid w:val="00952D91"/>
    <w:rsid w:val="009542DA"/>
    <w:rsid w:val="00954D17"/>
    <w:rsid w:val="00954F5D"/>
    <w:rsid w:val="00957104"/>
    <w:rsid w:val="00957CA8"/>
    <w:rsid w:val="00957F4D"/>
    <w:rsid w:val="00960346"/>
    <w:rsid w:val="009617D3"/>
    <w:rsid w:val="00963DC8"/>
    <w:rsid w:val="0096463B"/>
    <w:rsid w:val="00967409"/>
    <w:rsid w:val="00967869"/>
    <w:rsid w:val="00970475"/>
    <w:rsid w:val="00971319"/>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1B1"/>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1463"/>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5DC2"/>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C6437"/>
    <w:rsid w:val="00AD07FA"/>
    <w:rsid w:val="00AD0D24"/>
    <w:rsid w:val="00AD0FA2"/>
    <w:rsid w:val="00AD1923"/>
    <w:rsid w:val="00AD2611"/>
    <w:rsid w:val="00AD3AC5"/>
    <w:rsid w:val="00AD3D57"/>
    <w:rsid w:val="00AD477B"/>
    <w:rsid w:val="00AD4882"/>
    <w:rsid w:val="00AE1BA2"/>
    <w:rsid w:val="00AE33C9"/>
    <w:rsid w:val="00AE4507"/>
    <w:rsid w:val="00AE47BF"/>
    <w:rsid w:val="00AE5024"/>
    <w:rsid w:val="00AF0081"/>
    <w:rsid w:val="00AF0F98"/>
    <w:rsid w:val="00AF214A"/>
    <w:rsid w:val="00AF36A2"/>
    <w:rsid w:val="00AF5CE4"/>
    <w:rsid w:val="00AF6432"/>
    <w:rsid w:val="00AF673B"/>
    <w:rsid w:val="00AF6B9D"/>
    <w:rsid w:val="00AF75BE"/>
    <w:rsid w:val="00AF79BD"/>
    <w:rsid w:val="00B07F12"/>
    <w:rsid w:val="00B07F56"/>
    <w:rsid w:val="00B110AF"/>
    <w:rsid w:val="00B11EBD"/>
    <w:rsid w:val="00B1415B"/>
    <w:rsid w:val="00B15278"/>
    <w:rsid w:val="00B15EFC"/>
    <w:rsid w:val="00B16F37"/>
    <w:rsid w:val="00B21671"/>
    <w:rsid w:val="00B217E2"/>
    <w:rsid w:val="00B234EC"/>
    <w:rsid w:val="00B26473"/>
    <w:rsid w:val="00B2732B"/>
    <w:rsid w:val="00B274AE"/>
    <w:rsid w:val="00B274BF"/>
    <w:rsid w:val="00B31222"/>
    <w:rsid w:val="00B32215"/>
    <w:rsid w:val="00B3261D"/>
    <w:rsid w:val="00B32C53"/>
    <w:rsid w:val="00B33AEB"/>
    <w:rsid w:val="00B40FB5"/>
    <w:rsid w:val="00B4118B"/>
    <w:rsid w:val="00B41F43"/>
    <w:rsid w:val="00B41FDD"/>
    <w:rsid w:val="00B42E16"/>
    <w:rsid w:val="00B42E81"/>
    <w:rsid w:val="00B4329D"/>
    <w:rsid w:val="00B434FC"/>
    <w:rsid w:val="00B443F5"/>
    <w:rsid w:val="00B44D40"/>
    <w:rsid w:val="00B46640"/>
    <w:rsid w:val="00B46E19"/>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C8F"/>
    <w:rsid w:val="00B92EDF"/>
    <w:rsid w:val="00B93510"/>
    <w:rsid w:val="00B93955"/>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3989"/>
    <w:rsid w:val="00BC4CF5"/>
    <w:rsid w:val="00BC539E"/>
    <w:rsid w:val="00BC55E5"/>
    <w:rsid w:val="00BC64F5"/>
    <w:rsid w:val="00BC732A"/>
    <w:rsid w:val="00BC758B"/>
    <w:rsid w:val="00BD181B"/>
    <w:rsid w:val="00BD2EAC"/>
    <w:rsid w:val="00BD4BB3"/>
    <w:rsid w:val="00BD5CDF"/>
    <w:rsid w:val="00BD5F6D"/>
    <w:rsid w:val="00BD61E2"/>
    <w:rsid w:val="00BD64FA"/>
    <w:rsid w:val="00BE17C6"/>
    <w:rsid w:val="00BE2BD3"/>
    <w:rsid w:val="00BE4865"/>
    <w:rsid w:val="00BE69BF"/>
    <w:rsid w:val="00BE6A3C"/>
    <w:rsid w:val="00BE725A"/>
    <w:rsid w:val="00BE7430"/>
    <w:rsid w:val="00BE7B48"/>
    <w:rsid w:val="00BF02B3"/>
    <w:rsid w:val="00BF0B9D"/>
    <w:rsid w:val="00BF259E"/>
    <w:rsid w:val="00BF2920"/>
    <w:rsid w:val="00BF2E55"/>
    <w:rsid w:val="00BF3381"/>
    <w:rsid w:val="00BF4C63"/>
    <w:rsid w:val="00C00CE6"/>
    <w:rsid w:val="00C05514"/>
    <w:rsid w:val="00C05543"/>
    <w:rsid w:val="00C07B7E"/>
    <w:rsid w:val="00C1042A"/>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5AC1"/>
    <w:rsid w:val="00C305C8"/>
    <w:rsid w:val="00C305F2"/>
    <w:rsid w:val="00C307AF"/>
    <w:rsid w:val="00C3345C"/>
    <w:rsid w:val="00C33C9A"/>
    <w:rsid w:val="00C3487E"/>
    <w:rsid w:val="00C351A6"/>
    <w:rsid w:val="00C3773E"/>
    <w:rsid w:val="00C40075"/>
    <w:rsid w:val="00C407E5"/>
    <w:rsid w:val="00C41128"/>
    <w:rsid w:val="00C41DAA"/>
    <w:rsid w:val="00C41EB5"/>
    <w:rsid w:val="00C42C95"/>
    <w:rsid w:val="00C42DAC"/>
    <w:rsid w:val="00C4342B"/>
    <w:rsid w:val="00C436FC"/>
    <w:rsid w:val="00C451A0"/>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5A7B"/>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92"/>
    <w:rsid w:val="00C96D01"/>
    <w:rsid w:val="00C976D1"/>
    <w:rsid w:val="00CA0E6B"/>
    <w:rsid w:val="00CA1FCA"/>
    <w:rsid w:val="00CA3DF7"/>
    <w:rsid w:val="00CA440C"/>
    <w:rsid w:val="00CA6770"/>
    <w:rsid w:val="00CA71D4"/>
    <w:rsid w:val="00CB1F3C"/>
    <w:rsid w:val="00CB2AAF"/>
    <w:rsid w:val="00CB4FC8"/>
    <w:rsid w:val="00CB5D29"/>
    <w:rsid w:val="00CB675A"/>
    <w:rsid w:val="00CB7208"/>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9DE"/>
    <w:rsid w:val="00CE1B1E"/>
    <w:rsid w:val="00CE1BC9"/>
    <w:rsid w:val="00CE1DAA"/>
    <w:rsid w:val="00CE33C1"/>
    <w:rsid w:val="00CE3AFD"/>
    <w:rsid w:val="00CE4DD6"/>
    <w:rsid w:val="00CE692A"/>
    <w:rsid w:val="00CE76FF"/>
    <w:rsid w:val="00CE778C"/>
    <w:rsid w:val="00CF1C93"/>
    <w:rsid w:val="00CF20BC"/>
    <w:rsid w:val="00CF2FD4"/>
    <w:rsid w:val="00CF367F"/>
    <w:rsid w:val="00CF4012"/>
    <w:rsid w:val="00CF5C25"/>
    <w:rsid w:val="00CF6ECC"/>
    <w:rsid w:val="00CF7AA3"/>
    <w:rsid w:val="00CF7F57"/>
    <w:rsid w:val="00D00B3A"/>
    <w:rsid w:val="00D02BC6"/>
    <w:rsid w:val="00D0310D"/>
    <w:rsid w:val="00D04DC5"/>
    <w:rsid w:val="00D055BD"/>
    <w:rsid w:val="00D05803"/>
    <w:rsid w:val="00D05C7C"/>
    <w:rsid w:val="00D06906"/>
    <w:rsid w:val="00D07742"/>
    <w:rsid w:val="00D100AE"/>
    <w:rsid w:val="00D10D76"/>
    <w:rsid w:val="00D110D4"/>
    <w:rsid w:val="00D1276A"/>
    <w:rsid w:val="00D14DB7"/>
    <w:rsid w:val="00D14E1A"/>
    <w:rsid w:val="00D15EBD"/>
    <w:rsid w:val="00D15ED5"/>
    <w:rsid w:val="00D20443"/>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2E4F"/>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198"/>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D7579"/>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33EE"/>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1962"/>
    <w:rsid w:val="00E2346B"/>
    <w:rsid w:val="00E24C70"/>
    <w:rsid w:val="00E26B53"/>
    <w:rsid w:val="00E27DDF"/>
    <w:rsid w:val="00E27E01"/>
    <w:rsid w:val="00E30A90"/>
    <w:rsid w:val="00E32DBA"/>
    <w:rsid w:val="00E34154"/>
    <w:rsid w:val="00E350F4"/>
    <w:rsid w:val="00E36106"/>
    <w:rsid w:val="00E40A82"/>
    <w:rsid w:val="00E41142"/>
    <w:rsid w:val="00E4249F"/>
    <w:rsid w:val="00E43469"/>
    <w:rsid w:val="00E445DA"/>
    <w:rsid w:val="00E45379"/>
    <w:rsid w:val="00E45C35"/>
    <w:rsid w:val="00E469B1"/>
    <w:rsid w:val="00E47BCB"/>
    <w:rsid w:val="00E50B22"/>
    <w:rsid w:val="00E50C4F"/>
    <w:rsid w:val="00E50F58"/>
    <w:rsid w:val="00E51E18"/>
    <w:rsid w:val="00E51ED1"/>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4ABB"/>
    <w:rsid w:val="00E759B2"/>
    <w:rsid w:val="00E770B3"/>
    <w:rsid w:val="00E804F0"/>
    <w:rsid w:val="00E8155D"/>
    <w:rsid w:val="00E81586"/>
    <w:rsid w:val="00E829A2"/>
    <w:rsid w:val="00E86361"/>
    <w:rsid w:val="00E90A35"/>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B7836"/>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4D2C"/>
    <w:rsid w:val="00F15D77"/>
    <w:rsid w:val="00F15FCE"/>
    <w:rsid w:val="00F1661B"/>
    <w:rsid w:val="00F17D75"/>
    <w:rsid w:val="00F17E14"/>
    <w:rsid w:val="00F20633"/>
    <w:rsid w:val="00F213E5"/>
    <w:rsid w:val="00F218DA"/>
    <w:rsid w:val="00F23DB4"/>
    <w:rsid w:val="00F23E81"/>
    <w:rsid w:val="00F23F69"/>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07"/>
    <w:rsid w:val="00F574B4"/>
    <w:rsid w:val="00F574B7"/>
    <w:rsid w:val="00F57883"/>
    <w:rsid w:val="00F60BC0"/>
    <w:rsid w:val="00F61647"/>
    <w:rsid w:val="00F61B7F"/>
    <w:rsid w:val="00F62370"/>
    <w:rsid w:val="00F628D3"/>
    <w:rsid w:val="00F6497E"/>
    <w:rsid w:val="00F65A21"/>
    <w:rsid w:val="00F66760"/>
    <w:rsid w:val="00F677E2"/>
    <w:rsid w:val="00F67C16"/>
    <w:rsid w:val="00F70483"/>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18A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63"/>
    <w:rsid w:val="00FC12EE"/>
    <w:rsid w:val="00FC1A4F"/>
    <w:rsid w:val="00FC2209"/>
    <w:rsid w:val="00FC3860"/>
    <w:rsid w:val="00FC44B0"/>
    <w:rsid w:val="00FC5C4B"/>
    <w:rsid w:val="00FC7531"/>
    <w:rsid w:val="00FC7EAA"/>
    <w:rsid w:val="00FD0C12"/>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551"/>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747B373"/>
  <w15:docId w15:val="{7015DE8F-7970-4D4A-85F0-2091F66C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212365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025481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3309332">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5148556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82188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78672430">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7788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5854635">
      <w:bodyDiv w:val="1"/>
      <w:marLeft w:val="0"/>
      <w:marRight w:val="0"/>
      <w:marTop w:val="0"/>
      <w:marBottom w:val="0"/>
      <w:divBdr>
        <w:top w:val="none" w:sz="0" w:space="0" w:color="auto"/>
        <w:left w:val="none" w:sz="0" w:space="0" w:color="auto"/>
        <w:bottom w:val="none" w:sz="0" w:space="0" w:color="auto"/>
        <w:right w:val="none" w:sz="0" w:space="0" w:color="auto"/>
      </w:divBdr>
    </w:div>
    <w:div w:id="81973353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871825">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06708773">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1132113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298523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2226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058985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5639925">
      <w:bodyDiv w:val="1"/>
      <w:marLeft w:val="0"/>
      <w:marRight w:val="0"/>
      <w:marTop w:val="0"/>
      <w:marBottom w:val="0"/>
      <w:divBdr>
        <w:top w:val="none" w:sz="0" w:space="0" w:color="auto"/>
        <w:left w:val="none" w:sz="0" w:space="0" w:color="auto"/>
        <w:bottom w:val="none" w:sz="0" w:space="0" w:color="auto"/>
        <w:right w:val="none" w:sz="0" w:space="0" w:color="auto"/>
      </w:divBdr>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164526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96925207">
      <w:bodyDiv w:val="1"/>
      <w:marLeft w:val="0"/>
      <w:marRight w:val="0"/>
      <w:marTop w:val="0"/>
      <w:marBottom w:val="0"/>
      <w:divBdr>
        <w:top w:val="none" w:sz="0" w:space="0" w:color="auto"/>
        <w:left w:val="none" w:sz="0" w:space="0" w:color="auto"/>
        <w:bottom w:val="none" w:sz="0" w:space="0" w:color="auto"/>
        <w:right w:val="none" w:sz="0" w:space="0" w:color="auto"/>
      </w:divBdr>
    </w:div>
    <w:div w:id="171464626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2853609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6979334">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ebapps.condusef.gob.mx/SIPRES/jsp/pub/index.j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ndusef.gob.mx/Revista/index.php/usuario-inteligente/condusef-responde/777-la-condusef-te-puede-ayuda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ED4E-035F-4767-9A2E-274AB7F1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14581</Words>
  <Characters>80198</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cp:lastModifiedBy>infoem-393</cp:lastModifiedBy>
  <cp:revision>4</cp:revision>
  <cp:lastPrinted>2026-02-09T16:09:00Z</cp:lastPrinted>
  <dcterms:created xsi:type="dcterms:W3CDTF">2026-02-09T16:09:00Z</dcterms:created>
  <dcterms:modified xsi:type="dcterms:W3CDTF">2026-04-08T23:24:00Z</dcterms:modified>
</cp:coreProperties>
</file>