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E74" w:rsidRPr="007A0DB2" w:rsidRDefault="00B736F4">
      <w:pPr>
        <w:spacing w:line="360" w:lineRule="auto"/>
        <w:ind w:right="-28"/>
        <w:jc w:val="both"/>
        <w:rPr>
          <w:rFonts w:ascii="Palatino Linotype" w:eastAsia="Palatino Linotype" w:hAnsi="Palatino Linotype" w:cs="Palatino Linotype"/>
          <w:b/>
          <w:bCs/>
        </w:rPr>
      </w:pPr>
      <w:bookmarkStart w:id="0" w:name="_heading=h.1fob9te" w:colFirst="0" w:colLast="0"/>
      <w:bookmarkEnd w:id="0"/>
      <w:r w:rsidRPr="007A0DB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AA16AB" w:rsidRPr="007A0DB2">
        <w:rPr>
          <w:rFonts w:ascii="Palatino Linotype" w:eastAsia="Palatino Linotype" w:hAnsi="Palatino Linotype" w:cs="Palatino Linotype"/>
          <w:b/>
          <w:bCs/>
        </w:rPr>
        <w:t>de fecha tres (03) de junio de dos mil veintiséis</w:t>
      </w:r>
      <w:r w:rsidRPr="007A0DB2">
        <w:rPr>
          <w:rFonts w:ascii="Palatino Linotype" w:eastAsia="Palatino Linotype" w:hAnsi="Palatino Linotype" w:cs="Palatino Linotype"/>
          <w:b/>
          <w:bCs/>
        </w:rPr>
        <w:t xml:space="preserve">. </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spacing w:line="360" w:lineRule="auto"/>
        <w:ind w:right="-28"/>
        <w:jc w:val="both"/>
        <w:rPr>
          <w:rFonts w:ascii="Palatino Linotype" w:eastAsia="Palatino Linotype" w:hAnsi="Palatino Linotype" w:cs="Palatino Linotype"/>
          <w:b/>
          <w:bCs/>
        </w:rPr>
      </w:pPr>
      <w:r w:rsidRPr="007A0DB2">
        <w:rPr>
          <w:rFonts w:ascii="Palatino Linotype" w:eastAsia="Palatino Linotype" w:hAnsi="Palatino Linotype" w:cs="Palatino Linotype"/>
          <w:b/>
          <w:bCs/>
        </w:rPr>
        <w:t>VISTO</w:t>
      </w:r>
      <w:r w:rsidRPr="007A0DB2">
        <w:rPr>
          <w:rFonts w:ascii="Palatino Linotype" w:eastAsia="Palatino Linotype" w:hAnsi="Palatino Linotype" w:cs="Palatino Linotype"/>
        </w:rPr>
        <w:t xml:space="preserve"> el expediente electrónico formado con motivo del Recurso de Revisión </w:t>
      </w:r>
      <w:r w:rsidRPr="007A0DB2">
        <w:rPr>
          <w:rFonts w:ascii="Palatino Linotype" w:eastAsia="Palatino Linotype" w:hAnsi="Palatino Linotype" w:cs="Palatino Linotype"/>
          <w:b/>
          <w:bCs/>
        </w:rPr>
        <w:t xml:space="preserve">03448/INFOEM/IP/RR/2026, </w:t>
      </w:r>
      <w:r w:rsidRPr="007A0DB2">
        <w:rPr>
          <w:rFonts w:ascii="Palatino Linotype" w:eastAsia="Palatino Linotype" w:hAnsi="Palatino Linotype" w:cs="Palatino Linotype"/>
        </w:rPr>
        <w:t xml:space="preserve">promovido por </w:t>
      </w:r>
      <w:r w:rsidR="00D01AF6">
        <w:rPr>
          <w:rFonts w:ascii="Palatino Linotype" w:eastAsia="Palatino Linotype" w:hAnsi="Palatino Linotype" w:cs="Palatino Linotype"/>
          <w:b/>
          <w:bCs/>
        </w:rPr>
        <w:t>XXXX</w:t>
      </w:r>
      <w:r w:rsidRPr="007A0DB2">
        <w:rPr>
          <w:rFonts w:ascii="Palatino Linotype" w:eastAsia="Palatino Linotype" w:hAnsi="Palatino Linotype" w:cs="Palatino Linotype"/>
          <w:b/>
          <w:bCs/>
        </w:rPr>
        <w:t>,</w:t>
      </w:r>
      <w:r w:rsidRPr="007A0DB2">
        <w:rPr>
          <w:rFonts w:ascii="Palatino Linotype" w:eastAsia="Palatino Linotype" w:hAnsi="Palatino Linotype" w:cs="Palatino Linotype"/>
        </w:rPr>
        <w:t xml:space="preserve"> en contra de la respuesta del </w:t>
      </w:r>
      <w:r w:rsidRPr="007A0DB2">
        <w:rPr>
          <w:rFonts w:ascii="Palatino Linotype" w:eastAsia="Palatino Linotype" w:hAnsi="Palatino Linotype" w:cs="Palatino Linotype"/>
          <w:b/>
          <w:bCs/>
        </w:rPr>
        <w:t>Ayuntamiento de Ecatepec de Morelos,</w:t>
      </w:r>
      <w:r w:rsidRPr="007A0DB2">
        <w:rPr>
          <w:rFonts w:ascii="Palatino Linotype" w:eastAsia="Palatino Linotype" w:hAnsi="Palatino Linotype" w:cs="Palatino Linotype"/>
        </w:rPr>
        <w:t xml:space="preserve"> en adelante el</w:t>
      </w:r>
      <w:r w:rsidRPr="007A0DB2">
        <w:rPr>
          <w:rFonts w:ascii="Palatino Linotype" w:eastAsia="Palatino Linotype" w:hAnsi="Palatino Linotype" w:cs="Palatino Linotype"/>
          <w:b/>
          <w:bCs/>
        </w:rPr>
        <w:t xml:space="preserve"> SUJETO OBLIGADO</w:t>
      </w:r>
      <w:r w:rsidRPr="007A0DB2">
        <w:rPr>
          <w:rFonts w:ascii="Palatino Linotype" w:eastAsia="Palatino Linotype" w:hAnsi="Palatino Linotype" w:cs="Palatino Linotype"/>
        </w:rPr>
        <w:t xml:space="preserve">, por lo que se procede a dictar la presente resolución, con base en los siguientes: </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keepNext/>
        <w:keepLines/>
        <w:spacing w:line="360" w:lineRule="auto"/>
        <w:ind w:right="-28"/>
        <w:jc w:val="center"/>
        <w:rPr>
          <w:rFonts w:ascii="Palatino Linotype" w:eastAsia="Palatino Linotype" w:hAnsi="Palatino Linotype" w:cs="Palatino Linotype"/>
          <w:b/>
          <w:bCs/>
        </w:rPr>
      </w:pPr>
      <w:bookmarkStart w:id="1" w:name="_heading=h.gjdgxs" w:colFirst="0" w:colLast="0"/>
      <w:bookmarkEnd w:id="1"/>
      <w:r w:rsidRPr="007A0DB2">
        <w:rPr>
          <w:rFonts w:ascii="Palatino Linotype" w:eastAsia="Palatino Linotype" w:hAnsi="Palatino Linotype" w:cs="Palatino Linotype"/>
          <w:b/>
          <w:bCs/>
        </w:rPr>
        <w:t>A N T E C E D E N T E S</w:t>
      </w:r>
    </w:p>
    <w:p w:rsidR="00645E74" w:rsidRPr="007A0DB2" w:rsidRDefault="00645E74">
      <w:pPr>
        <w:ind w:right="-28"/>
        <w:rPr>
          <w:rFonts w:ascii="Palatino Linotype" w:eastAsia="Palatino Linotype" w:hAnsi="Palatino Linotype" w:cs="Palatino Linotype"/>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bookmarkStart w:id="2" w:name="_heading=h.5uk55774gjyk" w:colFirst="0" w:colLast="0"/>
      <w:bookmarkEnd w:id="2"/>
      <w:r w:rsidRPr="007A0DB2">
        <w:rPr>
          <w:rFonts w:ascii="Palatino Linotype" w:eastAsia="Palatino Linotype" w:hAnsi="Palatino Linotype" w:cs="Palatino Linotype"/>
        </w:rPr>
        <w:t xml:space="preserve">El veintitrés de marzo de dos mil veintiséis, se presentó ante el </w:t>
      </w:r>
      <w:r w:rsidRPr="007A0DB2">
        <w:rPr>
          <w:rFonts w:ascii="Palatino Linotype" w:eastAsia="Palatino Linotype" w:hAnsi="Palatino Linotype" w:cs="Palatino Linotype"/>
          <w:b/>
          <w:bCs/>
        </w:rPr>
        <w:t xml:space="preserve">SUJETO OBLIGADO </w:t>
      </w:r>
      <w:r w:rsidRPr="007A0DB2">
        <w:rPr>
          <w:rFonts w:ascii="Palatino Linotype" w:eastAsia="Palatino Linotype" w:hAnsi="Palatino Linotype" w:cs="Palatino Linotype"/>
        </w:rPr>
        <w:t>vía Sistema de Acceso a la Información; (SAIMEX), la solicitud de información pública registrada con el número de expediente</w:t>
      </w:r>
      <w:r w:rsidRPr="007A0DB2">
        <w:rPr>
          <w:rFonts w:ascii="Palatino Linotype" w:eastAsia="Palatino Linotype" w:hAnsi="Palatino Linotype" w:cs="Palatino Linotype"/>
          <w:b/>
          <w:bCs/>
        </w:rPr>
        <w:t xml:space="preserve"> 00223/ECATEPEC/IP/2026</w:t>
      </w:r>
      <w:r w:rsidRPr="007A0DB2">
        <w:rPr>
          <w:rFonts w:ascii="Palatino Linotype" w:eastAsia="Palatino Linotype" w:hAnsi="Palatino Linotype" w:cs="Palatino Linotype"/>
        </w:rPr>
        <w:t>, en la que se solicitó:</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pBdr>
          <w:top w:val="nil"/>
          <w:left w:val="nil"/>
          <w:bottom w:val="nil"/>
          <w:right w:val="nil"/>
          <w:between w:val="nil"/>
        </w:pBdr>
        <w:ind w:left="567" w:right="680"/>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 xml:space="preserve">“Atenta petición de información SAPASE el 22 de marzo de 2026. 1.- Cuando tendré agua en la RED PUBLICA DE AGUA POTABLE. 2.- Cuando se podrá atender mi reporte de PIPA DE AGUA con numero de reporte CC-20260305-052. Favor de llamar antes en los números registrados. Muchas gracias.” (Sic) </w:t>
      </w:r>
    </w:p>
    <w:p w:rsidR="00645E74" w:rsidRPr="007A0DB2" w:rsidRDefault="00645E74">
      <w:pPr>
        <w:pBdr>
          <w:top w:val="nil"/>
          <w:left w:val="nil"/>
          <w:bottom w:val="nil"/>
          <w:right w:val="nil"/>
          <w:between w:val="nil"/>
        </w:pBdr>
        <w:ind w:right="680"/>
        <w:jc w:val="both"/>
        <w:rPr>
          <w:rFonts w:ascii="Palatino Linotype" w:eastAsia="Palatino Linotype" w:hAnsi="Palatino Linotype" w:cs="Palatino Linotype"/>
          <w:i/>
          <w:iCs/>
        </w:rPr>
      </w:pPr>
    </w:p>
    <w:p w:rsidR="00645E74" w:rsidRPr="007A0DB2" w:rsidRDefault="00645E74">
      <w:pPr>
        <w:pBdr>
          <w:top w:val="nil"/>
          <w:left w:val="nil"/>
          <w:bottom w:val="nil"/>
          <w:right w:val="nil"/>
          <w:between w:val="nil"/>
        </w:pBdr>
        <w:ind w:right="680"/>
        <w:jc w:val="both"/>
        <w:rPr>
          <w:rFonts w:ascii="Palatino Linotype" w:eastAsia="Palatino Linotype" w:hAnsi="Palatino Linotype" w:cs="Palatino Linotype"/>
          <w:i/>
          <w:iCs/>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Se hace constar que se señaló como modalidad de entrega de la información a través del </w:t>
      </w:r>
      <w:r w:rsidRPr="007A0DB2">
        <w:rPr>
          <w:rFonts w:ascii="Palatino Linotype" w:eastAsia="Palatino Linotype" w:hAnsi="Palatino Linotype" w:cs="Palatino Linotype"/>
          <w:b/>
          <w:bCs/>
        </w:rPr>
        <w:t>SAIMEX.</w:t>
      </w:r>
    </w:p>
    <w:p w:rsidR="00645E74" w:rsidRPr="007A0DB2" w:rsidRDefault="00645E74">
      <w:pPr>
        <w:ind w:right="-28"/>
        <w:jc w:val="both"/>
        <w:rPr>
          <w:rFonts w:ascii="Palatino Linotype" w:eastAsia="Palatino Linotype" w:hAnsi="Palatino Linotype" w:cs="Palatino Linotype"/>
        </w:rPr>
      </w:pPr>
    </w:p>
    <w:p w:rsidR="00645E74" w:rsidRPr="007A0DB2" w:rsidRDefault="00B736F4"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El veintitrés de marzo de dos mil veintiséis, 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b/>
          <w:bCs/>
          <w:i/>
          <w:iCs/>
        </w:rPr>
        <w:t xml:space="preserve"> </w:t>
      </w:r>
      <w:r w:rsidRPr="007A0DB2">
        <w:rPr>
          <w:rFonts w:ascii="Palatino Linotype" w:eastAsia="Palatino Linotype" w:hAnsi="Palatino Linotype" w:cs="Palatino Linotype"/>
        </w:rPr>
        <w:t>dio respuesta a la solicitud de información, en los siguientes términos:</w:t>
      </w:r>
    </w:p>
    <w:p w:rsidR="00645E74" w:rsidRPr="007A0DB2" w:rsidRDefault="00B736F4">
      <w:pPr>
        <w:ind w:left="567" w:right="680"/>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“Se anexa escrito” (Sic)</w:t>
      </w:r>
    </w:p>
    <w:p w:rsidR="0058421A" w:rsidRPr="007A0DB2" w:rsidRDefault="00B736F4">
      <w:pPr>
        <w:ind w:right="680"/>
        <w:jc w:val="both"/>
        <w:rPr>
          <w:rFonts w:ascii="Palatino Linotype" w:eastAsia="Palatino Linotype" w:hAnsi="Palatino Linotype" w:cs="Palatino Linotype"/>
        </w:rPr>
      </w:pPr>
      <w:r w:rsidRPr="007A0DB2">
        <w:rPr>
          <w:rFonts w:ascii="Palatino Linotype" w:eastAsia="Palatino Linotype" w:hAnsi="Palatino Linotype" w:cs="Palatino Linotype"/>
        </w:rPr>
        <w:lastRenderedPageBreak/>
        <w:t>Archivos electrónicos adjuntos:</w:t>
      </w:r>
    </w:p>
    <w:p w:rsidR="00645E74" w:rsidRPr="007A0DB2" w:rsidRDefault="00790DE1">
      <w:pPr>
        <w:ind w:left="566" w:right="680"/>
        <w:jc w:val="both"/>
        <w:rPr>
          <w:rFonts w:ascii="Palatino Linotype" w:eastAsia="Palatino Linotype" w:hAnsi="Palatino Linotype" w:cs="Palatino Linotype"/>
          <w:highlight w:val="white"/>
        </w:rPr>
      </w:pPr>
      <w:hyperlink r:id="rId8">
        <w:r w:rsidR="00B736F4" w:rsidRPr="007A0DB2">
          <w:rPr>
            <w:rFonts w:ascii="Palatino Linotype" w:eastAsia="Palatino Linotype" w:hAnsi="Palatino Linotype" w:cs="Palatino Linotype"/>
            <w:b/>
            <w:bCs/>
            <w:highlight w:val="white"/>
          </w:rPr>
          <w:t>Incompetencia total a sol.00223.pdf</w:t>
        </w:r>
      </w:hyperlink>
      <w:r w:rsidR="00B736F4" w:rsidRPr="007A0DB2">
        <w:rPr>
          <w:rFonts w:ascii="Palatino Linotype" w:eastAsia="Palatino Linotype" w:hAnsi="Palatino Linotype" w:cs="Palatino Linotype"/>
          <w:b/>
          <w:bCs/>
          <w:highlight w:val="white"/>
        </w:rPr>
        <w:t xml:space="preserve">: </w:t>
      </w:r>
      <w:r w:rsidR="00B736F4" w:rsidRPr="007A0DB2">
        <w:rPr>
          <w:rFonts w:ascii="Palatino Linotype" w:eastAsia="Palatino Linotype" w:hAnsi="Palatino Linotype" w:cs="Palatino Linotype"/>
          <w:highlight w:val="white"/>
        </w:rPr>
        <w:t>Documento consistente en el Acuerdo de Incompetencia total de la solicitud de información pública número 00223/ECATEPEC/IP/2026, por medio del cual, se sugirió a la parte Recurrente, presentar la solicitud ante el Organismo Público Descentralizado para la Prestación de los Servicios de Agua Potable, Alcantarillado y Saneamiento del Municipio de Ecatepec de Morelos (SAPASE).</w:t>
      </w:r>
    </w:p>
    <w:p w:rsidR="00645E74" w:rsidRPr="007A0DB2" w:rsidRDefault="00645E74">
      <w:pPr>
        <w:ind w:right="680"/>
        <w:jc w:val="both"/>
        <w:rPr>
          <w:rFonts w:ascii="Palatino Linotype" w:eastAsia="Palatino Linotype" w:hAnsi="Palatino Linotype" w:cs="Palatino Linotype"/>
          <w:i/>
          <w:iCs/>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El veintitrés de marzo de dos mil veintiséis,</w:t>
      </w:r>
      <w:r w:rsidRPr="007A0DB2">
        <w:rPr>
          <w:rFonts w:ascii="Palatino Linotype" w:eastAsia="Palatino Linotype" w:hAnsi="Palatino Linotype" w:cs="Palatino Linotype"/>
          <w:b/>
          <w:bCs/>
        </w:rPr>
        <w:t xml:space="preserve"> </w:t>
      </w:r>
      <w:r w:rsidRPr="007A0DB2">
        <w:rPr>
          <w:rFonts w:ascii="Palatino Linotype" w:eastAsia="Palatino Linotype" w:hAnsi="Palatino Linotype" w:cs="Palatino Linotype"/>
        </w:rPr>
        <w:t xml:space="preserve">la parte </w:t>
      </w:r>
      <w:r w:rsidRPr="007A0DB2">
        <w:rPr>
          <w:rFonts w:ascii="Palatino Linotype" w:eastAsia="Palatino Linotype" w:hAnsi="Palatino Linotype" w:cs="Palatino Linotype"/>
          <w:b/>
          <w:bCs/>
        </w:rPr>
        <w:t>RECURRENTE</w:t>
      </w:r>
      <w:r w:rsidRPr="007A0DB2">
        <w:rPr>
          <w:rFonts w:ascii="Palatino Linotype" w:eastAsia="Palatino Linotype" w:hAnsi="Palatino Linotype" w:cs="Palatino Linotype"/>
        </w:rPr>
        <w:t xml:space="preserve"> interpuso recurso de revisión, el cual se registró con el número de expediente: </w:t>
      </w:r>
      <w:r w:rsidRPr="007A0DB2">
        <w:rPr>
          <w:rFonts w:ascii="Palatino Linotype" w:eastAsia="Palatino Linotype" w:hAnsi="Palatino Linotype" w:cs="Palatino Linotype"/>
          <w:b/>
          <w:bCs/>
        </w:rPr>
        <w:t>03448/INFOEM/IP/RR/2026</w:t>
      </w:r>
      <w:r w:rsidRPr="007A0DB2">
        <w:rPr>
          <w:rFonts w:ascii="Palatino Linotype" w:eastAsia="Palatino Linotype" w:hAnsi="Palatino Linotype" w:cs="Palatino Linotype"/>
        </w:rPr>
        <w:t>, señalando como:</w:t>
      </w:r>
    </w:p>
    <w:p w:rsidR="00645E74" w:rsidRPr="007A0DB2" w:rsidRDefault="00645E74">
      <w:pPr>
        <w:ind w:right="-28"/>
        <w:jc w:val="both"/>
        <w:rPr>
          <w:rFonts w:ascii="Palatino Linotype" w:eastAsia="Palatino Linotype" w:hAnsi="Palatino Linotype" w:cs="Palatino Linotype"/>
        </w:rPr>
      </w:pPr>
    </w:p>
    <w:p w:rsidR="00645E74" w:rsidRPr="007A0DB2" w:rsidRDefault="00B736F4" w:rsidP="0058421A">
      <w:pPr>
        <w:numPr>
          <w:ilvl w:val="0"/>
          <w:numId w:val="2"/>
        </w:numPr>
        <w:ind w:left="567" w:right="680" w:hanging="141"/>
        <w:jc w:val="both"/>
        <w:rPr>
          <w:rFonts w:ascii="Palatino Linotype" w:eastAsia="Palatino Linotype" w:hAnsi="Palatino Linotype" w:cs="Palatino Linotype"/>
        </w:rPr>
      </w:pPr>
      <w:r w:rsidRPr="007A0DB2">
        <w:rPr>
          <w:rFonts w:ascii="Palatino Linotype" w:eastAsia="Palatino Linotype" w:hAnsi="Palatino Linotype" w:cs="Palatino Linotype"/>
          <w:b/>
          <w:bCs/>
        </w:rPr>
        <w:t>Acto impugnado</w:t>
      </w:r>
      <w:r w:rsidRPr="007A0DB2">
        <w:rPr>
          <w:rFonts w:ascii="Palatino Linotype" w:eastAsia="Palatino Linotype" w:hAnsi="Palatino Linotype" w:cs="Palatino Linotype"/>
        </w:rPr>
        <w:t>:</w:t>
      </w:r>
      <w:r w:rsidRPr="007A0DB2">
        <w:rPr>
          <w:rFonts w:ascii="Palatino Linotype" w:eastAsia="Palatino Linotype" w:hAnsi="Palatino Linotype" w:cs="Palatino Linotype"/>
          <w:i/>
          <w:iCs/>
        </w:rPr>
        <w:t xml:space="preserve"> “Atenta petición de información SAPASE el 22 de marzo de 2026. 1.- Cuando tendré agua en la RED PUBLICA DE AGUA POTABLE. 2.- Cuando se podrá atender mi reporte de PIPA DE AGUA con numero de reporte CC-20260305-052. Favor de llamar antes en los números registrados. Muchas gracias.” (Sic) </w:t>
      </w:r>
    </w:p>
    <w:p w:rsidR="00645E74" w:rsidRPr="007A0DB2" w:rsidRDefault="00645E74" w:rsidP="0058421A">
      <w:pPr>
        <w:ind w:left="567" w:right="680" w:hanging="141"/>
        <w:jc w:val="both"/>
        <w:rPr>
          <w:rFonts w:ascii="Palatino Linotype" w:eastAsia="Palatino Linotype" w:hAnsi="Palatino Linotype" w:cs="Palatino Linotype"/>
          <w:i/>
          <w:iCs/>
        </w:rPr>
      </w:pPr>
    </w:p>
    <w:p w:rsidR="00645E74" w:rsidRPr="007A0DB2" w:rsidRDefault="00B736F4" w:rsidP="0058421A">
      <w:pPr>
        <w:numPr>
          <w:ilvl w:val="0"/>
          <w:numId w:val="1"/>
        </w:numPr>
        <w:ind w:left="567" w:right="680" w:hanging="141"/>
        <w:jc w:val="both"/>
        <w:rPr>
          <w:rFonts w:ascii="Palatino Linotype" w:eastAsia="Palatino Linotype" w:hAnsi="Palatino Linotype" w:cs="Palatino Linotype"/>
        </w:rPr>
      </w:pPr>
      <w:r w:rsidRPr="007A0DB2">
        <w:rPr>
          <w:rFonts w:ascii="Palatino Linotype" w:eastAsia="Palatino Linotype" w:hAnsi="Palatino Linotype" w:cs="Palatino Linotype"/>
          <w:b/>
          <w:bCs/>
        </w:rPr>
        <w:t xml:space="preserve">Razones o Motivos de Inconformidad: </w:t>
      </w:r>
      <w:r w:rsidRPr="007A0DB2">
        <w:rPr>
          <w:rFonts w:ascii="Palatino Linotype" w:eastAsia="Palatino Linotype" w:hAnsi="Palatino Linotype" w:cs="Palatino Linotype"/>
          <w:i/>
          <w:iCs/>
        </w:rPr>
        <w:t xml:space="preserve">“La pregunta número uno debe ser contestada por el Municipio de Ecatepec de Morelos, ya que de acuerdo a SAPASE, corresponde a la Obra Pública que se realiza en calle 12 de la Colonia Rustica Xalostoc, hoy 23 de marzo de 2026.” (Sic) </w:t>
      </w:r>
    </w:p>
    <w:p w:rsidR="00645E74" w:rsidRPr="007A0DB2" w:rsidRDefault="00645E74">
      <w:pPr>
        <w:ind w:right="963"/>
        <w:jc w:val="both"/>
        <w:rPr>
          <w:rFonts w:ascii="Palatino Linotype" w:eastAsia="Palatino Linotype" w:hAnsi="Palatino Linotype" w:cs="Palatino Linotype"/>
        </w:rPr>
      </w:pPr>
    </w:p>
    <w:p w:rsidR="00645E74" w:rsidRPr="007A0DB2" w:rsidRDefault="00645E74">
      <w:pPr>
        <w:ind w:right="963"/>
        <w:jc w:val="both"/>
        <w:rPr>
          <w:rFonts w:ascii="Palatino Linotype" w:eastAsia="Palatino Linotype" w:hAnsi="Palatino Linotype" w:cs="Palatino Linotype"/>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Posteriormente, la Comisionada Ponente con fundamento en lo dispuesto por el artículo 185, fracción II, de la Ley de la materia, a través del acuerdo de admisión de fecha siete de abril de dos mil veintiséis, puso a disposición de las partes el expediente electrónico vía </w:t>
      </w:r>
      <w:r w:rsidRPr="007A0DB2">
        <w:rPr>
          <w:rFonts w:ascii="Palatino Linotype" w:eastAsia="Palatino Linotype" w:hAnsi="Palatino Linotype" w:cs="Palatino Linotype"/>
          <w:b/>
          <w:bCs/>
        </w:rPr>
        <w:t xml:space="preserve">SAIMEX </w:t>
      </w:r>
      <w:r w:rsidRPr="007A0DB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rPr>
        <w:t xml:space="preserve"> presentará el informe justificado procedente. </w:t>
      </w:r>
    </w:p>
    <w:p w:rsidR="00645E74" w:rsidRPr="007A0DB2" w:rsidRDefault="00645E74">
      <w:pPr>
        <w:spacing w:line="360" w:lineRule="auto"/>
        <w:ind w:right="-28"/>
        <w:jc w:val="both"/>
        <w:rPr>
          <w:rFonts w:ascii="Palatino Linotype" w:eastAsia="Palatino Linotype" w:hAnsi="Palatino Linotype" w:cs="Palatino Linotype"/>
        </w:rPr>
      </w:pPr>
    </w:p>
    <w:p w:rsidR="0058421A" w:rsidRPr="007A0DB2" w:rsidRDefault="00B736F4" w:rsidP="0058421A">
      <w:pPr>
        <w:numPr>
          <w:ilvl w:val="0"/>
          <w:numId w:val="4"/>
        </w:numPr>
        <w:spacing w:line="360" w:lineRule="auto"/>
        <w:ind w:left="0" w:right="-28" w:firstLine="0"/>
        <w:jc w:val="both"/>
        <w:rPr>
          <w:rFonts w:ascii="Palatino Linotype" w:eastAsia="Palatino Linotype" w:hAnsi="Palatino Linotype" w:cs="Palatino Linotype"/>
          <w:b/>
          <w:bCs/>
        </w:rPr>
      </w:pPr>
      <w:r w:rsidRPr="007A0DB2">
        <w:rPr>
          <w:rFonts w:ascii="Palatino Linotype" w:eastAsia="Palatino Linotype" w:hAnsi="Palatino Linotype" w:cs="Palatino Linotype"/>
        </w:rPr>
        <w:t xml:space="preserve">El diez de abril de dos mil veintiséis, 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rPr>
        <w:t xml:space="preserve"> emitió el informe justificado correspondiente, a través de los siguientes archivos electrónicos:</w:t>
      </w:r>
    </w:p>
    <w:p w:rsidR="00645E74" w:rsidRPr="007A0DB2" w:rsidRDefault="00790DE1">
      <w:pPr>
        <w:ind w:left="566" w:right="-28"/>
        <w:jc w:val="both"/>
        <w:rPr>
          <w:rFonts w:ascii="Palatino Linotype" w:eastAsia="Palatino Linotype" w:hAnsi="Palatino Linotype" w:cs="Palatino Linotype"/>
          <w:b/>
          <w:bCs/>
          <w:highlight w:val="white"/>
        </w:rPr>
      </w:pPr>
      <w:hyperlink r:id="rId9">
        <w:r w:rsidR="00B736F4" w:rsidRPr="007A0DB2">
          <w:rPr>
            <w:rFonts w:ascii="Palatino Linotype" w:eastAsia="Palatino Linotype" w:hAnsi="Palatino Linotype" w:cs="Palatino Linotype"/>
            <w:b/>
            <w:bCs/>
            <w:highlight w:val="white"/>
          </w:rPr>
          <w:t>CT_UT_ECA_0466_2026 contestacion a RR 03448.pdf</w:t>
        </w:r>
      </w:hyperlink>
      <w:r w:rsidR="00B736F4" w:rsidRPr="007A0DB2">
        <w:rPr>
          <w:rFonts w:ascii="Palatino Linotype" w:eastAsia="Palatino Linotype" w:hAnsi="Palatino Linotype" w:cs="Palatino Linotype"/>
          <w:b/>
          <w:bCs/>
          <w:highlight w:val="white"/>
        </w:rPr>
        <w:t xml:space="preserve">: Oficio </w:t>
      </w:r>
      <w:r w:rsidR="00B736F4" w:rsidRPr="007A0DB2">
        <w:rPr>
          <w:rFonts w:ascii="Palatino Linotype" w:eastAsia="Palatino Linotype" w:hAnsi="Palatino Linotype" w:cs="Palatino Linotype"/>
          <w:highlight w:val="white"/>
        </w:rPr>
        <w:t>DOP/ECA/SA/1403/2026, suscrito por el Director de Obras Públicas, mediante el cual, refirió que de acuerdo con los expuesto por el Organismo Público Descentralizado para la Prestación de los Servicios de Agua Potable, Alcantarillado y Saneamiento del Municipio de Ecatepec (SAPASE), la situación señalada se encuentra relacionada con la obra pública que se realizó en Calle 12 de la Colonia Rústica Xalostoc, sin embargo, la participación de los trabajos por parte de la Dirección de Obras Públicas, consistió únicamente en la situación de la tubería y tomas domiciliarias; así, se precisa que l</w:t>
      </w:r>
      <w:r w:rsidR="00B736F4" w:rsidRPr="007A0DB2">
        <w:rPr>
          <w:rFonts w:ascii="Palatino Linotype" w:eastAsia="Palatino Linotype" w:hAnsi="Palatino Linotype" w:cs="Palatino Linotype"/>
          <w:b/>
          <w:bCs/>
          <w:highlight w:val="white"/>
        </w:rPr>
        <w:t>o relativo a la distribución de agua potable a través de la red, así como, la operación y suministro del servicio, corresponde a las atribuciones propias de la SAPASE, por lo que cualquier información técnica u operativa relacionada con presión, tandeos, suministro y distribución, es atendida directamente por dicho organismo.</w:t>
      </w:r>
    </w:p>
    <w:p w:rsidR="00645E74" w:rsidRPr="007A0DB2" w:rsidRDefault="00645E74">
      <w:pPr>
        <w:ind w:left="566" w:right="-28"/>
        <w:jc w:val="both"/>
        <w:rPr>
          <w:rFonts w:ascii="Palatino Linotype" w:eastAsia="Palatino Linotype" w:hAnsi="Palatino Linotype" w:cs="Palatino Linotype"/>
          <w:b/>
          <w:bCs/>
          <w:highlight w:val="white"/>
        </w:rPr>
      </w:pPr>
    </w:p>
    <w:p w:rsidR="00645E74" w:rsidRPr="007A0DB2" w:rsidRDefault="00790DE1">
      <w:pPr>
        <w:ind w:left="566" w:right="-28"/>
        <w:jc w:val="both"/>
        <w:rPr>
          <w:rFonts w:ascii="Palatino Linotype" w:eastAsia="Palatino Linotype" w:hAnsi="Palatino Linotype" w:cs="Palatino Linotype"/>
          <w:highlight w:val="white"/>
        </w:rPr>
      </w:pPr>
      <w:hyperlink r:id="rId10">
        <w:r w:rsidR="00B736F4" w:rsidRPr="007A0DB2">
          <w:rPr>
            <w:rFonts w:ascii="Palatino Linotype" w:eastAsia="Palatino Linotype" w:hAnsi="Palatino Linotype" w:cs="Palatino Linotype"/>
            <w:b/>
            <w:bCs/>
            <w:highlight w:val="white"/>
          </w:rPr>
          <w:t>CT_UT_ECA_0466_2026 informe justificado RR03448.pdf</w:t>
        </w:r>
      </w:hyperlink>
      <w:r w:rsidR="00B736F4" w:rsidRPr="007A0DB2">
        <w:rPr>
          <w:rFonts w:ascii="Palatino Linotype" w:eastAsia="Palatino Linotype" w:hAnsi="Palatino Linotype" w:cs="Palatino Linotype"/>
          <w:b/>
          <w:bCs/>
          <w:highlight w:val="white"/>
        </w:rPr>
        <w:t xml:space="preserve">: </w:t>
      </w:r>
      <w:r w:rsidR="00B736F4" w:rsidRPr="007A0DB2">
        <w:rPr>
          <w:rFonts w:ascii="Palatino Linotype" w:eastAsia="Palatino Linotype" w:hAnsi="Palatino Linotype" w:cs="Palatino Linotype"/>
          <w:highlight w:val="white"/>
        </w:rPr>
        <w:t>Oficio suscrito por el Titular de la Unidad de Transparencia, mediante el cual, ratificó la incompetencia para atender la solicitud de información. Asimismo, señaló que la Dirección de Obras Públicas, remitió el oficio DOP/ECA/SA/1403/2026, mediante el cual, aclaró lo referente al suministro de agua.</w:t>
      </w:r>
    </w:p>
    <w:p w:rsidR="00645E74" w:rsidRPr="007A0DB2" w:rsidRDefault="00645E74">
      <w:pPr>
        <w:spacing w:line="360" w:lineRule="auto"/>
        <w:ind w:right="-28"/>
        <w:jc w:val="both"/>
        <w:rPr>
          <w:rFonts w:ascii="Palatino Linotype" w:eastAsia="Palatino Linotype" w:hAnsi="Palatino Linotype" w:cs="Palatino Linotype"/>
          <w:b/>
          <w:bCs/>
          <w:highlight w:val="yellow"/>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Por su parte, la parte </w:t>
      </w:r>
      <w:r w:rsidRPr="007A0DB2">
        <w:rPr>
          <w:rFonts w:ascii="Palatino Linotype" w:eastAsia="Palatino Linotype" w:hAnsi="Palatino Linotype" w:cs="Palatino Linotype"/>
          <w:b/>
          <w:bCs/>
        </w:rPr>
        <w:t xml:space="preserve">RECURRENTE </w:t>
      </w:r>
      <w:r w:rsidRPr="007A0DB2">
        <w:rPr>
          <w:rFonts w:ascii="Palatino Linotype" w:eastAsia="Palatino Linotype" w:hAnsi="Palatino Linotype" w:cs="Palatino Linotype"/>
        </w:rPr>
        <w:t>omitió realizar manifestaciones que a su derecho conviniera.</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La Comisionada Ponente decretó el cierre de instrucción mediante el acuerdo del veintiocho de mayo de dos mil veintiséis</w:t>
      </w:r>
      <w:r w:rsidR="00F9637C" w:rsidRPr="007A0DB2">
        <w:rPr>
          <w:rFonts w:ascii="Palatino Linotype" w:eastAsia="Palatino Linotype" w:hAnsi="Palatino Linotype" w:cs="Palatino Linotype"/>
        </w:rPr>
        <w:t>...</w:t>
      </w:r>
      <w:r w:rsidRPr="007A0DB2">
        <w:rPr>
          <w:rFonts w:ascii="Palatino Linotype" w:eastAsia="Palatino Linotype" w:hAnsi="Palatino Linotype" w:cs="Palatino Linotype"/>
        </w:rPr>
        <w:t xml:space="preserve"> </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keepNext/>
        <w:keepLines/>
        <w:spacing w:line="360" w:lineRule="auto"/>
        <w:ind w:right="-28"/>
        <w:jc w:val="center"/>
        <w:rPr>
          <w:rFonts w:ascii="Palatino Linotype" w:eastAsia="Palatino Linotype" w:hAnsi="Palatino Linotype" w:cs="Palatino Linotype"/>
        </w:rPr>
      </w:pPr>
      <w:r w:rsidRPr="007A0DB2">
        <w:rPr>
          <w:rFonts w:ascii="Palatino Linotype" w:eastAsia="Palatino Linotype" w:hAnsi="Palatino Linotype" w:cs="Palatino Linotype"/>
          <w:b/>
          <w:bCs/>
        </w:rPr>
        <w:t xml:space="preserve">C O N S I D E R A N D O </w:t>
      </w:r>
    </w:p>
    <w:p w:rsidR="00645E74" w:rsidRPr="007A0DB2" w:rsidRDefault="00645E74">
      <w:pPr>
        <w:ind w:right="-28"/>
        <w:rPr>
          <w:rFonts w:ascii="Palatino Linotype" w:eastAsia="Palatino Linotype" w:hAnsi="Palatino Linotype" w:cs="Palatino Linotype"/>
        </w:rPr>
      </w:pPr>
    </w:p>
    <w:p w:rsidR="00645E74" w:rsidRPr="007A0DB2" w:rsidRDefault="00B736F4">
      <w:pPr>
        <w:keepNext/>
        <w:keepLines/>
        <w:spacing w:line="360" w:lineRule="auto"/>
        <w:ind w:right="-28"/>
        <w:rPr>
          <w:rFonts w:ascii="Palatino Linotype" w:eastAsia="Palatino Linotype" w:hAnsi="Palatino Linotype" w:cs="Palatino Linotype"/>
          <w:b/>
          <w:bCs/>
        </w:rPr>
      </w:pPr>
      <w:bookmarkStart w:id="3" w:name="_heading=h.3znysh7" w:colFirst="0" w:colLast="0"/>
      <w:bookmarkEnd w:id="3"/>
      <w:r w:rsidRPr="007A0DB2">
        <w:rPr>
          <w:rFonts w:ascii="Palatino Linotype" w:eastAsia="Palatino Linotype" w:hAnsi="Palatino Linotype" w:cs="Palatino Linotype"/>
          <w:b/>
          <w:bCs/>
        </w:rPr>
        <w:t>PRIMERO. De la competencia.</w:t>
      </w: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w:t>
      </w:r>
      <w:r w:rsidRPr="007A0DB2">
        <w:rPr>
          <w:rFonts w:ascii="Palatino Linotype" w:eastAsia="Palatino Linotype" w:hAnsi="Palatino Linotype" w:cs="Palatino Linotype"/>
        </w:rPr>
        <w:lastRenderedPageBreak/>
        <w:t>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645E74" w:rsidRPr="007A0DB2" w:rsidRDefault="00645E74">
      <w:pPr>
        <w:ind w:right="-28"/>
        <w:jc w:val="both"/>
        <w:rPr>
          <w:rFonts w:ascii="Palatino Linotype" w:eastAsia="Palatino Linotype" w:hAnsi="Palatino Linotype" w:cs="Palatino Linotype"/>
        </w:rPr>
      </w:pPr>
    </w:p>
    <w:p w:rsidR="00645E74" w:rsidRPr="007A0DB2" w:rsidRDefault="00B736F4">
      <w:pPr>
        <w:keepNext/>
        <w:keepLines/>
        <w:spacing w:line="360" w:lineRule="auto"/>
        <w:ind w:right="-28"/>
        <w:rPr>
          <w:rFonts w:ascii="Palatino Linotype" w:eastAsia="Palatino Linotype" w:hAnsi="Palatino Linotype" w:cs="Palatino Linotype"/>
          <w:b/>
          <w:bCs/>
        </w:rPr>
      </w:pPr>
      <w:bookmarkStart w:id="4" w:name="_heading=h.2et92p0" w:colFirst="0" w:colLast="0"/>
      <w:bookmarkEnd w:id="4"/>
      <w:r w:rsidRPr="007A0DB2">
        <w:rPr>
          <w:rFonts w:ascii="Palatino Linotype" w:eastAsia="Palatino Linotype" w:hAnsi="Palatino Linotype" w:cs="Palatino Linotype"/>
          <w:b/>
          <w:bCs/>
        </w:rPr>
        <w:t>SEGUNDO. De la oportunidad y procedencia.</w:t>
      </w: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El medio de impugnación fue presentado a través del </w:t>
      </w:r>
      <w:r w:rsidRPr="007A0DB2">
        <w:rPr>
          <w:rFonts w:ascii="Palatino Linotype" w:eastAsia="Palatino Linotype" w:hAnsi="Palatino Linotype" w:cs="Palatino Linotype"/>
          <w:b/>
          <w:bCs/>
        </w:rPr>
        <w:t>SAIMEX,</w:t>
      </w:r>
      <w:r w:rsidRPr="007A0DB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rPr>
        <w:t xml:space="preserve"> entregó respuesta el veintitrés de marzo de dos mil veintiséis, de tal forma que el plazo para interponer el recurso de revisión transcurrió del veintisiete de marzo al veintitrés de abril de dos mil veintiséis; en consecuencia, presentó su inconformidad el veintitrés de marzo de dos mil veintiséis, por lo que se encuentra dentro de los márgenes temporales previstos en el artículo 178 de la </w:t>
      </w:r>
      <w:r w:rsidRPr="007A0DB2">
        <w:rPr>
          <w:rFonts w:ascii="Palatino Linotype" w:eastAsia="Palatino Linotype" w:hAnsi="Palatino Linotype" w:cs="Palatino Linotype"/>
          <w:b/>
          <w:bCs/>
        </w:rPr>
        <w:t xml:space="preserve">Ley de Transparencia y Acceso a la Información Pública del Estado de México y Municipios </w:t>
      </w:r>
      <w:r w:rsidRPr="007A0DB2">
        <w:rPr>
          <w:rFonts w:ascii="Palatino Linotype" w:eastAsia="Palatino Linotype" w:hAnsi="Palatino Linotype" w:cs="Palatino Linotype"/>
        </w:rPr>
        <w:t>vigente.</w:t>
      </w:r>
    </w:p>
    <w:p w:rsidR="00645E74" w:rsidRPr="007A0DB2" w:rsidRDefault="00645E74">
      <w:pPr>
        <w:ind w:right="-28"/>
        <w:jc w:val="both"/>
        <w:rPr>
          <w:rFonts w:ascii="Palatino Linotype" w:eastAsia="Palatino Linotype" w:hAnsi="Palatino Linotype" w:cs="Palatino Linotype"/>
          <w:highlight w:val="white"/>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highlight w:val="white"/>
        </w:rPr>
      </w:pPr>
      <w:bookmarkStart w:id="5" w:name="_heading=h.3dy6vkm" w:colFirst="0" w:colLast="0"/>
      <w:bookmarkEnd w:id="5"/>
      <w:r w:rsidRPr="007A0DB2">
        <w:rPr>
          <w:rFonts w:ascii="Palatino Linotype" w:eastAsia="Palatino Linotype" w:hAnsi="Palatino Linotype" w:cs="Palatino Linotype"/>
          <w:highlight w:val="white"/>
        </w:rPr>
        <w:t>Por otro lado, el escrito contiene las formalidades previstas por el artículo 180 último párrafo de la Ley de la materia actual, por lo que resulta procedente que este Instituto de Transparencia, Acceso a la Información Pública y Protección de Datos Personales del Estado de México y Municipios, conozca y resuelva el presente recurso.</w:t>
      </w:r>
    </w:p>
    <w:p w:rsidR="00645E74" w:rsidRPr="007A0DB2" w:rsidRDefault="00645E74">
      <w:pPr>
        <w:ind w:right="-28"/>
        <w:jc w:val="both"/>
        <w:rPr>
          <w:rFonts w:ascii="Palatino Linotype" w:eastAsia="Palatino Linotype" w:hAnsi="Palatino Linotype" w:cs="Palatino Linotype"/>
          <w:highlight w:val="white"/>
        </w:rPr>
      </w:pPr>
    </w:p>
    <w:p w:rsidR="00645E74" w:rsidRPr="007A0DB2" w:rsidRDefault="00B736F4">
      <w:pPr>
        <w:spacing w:line="360" w:lineRule="auto"/>
        <w:ind w:right="-28"/>
        <w:jc w:val="both"/>
        <w:rPr>
          <w:rFonts w:ascii="Palatino Linotype" w:eastAsia="Palatino Linotype" w:hAnsi="Palatino Linotype" w:cs="Palatino Linotype"/>
          <w:b/>
          <w:bCs/>
          <w:highlight w:val="white"/>
        </w:rPr>
      </w:pPr>
      <w:r w:rsidRPr="007A0DB2">
        <w:rPr>
          <w:rFonts w:ascii="Palatino Linotype" w:eastAsia="Palatino Linotype" w:hAnsi="Palatino Linotype" w:cs="Palatino Linotype"/>
          <w:b/>
          <w:bCs/>
          <w:highlight w:val="white"/>
        </w:rPr>
        <w:t xml:space="preserve">TERCERO. </w:t>
      </w:r>
      <w:r w:rsidR="0058421A" w:rsidRPr="007A0DB2">
        <w:rPr>
          <w:rFonts w:ascii="Palatino Linotype" w:eastAsia="Palatino Linotype" w:hAnsi="Palatino Linotype" w:cs="Palatino Linotype"/>
          <w:b/>
        </w:rPr>
        <w:t>De las causales del sobreseimiento.</w:t>
      </w:r>
    </w:p>
    <w:p w:rsidR="0058421A" w:rsidRPr="007A0DB2" w:rsidRDefault="0058421A" w:rsidP="0058421A">
      <w:pPr>
        <w:pStyle w:val="Ttulo2"/>
        <w:numPr>
          <w:ilvl w:val="0"/>
          <w:numId w:val="5"/>
        </w:numPr>
        <w:spacing w:line="360" w:lineRule="auto"/>
        <w:rPr>
          <w:rFonts w:ascii="Palatino Linotype" w:eastAsia="Palatino Linotype" w:hAnsi="Palatino Linotype" w:cs="Palatino Linotype"/>
          <w:b/>
          <w:bCs/>
          <w:color w:val="000000"/>
          <w:sz w:val="24"/>
          <w:szCs w:val="24"/>
        </w:rPr>
      </w:pPr>
      <w:r w:rsidRPr="007A0DB2">
        <w:rPr>
          <w:rFonts w:ascii="Palatino Linotype" w:eastAsia="Palatino Linotype" w:hAnsi="Palatino Linotype" w:cs="Palatino Linotype"/>
          <w:b/>
          <w:bCs/>
          <w:color w:val="000000"/>
          <w:sz w:val="24"/>
          <w:szCs w:val="24"/>
        </w:rPr>
        <w:t>De las actuaciones de las partes.</w:t>
      </w:r>
    </w:p>
    <w:p w:rsidR="00645E74" w:rsidRPr="007A0DB2" w:rsidRDefault="0058421A"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La parte </w:t>
      </w:r>
      <w:r w:rsidRPr="007A0DB2">
        <w:rPr>
          <w:rFonts w:ascii="Palatino Linotype" w:eastAsia="Palatino Linotype" w:hAnsi="Palatino Linotype" w:cs="Palatino Linotype"/>
          <w:b/>
          <w:bCs/>
        </w:rPr>
        <w:t>RECURRENTE</w:t>
      </w:r>
      <w:r w:rsidRPr="007A0DB2">
        <w:rPr>
          <w:rFonts w:ascii="Palatino Linotype" w:eastAsia="Palatino Linotype" w:hAnsi="Palatino Linotype" w:cs="Palatino Linotype"/>
        </w:rPr>
        <w:t xml:space="preserve"> solicitó </w:t>
      </w:r>
      <w:r w:rsidR="00B736F4" w:rsidRPr="007A0DB2">
        <w:rPr>
          <w:rFonts w:ascii="Palatino Linotype" w:eastAsia="Palatino Linotype" w:hAnsi="Palatino Linotype" w:cs="Palatino Linotype"/>
        </w:rPr>
        <w:t xml:space="preserve">lo siguiente: </w:t>
      </w:r>
      <w:r w:rsidR="00B736F4" w:rsidRPr="007A0DB2">
        <w:rPr>
          <w:rFonts w:ascii="Palatino Linotype" w:eastAsia="Palatino Linotype" w:hAnsi="Palatino Linotype" w:cs="Palatino Linotype"/>
          <w:i/>
          <w:iCs/>
        </w:rPr>
        <w:t xml:space="preserve">“Atenta petición de información SAPASE el 22 de marzo de 2026. 1.- Cuando tendré agua en la RED PUBLICA DE AGUA POTABLE. 2.- Cuando se podrá atender mi reporte de PIPA DE AGUA con numero de reporte CC-20260305-052. Favor de llamar antes en los números registrados. Muchas gracias.” (Sic) </w:t>
      </w:r>
    </w:p>
    <w:p w:rsidR="0058421A" w:rsidRPr="007A0DB2" w:rsidRDefault="00B736F4"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lastRenderedPageBreak/>
        <w:t xml:space="preserve">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rPr>
        <w:t xml:space="preserve"> </w:t>
      </w:r>
      <w:r w:rsidR="0058421A" w:rsidRPr="007A0DB2">
        <w:rPr>
          <w:rFonts w:ascii="Palatino Linotype" w:eastAsia="Palatino Linotype" w:hAnsi="Palatino Linotype" w:cs="Palatino Linotype"/>
        </w:rPr>
        <w:t xml:space="preserve">declaró su incompetencia para atender la solicitud de información, </w:t>
      </w:r>
      <w:r w:rsidR="007A0DB2" w:rsidRPr="007A0DB2">
        <w:rPr>
          <w:rFonts w:ascii="Palatino Linotype" w:eastAsia="Palatino Linotype" w:hAnsi="Palatino Linotype" w:cs="Palatino Linotype"/>
        </w:rPr>
        <w:t>así</w:t>
      </w:r>
      <w:r w:rsidR="007A0DB2">
        <w:rPr>
          <w:rFonts w:ascii="Palatino Linotype" w:eastAsia="Palatino Linotype" w:hAnsi="Palatino Linotype" w:cs="Palatino Linotype"/>
        </w:rPr>
        <w:t xml:space="preserve"> </w:t>
      </w:r>
      <w:r w:rsidR="0058421A" w:rsidRPr="007A0DB2">
        <w:rPr>
          <w:rFonts w:ascii="Palatino Linotype" w:eastAsia="Palatino Linotype" w:hAnsi="Palatino Linotype" w:cs="Palatino Linotype"/>
        </w:rPr>
        <w:t xml:space="preserve">mismo, oriento al </w:t>
      </w:r>
      <w:r w:rsidR="003B057A" w:rsidRPr="007A0DB2">
        <w:rPr>
          <w:rFonts w:ascii="Palatino Linotype" w:eastAsia="Palatino Linotype" w:hAnsi="Palatino Linotype" w:cs="Palatino Linotype"/>
        </w:rPr>
        <w:t>P</w:t>
      </w:r>
      <w:r w:rsidR="0058421A" w:rsidRPr="007A0DB2">
        <w:rPr>
          <w:rFonts w:ascii="Palatino Linotype" w:eastAsia="Palatino Linotype" w:hAnsi="Palatino Linotype" w:cs="Palatino Linotype"/>
        </w:rPr>
        <w:t>articular para realizar una nueva solicitud de información ante el Organismo Público Descentralizado para la Prestación de los Servicios de Agua Potable, Alcantarillado y Saneamiento del Municipio de Ecatepec de Morelos (SAPASE).</w:t>
      </w: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En consecuencia, el </w:t>
      </w:r>
      <w:r w:rsidRPr="007A0DB2">
        <w:rPr>
          <w:rFonts w:ascii="Palatino Linotype" w:eastAsia="Palatino Linotype" w:hAnsi="Palatino Linotype" w:cs="Palatino Linotype"/>
          <w:b/>
          <w:bCs/>
        </w:rPr>
        <w:t>RECURRENTE</w:t>
      </w:r>
      <w:r w:rsidR="0058421A" w:rsidRPr="007A0DB2">
        <w:rPr>
          <w:rFonts w:ascii="Palatino Linotype" w:eastAsia="Palatino Linotype" w:hAnsi="Palatino Linotype" w:cs="Palatino Linotype"/>
        </w:rPr>
        <w:t xml:space="preserve"> se inconformó</w:t>
      </w:r>
      <w:r w:rsidRPr="007A0DB2">
        <w:rPr>
          <w:rFonts w:ascii="Palatino Linotype" w:eastAsia="Palatino Linotype" w:hAnsi="Palatino Linotype" w:cs="Palatino Linotype"/>
        </w:rPr>
        <w:t xml:space="preserve"> por la </w:t>
      </w:r>
      <w:r w:rsidRPr="007A0DB2">
        <w:rPr>
          <w:rFonts w:ascii="Palatino Linotype" w:eastAsia="Palatino Linotype" w:hAnsi="Palatino Linotype" w:cs="Palatino Linotype"/>
          <w:b/>
          <w:bCs/>
        </w:rPr>
        <w:t>declaración de incompetencia del SUJETO OBLIGADO.</w:t>
      </w:r>
    </w:p>
    <w:p w:rsidR="0058421A" w:rsidRPr="007A0DB2" w:rsidRDefault="0058421A" w:rsidP="0058421A">
      <w:pPr>
        <w:spacing w:line="360" w:lineRule="auto"/>
        <w:ind w:right="-28"/>
        <w:jc w:val="both"/>
        <w:rPr>
          <w:rFonts w:ascii="Palatino Linotype" w:eastAsia="Palatino Linotype" w:hAnsi="Palatino Linotype" w:cs="Palatino Linotype"/>
        </w:rPr>
      </w:pPr>
    </w:p>
    <w:p w:rsidR="0058421A" w:rsidRPr="007A0DB2" w:rsidRDefault="0058421A"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rPr>
        <w:t xml:space="preserve">Expuesto lo anterior, este Órgano Garante advierte que si bien </w:t>
      </w:r>
      <w:r w:rsidR="003B057A" w:rsidRPr="007A0DB2">
        <w:rPr>
          <w:rFonts w:ascii="Palatino Linotype" w:eastAsia="Palatino Linotype" w:hAnsi="Palatino Linotype" w:cs="Palatino Linotype"/>
        </w:rPr>
        <w:t xml:space="preserve">el </w:t>
      </w:r>
      <w:r w:rsidR="003B057A" w:rsidRPr="007A0DB2">
        <w:rPr>
          <w:rFonts w:ascii="Palatino Linotype" w:eastAsia="Palatino Linotype" w:hAnsi="Palatino Linotype" w:cs="Palatino Linotype"/>
          <w:b/>
        </w:rPr>
        <w:t>Ayuntamiento de Ecatepec de Morelos</w:t>
      </w:r>
      <w:r w:rsidRPr="007A0DB2">
        <w:rPr>
          <w:rFonts w:ascii="Palatino Linotype" w:eastAsia="Palatino Linotype" w:hAnsi="Palatino Linotype" w:cs="Palatino Linotype"/>
        </w:rPr>
        <w:t xml:space="preserve"> emitió respuesta a la solicitud de información, el</w:t>
      </w:r>
      <w:r w:rsidRPr="007A0DB2">
        <w:rPr>
          <w:rFonts w:ascii="Palatino Linotype" w:eastAsia="Palatino Linotype" w:hAnsi="Palatino Linotype" w:cs="Palatino Linotype"/>
          <w:b/>
          <w:bCs/>
        </w:rPr>
        <w:t xml:space="preserve"> RECURRENTE</w:t>
      </w:r>
      <w:r w:rsidRPr="007A0DB2">
        <w:rPr>
          <w:rFonts w:ascii="Palatino Linotype" w:eastAsia="Palatino Linotype" w:hAnsi="Palatino Linotype" w:cs="Palatino Linotype"/>
        </w:rPr>
        <w:t xml:space="preserve"> </w:t>
      </w:r>
      <w:r w:rsidRPr="007A0DB2">
        <w:rPr>
          <w:rFonts w:ascii="Palatino Linotype" w:eastAsia="Palatino Linotype" w:hAnsi="Palatino Linotype" w:cs="Palatino Linotype"/>
          <w:b/>
          <w:bCs/>
        </w:rPr>
        <w:t>requirió una razón, o bien, un razonamiento</w:t>
      </w:r>
      <w:r w:rsidRPr="007A0DB2">
        <w:rPr>
          <w:rFonts w:ascii="Palatino Linotype" w:eastAsia="Palatino Linotype" w:hAnsi="Palatino Linotype" w:cs="Palatino Linotype"/>
        </w:rPr>
        <w:t xml:space="preserve"> por parte del</w:t>
      </w:r>
      <w:r w:rsidRPr="007A0DB2">
        <w:rPr>
          <w:rFonts w:ascii="Palatino Linotype" w:eastAsia="Palatino Linotype" w:hAnsi="Palatino Linotype" w:cs="Palatino Linotype"/>
          <w:b/>
          <w:bCs/>
        </w:rPr>
        <w:t xml:space="preserve"> SUJETO OBLIGADO</w:t>
      </w:r>
      <w:r w:rsidRPr="007A0DB2">
        <w:rPr>
          <w:rFonts w:ascii="Palatino Linotype" w:eastAsia="Palatino Linotype" w:hAnsi="Palatino Linotype" w:cs="Palatino Linotype"/>
        </w:rPr>
        <w:t xml:space="preserve"> mediante la realización de un cuestionamiento específico, en este sentido, </w:t>
      </w:r>
      <w:r w:rsidRPr="007A0DB2">
        <w:rPr>
          <w:rFonts w:ascii="Palatino Linotype" w:eastAsia="Palatino Linotype" w:hAnsi="Palatino Linotype" w:cs="Palatino Linotype"/>
          <w:b/>
          <w:bCs/>
        </w:rPr>
        <w:t>lo solicitado no constituye un derecho de acceso a la información pública</w:t>
      </w:r>
      <w:r w:rsidRPr="007A0DB2">
        <w:rPr>
          <w:rFonts w:ascii="Palatino Linotype" w:eastAsia="Palatino Linotype" w:hAnsi="Palatino Linotype" w:cs="Palatino Linotype"/>
        </w:rPr>
        <w:t xml:space="preserve">, es decir, dicha información no consta en un documento derivado del ejercicio de facultades, atribuciones o competencias del </w:t>
      </w:r>
      <w:r w:rsidRPr="007A0DB2">
        <w:rPr>
          <w:rFonts w:ascii="Palatino Linotype" w:eastAsia="Palatino Linotype" w:hAnsi="Palatino Linotype" w:cs="Palatino Linotype"/>
          <w:b/>
          <w:bCs/>
        </w:rPr>
        <w:t>SUJETO OBLIGADO</w:t>
      </w:r>
      <w:r w:rsidRPr="007A0DB2">
        <w:rPr>
          <w:rFonts w:ascii="Palatino Linotype" w:eastAsia="Palatino Linotype" w:hAnsi="Palatino Linotype" w:cs="Palatino Linotype"/>
        </w:rPr>
        <w:t>, o bien, dentro de una base de datos o medio electrónico, que éste tuviera obligación de generar, poseer y administrar.</w:t>
      </w:r>
    </w:p>
    <w:p w:rsidR="0058421A" w:rsidRPr="007A0DB2" w:rsidRDefault="0058421A" w:rsidP="0058421A">
      <w:pPr>
        <w:pStyle w:val="Prrafodelista"/>
        <w:rPr>
          <w:rFonts w:ascii="Palatino Linotype" w:eastAsia="Palatino Linotype" w:hAnsi="Palatino Linotype" w:cs="Palatino Linotype"/>
          <w:color w:val="000000"/>
        </w:rPr>
      </w:pPr>
    </w:p>
    <w:p w:rsidR="0058421A" w:rsidRPr="007A0DB2" w:rsidRDefault="0058421A"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color w:val="000000"/>
        </w:rPr>
        <w:t xml:space="preserve">En este orden de ideas, es importante dejar en claro lo que debe entenderse por </w:t>
      </w:r>
      <w:r w:rsidRPr="007A0DB2">
        <w:rPr>
          <w:rFonts w:ascii="Palatino Linotype" w:eastAsia="Palatino Linotype" w:hAnsi="Palatino Linotype" w:cs="Palatino Linotype"/>
          <w:b/>
          <w:bCs/>
          <w:color w:val="000000"/>
        </w:rPr>
        <w:t>derecho de petición</w:t>
      </w:r>
      <w:r w:rsidRPr="007A0DB2">
        <w:rPr>
          <w:rFonts w:ascii="Palatino Linotype" w:eastAsia="Palatino Linotype" w:hAnsi="Palatino Linotype" w:cs="Palatino Linotype"/>
          <w:color w:val="000000"/>
        </w:rPr>
        <w:t>, así como por derecho de acceso a la información pública, con el objeto de distinguir el ejercicio de ambos derechos.</w:t>
      </w:r>
    </w:p>
    <w:p w:rsidR="0058421A" w:rsidRPr="007A0DB2" w:rsidRDefault="0058421A" w:rsidP="0058421A">
      <w:pPr>
        <w:pStyle w:val="Prrafodelista"/>
        <w:rPr>
          <w:rFonts w:ascii="Palatino Linotype" w:eastAsia="Palatino Linotype" w:hAnsi="Palatino Linotype" w:cs="Palatino Linotype"/>
          <w:color w:val="000000"/>
        </w:rPr>
      </w:pPr>
    </w:p>
    <w:p w:rsidR="0058421A" w:rsidRPr="007A0DB2" w:rsidRDefault="0058421A" w:rsidP="0058421A">
      <w:pPr>
        <w:numPr>
          <w:ilvl w:val="0"/>
          <w:numId w:val="4"/>
        </w:numPr>
        <w:spacing w:line="360" w:lineRule="auto"/>
        <w:ind w:left="0" w:right="-28" w:firstLine="0"/>
        <w:jc w:val="both"/>
        <w:rPr>
          <w:rFonts w:ascii="Palatino Linotype" w:eastAsia="Palatino Linotype" w:hAnsi="Palatino Linotype" w:cs="Palatino Linotype"/>
        </w:rPr>
      </w:pPr>
      <w:r w:rsidRPr="007A0DB2">
        <w:rPr>
          <w:rFonts w:ascii="Palatino Linotype" w:eastAsia="Palatino Linotype" w:hAnsi="Palatino Linotype" w:cs="Palatino Linotype"/>
          <w:color w:val="000000"/>
        </w:rPr>
        <w:t xml:space="preserve">Por lo que respecta a la definición de </w:t>
      </w:r>
      <w:r w:rsidRPr="007A0DB2">
        <w:rPr>
          <w:rFonts w:ascii="Palatino Linotype" w:eastAsia="Palatino Linotype" w:hAnsi="Palatino Linotype" w:cs="Palatino Linotype"/>
          <w:b/>
          <w:bCs/>
          <w:color w:val="000000"/>
        </w:rPr>
        <w:t>Derecho de Petición</w:t>
      </w:r>
      <w:r w:rsidRPr="007A0DB2">
        <w:rPr>
          <w:rFonts w:ascii="Palatino Linotype" w:eastAsia="Palatino Linotype" w:hAnsi="Palatino Linotype" w:cs="Palatino Linotype"/>
          <w:color w:val="000000"/>
        </w:rPr>
        <w:t xml:space="preserve">, el Maestro Ignacio Burgoa Orihuela refiere: </w:t>
      </w:r>
    </w:p>
    <w:p w:rsidR="0058421A" w:rsidRPr="007A0DB2" w:rsidRDefault="0058421A" w:rsidP="0058421A">
      <w:pPr>
        <w:tabs>
          <w:tab w:val="left" w:pos="9214"/>
        </w:tabs>
        <w:ind w:left="567" w:right="616"/>
        <w:jc w:val="both"/>
        <w:rPr>
          <w:rFonts w:ascii="Palatino Linotype" w:eastAsia="Palatino Linotype" w:hAnsi="Palatino Linotype" w:cs="Palatino Linotype"/>
        </w:rPr>
      </w:pPr>
      <w:r w:rsidRPr="007A0DB2">
        <w:rPr>
          <w:rFonts w:ascii="Palatino Linotype" w:eastAsia="Palatino Linotype" w:hAnsi="Palatino Linotype" w:cs="Palatino Linotype"/>
          <w:i/>
          <w:iCs/>
        </w:rPr>
        <w:t>“…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p>
    <w:p w:rsidR="0058421A" w:rsidRPr="007A0DB2" w:rsidRDefault="0058421A" w:rsidP="0058421A">
      <w:pPr>
        <w:tabs>
          <w:tab w:val="left" w:pos="9214"/>
        </w:tabs>
        <w:ind w:right="709"/>
        <w:jc w:val="both"/>
        <w:rPr>
          <w:rFonts w:ascii="Palatino Linotype" w:eastAsia="Palatino Linotype" w:hAnsi="Palatino Linotype" w:cs="Palatino Linotype"/>
        </w:rPr>
      </w:pPr>
    </w:p>
    <w:p w:rsidR="0058421A" w:rsidRPr="007A0DB2" w:rsidRDefault="0058421A" w:rsidP="0058421A">
      <w:pPr>
        <w:pStyle w:val="Prrafodelista"/>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Por su parte, David Cienfuegos Salgado, concibe al derecho de petición como: </w:t>
      </w:r>
    </w:p>
    <w:p w:rsidR="0058421A" w:rsidRPr="007A0DB2" w:rsidRDefault="0058421A" w:rsidP="0058421A">
      <w:pPr>
        <w:tabs>
          <w:tab w:val="left" w:pos="9214"/>
        </w:tabs>
        <w:ind w:left="567" w:right="616"/>
        <w:jc w:val="both"/>
        <w:rPr>
          <w:rFonts w:ascii="Palatino Linotype" w:eastAsia="Palatino Linotype" w:hAnsi="Palatino Linotype" w:cs="Palatino Linotype"/>
        </w:rPr>
      </w:pPr>
      <w:r w:rsidRPr="007A0DB2">
        <w:rPr>
          <w:rFonts w:ascii="Palatino Linotype" w:eastAsia="Palatino Linotype" w:hAnsi="Palatino Linotype" w:cs="Palatino Linotype"/>
          <w:i/>
          <w:iCs/>
        </w:rPr>
        <w:t>“… el derecho de toda persona a ser escuchado por quienes ejercen el poder público...”</w:t>
      </w:r>
    </w:p>
    <w:p w:rsidR="0058421A" w:rsidRPr="007A0DB2" w:rsidRDefault="0058421A" w:rsidP="0058421A">
      <w:pPr>
        <w:tabs>
          <w:tab w:val="left" w:pos="9214"/>
        </w:tabs>
        <w:spacing w:line="360" w:lineRule="auto"/>
        <w:ind w:right="709"/>
        <w:jc w:val="both"/>
        <w:rPr>
          <w:rFonts w:ascii="Palatino Linotype" w:eastAsia="Palatino Linotype" w:hAnsi="Palatino Linotype" w:cs="Palatino Linotype"/>
          <w:i/>
          <w:iCs/>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A este respecto, para diferenciar el derecho de petición del derecho de acceso a la información, resulta conducente señalar que José Guadalupe Robles, conceptualiza al derecho a la información como: </w:t>
      </w:r>
    </w:p>
    <w:p w:rsidR="0058421A" w:rsidRPr="007A0DB2" w:rsidRDefault="0058421A" w:rsidP="0058421A">
      <w:pPr>
        <w:tabs>
          <w:tab w:val="left" w:pos="9214"/>
        </w:tabs>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p>
    <w:p w:rsidR="0058421A" w:rsidRPr="007A0DB2" w:rsidRDefault="0058421A" w:rsidP="0058421A">
      <w:pPr>
        <w:tabs>
          <w:tab w:val="left" w:pos="9214"/>
        </w:tabs>
        <w:ind w:right="709"/>
        <w:jc w:val="both"/>
        <w:rPr>
          <w:rFonts w:ascii="Palatino Linotype" w:eastAsia="Palatino Linotype" w:hAnsi="Palatino Linotype" w:cs="Palatino Linotype"/>
          <w:i/>
          <w:iCs/>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Ahora bien, el derecho 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rPr>
        <w:t>“</w:t>
      </w:r>
      <w:r w:rsidRPr="007A0DB2">
        <w:rPr>
          <w:rFonts w:ascii="Palatino Linotype" w:eastAsia="Palatino Linotype" w:hAnsi="Palatino Linotype" w:cs="Palatino Linotype"/>
          <w:b/>
          <w:bCs/>
          <w:i/>
          <w:iCs/>
        </w:rPr>
        <w:t>Artículo 4.</w:t>
      </w:r>
      <w:r w:rsidRPr="007A0DB2">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7A0DB2">
        <w:rPr>
          <w:rFonts w:ascii="Palatino Linotype" w:eastAsia="Palatino Linotype" w:hAnsi="Palatino Linotype" w:cs="Palatino Linotype"/>
          <w:i/>
          <w:iCs/>
          <w:color w:val="000000"/>
        </w:rPr>
        <w:t>mexicano</w:t>
      </w:r>
      <w:r w:rsidRPr="007A0DB2">
        <w:rPr>
          <w:rFonts w:ascii="Palatino Linotype" w:eastAsia="Palatino Linotype" w:hAnsi="Palatino Linotype" w:cs="Palatino Linotype"/>
          <w:i/>
          <w:iCs/>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Los sujetos obligados deben poner en práctica, políticas y programas de acceso a la información</w:t>
      </w:r>
      <w:r w:rsidRPr="007A0DB2">
        <w:rPr>
          <w:rFonts w:ascii="Palatino Linotype" w:eastAsia="Palatino Linotype" w:hAnsi="Palatino Linotype" w:cs="Palatino Linotype"/>
        </w:rPr>
        <w:t xml:space="preserve"> </w:t>
      </w:r>
      <w:r w:rsidRPr="007A0DB2">
        <w:rPr>
          <w:rFonts w:ascii="Palatino Linotype" w:eastAsia="Palatino Linotype" w:hAnsi="Palatino Linotype" w:cs="Palatino Linotype"/>
          <w:i/>
          <w:iCs/>
        </w:rPr>
        <w:t>que se apeguen a criterios de publicidad, veracidad, oportunidad, precisión y suficiencia en beneficio de los solicitantes.”</w:t>
      </w: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lastRenderedPageBreak/>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En esa tesitura, los Sujetos Obligados deberán poner en práctica, políticas y programas de acceso a la información que se apeguen a criterios de publicidad, veracidad, oportunidad, precisión y suficiencia en beneficio de los solicitantes.</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Lo anterior tiene sustento en los artículos 3 fracciones XI y XXII; 4; 11 y 41 de la Ley de Transparencia y Acceso a la Información Pública del Estado de México y Municipios:</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 xml:space="preserve">“Artículo 3. Para los efectos de la presente Ley se entenderá por: </w:t>
      </w:r>
      <w:r w:rsidRPr="007A0DB2">
        <w:rPr>
          <w:rFonts w:ascii="Palatino Linotype" w:eastAsia="Palatino Linotype" w:hAnsi="Palatino Linotype" w:cs="Palatino Linotype"/>
          <w:i/>
          <w:iCs/>
        </w:rPr>
        <w:t>…</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XI. Documento:</w:t>
      </w:r>
      <w:r w:rsidRPr="007A0DB2">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w:t>
      </w:r>
      <w:r w:rsidRPr="007A0DB2">
        <w:rPr>
          <w:rFonts w:ascii="Palatino Linotype" w:eastAsia="Palatino Linotype" w:hAnsi="Palatino Linotype" w:cs="Palatino Linotype"/>
          <w:i/>
          <w:iCs/>
        </w:rPr>
        <w:lastRenderedPageBreak/>
        <w:t xml:space="preserve">ejercicio de las facultades, funciones y competencias de los sujetos obligados, sus </w:t>
      </w:r>
      <w:r w:rsidRPr="007A0DB2">
        <w:rPr>
          <w:rFonts w:ascii="Palatino Linotype" w:eastAsia="Palatino Linotype" w:hAnsi="Palatino Linotype" w:cs="Palatino Linotype"/>
          <w:i/>
          <w:iCs/>
          <w:color w:val="000000"/>
        </w:rPr>
        <w:t>servidores</w:t>
      </w:r>
      <w:r w:rsidRPr="007A0DB2">
        <w:rPr>
          <w:rFonts w:ascii="Palatino Linotype" w:eastAsia="Palatino Linotype" w:hAnsi="Palatino Linotype" w:cs="Palatino Linotype"/>
          <w:i/>
          <w:iCs/>
        </w:rPr>
        <w:t xml:space="preserve"> públicos e integrantes, sin importar su fuente o fecha de elaboración. Los documentos podrán estar en cualquier medio, sea escrito, impreso, sonoro, visual, electrónico, informático u holográfico;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Artículo 4.</w:t>
      </w:r>
      <w:r w:rsidRPr="007A0DB2">
        <w:rPr>
          <w:rFonts w:ascii="Palatino Linotype" w:eastAsia="Palatino Linotype" w:hAnsi="Palatino Linotype" w:cs="Palatino Linotype"/>
          <w:i/>
          <w:iCs/>
        </w:rPr>
        <w:t xml:space="preserve"> </w:t>
      </w:r>
      <w:r w:rsidRPr="007A0DB2">
        <w:rPr>
          <w:rFonts w:ascii="Palatino Linotype" w:eastAsia="Palatino Linotype" w:hAnsi="Palatino Linotype" w:cs="Palatino Linotype"/>
          <w:b/>
          <w:bCs/>
          <w:i/>
          <w:iCs/>
        </w:rPr>
        <w:t>El derecho humano de acceso a la información pública es la prerrogativa de las personas para buscar, difundir, investigar, recabar, recibir y solicitar información pública</w:t>
      </w:r>
      <w:r w:rsidRPr="007A0DB2">
        <w:rPr>
          <w:rFonts w:ascii="Palatino Linotype" w:eastAsia="Palatino Linotype" w:hAnsi="Palatino Linotype" w:cs="Palatino Linotype"/>
          <w:i/>
          <w:iCs/>
        </w:rPr>
        <w:t xml:space="preserve">, sin necesidad de acreditar personalidad ni interés jurídico.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7A0DB2">
        <w:rPr>
          <w:rFonts w:ascii="Palatino Linotype" w:eastAsia="Palatino Linotype" w:hAnsi="Palatino Linotype" w:cs="Palatino Linotype"/>
          <w:i/>
          <w:iCs/>
          <w:color w:val="000000"/>
        </w:rPr>
        <w:t>información</w:t>
      </w:r>
      <w:r w:rsidRPr="007A0DB2">
        <w:rPr>
          <w:rFonts w:ascii="Palatino Linotype" w:eastAsia="Palatino Linotype" w:hAnsi="Palatino Linotype" w:cs="Palatino Linotype"/>
          <w:i/>
          <w:iCs/>
        </w:rPr>
        <w:t xml:space="preserve">. Solo podrá ser clasificada excepcionalmente como reservada temporalmente por razones de interés público, en los términos de las causas legítimas y estrictamente necesarias previstas por esta Ley.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 xml:space="preserve">Los sujetos obligados deben poner en práctica, políticas y programas de acceso a la información que se apeguen a criterios de publicidad, veracidad, oportunidad, precisión y suficiencia en beneficio de los solicitantes.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Artículo 11.-</w:t>
      </w:r>
      <w:r w:rsidRPr="007A0DB2">
        <w:rPr>
          <w:rFonts w:ascii="Palatino Linotype" w:eastAsia="Palatino Linotype" w:hAnsi="Palatino Linotype" w:cs="Palatino Linotype"/>
          <w:i/>
          <w:iCs/>
        </w:rPr>
        <w:t xml:space="preserve"> </w:t>
      </w:r>
      <w:r w:rsidRPr="007A0DB2">
        <w:rPr>
          <w:rFonts w:ascii="Palatino Linotype" w:eastAsia="Palatino Linotype" w:hAnsi="Palatino Linotype" w:cs="Palatino Linotype"/>
          <w:b/>
          <w:bCs/>
          <w:i/>
          <w:iCs/>
        </w:rPr>
        <w:t>Los Sujetos Obligados sólo proporcionarán la información que generen en el ejercicio de sus atribuciones</w:t>
      </w:r>
      <w:r w:rsidRPr="007A0DB2">
        <w:rPr>
          <w:rFonts w:ascii="Palatino Linotype" w:eastAsia="Palatino Linotype" w:hAnsi="Palatino Linotype" w:cs="Palatino Linotype"/>
          <w:i/>
          <w:iCs/>
        </w:rPr>
        <w:t>.</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Artículo 12.</w:t>
      </w:r>
      <w:r w:rsidRPr="007A0DB2">
        <w:rPr>
          <w:rFonts w:ascii="Palatino Linotype" w:eastAsia="Palatino Linotype" w:hAnsi="Palatino Linotype" w:cs="Palatino Linotype"/>
          <w:i/>
          <w:iCs/>
        </w:rPr>
        <w:t xml:space="preserve"> Quienes generen, recopilen, administren, manejen, procesen, archiven o conserven información pública</w:t>
      </w:r>
      <w:r w:rsidRPr="007A0DB2">
        <w:rPr>
          <w:rFonts w:ascii="Palatino Linotype" w:eastAsia="Palatino Linotype" w:hAnsi="Palatino Linotype" w:cs="Palatino Linotype"/>
          <w:b/>
          <w:bCs/>
          <w:i/>
          <w:iCs/>
        </w:rPr>
        <w:t xml:space="preserve"> </w:t>
      </w:r>
      <w:r w:rsidRPr="007A0DB2">
        <w:rPr>
          <w:rFonts w:ascii="Palatino Linotype" w:eastAsia="Palatino Linotype" w:hAnsi="Palatino Linotype" w:cs="Palatino Linotype"/>
          <w:i/>
          <w:iCs/>
        </w:rPr>
        <w:t xml:space="preserve">serán responsables de la misma en los términos de las disposiciones jurídicas </w:t>
      </w:r>
      <w:r w:rsidRPr="007A0DB2">
        <w:rPr>
          <w:rFonts w:ascii="Palatino Linotype" w:eastAsia="Palatino Linotype" w:hAnsi="Palatino Linotype" w:cs="Palatino Linotype"/>
          <w:i/>
          <w:iCs/>
          <w:color w:val="000000"/>
        </w:rPr>
        <w:t>aplicables</w:t>
      </w:r>
      <w:r w:rsidRPr="007A0DB2">
        <w:rPr>
          <w:rFonts w:ascii="Palatino Linotype" w:eastAsia="Palatino Linotype" w:hAnsi="Palatino Linotype" w:cs="Palatino Linotype"/>
          <w:i/>
          <w:iCs/>
        </w:rPr>
        <w:t xml:space="preserve">.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b/>
          <w:bCs/>
          <w:i/>
          <w:iCs/>
        </w:rPr>
        <w:t>Los sujetos obligados sólo proporcionarán la información pública que se les requiera y que obre en sus archivos</w:t>
      </w:r>
      <w:r w:rsidRPr="007A0DB2">
        <w:rPr>
          <w:rFonts w:ascii="Palatino Linotype" w:eastAsia="Palatino Linotype" w:hAnsi="Palatino Linotype" w:cs="Palatino Linotype"/>
          <w:i/>
          <w:iC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8421A" w:rsidRPr="007A0DB2" w:rsidRDefault="0058421A" w:rsidP="0058421A">
      <w:pPr>
        <w:spacing w:before="120" w:after="120" w:line="360" w:lineRule="auto"/>
        <w:ind w:right="709"/>
        <w:jc w:val="both"/>
        <w:rPr>
          <w:rFonts w:ascii="Palatino Linotype" w:eastAsia="Palatino Linotype" w:hAnsi="Palatino Linotype" w:cs="Palatino Linotype"/>
          <w:i/>
          <w:iCs/>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De una interpretación sistemática de los artículos anteriores se puede deducir que el ejercicio del derecho de acceso a la información pública se centra en la potestad de los particulares para c</w:t>
      </w:r>
      <w:bookmarkStart w:id="6" w:name="_GoBack"/>
      <w:bookmarkEnd w:id="6"/>
      <w:r w:rsidRPr="007A0DB2">
        <w:rPr>
          <w:rFonts w:ascii="Palatino Linotype" w:eastAsia="Palatino Linotype" w:hAnsi="Palatino Linotype" w:cs="Palatino Linotype"/>
          <w:color w:val="000000"/>
        </w:rPr>
        <w:t xml:space="preserve">onocer el contenido de los documentos que obren en los archivos de los Sujetos Obligados, </w:t>
      </w:r>
      <w:r w:rsidRPr="007A0DB2">
        <w:rPr>
          <w:rFonts w:ascii="Palatino Linotype" w:eastAsia="Palatino Linotype" w:hAnsi="Palatino Linotype" w:cs="Palatino Linotype"/>
          <w:color w:val="000000"/>
        </w:rPr>
        <w:lastRenderedPageBreak/>
        <w:t>ya sea porque los generen en el uso de sus atribuciones, los administren o simplemente los posean.</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Por otro lado, así como la Constitución y la Ley de la materia otorgan a los Particulares el derecho de acceder a los documentos generados o en posesión de las autoridades; también lo es que, la obligación de proporcionar información no comprende el procesamiento de la misma, ni el presentarla conforme al interés del solicitante ya que no estarán constreñidos a generarla, resumirla, efectuar cálculos o practicar investigaciones.</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En síntesis, el derecho de acceso a la información pública se satisface en aquellos casos en que se entregue el soporte documental en que conste la información pública, toda vez que los Sujetos Obligados</w:t>
      </w:r>
      <w:r w:rsidRPr="007A0DB2">
        <w:rPr>
          <w:rFonts w:ascii="Palatino Linotype" w:eastAsia="Palatino Linotype" w:hAnsi="Palatino Linotype" w:cs="Palatino Linotype"/>
          <w:b/>
          <w:bCs/>
          <w:color w:val="000000"/>
        </w:rPr>
        <w:t xml:space="preserve"> </w:t>
      </w:r>
      <w:r w:rsidRPr="007A0DB2">
        <w:rPr>
          <w:rFonts w:ascii="Palatino Linotype" w:eastAsia="Palatino Linotype" w:hAnsi="Palatino Linotype" w:cs="Palatino Linotype"/>
          <w:color w:val="000000"/>
        </w:rPr>
        <w:t xml:space="preserve">no tienen el deber de generar, poseer o administrar la información pública con el grado de detalle que se señala en la solicitud de información pública; esto es, que no tienen el deber de generar un documento </w:t>
      </w:r>
      <w:r w:rsidRPr="007A0DB2">
        <w:rPr>
          <w:rFonts w:ascii="Palatino Linotype" w:eastAsia="Palatino Linotype" w:hAnsi="Palatino Linotype" w:cs="Palatino Linotype"/>
          <w:b/>
          <w:bCs/>
          <w:i/>
          <w:iCs/>
          <w:color w:val="000000"/>
        </w:rPr>
        <w:t>ad hoc</w:t>
      </w:r>
      <w:r w:rsidRPr="007A0DB2">
        <w:rPr>
          <w:rFonts w:ascii="Palatino Linotype" w:eastAsia="Palatino Linotype" w:hAnsi="Palatino Linotype" w:cs="Palatino Linotype"/>
          <w:color w:val="000000"/>
        </w:rPr>
        <w:t>, para satisfacer el derecho de acceso a la información pública.</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after="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lastRenderedPageBreak/>
        <w:t xml:space="preserve">Lo anterior se traduce en que el documento o documentos a que se hizo referencia, podrán ser entregados al </w:t>
      </w:r>
      <w:r w:rsidRPr="007A0DB2">
        <w:rPr>
          <w:rFonts w:ascii="Palatino Linotype" w:eastAsia="Palatino Linotype" w:hAnsi="Palatino Linotype" w:cs="Palatino Linotype"/>
          <w:b/>
          <w:bCs/>
          <w:color w:val="000000"/>
        </w:rPr>
        <w:t>RECURRENTE</w:t>
      </w:r>
      <w:r w:rsidRPr="007A0DB2">
        <w:rPr>
          <w:rFonts w:ascii="Palatino Linotype" w:eastAsia="Palatino Linotype" w:hAnsi="Palatino Linotype" w:cs="Palatino Linotype"/>
          <w:color w:val="000000"/>
        </w:rPr>
        <w:t xml:space="preserve">, tal y como hayan sido generados por el </w:t>
      </w:r>
      <w:r w:rsidRPr="007A0DB2">
        <w:rPr>
          <w:rFonts w:ascii="Palatino Linotype" w:eastAsia="Palatino Linotype" w:hAnsi="Palatino Linotype" w:cs="Palatino Linotype"/>
          <w:b/>
          <w:bCs/>
          <w:color w:val="000000"/>
        </w:rPr>
        <w:t>SUJETO OBLIGADO</w:t>
      </w:r>
      <w:r w:rsidRPr="007A0DB2">
        <w:rPr>
          <w:rFonts w:ascii="Palatino Linotype" w:eastAsia="Palatino Linotype" w:hAnsi="Palatino Linotype" w:cs="Palatino Linotype"/>
          <w:color w:val="000000"/>
        </w:rPr>
        <w:t xml:space="preserve">, sin que subsista la obligación para éste último de generar un documento </w:t>
      </w:r>
      <w:r w:rsidRPr="007A0DB2">
        <w:rPr>
          <w:rFonts w:ascii="Palatino Linotype" w:eastAsia="Palatino Linotype" w:hAnsi="Palatino Linotype" w:cs="Palatino Linotype"/>
          <w:b/>
          <w:bCs/>
          <w:i/>
          <w:iCs/>
          <w:color w:val="000000"/>
        </w:rPr>
        <w:t>ad hoc</w:t>
      </w:r>
      <w:r w:rsidRPr="007A0DB2">
        <w:rPr>
          <w:rFonts w:ascii="Palatino Linotype" w:eastAsia="Palatino Linotype" w:hAnsi="Palatino Linotype" w:cs="Palatino Linotype"/>
          <w:color w:val="000000"/>
        </w:rPr>
        <w:t xml:space="preserve">, para satisfacer el derecho de acceso a la información pública del </w:t>
      </w:r>
      <w:r w:rsidRPr="007A0DB2">
        <w:rPr>
          <w:rFonts w:ascii="Palatino Linotype" w:eastAsia="Palatino Linotype" w:hAnsi="Palatino Linotype" w:cs="Palatino Linotype"/>
          <w:b/>
          <w:bCs/>
          <w:color w:val="000000"/>
        </w:rPr>
        <w:t>RECURRENTE</w:t>
      </w:r>
      <w:r w:rsidRPr="007A0DB2">
        <w:rPr>
          <w:rFonts w:ascii="Palatino Linotype" w:eastAsia="Palatino Linotype" w:hAnsi="Palatino Linotype" w:cs="Palatino Linotype"/>
          <w:color w:val="000000"/>
        </w:rPr>
        <w:t>.</w:t>
      </w:r>
    </w:p>
    <w:p w:rsidR="0058421A" w:rsidRPr="007A0DB2" w:rsidRDefault="0058421A" w:rsidP="0058421A">
      <w:pPr>
        <w:spacing w:line="360" w:lineRule="auto"/>
        <w:ind w:right="709"/>
        <w:jc w:val="both"/>
        <w:rPr>
          <w:rFonts w:ascii="Palatino Linotype" w:eastAsia="Palatino Linotype" w:hAnsi="Palatino Linotype" w:cs="Palatino Linotype"/>
          <w:i/>
          <w:iCs/>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Al respecto, es conveniente señalar que los Sujetos Obligados, no están constreñidos a generar documentos </w:t>
      </w:r>
      <w:r w:rsidRPr="007A0DB2">
        <w:rPr>
          <w:rFonts w:ascii="Palatino Linotype" w:eastAsia="Palatino Linotype" w:hAnsi="Palatino Linotype" w:cs="Palatino Linotype"/>
          <w:b/>
          <w:bCs/>
          <w:i/>
          <w:iCs/>
          <w:color w:val="000000"/>
        </w:rPr>
        <w:t>ad hoc</w:t>
      </w:r>
      <w:r w:rsidRPr="007A0DB2">
        <w:rPr>
          <w:rFonts w:ascii="Palatino Linotype" w:eastAsia="Palatino Linotype" w:hAnsi="Palatino Linotype" w:cs="Palatino Linotype"/>
          <w:color w:val="000000"/>
        </w:rPr>
        <w:t>, para responder a las solicitud de información que les sean formuladas.</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Corolario a lo anterior, el doctrinario Ernesto Villanueva Villanueva define al derecho de acceso a la información como: </w:t>
      </w:r>
    </w:p>
    <w:p w:rsidR="0058421A" w:rsidRPr="007A0DB2" w:rsidRDefault="0058421A" w:rsidP="0058421A">
      <w:pPr>
        <w:spacing w:before="120" w:after="120"/>
        <w:ind w:left="567" w:right="616"/>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p>
    <w:p w:rsidR="0058421A" w:rsidRPr="007A0DB2" w:rsidRDefault="0058421A" w:rsidP="0058421A">
      <w:pPr>
        <w:spacing w:before="120" w:after="120"/>
        <w:ind w:right="616"/>
        <w:jc w:val="both"/>
        <w:rPr>
          <w:rFonts w:ascii="Palatino Linotype" w:eastAsia="Palatino Linotype" w:hAnsi="Palatino Linotype" w:cs="Palatino Linotype"/>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b/>
          <w:bCs/>
          <w:color w:val="000000"/>
        </w:rPr>
      </w:pPr>
      <w:r w:rsidRPr="007A0DB2">
        <w:rPr>
          <w:rFonts w:ascii="Palatino Linotype" w:eastAsia="Palatino Linotype" w:hAnsi="Palatino Linotype" w:cs="Palatino Linotype"/>
          <w:color w:val="000000"/>
        </w:rPr>
        <w:t xml:space="preserve">De lo anterior, se puede concluir que la distinción entre el derecho de petición y el derecho de acceso a la información estriba principalmente en que en el primero de ellos, la pretensión del peticionario consiste generalmente en obligar a la autoridad responsable a que actúe en el sentido de contestar lo solicitado, mientras que en el segundo supuesto </w:t>
      </w:r>
      <w:r w:rsidRPr="007A0DB2">
        <w:rPr>
          <w:rFonts w:ascii="Palatino Linotype" w:eastAsia="Palatino Linotype" w:hAnsi="Palatino Linotype" w:cs="Palatino Linotype"/>
          <w:b/>
          <w:bCs/>
          <w:color w:val="000000"/>
        </w:rPr>
        <w:t xml:space="preserve">la solicitud de acceso a la información pública se encamina primordialmente a permitir el acceso a datos, registros y todo tipo de información pública que conste en documentos, sea generada o se encuentre en posesión de la autoridad. </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58421A" w:rsidRPr="007A0DB2" w:rsidRDefault="0058421A" w:rsidP="0058421A">
      <w:pPr>
        <w:numPr>
          <w:ilvl w:val="0"/>
          <w:numId w:val="4"/>
        </w:numPr>
        <w:pBdr>
          <w:top w:val="nil"/>
          <w:left w:val="nil"/>
          <w:bottom w:val="nil"/>
          <w:right w:val="nil"/>
          <w:between w:val="nil"/>
        </w:pBdr>
        <w:spacing w:after="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lastRenderedPageBreak/>
        <w:t>Así las cosas, debe señalarse que en la solicitud de información presentada en el</w:t>
      </w:r>
      <w:r w:rsidRPr="007A0DB2">
        <w:rPr>
          <w:rFonts w:ascii="Palatino Linotype" w:eastAsia="Palatino Linotype" w:hAnsi="Palatino Linotype" w:cs="Palatino Linotype"/>
          <w:b/>
          <w:bCs/>
          <w:color w:val="000000"/>
        </w:rPr>
        <w:t xml:space="preserve"> SAIMEX,</w:t>
      </w:r>
      <w:r w:rsidRPr="007A0DB2">
        <w:rPr>
          <w:rFonts w:ascii="Palatino Linotype" w:eastAsia="Palatino Linotype" w:hAnsi="Palatino Linotype" w:cs="Palatino Linotype"/>
          <w:color w:val="000000"/>
        </w:rPr>
        <w:t xml:space="preserve"> </w:t>
      </w:r>
      <w:r w:rsidRPr="007A0DB2">
        <w:rPr>
          <w:rFonts w:ascii="Palatino Linotype" w:eastAsia="Palatino Linotype" w:hAnsi="Palatino Linotype" w:cs="Palatino Linotype"/>
          <w:b/>
          <w:bCs/>
          <w:color w:val="000000"/>
        </w:rPr>
        <w:t>el RECURRENTE</w:t>
      </w:r>
      <w:r w:rsidRPr="007A0DB2">
        <w:rPr>
          <w:rFonts w:ascii="Palatino Linotype" w:eastAsia="Palatino Linotype" w:hAnsi="Palatino Linotype" w:cs="Palatino Linotype"/>
          <w:color w:val="000000"/>
        </w:rPr>
        <w:t xml:space="preserve"> requiere una razón, o bien, un razonamiento por parte del</w:t>
      </w:r>
      <w:r w:rsidRPr="007A0DB2">
        <w:rPr>
          <w:rFonts w:ascii="Palatino Linotype" w:eastAsia="Palatino Linotype" w:hAnsi="Palatino Linotype" w:cs="Palatino Linotype"/>
          <w:b/>
          <w:bCs/>
          <w:color w:val="000000"/>
        </w:rPr>
        <w:t xml:space="preserve"> SUJETO OBLIGADO</w:t>
      </w:r>
      <w:r w:rsidRPr="007A0DB2">
        <w:rPr>
          <w:rFonts w:ascii="Palatino Linotype" w:eastAsia="Palatino Linotype" w:hAnsi="Palatino Linotype" w:cs="Palatino Linotype"/>
          <w:color w:val="000000"/>
        </w:rPr>
        <w:t xml:space="preserve"> mediante la realización de un </w:t>
      </w:r>
      <w:r w:rsidRPr="007A0DB2">
        <w:rPr>
          <w:rFonts w:ascii="Palatino Linotype" w:eastAsia="Palatino Linotype" w:hAnsi="Palatino Linotype" w:cs="Palatino Linotype"/>
          <w:b/>
          <w:bCs/>
          <w:color w:val="000000"/>
        </w:rPr>
        <w:t>cuestionamiento</w:t>
      </w:r>
      <w:r w:rsidRPr="007A0DB2">
        <w:rPr>
          <w:rFonts w:ascii="Palatino Linotype" w:eastAsia="Palatino Linotype" w:hAnsi="Palatino Linotype" w:cs="Palatino Linotype"/>
          <w:color w:val="000000"/>
        </w:rPr>
        <w:t>.</w:t>
      </w:r>
    </w:p>
    <w:p w:rsidR="0058421A" w:rsidRPr="007A0DB2" w:rsidRDefault="0058421A" w:rsidP="0058421A">
      <w:pPr>
        <w:rPr>
          <w:rFonts w:ascii="Palatino Linotype" w:eastAsia="Palatino Linotype" w:hAnsi="Palatino Linotype" w:cs="Palatino Linotype"/>
        </w:rPr>
      </w:pPr>
    </w:p>
    <w:p w:rsidR="0058421A" w:rsidRPr="007A0DB2" w:rsidRDefault="0058421A" w:rsidP="0058421A">
      <w:pPr>
        <w:numPr>
          <w:ilvl w:val="0"/>
          <w:numId w:val="4"/>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Por lo que, la entrega de una razón o un razonamiento por parte del</w:t>
      </w:r>
      <w:r w:rsidRPr="007A0DB2">
        <w:rPr>
          <w:rFonts w:ascii="Palatino Linotype" w:eastAsia="Palatino Linotype" w:hAnsi="Palatino Linotype" w:cs="Palatino Linotype"/>
          <w:b/>
          <w:bCs/>
          <w:color w:val="000000"/>
        </w:rPr>
        <w:t xml:space="preserve"> SUJETO OBLIGADO</w:t>
      </w:r>
      <w:r w:rsidRPr="007A0DB2">
        <w:rPr>
          <w:rFonts w:ascii="Palatino Linotype" w:eastAsia="Palatino Linotype" w:hAnsi="Palatino Linotype" w:cs="Palatino Linotype"/>
          <w:color w:val="000000"/>
        </w:rPr>
        <w:t xml:space="preserve"> no es algo que la ley establezca como atribución, derecho, o facultad; pues ello implicaría </w:t>
      </w:r>
      <w:r w:rsidRPr="007A0DB2">
        <w:rPr>
          <w:rFonts w:ascii="Palatino Linotype" w:eastAsia="Palatino Linotype" w:hAnsi="Palatino Linotype" w:cs="Palatino Linotype"/>
          <w:b/>
          <w:bCs/>
          <w:color w:val="000000"/>
        </w:rPr>
        <w:t>un juicio de valor</w:t>
      </w:r>
      <w:r w:rsidRPr="007A0DB2">
        <w:rPr>
          <w:rFonts w:ascii="Palatino Linotype" w:eastAsia="Palatino Linotype" w:hAnsi="Palatino Linotype" w:cs="Palatino Linotype"/>
          <w:color w:val="000000"/>
        </w:rPr>
        <w:t xml:space="preserve"> referente a un cuestionamiento realizado, los cuales, al constituir interrogantes, inquietudes y manifestaciones se satisfacen vía derecho de petición, y no así, a través del ejercicio del derecho a acceder a información pública.</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Entonces, al tratarse de un derecho de petición estamos en presencia de una consulta que se aleja del derecho de acceso a la información pública, actualizando lo dispuesto en el artículo 191 fracción VI de la Ley de Transparencia y Acceso a la Información Pública del Estado de México y Municipios, el cual dispone lo siguiente:</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b/>
          <w:bCs/>
          <w:i/>
          <w:iCs/>
          <w:color w:val="000000"/>
        </w:rPr>
        <w:t>“Artículo 191.</w:t>
      </w:r>
      <w:r w:rsidRPr="007A0DB2">
        <w:rPr>
          <w:rFonts w:ascii="Palatino Linotype" w:eastAsia="Palatino Linotype" w:hAnsi="Palatino Linotype" w:cs="Palatino Linotype"/>
          <w:i/>
          <w:iCs/>
          <w:color w:val="000000"/>
        </w:rPr>
        <w:t xml:space="preserve"> El recurso será desechado por improcedente cuando:</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III. No actualice alguno de los supuestos previstos en la presente Ley;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IV. No se haya desahogado la prevención en los términos establecidos en la presente Ley;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V. Se impugne la veracidad de la información proporcionada;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b/>
          <w:bCs/>
          <w:i/>
          <w:iCs/>
          <w:color w:val="000000"/>
        </w:rPr>
      </w:pPr>
      <w:r w:rsidRPr="007A0DB2">
        <w:rPr>
          <w:rFonts w:ascii="Palatino Linotype" w:eastAsia="Palatino Linotype" w:hAnsi="Palatino Linotype" w:cs="Palatino Linotype"/>
          <w:b/>
          <w:bCs/>
          <w:i/>
          <w:iCs/>
          <w:color w:val="000000"/>
        </w:rPr>
        <w:t xml:space="preserve">VI. Se trate de una consulta, o trámite en específico; y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VII. El recurrente amplíe su solicitud en el recurso de revisión, únicamente respecto de los nuevos contenidos.”</w:t>
      </w: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La fracción VI del citado precepto legal, contempla la improcedencia del recurso de revisión cuando se trate de una consulta, lo cual se relaciona con la solicitud de acceso a la información pública.</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Sin embargo, al haber sido admitido el recurso de revisión, aún y cuando actualiza una causal de improcedencia, es necesario traer a contexto el artículo 192 fracción IV, de la multicitada Ley de Transparencia:</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w:t>
      </w:r>
      <w:r w:rsidRPr="007A0DB2">
        <w:rPr>
          <w:rFonts w:ascii="Palatino Linotype" w:eastAsia="Palatino Linotype" w:hAnsi="Palatino Linotype" w:cs="Palatino Linotype"/>
          <w:b/>
          <w:bCs/>
          <w:i/>
          <w:iCs/>
          <w:color w:val="000000"/>
        </w:rPr>
        <w:t>Artículo 192.</w:t>
      </w:r>
      <w:r w:rsidRPr="007A0DB2">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 El recurrente se desista expresamente del recurso;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II. El recurrente fallezca o, tratándose de personas jurídicas colectivas, se disuelva;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 xml:space="preserve">III. El sujeto obligado responsable del acto lo modifique o revoque de tal manera que el recurso de revisión quede sin materia;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b/>
          <w:bCs/>
          <w:i/>
          <w:iCs/>
          <w:color w:val="000000"/>
        </w:rPr>
      </w:pPr>
      <w:r w:rsidRPr="007A0DB2">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rsidR="0058421A" w:rsidRPr="007A0DB2" w:rsidRDefault="0058421A" w:rsidP="0058421A">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7A0DB2">
        <w:rPr>
          <w:rFonts w:ascii="Palatino Linotype" w:eastAsia="Palatino Linotype" w:hAnsi="Palatino Linotype" w:cs="Palatino Linotype"/>
          <w:i/>
          <w:iCs/>
          <w:color w:val="000000"/>
        </w:rPr>
        <w:t>V. Cuando por cualquier motivo quede sin materia el recurso.”</w:t>
      </w:r>
    </w:p>
    <w:p w:rsidR="0058421A" w:rsidRPr="007A0DB2" w:rsidRDefault="0058421A" w:rsidP="0058421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Es así que, el recurso de revisión actualiza la causal de sobreseimiento establecida en la fracción IV del artículo 192, en relación a la fracción VI del artículo 191, ambos de la Ley de Transparencia y Acceso a la Información Pública del Estado de México y Municipios.</w:t>
      </w: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rsidR="0058421A" w:rsidRPr="007A0DB2" w:rsidRDefault="0058421A" w:rsidP="0058421A">
      <w:pPr>
        <w:ind w:left="567" w:right="567"/>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w:t>
      </w:r>
      <w:r w:rsidRPr="007A0DB2">
        <w:rPr>
          <w:rFonts w:ascii="Palatino Linotype" w:eastAsia="Palatino Linotype" w:hAnsi="Palatino Linotype" w:cs="Palatino Linotype"/>
          <w:b/>
          <w:bCs/>
          <w:i/>
          <w:iCs/>
        </w:rPr>
        <w:t>SOBRESEIMIENTO EN EL JUICIO DE AMPARO DIRECTO. IMPIDE EL ESTUDIO DE LAS VIOLACIONES PROCESALES PLANTEADAS EN LOS CONCEPTOS DE VIOLACIÓN.</w:t>
      </w:r>
      <w:r w:rsidRPr="007A0DB2">
        <w:rPr>
          <w:rFonts w:ascii="Palatino Linotype" w:eastAsia="Palatino Linotype" w:hAnsi="Palatino Linotype" w:cs="Palatino Linotype"/>
          <w:i/>
          <w:iCs/>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rsidR="0058421A" w:rsidRPr="007A0DB2" w:rsidRDefault="0058421A" w:rsidP="0058421A">
      <w:pPr>
        <w:ind w:left="567" w:right="567"/>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t>SEPTIMO TRIBUNAL COLEGIADO EN MATERIA CIVIL DEL PRIMER CIRCUITO</w:t>
      </w:r>
    </w:p>
    <w:p w:rsidR="0058421A" w:rsidRPr="007A0DB2" w:rsidRDefault="0058421A" w:rsidP="0058421A">
      <w:pPr>
        <w:ind w:left="567" w:right="567"/>
        <w:jc w:val="both"/>
        <w:rPr>
          <w:rFonts w:ascii="Palatino Linotype" w:eastAsia="Palatino Linotype" w:hAnsi="Palatino Linotype" w:cs="Palatino Linotype"/>
          <w:i/>
          <w:iCs/>
        </w:rPr>
      </w:pPr>
      <w:r w:rsidRPr="007A0DB2">
        <w:rPr>
          <w:rFonts w:ascii="Palatino Linotype" w:eastAsia="Palatino Linotype" w:hAnsi="Palatino Linotype" w:cs="Palatino Linotype"/>
          <w:i/>
          <w:iCs/>
        </w:rPr>
        <w:lastRenderedPageBreak/>
        <w:t>Amparo directo 699/2008. Mariana Leticia González Steele. 13 de noviembre de 2008. Unanimidad de votos. Ponente: Sara Judith Montalvo Trejo. Secretario: Arnulfo Mateos García.”</w:t>
      </w:r>
    </w:p>
    <w:p w:rsidR="0058421A" w:rsidRPr="007A0DB2" w:rsidRDefault="0058421A" w:rsidP="0058421A">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No obstante, a efecto de no vulnerar los derechos del </w:t>
      </w:r>
      <w:r w:rsidRPr="007A0DB2">
        <w:rPr>
          <w:rFonts w:ascii="Palatino Linotype" w:eastAsia="Palatino Linotype" w:hAnsi="Palatino Linotype" w:cs="Palatino Linotype"/>
          <w:b/>
          <w:bCs/>
          <w:color w:val="000000"/>
        </w:rPr>
        <w:t>RECURRENTE</w:t>
      </w:r>
      <w:r w:rsidRPr="007A0DB2">
        <w:rPr>
          <w:rFonts w:ascii="Palatino Linotype" w:eastAsia="Palatino Linotype" w:hAnsi="Palatino Linotype" w:cs="Palatino Linotype"/>
          <w:color w:val="000000"/>
        </w:rPr>
        <w:t>, este Órgano Garante deja a salvo sus derechos para que, si así lo desea, presente una nueva solicitud de acceso a la información requiriendo información que sea de su interés.</w:t>
      </w:r>
    </w:p>
    <w:p w:rsidR="0058421A" w:rsidRPr="007A0DB2" w:rsidRDefault="0058421A" w:rsidP="0058421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8421A" w:rsidRPr="007A0DB2" w:rsidRDefault="0058421A" w:rsidP="0058421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color w:val="000000"/>
        </w:rPr>
        <w:t xml:space="preserve">Bajo esas consideraciones, se afirma que en el recurso de revisión sujeto a estudio se actualiza la hipótesis jurídica citada, toda vez que quedó probado que la solicitud de acceso a la información que promovió el </w:t>
      </w:r>
      <w:r w:rsidRPr="007A0DB2">
        <w:rPr>
          <w:rFonts w:ascii="Palatino Linotype" w:eastAsia="Palatino Linotype" w:hAnsi="Palatino Linotype" w:cs="Palatino Linotype"/>
          <w:b/>
          <w:bCs/>
          <w:color w:val="000000"/>
        </w:rPr>
        <w:t>RECURRENTE</w:t>
      </w:r>
      <w:r w:rsidRPr="007A0DB2">
        <w:rPr>
          <w:rFonts w:ascii="Palatino Linotype" w:eastAsia="Palatino Linotype" w:hAnsi="Palatino Linotype" w:cs="Palatino Linotype"/>
          <w:color w:val="000000"/>
        </w:rPr>
        <w:t xml:space="preserve"> corresponde al ejercicio de un derecho de petición y no al derecho de acceso a la información pública.</w:t>
      </w:r>
    </w:p>
    <w:p w:rsidR="003B057A" w:rsidRPr="007A0DB2" w:rsidRDefault="003B057A" w:rsidP="003B057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45E74" w:rsidRPr="007A0DB2" w:rsidRDefault="00B736F4">
      <w:pPr>
        <w:numPr>
          <w:ilvl w:val="0"/>
          <w:numId w:val="4"/>
        </w:numPr>
        <w:spacing w:line="360" w:lineRule="auto"/>
        <w:ind w:left="0" w:right="-28" w:firstLine="0"/>
        <w:jc w:val="both"/>
        <w:rPr>
          <w:rFonts w:ascii="Palatino Linotype" w:eastAsia="Palatino Linotype" w:hAnsi="Palatino Linotype" w:cs="Palatino Linotype"/>
        </w:rPr>
      </w:pPr>
      <w:bookmarkStart w:id="7" w:name="_heading=h.3rdcrjn" w:colFirst="0" w:colLast="0"/>
      <w:bookmarkEnd w:id="7"/>
      <w:r w:rsidRPr="007A0DB2">
        <w:rPr>
          <w:rFonts w:ascii="Palatino Linotype" w:eastAsia="Palatino Linotype" w:hAnsi="Palatino Linotype" w:cs="Palatino Linotype"/>
        </w:rPr>
        <w:t xml:space="preserve">Por lo anteriormente expuesto y fundado, este </w:t>
      </w:r>
      <w:r w:rsidRPr="007A0DB2">
        <w:rPr>
          <w:rFonts w:ascii="Palatino Linotype" w:eastAsia="Palatino Linotype" w:hAnsi="Palatino Linotype" w:cs="Palatino Linotype"/>
          <w:b/>
          <w:bCs/>
        </w:rPr>
        <w:t>ÓRGANO GARANTE</w:t>
      </w:r>
      <w:r w:rsidRPr="007A0DB2">
        <w:rPr>
          <w:rFonts w:ascii="Palatino Linotype" w:eastAsia="Palatino Linotype" w:hAnsi="Palatino Linotype" w:cs="Palatino Linotype"/>
        </w:rPr>
        <w:t xml:space="preserve"> emite los siguientes:</w:t>
      </w:r>
    </w:p>
    <w:p w:rsidR="00645E74" w:rsidRDefault="00645E74">
      <w:pPr>
        <w:spacing w:line="360" w:lineRule="auto"/>
        <w:ind w:left="644" w:right="-28"/>
        <w:jc w:val="both"/>
        <w:rPr>
          <w:rFonts w:ascii="Palatino Linotype" w:eastAsia="Palatino Linotype" w:hAnsi="Palatino Linotype" w:cs="Palatino Linotype"/>
        </w:rPr>
      </w:pPr>
      <w:bookmarkStart w:id="8" w:name="_heading=h.wkn36ihax037" w:colFirst="0" w:colLast="0"/>
      <w:bookmarkEnd w:id="8"/>
    </w:p>
    <w:p w:rsidR="00F9637C" w:rsidRPr="007A0DB2" w:rsidRDefault="00F9637C">
      <w:pPr>
        <w:spacing w:line="360" w:lineRule="auto"/>
        <w:ind w:left="644" w:right="-28"/>
        <w:jc w:val="both"/>
        <w:rPr>
          <w:rFonts w:ascii="Palatino Linotype" w:eastAsia="Palatino Linotype" w:hAnsi="Palatino Linotype" w:cs="Palatino Linotype"/>
        </w:rPr>
      </w:pPr>
    </w:p>
    <w:p w:rsidR="00645E74" w:rsidRPr="007A0DB2" w:rsidRDefault="00B736F4">
      <w:pPr>
        <w:keepNext/>
        <w:keepLines/>
        <w:spacing w:line="360" w:lineRule="auto"/>
        <w:ind w:right="-28"/>
        <w:jc w:val="center"/>
        <w:rPr>
          <w:rFonts w:ascii="Palatino Linotype" w:eastAsia="Palatino Linotype" w:hAnsi="Palatino Linotype" w:cs="Palatino Linotype"/>
          <w:b/>
          <w:bCs/>
        </w:rPr>
      </w:pPr>
      <w:r w:rsidRPr="007A0DB2">
        <w:rPr>
          <w:rFonts w:ascii="Palatino Linotype" w:eastAsia="Palatino Linotype" w:hAnsi="Palatino Linotype" w:cs="Palatino Linotype"/>
          <w:b/>
          <w:bCs/>
        </w:rPr>
        <w:t>R E S O L U T I V O S</w:t>
      </w:r>
    </w:p>
    <w:p w:rsidR="00645E74" w:rsidRPr="007A0DB2" w:rsidRDefault="00645E74">
      <w:pPr>
        <w:keepNext/>
        <w:keepLines/>
        <w:ind w:right="-28"/>
        <w:jc w:val="center"/>
        <w:rPr>
          <w:rFonts w:ascii="Palatino Linotype" w:eastAsia="Palatino Linotype" w:hAnsi="Palatino Linotype" w:cs="Palatino Linotype"/>
          <w:b/>
          <w:bCs/>
        </w:rPr>
      </w:pPr>
    </w:p>
    <w:p w:rsidR="0058421A" w:rsidRPr="007A0DB2" w:rsidRDefault="0058421A" w:rsidP="0058421A">
      <w:pPr>
        <w:widowControl w:val="0"/>
        <w:pBdr>
          <w:top w:val="nil"/>
          <w:left w:val="nil"/>
          <w:bottom w:val="nil"/>
          <w:right w:val="nil"/>
          <w:between w:val="nil"/>
        </w:pBdr>
        <w:tabs>
          <w:tab w:val="left" w:pos="1701"/>
        </w:tabs>
        <w:spacing w:before="120" w:line="360" w:lineRule="auto"/>
        <w:jc w:val="both"/>
        <w:rPr>
          <w:rFonts w:ascii="Palatino Linotype" w:eastAsia="Palatino Linotype" w:hAnsi="Palatino Linotype" w:cs="Palatino Linotype"/>
          <w:color w:val="000000"/>
        </w:rPr>
      </w:pPr>
      <w:r w:rsidRPr="007A0DB2">
        <w:rPr>
          <w:rFonts w:ascii="Palatino Linotype" w:eastAsia="Palatino Linotype" w:hAnsi="Palatino Linotype" w:cs="Palatino Linotype"/>
          <w:b/>
          <w:bCs/>
          <w:color w:val="000000"/>
        </w:rPr>
        <w:t xml:space="preserve">PRIMERO. </w:t>
      </w:r>
      <w:r w:rsidRPr="007A0DB2">
        <w:rPr>
          <w:rFonts w:ascii="Palatino Linotype" w:eastAsia="Palatino Linotype" w:hAnsi="Palatino Linotype" w:cs="Palatino Linotype"/>
          <w:color w:val="000000"/>
        </w:rPr>
        <w:t xml:space="preserve">Se </w:t>
      </w:r>
      <w:r w:rsidRPr="007A0DB2">
        <w:rPr>
          <w:rFonts w:ascii="Palatino Linotype" w:eastAsia="Palatino Linotype" w:hAnsi="Palatino Linotype" w:cs="Palatino Linotype"/>
          <w:b/>
          <w:bCs/>
          <w:color w:val="000000"/>
        </w:rPr>
        <w:t>SOBRESEE</w:t>
      </w:r>
      <w:r w:rsidRPr="007A0DB2">
        <w:rPr>
          <w:rFonts w:ascii="Palatino Linotype" w:eastAsia="Palatino Linotype" w:hAnsi="Palatino Linotype" w:cs="Palatino Linotype"/>
          <w:color w:val="000000"/>
        </w:rPr>
        <w:t xml:space="preserve"> el recurso de revisión número </w:t>
      </w:r>
      <w:r w:rsidRPr="007A0DB2">
        <w:rPr>
          <w:rFonts w:ascii="Palatino Linotype" w:eastAsia="Palatino Linotype" w:hAnsi="Palatino Linotype" w:cs="Palatino Linotype"/>
          <w:b/>
          <w:bCs/>
          <w:color w:val="000000"/>
        </w:rPr>
        <w:t>0</w:t>
      </w:r>
      <w:r w:rsidRPr="007A0DB2">
        <w:rPr>
          <w:rFonts w:ascii="Palatino Linotype" w:eastAsia="Palatino Linotype" w:hAnsi="Palatino Linotype" w:cs="Palatino Linotype"/>
          <w:b/>
          <w:bCs/>
        </w:rPr>
        <w:t>3448</w:t>
      </w:r>
      <w:r w:rsidR="00AA16AB" w:rsidRPr="007A0DB2">
        <w:rPr>
          <w:rFonts w:ascii="Palatino Linotype" w:eastAsia="Palatino Linotype" w:hAnsi="Palatino Linotype" w:cs="Palatino Linotype"/>
          <w:b/>
          <w:bCs/>
          <w:color w:val="000000"/>
        </w:rPr>
        <w:t>/INFOEM/IP/RR/2026</w:t>
      </w:r>
      <w:r w:rsidRPr="007A0DB2">
        <w:rPr>
          <w:rFonts w:ascii="Palatino Linotype" w:eastAsia="Palatino Linotype" w:hAnsi="Palatino Linotype" w:cs="Palatino Linotype"/>
          <w:b/>
          <w:bCs/>
          <w:color w:val="000000"/>
        </w:rPr>
        <w:t xml:space="preserve">, </w:t>
      </w:r>
      <w:r w:rsidRPr="007A0DB2">
        <w:rPr>
          <w:rFonts w:ascii="Palatino Linotype" w:eastAsia="Palatino Linotype" w:hAnsi="Palatino Linotype" w:cs="Palatino Linotype"/>
          <w:color w:val="000000"/>
        </w:rPr>
        <w:t xml:space="preserve">conforme al artículo 192 fracción IV, en relación con el artículo 191 fracción VI de la Ley de Transparencia y Acceso a la Información Pública del Estado de México y Municipios, en términos del Considerando </w:t>
      </w:r>
      <w:r w:rsidRPr="007A0DB2">
        <w:rPr>
          <w:rFonts w:ascii="Palatino Linotype" w:eastAsia="Palatino Linotype" w:hAnsi="Palatino Linotype" w:cs="Palatino Linotype"/>
          <w:b/>
          <w:bCs/>
          <w:color w:val="000000"/>
        </w:rPr>
        <w:t>TERCERO</w:t>
      </w:r>
      <w:r w:rsidRPr="007A0DB2">
        <w:rPr>
          <w:rFonts w:ascii="Palatino Linotype" w:eastAsia="Palatino Linotype" w:hAnsi="Palatino Linotype" w:cs="Palatino Linotype"/>
          <w:color w:val="000000"/>
        </w:rPr>
        <w:t xml:space="preserve"> de la presente resolución.</w:t>
      </w:r>
    </w:p>
    <w:p w:rsidR="0058421A" w:rsidRPr="007A0DB2" w:rsidRDefault="0058421A" w:rsidP="0058421A">
      <w:pPr>
        <w:spacing w:before="240" w:after="360" w:line="360" w:lineRule="auto"/>
        <w:jc w:val="both"/>
        <w:rPr>
          <w:rFonts w:ascii="Palatino Linotype" w:eastAsia="Palatino Linotype" w:hAnsi="Palatino Linotype" w:cs="Palatino Linotype"/>
          <w:b/>
          <w:bCs/>
          <w:color w:val="000000"/>
        </w:rPr>
      </w:pPr>
      <w:bookmarkStart w:id="9" w:name="_heading=h.cyld1ia98e10" w:colFirst="0" w:colLast="0"/>
      <w:bookmarkEnd w:id="9"/>
      <w:r w:rsidRPr="007A0DB2">
        <w:rPr>
          <w:rFonts w:ascii="Palatino Linotype" w:eastAsia="Palatino Linotype" w:hAnsi="Palatino Linotype" w:cs="Palatino Linotype"/>
          <w:b/>
          <w:bCs/>
        </w:rPr>
        <w:t>SEGUNDO.</w:t>
      </w:r>
      <w:r w:rsidRPr="007A0DB2">
        <w:rPr>
          <w:rFonts w:ascii="Palatino Linotype" w:eastAsia="Palatino Linotype" w:hAnsi="Palatino Linotype" w:cs="Palatino Linotype"/>
          <w:b/>
          <w:bCs/>
          <w:color w:val="000000"/>
        </w:rPr>
        <w:t xml:space="preserve"> </w:t>
      </w:r>
      <w:r w:rsidR="00AA16AB" w:rsidRPr="007A0DB2">
        <w:rPr>
          <w:rFonts w:ascii="Palatino Linotype" w:eastAsia="Palatino Linotype" w:hAnsi="Palatino Linotype" w:cs="Palatino Linotype"/>
          <w:b/>
          <w:bCs/>
          <w:color w:val="000000"/>
          <w:highlight w:val="white"/>
        </w:rPr>
        <w:t>Notifíquese</w:t>
      </w:r>
      <w:r w:rsidRPr="007A0DB2">
        <w:rPr>
          <w:rFonts w:ascii="Palatino Linotype" w:eastAsia="Palatino Linotype" w:hAnsi="Palatino Linotype" w:cs="Palatino Linotype"/>
          <w:b/>
          <w:bCs/>
          <w:color w:val="000000"/>
          <w:highlight w:val="white"/>
        </w:rPr>
        <w:t xml:space="preserve"> </w:t>
      </w:r>
      <w:r w:rsidRPr="007A0DB2">
        <w:rPr>
          <w:rFonts w:ascii="Palatino Linotype" w:eastAsia="Palatino Linotype" w:hAnsi="Palatino Linotype" w:cs="Palatino Linotype"/>
          <w:color w:val="000000"/>
          <w:highlight w:val="white"/>
        </w:rPr>
        <w:t>al Titular de la Unidad de Transparencia del</w:t>
      </w:r>
      <w:r w:rsidRPr="007A0DB2">
        <w:rPr>
          <w:rFonts w:ascii="Palatino Linotype" w:eastAsia="Palatino Linotype" w:hAnsi="Palatino Linotype" w:cs="Palatino Linotype"/>
          <w:b/>
          <w:bCs/>
          <w:color w:val="000000"/>
          <w:highlight w:val="white"/>
        </w:rPr>
        <w:t xml:space="preserve"> SUJETO OBLIGADO</w:t>
      </w:r>
      <w:r w:rsidRPr="007A0DB2">
        <w:rPr>
          <w:rFonts w:ascii="Palatino Linotype" w:eastAsia="Palatino Linotype" w:hAnsi="Palatino Linotype" w:cs="Palatino Linotype"/>
          <w:color w:val="000000"/>
          <w:highlight w:val="white"/>
        </w:rPr>
        <w:t xml:space="preserve"> vía Sistema de Acceso a Información Mexiquense, </w:t>
      </w:r>
      <w:r w:rsidRPr="007A0DB2">
        <w:rPr>
          <w:rFonts w:ascii="Palatino Linotype" w:eastAsia="Palatino Linotype" w:hAnsi="Palatino Linotype" w:cs="Palatino Linotype"/>
          <w:b/>
          <w:bCs/>
          <w:color w:val="000000"/>
          <w:highlight w:val="white"/>
        </w:rPr>
        <w:t>SAIMEX,</w:t>
      </w:r>
      <w:r w:rsidRPr="007A0DB2">
        <w:rPr>
          <w:rFonts w:ascii="Palatino Linotype" w:eastAsia="Palatino Linotype" w:hAnsi="Palatino Linotype" w:cs="Palatino Linotype"/>
          <w:color w:val="000000"/>
          <w:highlight w:val="white"/>
        </w:rPr>
        <w:t xml:space="preserve"> la presente resolución. </w:t>
      </w:r>
    </w:p>
    <w:p w:rsidR="0058421A" w:rsidRPr="007A0DB2" w:rsidRDefault="0058421A" w:rsidP="0058421A">
      <w:pPr>
        <w:spacing w:line="360" w:lineRule="auto"/>
        <w:jc w:val="both"/>
        <w:rPr>
          <w:rFonts w:ascii="Palatino Linotype" w:eastAsia="Palatino Linotype" w:hAnsi="Palatino Linotype" w:cs="Palatino Linotype"/>
          <w:b/>
          <w:bCs/>
        </w:rPr>
      </w:pPr>
      <w:bookmarkStart w:id="10" w:name="_heading=h.c4nzspxitge7" w:colFirst="0" w:colLast="0"/>
      <w:bookmarkEnd w:id="10"/>
      <w:r w:rsidRPr="007A0DB2">
        <w:rPr>
          <w:rFonts w:ascii="Palatino Linotype" w:eastAsia="Palatino Linotype" w:hAnsi="Palatino Linotype" w:cs="Palatino Linotype"/>
          <w:b/>
          <w:bCs/>
        </w:rPr>
        <w:t xml:space="preserve">TERCERO. </w:t>
      </w:r>
      <w:r w:rsidRPr="007A0DB2">
        <w:rPr>
          <w:rFonts w:ascii="Palatino Linotype" w:eastAsia="Palatino Linotype" w:hAnsi="Palatino Linotype" w:cs="Palatino Linotype"/>
          <w:b/>
          <w:bCs/>
          <w:color w:val="222222"/>
        </w:rPr>
        <w:t>Notifíquese a</w:t>
      </w:r>
      <w:r w:rsidRPr="007A0DB2">
        <w:rPr>
          <w:rFonts w:ascii="Palatino Linotype" w:eastAsia="Palatino Linotype" w:hAnsi="Palatino Linotype" w:cs="Palatino Linotype"/>
          <w:b/>
          <w:bCs/>
        </w:rPr>
        <w:t xml:space="preserve">l RECURRENTE </w:t>
      </w:r>
      <w:r w:rsidRPr="007A0DB2">
        <w:rPr>
          <w:rFonts w:ascii="Palatino Linotype" w:eastAsia="Palatino Linotype" w:hAnsi="Palatino Linotype" w:cs="Palatino Linotype"/>
        </w:rPr>
        <w:t xml:space="preserve">la presente resolución a través de </w:t>
      </w:r>
      <w:r w:rsidR="00AA16AB" w:rsidRPr="007A0DB2">
        <w:rPr>
          <w:rFonts w:ascii="Palatino Linotype" w:eastAsia="Palatino Linotype" w:hAnsi="Palatino Linotype" w:cs="Palatino Linotype"/>
          <w:b/>
          <w:bCs/>
        </w:rPr>
        <w:t>SAIMEX.</w:t>
      </w:r>
    </w:p>
    <w:p w:rsidR="0058421A" w:rsidRPr="007A0DB2" w:rsidRDefault="0058421A" w:rsidP="0058421A">
      <w:pPr>
        <w:spacing w:before="240" w:after="240" w:line="360" w:lineRule="auto"/>
        <w:ind w:right="1"/>
        <w:jc w:val="both"/>
        <w:rPr>
          <w:rFonts w:ascii="Palatino Linotype" w:eastAsia="Palatino Linotype" w:hAnsi="Palatino Linotype" w:cs="Palatino Linotype"/>
        </w:rPr>
      </w:pPr>
      <w:r w:rsidRPr="007A0DB2">
        <w:rPr>
          <w:rFonts w:ascii="Palatino Linotype" w:eastAsia="Palatino Linotype" w:hAnsi="Palatino Linotype" w:cs="Palatino Linotype"/>
          <w:b/>
          <w:bCs/>
        </w:rPr>
        <w:lastRenderedPageBreak/>
        <w:t>CUARTO.</w:t>
      </w:r>
      <w:r w:rsidRPr="007A0DB2">
        <w:rPr>
          <w:rFonts w:ascii="Palatino Linotype" w:eastAsia="Palatino Linotype" w:hAnsi="Palatino Linotype" w:cs="Palatino Linotype"/>
        </w:rPr>
        <w:t xml:space="preserve"> Se hace del conocimiento del </w:t>
      </w:r>
      <w:r w:rsidRPr="007A0DB2">
        <w:rPr>
          <w:rFonts w:ascii="Palatino Linotype" w:eastAsia="Palatino Linotype" w:hAnsi="Palatino Linotype" w:cs="Palatino Linotype"/>
          <w:b/>
          <w:bCs/>
        </w:rPr>
        <w:t>RECURRENTE</w:t>
      </w:r>
      <w:r w:rsidRPr="007A0DB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AA16AB" w:rsidRPr="007A0DB2" w:rsidRDefault="00AA16AB" w:rsidP="0058421A">
      <w:pPr>
        <w:spacing w:before="240" w:after="240" w:line="360" w:lineRule="auto"/>
        <w:ind w:right="1"/>
        <w:jc w:val="both"/>
        <w:rPr>
          <w:rFonts w:ascii="Palatino Linotype" w:eastAsia="Palatino Linotype" w:hAnsi="Palatino Linotype" w:cs="Palatino Linotype"/>
          <w:b/>
          <w:bCs/>
        </w:rPr>
      </w:pPr>
    </w:p>
    <w:p w:rsidR="00AA16AB" w:rsidRPr="007A0DB2" w:rsidRDefault="00AA16AB" w:rsidP="00AA16AB">
      <w:pPr>
        <w:spacing w:before="240" w:after="240" w:line="360" w:lineRule="auto"/>
        <w:ind w:firstLine="1"/>
        <w:jc w:val="both"/>
        <w:rPr>
          <w:rFonts w:ascii="Palatino Linotype" w:hAnsi="Palatino Linotype"/>
        </w:rPr>
      </w:pPr>
      <w:bookmarkStart w:id="11" w:name="_Hlk99014733"/>
      <w:r w:rsidRPr="007A0DB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7A0DB2">
        <w:rPr>
          <w:rFonts w:ascii="Palatino Linotype" w:hAnsi="Palatino Linotype" w:cs="Palatino Linotype"/>
          <w:color w:val="000000" w:themeColor="text1"/>
        </w:rPr>
        <w:t>ALEXIS TAPIA RAMÍREZ.</w:t>
      </w:r>
    </w:p>
    <w:bookmarkEnd w:id="11"/>
    <w:p w:rsidR="00645E74" w:rsidRPr="007A0DB2" w:rsidRDefault="00645E74">
      <w:pPr>
        <w:spacing w:before="240" w:after="240"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jc w:val="both"/>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p w:rsidR="00020DB3" w:rsidRPr="007A0DB2" w:rsidRDefault="00020DB3">
      <w:pPr>
        <w:spacing w:line="360" w:lineRule="auto"/>
        <w:ind w:right="-28"/>
        <w:rPr>
          <w:rFonts w:ascii="Palatino Linotype" w:eastAsia="Palatino Linotype" w:hAnsi="Palatino Linotype" w:cs="Palatino Linotype"/>
        </w:rPr>
      </w:pPr>
    </w:p>
    <w:p w:rsidR="00020DB3" w:rsidRPr="007A0DB2" w:rsidRDefault="00020DB3">
      <w:pPr>
        <w:spacing w:line="360" w:lineRule="auto"/>
        <w:ind w:right="-28"/>
        <w:rPr>
          <w:rFonts w:ascii="Palatino Linotype" w:eastAsia="Palatino Linotype" w:hAnsi="Palatino Linotype" w:cs="Palatino Linotype"/>
        </w:rPr>
      </w:pPr>
    </w:p>
    <w:p w:rsidR="00020DB3" w:rsidRPr="007A0DB2" w:rsidRDefault="00020DB3">
      <w:pPr>
        <w:spacing w:line="360" w:lineRule="auto"/>
        <w:ind w:right="-28"/>
        <w:rPr>
          <w:rFonts w:ascii="Palatino Linotype" w:eastAsia="Palatino Linotype" w:hAnsi="Palatino Linotype" w:cs="Palatino Linotype"/>
        </w:rPr>
      </w:pPr>
    </w:p>
    <w:p w:rsidR="00020DB3" w:rsidRPr="007A0DB2" w:rsidRDefault="00020DB3">
      <w:pPr>
        <w:spacing w:line="360" w:lineRule="auto"/>
        <w:ind w:right="-28"/>
        <w:rPr>
          <w:rFonts w:ascii="Palatino Linotype" w:eastAsia="Palatino Linotype" w:hAnsi="Palatino Linotype" w:cs="Palatino Linotype"/>
        </w:rPr>
      </w:pPr>
    </w:p>
    <w:p w:rsidR="00645E74" w:rsidRPr="007A0DB2" w:rsidRDefault="00645E74">
      <w:pPr>
        <w:spacing w:line="360" w:lineRule="auto"/>
        <w:ind w:right="-28"/>
        <w:rPr>
          <w:rFonts w:ascii="Palatino Linotype" w:eastAsia="Palatino Linotype" w:hAnsi="Palatino Linotype" w:cs="Palatino Linotype"/>
        </w:rPr>
      </w:pPr>
    </w:p>
    <w:sectPr w:rsidR="00645E74" w:rsidRPr="007A0DB2" w:rsidSect="007A0DB2">
      <w:headerReference w:type="even" r:id="rId11"/>
      <w:headerReference w:type="default" r:id="rId12"/>
      <w:footerReference w:type="default" r:id="rId13"/>
      <w:headerReference w:type="first" r:id="rId14"/>
      <w:footerReference w:type="first" r:id="rId15"/>
      <w:pgSz w:w="12240" w:h="15840"/>
      <w:pgMar w:top="1276" w:right="474"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DE1" w:rsidRDefault="00790DE1">
      <w:r>
        <w:separator/>
      </w:r>
    </w:p>
  </w:endnote>
  <w:endnote w:type="continuationSeparator" w:id="0">
    <w:p w:rsidR="00790DE1" w:rsidRDefault="0079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B0DE785-6820-459C-90C3-98F59676AA3E}"/>
    <w:embedBold r:id="rId2" w:fontKey="{09C8AB82-68AF-4BFD-B5ED-AC5398DA40CD}"/>
    <w:embedItalic r:id="rId3" w:fontKey="{AF0E5C6C-6717-49D9-B733-C78649F80BA8}"/>
    <w:embedBoldItalic r:id="rId4" w:fontKey="{1B044494-EA97-4923-B850-E17010BA41F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5D84C89B-D489-4CD1-809F-9DF55E712ED4}"/>
  </w:font>
  <w:font w:name="Georgia">
    <w:panose1 w:val="02040502050405020303"/>
    <w:charset w:val="00"/>
    <w:family w:val="roman"/>
    <w:pitch w:val="variable"/>
    <w:sig w:usb0="00000287" w:usb1="00000000" w:usb2="00000000" w:usb3="00000000" w:csb0="0000009F" w:csb1="00000000"/>
    <w:embedItalic r:id="rId6" w:fontKey="{FB98C925-F648-4583-9ACC-74C86312CE7C}"/>
  </w:font>
  <w:font w:name="Garamond">
    <w:panose1 w:val="02020404030301010803"/>
    <w:charset w:val="00"/>
    <w:family w:val="roman"/>
    <w:pitch w:val="variable"/>
    <w:sig w:usb0="00000287" w:usb1="00000000" w:usb2="00000000" w:usb3="00000000" w:csb0="0000009F" w:csb1="00000000"/>
    <w:embedRegular r:id="rId7" w:fontKey="{3C4FF0D1-90B8-4E0F-8DBF-7F9D76A2D57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71A5C254-6106-41A2-A419-268AB534E2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E74" w:rsidRPr="007A0DB2" w:rsidRDefault="00B736F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A0DB2">
      <w:rPr>
        <w:rFonts w:ascii="Palatino Linotype" w:hAnsi="Palatino Linotype"/>
        <w:color w:val="000000"/>
        <w:sz w:val="22"/>
      </w:rPr>
      <w:t xml:space="preserve">Página </w:t>
    </w:r>
    <w:r w:rsidRPr="007A0DB2">
      <w:rPr>
        <w:rFonts w:ascii="Palatino Linotype" w:hAnsi="Palatino Linotype"/>
        <w:b/>
        <w:bCs/>
        <w:color w:val="000000"/>
        <w:sz w:val="22"/>
      </w:rPr>
      <w:fldChar w:fldCharType="begin"/>
    </w:r>
    <w:r w:rsidRPr="007A0DB2">
      <w:rPr>
        <w:rFonts w:ascii="Palatino Linotype" w:hAnsi="Palatino Linotype"/>
        <w:b/>
        <w:bCs/>
        <w:color w:val="000000"/>
        <w:sz w:val="22"/>
      </w:rPr>
      <w:instrText>PAGE</w:instrText>
    </w:r>
    <w:r w:rsidRPr="007A0DB2">
      <w:rPr>
        <w:rFonts w:ascii="Palatino Linotype" w:hAnsi="Palatino Linotype"/>
        <w:b/>
        <w:bCs/>
        <w:color w:val="000000"/>
        <w:sz w:val="22"/>
      </w:rPr>
      <w:fldChar w:fldCharType="separate"/>
    </w:r>
    <w:r w:rsidR="00D01AF6">
      <w:rPr>
        <w:rFonts w:ascii="Palatino Linotype" w:hAnsi="Palatino Linotype"/>
        <w:b/>
        <w:bCs/>
        <w:noProof/>
        <w:color w:val="000000"/>
        <w:sz w:val="22"/>
      </w:rPr>
      <w:t>15</w:t>
    </w:r>
    <w:r w:rsidRPr="007A0DB2">
      <w:rPr>
        <w:rFonts w:ascii="Palatino Linotype" w:hAnsi="Palatino Linotype"/>
        <w:b/>
        <w:bCs/>
        <w:color w:val="000000"/>
        <w:sz w:val="22"/>
      </w:rPr>
      <w:fldChar w:fldCharType="end"/>
    </w:r>
    <w:r w:rsidRPr="007A0DB2">
      <w:rPr>
        <w:rFonts w:ascii="Palatino Linotype" w:hAnsi="Palatino Linotype"/>
        <w:color w:val="000000"/>
        <w:sz w:val="22"/>
      </w:rPr>
      <w:t xml:space="preserve"> de </w:t>
    </w:r>
    <w:r w:rsidRPr="007A0DB2">
      <w:rPr>
        <w:rFonts w:ascii="Palatino Linotype" w:hAnsi="Palatino Linotype"/>
        <w:b/>
        <w:bCs/>
        <w:color w:val="000000"/>
        <w:sz w:val="22"/>
      </w:rPr>
      <w:fldChar w:fldCharType="begin"/>
    </w:r>
    <w:r w:rsidRPr="007A0DB2">
      <w:rPr>
        <w:rFonts w:ascii="Palatino Linotype" w:hAnsi="Palatino Linotype"/>
        <w:b/>
        <w:bCs/>
        <w:color w:val="000000"/>
        <w:sz w:val="22"/>
      </w:rPr>
      <w:instrText>NUMPAGES</w:instrText>
    </w:r>
    <w:r w:rsidRPr="007A0DB2">
      <w:rPr>
        <w:rFonts w:ascii="Palatino Linotype" w:hAnsi="Palatino Linotype"/>
        <w:b/>
        <w:bCs/>
        <w:color w:val="000000"/>
        <w:sz w:val="22"/>
      </w:rPr>
      <w:fldChar w:fldCharType="separate"/>
    </w:r>
    <w:r w:rsidR="00D01AF6">
      <w:rPr>
        <w:rFonts w:ascii="Palatino Linotype" w:hAnsi="Palatino Linotype"/>
        <w:b/>
        <w:bCs/>
        <w:noProof/>
        <w:color w:val="000000"/>
        <w:sz w:val="22"/>
      </w:rPr>
      <w:t>15</w:t>
    </w:r>
    <w:r w:rsidRPr="007A0DB2">
      <w:rPr>
        <w:rFonts w:ascii="Palatino Linotype" w:hAnsi="Palatino Linotype"/>
        <w:b/>
        <w:bCs/>
        <w:color w:val="000000"/>
        <w:sz w:val="22"/>
      </w:rPr>
      <w:fldChar w:fldCharType="end"/>
    </w:r>
  </w:p>
  <w:p w:rsidR="00645E74" w:rsidRDefault="00645E7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E74" w:rsidRDefault="00B736F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01AF6">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01AF6">
      <w:rPr>
        <w:rFonts w:ascii="Palatino Linotype" w:eastAsia="Palatino Linotype" w:hAnsi="Palatino Linotype" w:cs="Palatino Linotype"/>
        <w:b/>
        <w:bCs/>
        <w:noProof/>
        <w:color w:val="000000"/>
        <w:sz w:val="22"/>
        <w:szCs w:val="22"/>
      </w:rPr>
      <w:t>15</w:t>
    </w:r>
    <w:r>
      <w:rPr>
        <w:rFonts w:ascii="Palatino Linotype" w:eastAsia="Palatino Linotype" w:hAnsi="Palatino Linotype" w:cs="Palatino Linotype"/>
        <w:b/>
        <w:bCs/>
        <w:color w:val="000000"/>
        <w:sz w:val="22"/>
        <w:szCs w:val="22"/>
      </w:rPr>
      <w:fldChar w:fldCharType="end"/>
    </w:r>
  </w:p>
  <w:p w:rsidR="00645E74" w:rsidRDefault="00645E7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DE1" w:rsidRDefault="00790DE1">
      <w:r>
        <w:separator/>
      </w:r>
    </w:p>
  </w:footnote>
  <w:footnote w:type="continuationSeparator" w:id="0">
    <w:p w:rsidR="00790DE1" w:rsidRDefault="00790D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E74" w:rsidRDefault="00790DE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90" w:type="dxa"/>
      <w:tblInd w:w="0" w:type="dxa"/>
      <w:tblLayout w:type="fixed"/>
      <w:tblLook w:val="0400" w:firstRow="0" w:lastRow="0" w:firstColumn="0" w:lastColumn="0" w:noHBand="0" w:noVBand="1"/>
    </w:tblPr>
    <w:tblGrid>
      <w:gridCol w:w="2310"/>
      <w:gridCol w:w="7980"/>
    </w:tblGrid>
    <w:tr w:rsidR="00645E74">
      <w:trPr>
        <w:trHeight w:val="917"/>
      </w:trPr>
      <w:tc>
        <w:tcPr>
          <w:tcW w:w="2310" w:type="dxa"/>
          <w:shd w:val="clear" w:color="auto" w:fill="auto"/>
        </w:tcPr>
        <w:p w:rsidR="00645E74" w:rsidRDefault="00645E74">
          <w:pPr>
            <w:tabs>
              <w:tab w:val="right" w:pos="4273"/>
            </w:tabs>
            <w:rPr>
              <w:rFonts w:ascii="Garamond" w:eastAsia="Garamond" w:hAnsi="Garamond" w:cs="Garamond"/>
              <w:sz w:val="16"/>
              <w:szCs w:val="16"/>
            </w:rPr>
          </w:pPr>
        </w:p>
      </w:tc>
      <w:tc>
        <w:tcPr>
          <w:tcW w:w="7980" w:type="dxa"/>
          <w:shd w:val="clear" w:color="auto" w:fill="auto"/>
        </w:tcPr>
        <w:tbl>
          <w:tblPr>
            <w:tblStyle w:val="a0"/>
            <w:tblW w:w="9298" w:type="dxa"/>
            <w:tblInd w:w="0" w:type="dxa"/>
            <w:tblLayout w:type="fixed"/>
            <w:tblLook w:val="0400" w:firstRow="0" w:lastRow="0" w:firstColumn="0" w:lastColumn="0" w:noHBand="0" w:noVBand="1"/>
          </w:tblPr>
          <w:tblGrid>
            <w:gridCol w:w="3630"/>
            <w:gridCol w:w="5668"/>
          </w:tblGrid>
          <w:tr w:rsidR="00645E74" w:rsidTr="007A0DB2">
            <w:trPr>
              <w:trHeight w:val="68"/>
            </w:trPr>
            <w:tc>
              <w:tcPr>
                <w:tcW w:w="3630" w:type="dxa"/>
                <w:shd w:val="clear" w:color="auto" w:fill="auto"/>
              </w:tcPr>
              <w:p w:rsidR="00645E74" w:rsidRDefault="00B736F4">
                <w:pPr>
                  <w:tabs>
                    <w:tab w:val="right" w:pos="8838"/>
                  </w:tabs>
                  <w:ind w:left="850" w:right="11"/>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668" w:type="dxa"/>
                <w:shd w:val="clear" w:color="auto" w:fill="auto"/>
              </w:tcPr>
              <w:p w:rsidR="00645E74" w:rsidRDefault="00B736F4">
                <w:pPr>
                  <w:ind w:right="-735"/>
                  <w:rPr>
                    <w:rFonts w:ascii="Palatino Linotype" w:eastAsia="Palatino Linotype" w:hAnsi="Palatino Linotype" w:cs="Palatino Linotype"/>
                  </w:rPr>
                </w:pPr>
                <w:r>
                  <w:rPr>
                    <w:rFonts w:ascii="Palatino Linotype" w:eastAsia="Palatino Linotype" w:hAnsi="Palatino Linotype" w:cs="Palatino Linotype"/>
                  </w:rPr>
                  <w:t>03448/INFOEM/IP/RR/2026</w:t>
                </w:r>
              </w:p>
            </w:tc>
          </w:tr>
          <w:tr w:rsidR="00645E74" w:rsidTr="007A0DB2">
            <w:trPr>
              <w:trHeight w:val="135"/>
            </w:trPr>
            <w:tc>
              <w:tcPr>
                <w:tcW w:w="3630" w:type="dxa"/>
                <w:shd w:val="clear" w:color="auto" w:fill="auto"/>
              </w:tcPr>
              <w:p w:rsidR="00645E74" w:rsidRDefault="00B736F4">
                <w:pPr>
                  <w:tabs>
                    <w:tab w:val="right" w:pos="8838"/>
                  </w:tabs>
                  <w:ind w:left="850" w:right="11"/>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668" w:type="dxa"/>
                <w:shd w:val="clear" w:color="auto" w:fill="auto"/>
              </w:tcPr>
              <w:p w:rsidR="00645E74" w:rsidRDefault="00B736F4">
                <w:pPr>
                  <w:ind w:right="-735"/>
                  <w:rPr>
                    <w:rFonts w:ascii="Palatino Linotype" w:eastAsia="Palatino Linotype" w:hAnsi="Palatino Linotype" w:cs="Palatino Linotype"/>
                  </w:rPr>
                </w:pPr>
                <w:r>
                  <w:rPr>
                    <w:rFonts w:ascii="Palatino Linotype" w:eastAsia="Palatino Linotype" w:hAnsi="Palatino Linotype" w:cs="Palatino Linotype"/>
                  </w:rPr>
                  <w:t>Ayuntamiento de Ecatepec de Morelos</w:t>
                </w:r>
              </w:p>
            </w:tc>
          </w:tr>
          <w:tr w:rsidR="00645E74" w:rsidTr="007A0DB2">
            <w:trPr>
              <w:trHeight w:val="135"/>
            </w:trPr>
            <w:tc>
              <w:tcPr>
                <w:tcW w:w="3630" w:type="dxa"/>
                <w:shd w:val="clear" w:color="auto" w:fill="auto"/>
              </w:tcPr>
              <w:p w:rsidR="00645E74" w:rsidRDefault="00B736F4">
                <w:pPr>
                  <w:tabs>
                    <w:tab w:val="right" w:pos="8838"/>
                  </w:tabs>
                  <w:ind w:left="850" w:right="11"/>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668" w:type="dxa"/>
                <w:shd w:val="clear" w:color="auto" w:fill="auto"/>
              </w:tcPr>
              <w:p w:rsidR="00645E74" w:rsidRDefault="00B736F4">
                <w:pPr>
                  <w:ind w:right="-73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645E74" w:rsidRDefault="00645E74">
                <w:pPr>
                  <w:ind w:right="-735"/>
                  <w:rPr>
                    <w:rFonts w:ascii="Palatino Linotype" w:eastAsia="Palatino Linotype" w:hAnsi="Palatino Linotype" w:cs="Palatino Linotype"/>
                  </w:rPr>
                </w:pPr>
              </w:p>
            </w:tc>
          </w:tr>
        </w:tbl>
        <w:p w:rsidR="00645E74" w:rsidRDefault="00645E74">
          <w:pPr>
            <w:tabs>
              <w:tab w:val="right" w:pos="8838"/>
            </w:tabs>
            <w:ind w:left="-28"/>
            <w:jc w:val="both"/>
            <w:rPr>
              <w:rFonts w:ascii="Arial" w:eastAsia="Arial" w:hAnsi="Arial" w:cs="Arial"/>
              <w:b/>
              <w:bCs/>
              <w:sz w:val="22"/>
              <w:szCs w:val="22"/>
            </w:rPr>
          </w:pPr>
        </w:p>
      </w:tc>
    </w:tr>
  </w:tbl>
  <w:p w:rsidR="00645E74" w:rsidRDefault="00790DE1">
    <w:pPr>
      <w:pBdr>
        <w:top w:val="nil"/>
        <w:left w:val="nil"/>
        <w:bottom w:val="nil"/>
        <w:right w:val="nil"/>
        <w:between w:val="nil"/>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0.2pt;margin-top:-122.75pt;width:589.8pt;height:768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37" w:type="dxa"/>
      <w:tblInd w:w="0" w:type="dxa"/>
      <w:tblLayout w:type="fixed"/>
      <w:tblLook w:val="0400" w:firstRow="0" w:lastRow="0" w:firstColumn="0" w:lastColumn="0" w:noHBand="0" w:noVBand="1"/>
    </w:tblPr>
    <w:tblGrid>
      <w:gridCol w:w="2552"/>
      <w:gridCol w:w="7485"/>
    </w:tblGrid>
    <w:tr w:rsidR="00645E74" w:rsidTr="00D01AF6">
      <w:trPr>
        <w:trHeight w:val="2303"/>
      </w:trPr>
      <w:tc>
        <w:tcPr>
          <w:tcW w:w="2552" w:type="dxa"/>
          <w:shd w:val="clear" w:color="auto" w:fill="auto"/>
        </w:tcPr>
        <w:p w:rsidR="00645E74" w:rsidRDefault="00645E74">
          <w:pPr>
            <w:tabs>
              <w:tab w:val="right" w:pos="4273"/>
            </w:tabs>
            <w:rPr>
              <w:rFonts w:ascii="Garamond" w:eastAsia="Garamond" w:hAnsi="Garamond" w:cs="Garamond"/>
              <w:sz w:val="22"/>
              <w:szCs w:val="22"/>
            </w:rPr>
          </w:pPr>
        </w:p>
      </w:tc>
      <w:tc>
        <w:tcPr>
          <w:tcW w:w="7485" w:type="dxa"/>
          <w:shd w:val="clear" w:color="auto" w:fill="auto"/>
        </w:tcPr>
        <w:tbl>
          <w:tblPr>
            <w:tblStyle w:val="a2"/>
            <w:tblW w:w="7562" w:type="dxa"/>
            <w:tblInd w:w="0" w:type="dxa"/>
            <w:tblLayout w:type="fixed"/>
            <w:tblLook w:val="0400" w:firstRow="0" w:lastRow="0" w:firstColumn="0" w:lastColumn="0" w:noHBand="0" w:noVBand="1"/>
          </w:tblPr>
          <w:tblGrid>
            <w:gridCol w:w="2672"/>
            <w:gridCol w:w="4890"/>
          </w:tblGrid>
          <w:tr w:rsidR="00645E74" w:rsidTr="007A0DB2">
            <w:trPr>
              <w:trHeight w:val="144"/>
            </w:trPr>
            <w:tc>
              <w:tcPr>
                <w:tcW w:w="2672" w:type="dxa"/>
                <w:shd w:val="clear" w:color="auto" w:fill="auto"/>
              </w:tcPr>
              <w:p w:rsidR="00645E74" w:rsidRDefault="00B736F4" w:rsidP="007A0DB2">
                <w:pPr>
                  <w:tabs>
                    <w:tab w:val="right" w:pos="8838"/>
                  </w:tabs>
                  <w:ind w:left="-59"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90" w:type="dxa"/>
                <w:shd w:val="clear" w:color="auto" w:fill="auto"/>
              </w:tcPr>
              <w:p w:rsidR="00645E74" w:rsidRDefault="00B736F4" w:rsidP="007A0DB2">
                <w:pPr>
                  <w:ind w:right="-810" w:firstLine="63"/>
                  <w:rPr>
                    <w:rFonts w:ascii="Palatino Linotype" w:eastAsia="Palatino Linotype" w:hAnsi="Palatino Linotype" w:cs="Palatino Linotype"/>
                  </w:rPr>
                </w:pPr>
                <w:r>
                  <w:rPr>
                    <w:rFonts w:ascii="Palatino Linotype" w:eastAsia="Palatino Linotype" w:hAnsi="Palatino Linotype" w:cs="Palatino Linotype"/>
                  </w:rPr>
                  <w:t>03448/INFOEM/IP/RR/2026</w:t>
                </w:r>
              </w:p>
            </w:tc>
          </w:tr>
          <w:tr w:rsidR="00645E74" w:rsidTr="007A0DB2">
            <w:trPr>
              <w:trHeight w:val="144"/>
            </w:trPr>
            <w:tc>
              <w:tcPr>
                <w:tcW w:w="2672" w:type="dxa"/>
                <w:shd w:val="clear" w:color="auto" w:fill="auto"/>
              </w:tcPr>
              <w:p w:rsidR="00645E74" w:rsidRDefault="00B736F4" w:rsidP="007A0DB2">
                <w:pPr>
                  <w:tabs>
                    <w:tab w:val="right" w:pos="8838"/>
                  </w:tabs>
                  <w:ind w:left="-59"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90" w:type="dxa"/>
                <w:shd w:val="clear" w:color="auto" w:fill="auto"/>
              </w:tcPr>
              <w:p w:rsidR="00645E74" w:rsidRDefault="00D01AF6" w:rsidP="007A0DB2">
                <w:pPr>
                  <w:ind w:right="-810" w:firstLine="63"/>
                  <w:rPr>
                    <w:rFonts w:ascii="Palatino Linotype" w:eastAsia="Palatino Linotype" w:hAnsi="Palatino Linotype" w:cs="Palatino Linotype"/>
                  </w:rPr>
                </w:pPr>
                <w:r>
                  <w:rPr>
                    <w:rFonts w:ascii="Palatino Linotype" w:eastAsia="Palatino Linotype" w:hAnsi="Palatino Linotype" w:cs="Palatino Linotype"/>
                  </w:rPr>
                  <w:t>XXXX</w:t>
                </w:r>
              </w:p>
            </w:tc>
          </w:tr>
          <w:tr w:rsidR="00645E74" w:rsidTr="007A0DB2">
            <w:trPr>
              <w:trHeight w:val="283"/>
            </w:trPr>
            <w:tc>
              <w:tcPr>
                <w:tcW w:w="2672" w:type="dxa"/>
                <w:shd w:val="clear" w:color="auto" w:fill="auto"/>
              </w:tcPr>
              <w:p w:rsidR="00645E74" w:rsidRDefault="00B736F4" w:rsidP="007A0DB2">
                <w:pPr>
                  <w:tabs>
                    <w:tab w:val="right" w:pos="8838"/>
                  </w:tabs>
                  <w:ind w:left="-59" w:right="-105"/>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90" w:type="dxa"/>
                <w:shd w:val="clear" w:color="auto" w:fill="auto"/>
              </w:tcPr>
              <w:p w:rsidR="00645E74" w:rsidRDefault="00B736F4" w:rsidP="007A0DB2">
                <w:pPr>
                  <w:tabs>
                    <w:tab w:val="left" w:pos="2834"/>
                  </w:tabs>
                  <w:ind w:right="-810" w:firstLine="63"/>
                  <w:rPr>
                    <w:rFonts w:ascii="Palatino Linotype" w:eastAsia="Palatino Linotype" w:hAnsi="Palatino Linotype" w:cs="Palatino Linotype"/>
                  </w:rPr>
                </w:pPr>
                <w:r>
                  <w:rPr>
                    <w:rFonts w:ascii="Palatino Linotype" w:eastAsia="Palatino Linotype" w:hAnsi="Palatino Linotype" w:cs="Palatino Linotype"/>
                  </w:rPr>
                  <w:t>Ayuntamiento de Ecatepec de Morelos</w:t>
                </w:r>
              </w:p>
            </w:tc>
          </w:tr>
          <w:tr w:rsidR="00645E74" w:rsidTr="007A0DB2">
            <w:trPr>
              <w:trHeight w:val="283"/>
            </w:trPr>
            <w:tc>
              <w:tcPr>
                <w:tcW w:w="2672" w:type="dxa"/>
                <w:shd w:val="clear" w:color="auto" w:fill="auto"/>
              </w:tcPr>
              <w:p w:rsidR="00645E74" w:rsidRDefault="00B736F4" w:rsidP="007A0DB2">
                <w:pPr>
                  <w:tabs>
                    <w:tab w:val="right" w:pos="8838"/>
                  </w:tabs>
                  <w:ind w:left="-59" w:right="-105"/>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90" w:type="dxa"/>
                <w:shd w:val="clear" w:color="auto" w:fill="auto"/>
              </w:tcPr>
              <w:p w:rsidR="00645E74" w:rsidRDefault="00B736F4" w:rsidP="007A0DB2">
                <w:pPr>
                  <w:ind w:right="-810" w:firstLine="6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645E74" w:rsidRDefault="00645E74" w:rsidP="007A0DB2">
                <w:pPr>
                  <w:ind w:right="-810" w:firstLine="63"/>
                  <w:rPr>
                    <w:rFonts w:ascii="Palatino Linotype" w:eastAsia="Palatino Linotype" w:hAnsi="Palatino Linotype" w:cs="Palatino Linotype"/>
                  </w:rPr>
                </w:pPr>
              </w:p>
            </w:tc>
          </w:tr>
        </w:tbl>
        <w:p w:rsidR="00645E74" w:rsidRDefault="00645E74">
          <w:pPr>
            <w:tabs>
              <w:tab w:val="right" w:pos="8838"/>
            </w:tabs>
            <w:ind w:left="-28"/>
            <w:jc w:val="both"/>
            <w:rPr>
              <w:rFonts w:ascii="Arial" w:eastAsia="Arial" w:hAnsi="Arial" w:cs="Arial"/>
              <w:b/>
              <w:bCs/>
              <w:sz w:val="22"/>
              <w:szCs w:val="22"/>
            </w:rPr>
          </w:pPr>
        </w:p>
      </w:tc>
    </w:tr>
  </w:tbl>
  <w:p w:rsidR="00645E74" w:rsidRDefault="00790DE1">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6.9pt;margin-top:-156.4pt;width:589.8pt;height:768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3E35"/>
    <w:multiLevelType w:val="multilevel"/>
    <w:tmpl w:val="67A456B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B35907"/>
    <w:multiLevelType w:val="multilevel"/>
    <w:tmpl w:val="2F10CD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996964"/>
    <w:multiLevelType w:val="multilevel"/>
    <w:tmpl w:val="D436B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3F5508"/>
    <w:multiLevelType w:val="multilevel"/>
    <w:tmpl w:val="B89E2508"/>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473E83"/>
    <w:multiLevelType w:val="multilevel"/>
    <w:tmpl w:val="CCAA1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145C5B"/>
    <w:multiLevelType w:val="multilevel"/>
    <w:tmpl w:val="B364A6F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74"/>
    <w:rsid w:val="00020DB3"/>
    <w:rsid w:val="003B057A"/>
    <w:rsid w:val="004300B9"/>
    <w:rsid w:val="0058421A"/>
    <w:rsid w:val="005855A8"/>
    <w:rsid w:val="00645E74"/>
    <w:rsid w:val="006E42BE"/>
    <w:rsid w:val="00790DE1"/>
    <w:rsid w:val="007A0DB2"/>
    <w:rsid w:val="007A1CEB"/>
    <w:rsid w:val="00A960D8"/>
    <w:rsid w:val="00AA16AB"/>
    <w:rsid w:val="00B736F4"/>
    <w:rsid w:val="00D01AF6"/>
    <w:rsid w:val="00F963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CA08487-72A7-4FAB-B710-4E90979D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0">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58421A"/>
    <w:pPr>
      <w:ind w:left="720"/>
      <w:contextualSpacing/>
    </w:pPr>
  </w:style>
  <w:style w:type="paragraph" w:styleId="Piedepgina">
    <w:name w:val="footer"/>
    <w:basedOn w:val="Normal"/>
    <w:link w:val="PiedepginaCar"/>
    <w:uiPriority w:val="99"/>
    <w:unhideWhenUsed/>
    <w:rsid w:val="00AA16AB"/>
    <w:pPr>
      <w:tabs>
        <w:tab w:val="center" w:pos="4419"/>
        <w:tab w:val="right" w:pos="8838"/>
      </w:tabs>
    </w:pPr>
  </w:style>
  <w:style w:type="character" w:customStyle="1" w:styleId="PiedepginaCar">
    <w:name w:val="Pie de página Car"/>
    <w:basedOn w:val="Fuentedeprrafopredeter"/>
    <w:link w:val="Piedepgina"/>
    <w:uiPriority w:val="99"/>
    <w:rsid w:val="00AA1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23609.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36303.page" TargetMode="External"/><Relationship Id="rId4" Type="http://schemas.openxmlformats.org/officeDocument/2006/relationships/settings" Target="settings.xml"/><Relationship Id="rId9" Type="http://schemas.openxmlformats.org/officeDocument/2006/relationships/hyperlink" Target="https://saimex.org.mx/saimex/solicitud/downloadAttach/2736302.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efc0g0C4duYlzyyc2h/w4zcSw==">CgMxLjAyCWguMWZvYjl0ZTIIaC5namRneHMyDmguNXVrNTU3NzRnanlrMgloLjN6bnlzaDcyCWguMmV0OTJwMDIJaC4zZHk2dmttMghoLnR5amN3dDIIaC5sbnhiejkyCWguM3JkY3JqbjIOaC53a24zNmloYXgwMzcyCWguMzBqMHpsbDgAciExemRFRm1MekZZTG1SNFhhQkRaaTZQdEFxQ2Z2YWJGOVk=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3863</Words>
  <Characters>21248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INFOEM-434</dc:creator>
  <cp:lastModifiedBy>Cuenta Microsoft</cp:lastModifiedBy>
  <cp:revision>8</cp:revision>
  <cp:lastPrinted>2026-06-05T16:42:00Z</cp:lastPrinted>
  <dcterms:created xsi:type="dcterms:W3CDTF">2026-06-01T20:57:00Z</dcterms:created>
  <dcterms:modified xsi:type="dcterms:W3CDTF">2026-06-09T23:25:00Z</dcterms:modified>
</cp:coreProperties>
</file>