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F6D9C" w14:textId="10BC9EE9" w:rsidR="004E3EF7" w:rsidRPr="009D3DF4" w:rsidRDefault="00F2495A" w:rsidP="00BF0DE4">
      <w:pPr>
        <w:spacing w:line="360" w:lineRule="auto"/>
        <w:jc w:val="both"/>
        <w:rPr>
          <w:rFonts w:ascii="Palatino Linotype" w:eastAsia="Palatino Linotype" w:hAnsi="Palatino Linotype" w:cs="Palatino Linotype"/>
          <w:b/>
          <w:bCs/>
        </w:rPr>
      </w:pPr>
      <w:r w:rsidRPr="009D3DF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FC0A57" w:rsidRPr="009D3DF4">
        <w:rPr>
          <w:rFonts w:ascii="Palatino Linotype" w:eastAsia="Palatino Linotype" w:hAnsi="Palatino Linotype" w:cs="Palatino Linotype"/>
          <w:b/>
          <w:bCs/>
        </w:rPr>
        <w:t xml:space="preserve">fecha veinticinco </w:t>
      </w:r>
      <w:r w:rsidR="009D3DF4">
        <w:rPr>
          <w:rFonts w:ascii="Palatino Linotype" w:eastAsia="Palatino Linotype" w:hAnsi="Palatino Linotype" w:cs="Palatino Linotype"/>
          <w:b/>
          <w:bCs/>
        </w:rPr>
        <w:t xml:space="preserve">(25) </w:t>
      </w:r>
      <w:r w:rsidRPr="009D3DF4">
        <w:rPr>
          <w:rFonts w:ascii="Palatino Linotype" w:eastAsia="Palatino Linotype" w:hAnsi="Palatino Linotype" w:cs="Palatino Linotype"/>
          <w:b/>
          <w:bCs/>
        </w:rPr>
        <w:t>de junio de dos mil veintiséis.</w:t>
      </w:r>
    </w:p>
    <w:p w14:paraId="351CF9CD" w14:textId="77777777" w:rsidR="004E3EF7" w:rsidRPr="009D3DF4" w:rsidRDefault="004E3EF7" w:rsidP="00BF0DE4">
      <w:pPr>
        <w:spacing w:line="360" w:lineRule="auto"/>
        <w:jc w:val="both"/>
        <w:rPr>
          <w:rFonts w:ascii="Palatino Linotype" w:eastAsia="Palatino Linotype" w:hAnsi="Palatino Linotype" w:cs="Palatino Linotype"/>
        </w:rPr>
      </w:pPr>
    </w:p>
    <w:p w14:paraId="33A7F854" w14:textId="307966E9" w:rsidR="004E3EF7" w:rsidRPr="009D3DF4" w:rsidRDefault="00F2495A" w:rsidP="00BF0DE4">
      <w:pPr>
        <w:spacing w:line="360" w:lineRule="auto"/>
        <w:jc w:val="both"/>
        <w:rPr>
          <w:rFonts w:ascii="Palatino Linotype" w:eastAsia="Palatino Linotype" w:hAnsi="Palatino Linotype" w:cs="Palatino Linotype"/>
        </w:rPr>
      </w:pPr>
      <w:r w:rsidRPr="009D3DF4">
        <w:rPr>
          <w:rFonts w:ascii="Palatino Linotype" w:eastAsia="Palatino Linotype" w:hAnsi="Palatino Linotype" w:cs="Palatino Linotype"/>
          <w:b/>
          <w:bCs/>
        </w:rPr>
        <w:t>VISTO</w:t>
      </w:r>
      <w:r w:rsidRPr="009D3DF4">
        <w:rPr>
          <w:rFonts w:ascii="Palatino Linotype" w:eastAsia="Palatino Linotype" w:hAnsi="Palatino Linotype" w:cs="Palatino Linotype"/>
        </w:rPr>
        <w:t xml:space="preserve"> el expediente electrónico formado con motivo del recurso de revisión </w:t>
      </w:r>
      <w:r w:rsidR="003F5BBB" w:rsidRPr="009D3DF4">
        <w:rPr>
          <w:rFonts w:ascii="Palatino Linotype" w:eastAsia="Palatino Linotype" w:hAnsi="Palatino Linotype" w:cs="Palatino Linotype"/>
          <w:b/>
          <w:bCs/>
        </w:rPr>
        <w:t>0</w:t>
      </w:r>
      <w:r w:rsidR="006E20BA" w:rsidRPr="009D3DF4">
        <w:rPr>
          <w:rFonts w:ascii="Palatino Linotype" w:eastAsia="Palatino Linotype" w:hAnsi="Palatino Linotype" w:cs="Palatino Linotype"/>
          <w:b/>
          <w:bCs/>
        </w:rPr>
        <w:t>1218</w:t>
      </w:r>
      <w:r w:rsidRPr="009D3DF4">
        <w:rPr>
          <w:rFonts w:ascii="Palatino Linotype" w:eastAsia="Palatino Linotype" w:hAnsi="Palatino Linotype" w:cs="Palatino Linotype"/>
          <w:b/>
          <w:bCs/>
        </w:rPr>
        <w:t>/INFOEM/IP/RR/202</w:t>
      </w:r>
      <w:r w:rsidR="003F5BBB" w:rsidRPr="009D3DF4">
        <w:rPr>
          <w:rFonts w:ascii="Palatino Linotype" w:eastAsia="Palatino Linotype" w:hAnsi="Palatino Linotype" w:cs="Palatino Linotype"/>
          <w:b/>
          <w:bCs/>
        </w:rPr>
        <w:t>6</w:t>
      </w:r>
      <w:r w:rsidRPr="009D3DF4">
        <w:rPr>
          <w:rFonts w:ascii="Palatino Linotype" w:eastAsia="Palatino Linotype" w:hAnsi="Palatino Linotype" w:cs="Palatino Linotype"/>
          <w:b/>
          <w:bCs/>
        </w:rPr>
        <w:t xml:space="preserve">, </w:t>
      </w:r>
      <w:r w:rsidRPr="009D3DF4">
        <w:rPr>
          <w:rFonts w:ascii="Palatino Linotype" w:eastAsia="Palatino Linotype" w:hAnsi="Palatino Linotype" w:cs="Palatino Linotype"/>
        </w:rPr>
        <w:t xml:space="preserve">promovido por </w:t>
      </w:r>
      <w:r w:rsidR="009C7E8E">
        <w:rPr>
          <w:rFonts w:ascii="Palatino Linotype" w:eastAsia="Palatino Linotype" w:hAnsi="Palatino Linotype" w:cs="Palatino Linotype"/>
          <w:b/>
          <w:bCs/>
        </w:rPr>
        <w:t>XXXX</w:t>
      </w:r>
      <w:r w:rsidRPr="009D3DF4">
        <w:rPr>
          <w:rFonts w:ascii="Palatino Linotype" w:eastAsia="Palatino Linotype" w:hAnsi="Palatino Linotype" w:cs="Palatino Linotype"/>
          <w:b/>
          <w:bCs/>
        </w:rPr>
        <w:t xml:space="preserve">, </w:t>
      </w:r>
      <w:r w:rsidRPr="009D3DF4">
        <w:rPr>
          <w:rFonts w:ascii="Palatino Linotype" w:eastAsia="Palatino Linotype" w:hAnsi="Palatino Linotype" w:cs="Palatino Linotype"/>
        </w:rPr>
        <w:t xml:space="preserve">en lo sucesivo </w:t>
      </w:r>
      <w:r w:rsidRPr="009D3DF4">
        <w:rPr>
          <w:rFonts w:ascii="Palatino Linotype" w:eastAsia="Palatino Linotype" w:hAnsi="Palatino Linotype" w:cs="Palatino Linotype"/>
          <w:b/>
          <w:bCs/>
        </w:rPr>
        <w:t xml:space="preserve">el RECURRENTE, </w:t>
      </w:r>
      <w:r w:rsidRPr="009D3DF4">
        <w:rPr>
          <w:rFonts w:ascii="Palatino Linotype" w:eastAsia="Palatino Linotype" w:hAnsi="Palatino Linotype" w:cs="Palatino Linotype"/>
        </w:rPr>
        <w:t xml:space="preserve">en contra de la respuesta del </w:t>
      </w:r>
      <w:r w:rsidRPr="009D3DF4">
        <w:rPr>
          <w:rFonts w:ascii="Palatino Linotype" w:eastAsia="Palatino Linotype" w:hAnsi="Palatino Linotype" w:cs="Palatino Linotype"/>
          <w:b/>
          <w:bCs/>
        </w:rPr>
        <w:t>Ayuntamiento de</w:t>
      </w:r>
      <w:r w:rsidR="006E20BA" w:rsidRPr="009D3DF4">
        <w:rPr>
          <w:rFonts w:ascii="Palatino Linotype" w:eastAsia="Palatino Linotype" w:hAnsi="Palatino Linotype" w:cs="Palatino Linotype"/>
          <w:b/>
          <w:bCs/>
        </w:rPr>
        <w:t xml:space="preserve"> Ayapango</w:t>
      </w:r>
      <w:r w:rsidRPr="009D3DF4">
        <w:rPr>
          <w:rFonts w:ascii="Palatino Linotype" w:eastAsia="Palatino Linotype" w:hAnsi="Palatino Linotype" w:cs="Palatino Linotype"/>
          <w:b/>
          <w:bCs/>
        </w:rPr>
        <w:t xml:space="preserve">, </w:t>
      </w:r>
      <w:r w:rsidRPr="009D3DF4">
        <w:rPr>
          <w:rFonts w:ascii="Palatino Linotype" w:eastAsia="Palatino Linotype" w:hAnsi="Palatino Linotype" w:cs="Palatino Linotype"/>
        </w:rPr>
        <w:t>en adelante el</w:t>
      </w:r>
      <w:r w:rsidRPr="009D3DF4">
        <w:rPr>
          <w:rFonts w:ascii="Palatino Linotype" w:eastAsia="Palatino Linotype" w:hAnsi="Palatino Linotype" w:cs="Palatino Linotype"/>
          <w:b/>
          <w:bCs/>
        </w:rPr>
        <w:t xml:space="preserve"> SUJETO OBLIGADO</w:t>
      </w:r>
      <w:r w:rsidRPr="009D3DF4">
        <w:rPr>
          <w:rFonts w:ascii="Palatino Linotype" w:eastAsia="Palatino Linotype" w:hAnsi="Palatino Linotype" w:cs="Palatino Linotype"/>
        </w:rPr>
        <w:t>, por lo que se procede a dictar la presente resolución, con base en los siguientes:</w:t>
      </w:r>
    </w:p>
    <w:p w14:paraId="4DEE7399" w14:textId="77777777" w:rsidR="004E3EF7" w:rsidRPr="009D3DF4" w:rsidRDefault="004E3EF7" w:rsidP="00BF0DE4">
      <w:pPr>
        <w:spacing w:line="360" w:lineRule="auto"/>
        <w:jc w:val="both"/>
        <w:rPr>
          <w:rFonts w:ascii="Palatino Linotype" w:eastAsia="Palatino Linotype" w:hAnsi="Palatino Linotype" w:cs="Palatino Linotype"/>
        </w:rPr>
      </w:pPr>
    </w:p>
    <w:p w14:paraId="4FD5A08E" w14:textId="77777777" w:rsidR="004E3EF7" w:rsidRPr="009D3DF4" w:rsidRDefault="00F2495A" w:rsidP="00BF0DE4">
      <w:pPr>
        <w:keepNext/>
        <w:keepLines/>
        <w:spacing w:line="360" w:lineRule="auto"/>
        <w:jc w:val="center"/>
        <w:rPr>
          <w:rFonts w:ascii="Palatino Linotype" w:eastAsia="Palatino Linotype" w:hAnsi="Palatino Linotype" w:cs="Palatino Linotype"/>
          <w:b/>
          <w:bCs/>
        </w:rPr>
      </w:pPr>
      <w:r w:rsidRPr="009D3DF4">
        <w:rPr>
          <w:rFonts w:ascii="Palatino Linotype" w:eastAsia="Palatino Linotype" w:hAnsi="Palatino Linotype" w:cs="Palatino Linotype"/>
          <w:b/>
          <w:bCs/>
        </w:rPr>
        <w:t>A N T E C E D E N T E S</w:t>
      </w:r>
    </w:p>
    <w:p w14:paraId="517D379C" w14:textId="77777777" w:rsidR="004E3EF7" w:rsidRPr="009D3DF4" w:rsidRDefault="004E3EF7" w:rsidP="00BF0DE4">
      <w:pPr>
        <w:spacing w:line="360" w:lineRule="auto"/>
        <w:rPr>
          <w:rFonts w:ascii="Palatino Linotype" w:eastAsia="Palatino Linotype" w:hAnsi="Palatino Linotype" w:cs="Palatino Linotype"/>
        </w:rPr>
      </w:pPr>
    </w:p>
    <w:p w14:paraId="4BCB3536" w14:textId="191A5D97"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0" w:name="_heading=h.ntdj20mvnznb" w:colFirst="0" w:colLast="0"/>
      <w:bookmarkEnd w:id="0"/>
      <w:r w:rsidRPr="009D3DF4">
        <w:rPr>
          <w:rFonts w:ascii="Palatino Linotype" w:eastAsia="Palatino Linotype" w:hAnsi="Palatino Linotype" w:cs="Palatino Linotype"/>
        </w:rPr>
        <w:t xml:space="preserve">El </w:t>
      </w:r>
      <w:r w:rsidR="006E20BA" w:rsidRPr="009D3DF4">
        <w:rPr>
          <w:rFonts w:ascii="Palatino Linotype" w:eastAsia="Palatino Linotype" w:hAnsi="Palatino Linotype" w:cs="Palatino Linotype"/>
        </w:rPr>
        <w:t>doce de enero de dos mil veintiséis</w:t>
      </w:r>
      <w:r w:rsidRPr="009D3DF4">
        <w:rPr>
          <w:rFonts w:ascii="Palatino Linotype" w:eastAsia="Palatino Linotype" w:hAnsi="Palatino Linotype" w:cs="Palatino Linotype"/>
        </w:rPr>
        <w:t>, la</w:t>
      </w:r>
      <w:r w:rsidRPr="009D3DF4">
        <w:rPr>
          <w:rFonts w:ascii="Palatino Linotype" w:eastAsia="Palatino Linotype" w:hAnsi="Palatino Linotype" w:cs="Palatino Linotype"/>
          <w:b/>
          <w:bCs/>
        </w:rPr>
        <w:t xml:space="preserve"> </w:t>
      </w:r>
      <w:r w:rsidRPr="009D3DF4">
        <w:rPr>
          <w:rFonts w:ascii="Palatino Linotype" w:eastAsia="Palatino Linotype" w:hAnsi="Palatino Linotype" w:cs="Palatino Linotype"/>
        </w:rPr>
        <w:t>parte</w:t>
      </w:r>
      <w:r w:rsidRPr="009D3DF4">
        <w:rPr>
          <w:rFonts w:ascii="Palatino Linotype" w:eastAsia="Palatino Linotype" w:hAnsi="Palatino Linotype" w:cs="Palatino Linotype"/>
          <w:b/>
          <w:bCs/>
        </w:rPr>
        <w:t xml:space="preserve"> RECURRENTE </w:t>
      </w:r>
      <w:r w:rsidRPr="009D3DF4">
        <w:rPr>
          <w:rFonts w:ascii="Palatino Linotype" w:eastAsia="Palatino Linotype" w:hAnsi="Palatino Linotype" w:cs="Palatino Linotype"/>
        </w:rPr>
        <w:t xml:space="preserve">presentó ante el </w:t>
      </w:r>
      <w:r w:rsidRPr="009D3DF4">
        <w:rPr>
          <w:rFonts w:ascii="Palatino Linotype" w:eastAsia="Palatino Linotype" w:hAnsi="Palatino Linotype" w:cs="Palatino Linotype"/>
          <w:b/>
          <w:bCs/>
        </w:rPr>
        <w:t>SUJETO OBLIGADO,</w:t>
      </w:r>
      <w:r w:rsidRPr="009D3DF4">
        <w:rPr>
          <w:rFonts w:ascii="Palatino Linotype" w:eastAsia="Palatino Linotype" w:hAnsi="Palatino Linotype" w:cs="Palatino Linotype"/>
        </w:rPr>
        <w:t xml:space="preserve"> a través del el Sistema de Acceso a la Información Mexiquense </w:t>
      </w:r>
      <w:r w:rsidRPr="009D3DF4">
        <w:rPr>
          <w:rFonts w:ascii="Palatino Linotype" w:eastAsia="Palatino Linotype" w:hAnsi="Palatino Linotype" w:cs="Palatino Linotype"/>
          <w:b/>
          <w:bCs/>
        </w:rPr>
        <w:t>(SAIMEX),</w:t>
      </w:r>
      <w:r w:rsidRPr="009D3DF4">
        <w:rPr>
          <w:rFonts w:ascii="Palatino Linotype" w:eastAsia="Palatino Linotype" w:hAnsi="Palatino Linotype" w:cs="Palatino Linotype"/>
        </w:rPr>
        <w:t xml:space="preserve"> la solicitud de información pública </w:t>
      </w:r>
      <w:r w:rsidRPr="009D3DF4">
        <w:rPr>
          <w:rFonts w:ascii="Palatino Linotype" w:eastAsia="Palatino Linotype" w:hAnsi="Palatino Linotype" w:cs="Palatino Linotype"/>
          <w:b/>
          <w:bCs/>
        </w:rPr>
        <w:t>0</w:t>
      </w:r>
      <w:r w:rsidR="006E20BA" w:rsidRPr="009D3DF4">
        <w:rPr>
          <w:rFonts w:ascii="Palatino Linotype" w:eastAsia="Palatino Linotype" w:hAnsi="Palatino Linotype" w:cs="Palatino Linotype"/>
          <w:b/>
          <w:bCs/>
        </w:rPr>
        <w:t>000</w:t>
      </w:r>
      <w:r w:rsidR="003F5BBB" w:rsidRPr="009D3DF4">
        <w:rPr>
          <w:rFonts w:ascii="Palatino Linotype" w:eastAsia="Palatino Linotype" w:hAnsi="Palatino Linotype" w:cs="Palatino Linotype"/>
          <w:b/>
          <w:bCs/>
        </w:rPr>
        <w:t>4</w:t>
      </w:r>
      <w:r w:rsidRPr="009D3DF4">
        <w:rPr>
          <w:rFonts w:ascii="Palatino Linotype" w:eastAsia="Palatino Linotype" w:hAnsi="Palatino Linotype" w:cs="Palatino Linotype"/>
          <w:b/>
          <w:bCs/>
        </w:rPr>
        <w:t>/</w:t>
      </w:r>
      <w:r w:rsidR="006E20BA" w:rsidRPr="009D3DF4">
        <w:rPr>
          <w:rFonts w:ascii="Palatino Linotype" w:eastAsia="Palatino Linotype" w:hAnsi="Palatino Linotype" w:cs="Palatino Linotype"/>
          <w:b/>
          <w:bCs/>
        </w:rPr>
        <w:t>AYAPANGO</w:t>
      </w:r>
      <w:r w:rsidRPr="009D3DF4">
        <w:rPr>
          <w:rFonts w:ascii="Palatino Linotype" w:eastAsia="Palatino Linotype" w:hAnsi="Palatino Linotype" w:cs="Palatino Linotype"/>
          <w:b/>
          <w:bCs/>
        </w:rPr>
        <w:t>/IP/202</w:t>
      </w:r>
      <w:r w:rsidR="006E20BA" w:rsidRPr="009D3DF4">
        <w:rPr>
          <w:rFonts w:ascii="Palatino Linotype" w:eastAsia="Palatino Linotype" w:hAnsi="Palatino Linotype" w:cs="Palatino Linotype"/>
          <w:b/>
          <w:bCs/>
        </w:rPr>
        <w:t>6</w:t>
      </w:r>
      <w:r w:rsidRPr="009D3DF4">
        <w:rPr>
          <w:rFonts w:ascii="Palatino Linotype" w:eastAsia="Palatino Linotype" w:hAnsi="Palatino Linotype" w:cs="Palatino Linotype"/>
        </w:rPr>
        <w:t>, en la que solicitó:</w:t>
      </w:r>
    </w:p>
    <w:p w14:paraId="4DC534C7" w14:textId="77777777" w:rsidR="004E3EF7" w:rsidRPr="009D3DF4" w:rsidRDefault="004E3EF7" w:rsidP="00361853">
      <w:pPr>
        <w:ind w:left="567" w:right="567"/>
        <w:jc w:val="both"/>
        <w:rPr>
          <w:rFonts w:ascii="Palatino Linotype" w:eastAsia="Palatino Linotype" w:hAnsi="Palatino Linotype" w:cs="Palatino Linotype"/>
          <w:i/>
          <w:iCs/>
        </w:rPr>
      </w:pPr>
    </w:p>
    <w:p w14:paraId="631F562B" w14:textId="5739122E" w:rsidR="004E3EF7" w:rsidRPr="009D3DF4" w:rsidRDefault="00361853" w:rsidP="00361853">
      <w:pPr>
        <w:pBdr>
          <w:top w:val="nil"/>
          <w:left w:val="nil"/>
          <w:bottom w:val="nil"/>
          <w:right w:val="nil"/>
          <w:between w:val="nil"/>
        </w:pBdr>
        <w:ind w:left="567" w:right="567"/>
        <w:jc w:val="both"/>
        <w:rPr>
          <w:rFonts w:ascii="Palatino Linotype" w:hAnsi="Palatino Linotype"/>
          <w:i/>
          <w:iCs/>
          <w:color w:val="000000"/>
        </w:rPr>
      </w:pPr>
      <w:r w:rsidRPr="009D3DF4">
        <w:rPr>
          <w:rFonts w:ascii="Palatino Linotype" w:hAnsi="Palatino Linotype"/>
          <w:i/>
          <w:iCs/>
          <w:color w:val="000000"/>
        </w:rPr>
        <w:t xml:space="preserve">"Por medio de la presente, y con fundamento en el Artículo 6° de la Constitución Federal y la Ley de Transparencia del Estado de México, solicito la siguiente información pública al H. Ayuntamiento de Ayapango: </w:t>
      </w:r>
      <w:r w:rsidRPr="009D3DF4">
        <w:rPr>
          <w:rFonts w:ascii="Palatino Linotype" w:hAnsi="Palatino Linotype"/>
          <w:b/>
          <w:bCs/>
          <w:i/>
          <w:iCs/>
          <w:color w:val="000000"/>
        </w:rPr>
        <w:t>El estado procesal y respuesta formal al oficio entregado por la suscrita con fecha 18 de noviembre de 2025, relativo a la adecuación de infraestructura vial (rampas) para personas con discapacidad. Se informe si existe un dictamen técnico de la Dirección de Obras Públicas sobre la rampa ubicada en mi solicitud original, la cual presenta defectos de construcción que impiden su uso. Se especifique el presupuesto asignado este año para la eliminación de barreras arquitectónicas en el municipio</w:t>
      </w:r>
      <w:r w:rsidRPr="009D3DF4">
        <w:rPr>
          <w:rFonts w:ascii="Palatino Linotype" w:hAnsi="Palatino Linotype"/>
          <w:i/>
          <w:iCs/>
          <w:color w:val="000000"/>
        </w:rPr>
        <w:t xml:space="preserve">. Nota de apercibimiento: Hago del conocimiento de esta unidad de transparencia que la falta de respuesta a mi petición previa constituye una práctica discriminatoria y una violación al derecho a la movilidad y accesibilidad universal (Art. 1° Constitucional). Como mujer trans y persona con </w:t>
      </w:r>
      <w:r w:rsidRPr="009D3DF4">
        <w:rPr>
          <w:rFonts w:ascii="Palatino Linotype" w:hAnsi="Palatino Linotype"/>
          <w:i/>
          <w:iCs/>
          <w:color w:val="000000"/>
        </w:rPr>
        <w:lastRenderedPageBreak/>
        <w:t>discapacidad, exijo que el ejercicio de mi derecho de petición sea atendido sin sesgos ni dilaciones injustificadas." (Sic)</w:t>
      </w:r>
    </w:p>
    <w:p w14:paraId="437B488D" w14:textId="6B9B1AE4" w:rsidR="00361853" w:rsidRPr="009D3DF4" w:rsidRDefault="00361853" w:rsidP="00361853">
      <w:pPr>
        <w:pBdr>
          <w:top w:val="nil"/>
          <w:left w:val="nil"/>
          <w:bottom w:val="nil"/>
          <w:right w:val="nil"/>
          <w:between w:val="nil"/>
        </w:pBdr>
        <w:ind w:right="567"/>
        <w:jc w:val="both"/>
        <w:rPr>
          <w:rFonts w:ascii="Palatino Linotype" w:hAnsi="Palatino Linotype"/>
          <w:i/>
          <w:iCs/>
          <w:color w:val="000000"/>
        </w:rPr>
      </w:pPr>
    </w:p>
    <w:p w14:paraId="6835E50D" w14:textId="1AD89BB8" w:rsidR="00361853" w:rsidRPr="009D3DF4" w:rsidRDefault="00361853" w:rsidP="00361853">
      <w:pPr>
        <w:pBdr>
          <w:top w:val="nil"/>
          <w:left w:val="nil"/>
          <w:bottom w:val="nil"/>
          <w:right w:val="nil"/>
          <w:between w:val="nil"/>
        </w:pBdr>
        <w:ind w:right="567"/>
        <w:jc w:val="both"/>
        <w:rPr>
          <w:rFonts w:ascii="Palatino Linotype" w:hAnsi="Palatino Linotype"/>
          <w:b/>
          <w:bCs/>
          <w:color w:val="000000"/>
        </w:rPr>
      </w:pPr>
      <w:r w:rsidRPr="009D3DF4">
        <w:rPr>
          <w:rFonts w:ascii="Palatino Linotype" w:hAnsi="Palatino Linotype"/>
          <w:b/>
          <w:bCs/>
          <w:color w:val="000000"/>
        </w:rPr>
        <w:t xml:space="preserve">Archivo electrónico adjunto: </w:t>
      </w:r>
    </w:p>
    <w:p w14:paraId="23C0D018" w14:textId="03F1C40C" w:rsidR="00361853" w:rsidRPr="009D3DF4" w:rsidRDefault="004464AA" w:rsidP="00361853">
      <w:pPr>
        <w:spacing w:before="100" w:beforeAutospacing="1" w:after="100" w:afterAutospacing="1"/>
        <w:ind w:left="360" w:right="567"/>
        <w:jc w:val="both"/>
        <w:rPr>
          <w:rFonts w:ascii="Palatino Linotype" w:hAnsi="Palatino Linotype" w:cs="Arial"/>
        </w:rPr>
      </w:pPr>
      <w:hyperlink r:id="rId8" w:tgtFrame="_blank" w:history="1">
        <w:r w:rsidR="00361853" w:rsidRPr="009D3DF4">
          <w:rPr>
            <w:rStyle w:val="Hipervnculo"/>
            <w:rFonts w:ascii="Palatino Linotype" w:hAnsi="Palatino Linotype" w:cs="Arial"/>
            <w:b/>
            <w:bCs/>
            <w:color w:val="auto"/>
            <w:u w:val="none"/>
          </w:rPr>
          <w:t>IMG_2026-01-12-08-41-41-141.jpg</w:t>
        </w:r>
      </w:hyperlink>
      <w:r w:rsidR="00361853" w:rsidRPr="009D3DF4">
        <w:rPr>
          <w:rFonts w:ascii="Palatino Linotype" w:hAnsi="Palatino Linotype" w:cs="Arial"/>
        </w:rPr>
        <w:t>: Escrito de fecha 18 de noviembre de 2025, dirigido al Presidente Municipal y a la Dirección de Obras Públicas del Ayuntamiento de Ayapango, el cual tiene por asunto: “Solicitud de construcción y adecuación de rampas de acceso universal en la vía pública”.</w:t>
      </w:r>
    </w:p>
    <w:p w14:paraId="1BBEDB5A" w14:textId="77777777" w:rsidR="00361853" w:rsidRPr="009D3DF4" w:rsidRDefault="00361853" w:rsidP="00361853">
      <w:pPr>
        <w:spacing w:before="100" w:beforeAutospacing="1" w:after="100" w:afterAutospacing="1"/>
        <w:ind w:right="567"/>
        <w:jc w:val="both"/>
        <w:rPr>
          <w:rFonts w:ascii="Palatino Linotype" w:hAnsi="Palatino Linotype" w:cs="Arial"/>
        </w:rPr>
      </w:pPr>
    </w:p>
    <w:p w14:paraId="4439A7A8" w14:textId="606F36D1" w:rsidR="004E3EF7" w:rsidRPr="009D3DF4" w:rsidRDefault="00F2495A" w:rsidP="002934A0">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 xml:space="preserve">Se hace constar que se señaló como modalidad de entrega de la información a través del </w:t>
      </w:r>
      <w:r w:rsidRPr="009D3DF4">
        <w:rPr>
          <w:rFonts w:ascii="Palatino Linotype" w:eastAsia="Palatino Linotype" w:hAnsi="Palatino Linotype" w:cs="Palatino Linotype"/>
          <w:b/>
          <w:bCs/>
        </w:rPr>
        <w:t>SAIMEX.</w:t>
      </w:r>
    </w:p>
    <w:p w14:paraId="2596EBEF" w14:textId="77777777" w:rsidR="00BF0DE4" w:rsidRPr="009D3DF4" w:rsidRDefault="00BF0DE4" w:rsidP="002934A0">
      <w:pPr>
        <w:spacing w:line="360" w:lineRule="auto"/>
        <w:jc w:val="both"/>
        <w:rPr>
          <w:rFonts w:ascii="Palatino Linotype" w:eastAsia="Palatino Linotype" w:hAnsi="Palatino Linotype" w:cs="Palatino Linotype"/>
        </w:rPr>
      </w:pPr>
    </w:p>
    <w:p w14:paraId="227BDDFD" w14:textId="4161E004" w:rsidR="00361853" w:rsidRPr="009D3DF4" w:rsidRDefault="00361853" w:rsidP="002934A0">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 xml:space="preserve">El catorce de enero de dos mil veintiséis, el </w:t>
      </w:r>
      <w:r w:rsidRPr="009D3DF4">
        <w:rPr>
          <w:rFonts w:ascii="Palatino Linotype" w:eastAsia="Palatino Linotype" w:hAnsi="Palatino Linotype" w:cs="Palatino Linotype"/>
          <w:b/>
          <w:bCs/>
        </w:rPr>
        <w:t>SUJETO OBLIGADO</w:t>
      </w:r>
      <w:r w:rsidRPr="009D3DF4">
        <w:rPr>
          <w:rFonts w:ascii="Palatino Linotype" w:eastAsia="Palatino Linotype" w:hAnsi="Palatino Linotype" w:cs="Palatino Linotype"/>
        </w:rPr>
        <w:t xml:space="preserve"> realizó un requerimiento de aclaración de la solicitud, en los siguientes términos:</w:t>
      </w:r>
    </w:p>
    <w:p w14:paraId="410A80F3" w14:textId="7782EBD2" w:rsidR="00361853" w:rsidRPr="009D3DF4" w:rsidRDefault="00361853" w:rsidP="00361853">
      <w:pPr>
        <w:ind w:left="567" w:right="567"/>
        <w:jc w:val="both"/>
        <w:rPr>
          <w:rFonts w:ascii="Palatino Linotype" w:eastAsia="Palatino Linotype" w:hAnsi="Palatino Linotype" w:cs="Palatino Linotype"/>
          <w:i/>
          <w:iCs/>
        </w:rPr>
      </w:pPr>
      <w:r w:rsidRPr="009D3DF4">
        <w:rPr>
          <w:rFonts w:ascii="Palatino Linotype" w:eastAsia="Palatino Linotype" w:hAnsi="Palatino Linotype" w:cs="Palatino Linotype"/>
          <w:i/>
          <w:iCs/>
        </w:rPr>
        <w:t xml:space="preserve">“… </w:t>
      </w:r>
      <w:r w:rsidRPr="009D3DF4">
        <w:rPr>
          <w:rFonts w:ascii="Palatino Linotype" w:hAnsi="Palatino Linotype"/>
          <w:i/>
          <w:iCs/>
          <w:color w:val="000000"/>
        </w:rPr>
        <w:t>Por medio del presente reciba un cordial y afectuoso saludo y al mismo tiempo, me dirijo de la manera más atenta y respetuosa, respecto a la solicitud No. 00004/AYAPANGO/IP/2026 para informarle que una vez revisada la petición, se advierte que hace referencia a un escrito de fecha del 18 de noviembre del 2025; sin señalar quien lo suscribe ni advertirse la existencia de una copia que permita mayores de los datos de identificación por lo que, se le solicita se sirva proporcionar imagen y/o archivo del documento al que hace referencia.” (Sic)</w:t>
      </w:r>
    </w:p>
    <w:p w14:paraId="1948AC11" w14:textId="77777777" w:rsidR="00361853" w:rsidRPr="009D3DF4" w:rsidRDefault="00361853" w:rsidP="00361853">
      <w:pPr>
        <w:rPr>
          <w:rFonts w:ascii="Palatino Linotype" w:eastAsia="Palatino Linotype" w:hAnsi="Palatino Linotype" w:cs="Palatino Linotype"/>
        </w:rPr>
      </w:pPr>
    </w:p>
    <w:p w14:paraId="1DA26683" w14:textId="0C535675" w:rsidR="00361853" w:rsidRPr="009D3DF4" w:rsidRDefault="00361853" w:rsidP="00361853">
      <w:pPr>
        <w:rPr>
          <w:rFonts w:ascii="Palatino Linotype" w:eastAsia="Palatino Linotype" w:hAnsi="Palatino Linotype" w:cs="Palatino Linotype"/>
          <w:b/>
          <w:bCs/>
        </w:rPr>
      </w:pPr>
      <w:r w:rsidRPr="009D3DF4">
        <w:rPr>
          <w:rFonts w:ascii="Palatino Linotype" w:eastAsia="Palatino Linotype" w:hAnsi="Palatino Linotype" w:cs="Palatino Linotype"/>
          <w:b/>
          <w:bCs/>
        </w:rPr>
        <w:t>Archivos electrónicos adjuntos:</w:t>
      </w:r>
    </w:p>
    <w:p w14:paraId="6692F0FF" w14:textId="318F4BDB" w:rsidR="00361853" w:rsidRPr="009D3DF4" w:rsidRDefault="004464AA" w:rsidP="00361853">
      <w:pPr>
        <w:ind w:left="567"/>
        <w:jc w:val="both"/>
        <w:rPr>
          <w:rFonts w:ascii="Palatino Linotype" w:hAnsi="Palatino Linotype"/>
        </w:rPr>
      </w:pPr>
      <w:hyperlink r:id="rId9" w:tgtFrame="_blank" w:history="1">
        <w:r w:rsidR="00361853" w:rsidRPr="009D3DF4">
          <w:rPr>
            <w:rStyle w:val="Hipervnculo"/>
            <w:rFonts w:ascii="Palatino Linotype" w:hAnsi="Palatino Linotype" w:cs="Arial"/>
            <w:b/>
            <w:bCs/>
            <w:color w:val="auto"/>
            <w:u w:val="none"/>
          </w:rPr>
          <w:t>00004.pdf</w:t>
        </w:r>
      </w:hyperlink>
      <w:r w:rsidR="00361853" w:rsidRPr="009D3DF4">
        <w:rPr>
          <w:rFonts w:ascii="Palatino Linotype" w:hAnsi="Palatino Linotype"/>
        </w:rPr>
        <w:t xml:space="preserve">: Oficio suscrito por el Coordinador de Infrmación Pública, mediante el cual, manifestó lo siguiente:  </w:t>
      </w:r>
      <w:r w:rsidR="00361853" w:rsidRPr="009D3DF4">
        <w:rPr>
          <w:rFonts w:ascii="Palatino Linotype" w:hAnsi="Palatino Linotype"/>
          <w:i/>
          <w:iCs/>
        </w:rPr>
        <w:t>“… se advierte que hace referencia aun escrito de fecha 18 de noviembre del 2025; sin señalar quine lo suscribe ni advertirse la existencia de una copia que mermita mayores datos de identificación por lo que, se le solicita se sirva proporcionar imagen y/o archivo del documento al que hace referencia. Lo anterior para estar en aptitud de remitir su solicitud al área que refiere y la misma tenga mayores datos de identificación, de lo expresado por usted de ello con la finalidad de que el área señalada por usted cuente con elementos necesarios para identificar la documentación que refiere.” (Sic)</w:t>
      </w:r>
    </w:p>
    <w:p w14:paraId="66B4ADBD" w14:textId="2F578F9C" w:rsidR="00361853" w:rsidRPr="009D3DF4" w:rsidRDefault="00361853" w:rsidP="002934A0">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lastRenderedPageBreak/>
        <w:t xml:space="preserve">El veintidós de enero de dos mil veintiséis, la parte </w:t>
      </w:r>
      <w:r w:rsidRPr="009D3DF4">
        <w:rPr>
          <w:rFonts w:ascii="Palatino Linotype" w:eastAsia="Palatino Linotype" w:hAnsi="Palatino Linotype" w:cs="Palatino Linotype"/>
          <w:b/>
          <w:bCs/>
        </w:rPr>
        <w:t xml:space="preserve">RECURRENTE </w:t>
      </w:r>
      <w:r w:rsidRPr="009D3DF4">
        <w:rPr>
          <w:rFonts w:ascii="Palatino Linotype" w:eastAsia="Palatino Linotype" w:hAnsi="Palatino Linotype" w:cs="Palatino Linotype"/>
        </w:rPr>
        <w:t>atendió el requerimiento de aclaración, en los siguientes términos:</w:t>
      </w:r>
    </w:p>
    <w:p w14:paraId="1A37ED37" w14:textId="519BBF48" w:rsidR="00361853" w:rsidRPr="009D3DF4" w:rsidRDefault="00361853" w:rsidP="00361853">
      <w:pPr>
        <w:ind w:left="567" w:right="567"/>
        <w:jc w:val="both"/>
        <w:rPr>
          <w:rFonts w:ascii="Palatino Linotype" w:eastAsia="Palatino Linotype" w:hAnsi="Palatino Linotype" w:cs="Palatino Linotype"/>
          <w:i/>
          <w:iCs/>
        </w:rPr>
      </w:pPr>
      <w:r w:rsidRPr="009D3DF4">
        <w:rPr>
          <w:rFonts w:ascii="Palatino Linotype" w:eastAsia="Palatino Linotype" w:hAnsi="Palatino Linotype" w:cs="Palatino Linotype"/>
          <w:i/>
          <w:iCs/>
        </w:rPr>
        <w:t>“</w:t>
      </w:r>
      <w:r w:rsidRPr="009D3DF4">
        <w:rPr>
          <w:rFonts w:ascii="Palatino Linotype" w:hAnsi="Palatino Linotype"/>
          <w:i/>
          <w:iCs/>
          <w:color w:val="000000"/>
        </w:rPr>
        <w:t>En respuesta al requerimiento del folio 00004/AYAPANGO/IP/2026, aclaro que el escrito de fecha 18 de noviembre de 2025 fue suscrito por mi persona. Adjunto imagen del acuse de recibo donde consta el sello oficial de este H. Ayuntamiento. Asimismo, reitero que mi identidad y personalidad están acreditadas en esta plataforma de SAIMEX. Solicito se localice dicho documento en sus archivos y se me brinde la respuesta formal al estado procesal de mi petición, en atención a mis derechos y mi condición de vulnerabilidad.</w:t>
      </w:r>
      <w:r w:rsidRPr="009D3DF4">
        <w:rPr>
          <w:rFonts w:ascii="Palatino Linotype" w:eastAsia="Palatino Linotype" w:hAnsi="Palatino Linotype" w:cs="Palatino Linotype"/>
          <w:i/>
          <w:iCs/>
        </w:rPr>
        <w:t>” (Sic)</w:t>
      </w:r>
    </w:p>
    <w:p w14:paraId="54E321CD" w14:textId="7FAC7BEB" w:rsidR="00361853" w:rsidRPr="009D3DF4" w:rsidRDefault="00361853" w:rsidP="00361853">
      <w:pPr>
        <w:jc w:val="both"/>
        <w:rPr>
          <w:rFonts w:ascii="Palatino Linotype" w:eastAsia="Palatino Linotype" w:hAnsi="Palatino Linotype" w:cs="Palatino Linotype"/>
          <w:b/>
          <w:bCs/>
        </w:rPr>
      </w:pPr>
    </w:p>
    <w:p w14:paraId="171ADAD0" w14:textId="3A389172" w:rsidR="00361853" w:rsidRPr="009D3DF4" w:rsidRDefault="00361853" w:rsidP="00361853">
      <w:pPr>
        <w:spacing w:line="360" w:lineRule="auto"/>
        <w:jc w:val="both"/>
        <w:rPr>
          <w:rFonts w:ascii="Palatino Linotype" w:eastAsia="Palatino Linotype" w:hAnsi="Palatino Linotype" w:cs="Palatino Linotype"/>
          <w:b/>
          <w:bCs/>
        </w:rPr>
      </w:pPr>
      <w:r w:rsidRPr="009D3DF4">
        <w:rPr>
          <w:rFonts w:ascii="Palatino Linotype" w:eastAsia="Palatino Linotype" w:hAnsi="Palatino Linotype" w:cs="Palatino Linotype"/>
          <w:b/>
          <w:bCs/>
        </w:rPr>
        <w:t>Archivos electrónicos adjuntos:</w:t>
      </w:r>
    </w:p>
    <w:p w14:paraId="46932FF5" w14:textId="377D80FA" w:rsidR="00361853" w:rsidRPr="009D3DF4" w:rsidRDefault="004464AA" w:rsidP="00361853">
      <w:pPr>
        <w:ind w:left="567" w:right="567"/>
        <w:jc w:val="both"/>
        <w:rPr>
          <w:rFonts w:ascii="Palatino Linotype" w:hAnsi="Palatino Linotype"/>
        </w:rPr>
      </w:pPr>
      <w:hyperlink r:id="rId10" w:tgtFrame="_blank" w:history="1">
        <w:r w:rsidR="00361853" w:rsidRPr="009D3DF4">
          <w:rPr>
            <w:rStyle w:val="Hipervnculo"/>
            <w:rFonts w:ascii="Palatino Linotype" w:hAnsi="Palatino Linotype" w:cs="Arial"/>
            <w:b/>
            <w:bCs/>
            <w:color w:val="auto"/>
            <w:u w:val="none"/>
          </w:rPr>
          <w:t>IMG_2026-01-16-00-09-18-898.jpg</w:t>
        </w:r>
      </w:hyperlink>
      <w:r w:rsidR="00361853" w:rsidRPr="009D3DF4">
        <w:rPr>
          <w:rFonts w:ascii="Palatino Linotype" w:hAnsi="Palatino Linotype"/>
        </w:rPr>
        <w:t xml:space="preserve">: Captura de pantalla en el que se advierte el nombre y firma de la parte </w:t>
      </w:r>
      <w:r w:rsidR="00361853" w:rsidRPr="009D3DF4">
        <w:rPr>
          <w:rFonts w:ascii="Palatino Linotype" w:hAnsi="Palatino Linotype"/>
          <w:b/>
          <w:bCs/>
        </w:rPr>
        <w:t>RECURRENTE</w:t>
      </w:r>
      <w:r w:rsidR="00361853" w:rsidRPr="009D3DF4">
        <w:rPr>
          <w:rFonts w:ascii="Palatino Linotype" w:hAnsi="Palatino Linotype"/>
        </w:rPr>
        <w:t xml:space="preserve"> en el escrito adjunto a la solicitud de información.</w:t>
      </w:r>
    </w:p>
    <w:p w14:paraId="168E65E3" w14:textId="41F09234" w:rsidR="00361853" w:rsidRPr="009D3DF4" w:rsidRDefault="004464AA" w:rsidP="00361853">
      <w:pPr>
        <w:ind w:left="567" w:right="567"/>
        <w:jc w:val="both"/>
        <w:rPr>
          <w:rFonts w:ascii="Palatino Linotype" w:hAnsi="Palatino Linotype"/>
        </w:rPr>
      </w:pPr>
      <w:hyperlink r:id="rId11" w:tgtFrame="_blank" w:history="1">
        <w:r w:rsidR="00361853" w:rsidRPr="009D3DF4">
          <w:rPr>
            <w:rStyle w:val="Hipervnculo"/>
            <w:rFonts w:ascii="Palatino Linotype" w:hAnsi="Palatino Linotype" w:cs="Arial"/>
            <w:b/>
            <w:bCs/>
            <w:color w:val="auto"/>
            <w:u w:val="none"/>
          </w:rPr>
          <w:t>IMG_2026-01-16-00-08-21-572 (1).jpg</w:t>
        </w:r>
      </w:hyperlink>
      <w:r w:rsidR="00361853" w:rsidRPr="009D3DF4">
        <w:rPr>
          <w:rFonts w:ascii="Palatino Linotype" w:hAnsi="Palatino Linotype"/>
        </w:rPr>
        <w:t>: Captura de pantalla en el que se advierte el sello de “recibido” por la Dirección de Obras Públicas del Ayuntamiento de Ayapango en el escrito adjunto a la solicitud de información.</w:t>
      </w:r>
    </w:p>
    <w:p w14:paraId="1BB1EC34" w14:textId="45C34BCF" w:rsidR="00361853" w:rsidRPr="009D3DF4" w:rsidRDefault="004464AA" w:rsidP="00361853">
      <w:pPr>
        <w:ind w:left="567" w:right="567"/>
        <w:jc w:val="both"/>
        <w:rPr>
          <w:rFonts w:ascii="Palatino Linotype" w:eastAsia="Palatino Linotype" w:hAnsi="Palatino Linotype" w:cs="Palatino Linotype"/>
        </w:rPr>
      </w:pPr>
      <w:hyperlink r:id="rId12" w:tgtFrame="_blank" w:history="1">
        <w:r w:rsidR="00361853" w:rsidRPr="009D3DF4">
          <w:rPr>
            <w:rStyle w:val="Hipervnculo"/>
            <w:rFonts w:ascii="Palatino Linotype" w:hAnsi="Palatino Linotype" w:cs="Arial"/>
            <w:b/>
            <w:bCs/>
            <w:color w:val="auto"/>
            <w:u w:val="none"/>
          </w:rPr>
          <w:t>IMG_2026-01-12-08-41-41-141.jpg</w:t>
        </w:r>
      </w:hyperlink>
      <w:r w:rsidR="00361853" w:rsidRPr="009D3DF4">
        <w:rPr>
          <w:rFonts w:ascii="Palatino Linotype" w:hAnsi="Palatino Linotype"/>
        </w:rPr>
        <w:t xml:space="preserve">: </w:t>
      </w:r>
      <w:r w:rsidR="00361853" w:rsidRPr="009D3DF4">
        <w:rPr>
          <w:rFonts w:ascii="Palatino Linotype" w:hAnsi="Palatino Linotype" w:cs="Arial"/>
        </w:rPr>
        <w:t>Escrito de fecha 18 de noviembre de 2025, dirigido al Presidente Municipal y a la Dirección de Obras Públicas del Ayuntamiento de Ayapango, el cual tiene por asunto: “Solicitud de construcción y adecuación de rampas de acceso universal en la vía pública”.</w:t>
      </w:r>
    </w:p>
    <w:p w14:paraId="2389316E" w14:textId="77777777" w:rsidR="003F5BBB" w:rsidRPr="009D3DF4" w:rsidRDefault="003F5BBB" w:rsidP="003F5BBB">
      <w:pPr>
        <w:rPr>
          <w:rFonts w:ascii="Palatino Linotype" w:eastAsia="Palatino Linotype" w:hAnsi="Palatino Linotype" w:cs="Palatino Linotype"/>
        </w:rPr>
      </w:pPr>
    </w:p>
    <w:p w14:paraId="72E1B16B" w14:textId="568A1D66" w:rsidR="004E3EF7" w:rsidRPr="009D3DF4" w:rsidRDefault="00F2495A" w:rsidP="002934A0">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 xml:space="preserve">El </w:t>
      </w:r>
      <w:r w:rsidR="00361853" w:rsidRPr="009D3DF4">
        <w:rPr>
          <w:rFonts w:ascii="Palatino Linotype" w:eastAsia="Palatino Linotype" w:hAnsi="Palatino Linotype" w:cs="Palatino Linotype"/>
        </w:rPr>
        <w:t>veintidós de enero</w:t>
      </w:r>
      <w:r w:rsidR="003F5BBB" w:rsidRPr="009D3DF4">
        <w:rPr>
          <w:rFonts w:ascii="Palatino Linotype" w:eastAsia="Palatino Linotype" w:hAnsi="Palatino Linotype" w:cs="Palatino Linotype"/>
        </w:rPr>
        <w:t xml:space="preserve"> de dos mil veintiséis</w:t>
      </w:r>
      <w:r w:rsidRPr="009D3DF4">
        <w:rPr>
          <w:rFonts w:ascii="Palatino Linotype" w:eastAsia="Palatino Linotype" w:hAnsi="Palatino Linotype" w:cs="Palatino Linotype"/>
        </w:rPr>
        <w:t xml:space="preserve">, el </w:t>
      </w:r>
      <w:r w:rsidRPr="009D3DF4">
        <w:rPr>
          <w:rFonts w:ascii="Palatino Linotype" w:eastAsia="Palatino Linotype" w:hAnsi="Palatino Linotype" w:cs="Palatino Linotype"/>
          <w:b/>
          <w:bCs/>
        </w:rPr>
        <w:t>SUJETO OBLIGADO</w:t>
      </w:r>
      <w:r w:rsidRPr="009D3DF4">
        <w:rPr>
          <w:rFonts w:ascii="Palatino Linotype" w:eastAsia="Palatino Linotype" w:hAnsi="Palatino Linotype" w:cs="Palatino Linotype"/>
          <w:b/>
          <w:bCs/>
          <w:i/>
          <w:iCs/>
        </w:rPr>
        <w:t xml:space="preserve"> </w:t>
      </w:r>
      <w:r w:rsidRPr="009D3DF4">
        <w:rPr>
          <w:rFonts w:ascii="Palatino Linotype" w:eastAsia="Palatino Linotype" w:hAnsi="Palatino Linotype" w:cs="Palatino Linotype"/>
        </w:rPr>
        <w:t>dio respuesta a la solicitud de información, en los siguientes términos:</w:t>
      </w:r>
    </w:p>
    <w:p w14:paraId="57604A75" w14:textId="3B2A7BD9" w:rsidR="004E3EF7" w:rsidRPr="009D3DF4" w:rsidRDefault="00F2495A" w:rsidP="00BF0DE4">
      <w:pPr>
        <w:ind w:left="567" w:right="567"/>
        <w:jc w:val="both"/>
        <w:rPr>
          <w:rFonts w:ascii="Palatino Linotype" w:eastAsia="Palatino Linotype" w:hAnsi="Palatino Linotype" w:cs="Palatino Linotype"/>
          <w:i/>
          <w:iCs/>
          <w:color w:val="000000"/>
        </w:rPr>
      </w:pPr>
      <w:r w:rsidRPr="009D3DF4">
        <w:rPr>
          <w:rFonts w:ascii="Palatino Linotype" w:eastAsia="Palatino Linotype" w:hAnsi="Palatino Linotype" w:cs="Palatino Linotype"/>
          <w:i/>
          <w:iCs/>
          <w:color w:val="000000"/>
        </w:rPr>
        <w:t>“</w:t>
      </w:r>
      <w:r w:rsidR="00361853" w:rsidRPr="009D3DF4">
        <w:rPr>
          <w:rFonts w:ascii="Palatino Linotype" w:hAnsi="Palatino Linotype"/>
          <w:i/>
          <w:iCs/>
          <w:color w:val="000000"/>
        </w:rPr>
        <w:t xml:space="preserve">Ayapango, México a 22 de Enero de 2026 Nombre del solicitante: </w:t>
      </w:r>
      <w:r w:rsidR="009C7E8E">
        <w:rPr>
          <w:rFonts w:ascii="Palatino Linotype" w:hAnsi="Palatino Linotype"/>
          <w:i/>
          <w:iCs/>
          <w:color w:val="000000"/>
        </w:rPr>
        <w:t>XXXX</w:t>
      </w:r>
      <w:r w:rsidR="00361853" w:rsidRPr="009D3DF4">
        <w:rPr>
          <w:rFonts w:ascii="Palatino Linotype" w:hAnsi="Palatino Linotype"/>
          <w:i/>
          <w:iCs/>
          <w:color w:val="000000"/>
        </w:rPr>
        <w:t xml:space="preserve"> Folio de la solicitud: 00004/AYAPANGO/IP/2026 BUENA TARDE. Aprovecho este medio para saludarle, al tiempo que hago entrega de la respuesta emitida por la Dirección de Obras Públicas y Servicios, a la solicitud con número 00004/AYAPANGO/IP/2026. Sin otro particular, quedo a sus órdenes. ATENTAMENTE: LIC. EN D. VICTORIA MARTÍNEZ BANDA, COORDINADORA DE INFORMACIÓN PÚBLICA. ATENTAMENTE LIC. EN D. VICTORIA MARTÍNEZ BANDA COORDINACIÓN DE INFORMACIÓN PÚBLICA AYUNTAMIENTO DE AYAPANGO</w:t>
      </w:r>
      <w:r w:rsidRPr="009D3DF4">
        <w:rPr>
          <w:rFonts w:ascii="Palatino Linotype" w:eastAsia="Palatino Linotype" w:hAnsi="Palatino Linotype" w:cs="Palatino Linotype"/>
          <w:i/>
          <w:iCs/>
          <w:color w:val="000000"/>
        </w:rPr>
        <w:t xml:space="preserve">” (Sic) </w:t>
      </w:r>
    </w:p>
    <w:p w14:paraId="4C3BEA3F" w14:textId="31965784" w:rsidR="00361853" w:rsidRDefault="00361853" w:rsidP="00361853">
      <w:pPr>
        <w:ind w:right="567"/>
        <w:jc w:val="both"/>
        <w:rPr>
          <w:rFonts w:ascii="Palatino Linotype" w:eastAsia="Palatino Linotype" w:hAnsi="Palatino Linotype" w:cs="Palatino Linotype"/>
          <w:i/>
          <w:iCs/>
          <w:color w:val="000000"/>
        </w:rPr>
      </w:pPr>
    </w:p>
    <w:p w14:paraId="1E842F56" w14:textId="77777777" w:rsidR="009C7E8E" w:rsidRPr="009D3DF4" w:rsidRDefault="009C7E8E" w:rsidP="00361853">
      <w:pPr>
        <w:ind w:right="567"/>
        <w:jc w:val="both"/>
        <w:rPr>
          <w:rFonts w:ascii="Palatino Linotype" w:eastAsia="Palatino Linotype" w:hAnsi="Palatino Linotype" w:cs="Palatino Linotype"/>
          <w:i/>
          <w:iCs/>
          <w:color w:val="000000"/>
        </w:rPr>
      </w:pPr>
    </w:p>
    <w:p w14:paraId="6FA83A9E" w14:textId="01B4624C" w:rsidR="00361853" w:rsidRPr="009D3DF4" w:rsidRDefault="00361853" w:rsidP="00361853">
      <w:pPr>
        <w:ind w:left="567" w:right="567"/>
        <w:jc w:val="both"/>
        <w:rPr>
          <w:rFonts w:ascii="Palatino Linotype" w:eastAsia="Palatino Linotype" w:hAnsi="Palatino Linotype" w:cs="Palatino Linotype"/>
          <w:b/>
          <w:bCs/>
          <w:color w:val="000000"/>
        </w:rPr>
      </w:pPr>
      <w:r w:rsidRPr="009D3DF4">
        <w:rPr>
          <w:rFonts w:ascii="Palatino Linotype" w:eastAsia="Palatino Linotype" w:hAnsi="Palatino Linotype" w:cs="Palatino Linotype"/>
          <w:b/>
          <w:bCs/>
          <w:color w:val="000000"/>
        </w:rPr>
        <w:lastRenderedPageBreak/>
        <w:t>Archivos electrónicos adjuntos:</w:t>
      </w:r>
    </w:p>
    <w:p w14:paraId="002BC013" w14:textId="352A9442" w:rsidR="00361853" w:rsidRPr="009D3DF4" w:rsidRDefault="004464AA" w:rsidP="00361853">
      <w:pPr>
        <w:ind w:left="567" w:right="567"/>
        <w:jc w:val="both"/>
        <w:rPr>
          <w:rFonts w:ascii="Palatino Linotype" w:hAnsi="Palatino Linotype"/>
        </w:rPr>
      </w:pPr>
      <w:hyperlink r:id="rId13" w:tgtFrame="_blank" w:history="1">
        <w:r w:rsidR="00361853" w:rsidRPr="009D3DF4">
          <w:rPr>
            <w:rStyle w:val="Hipervnculo"/>
            <w:rFonts w:ascii="Palatino Linotype" w:hAnsi="Palatino Linotype" w:cs="Arial"/>
            <w:b/>
            <w:bCs/>
            <w:color w:val="auto"/>
            <w:u w:val="none"/>
          </w:rPr>
          <w:t>00004.pdf</w:t>
        </w:r>
      </w:hyperlink>
      <w:r w:rsidR="007F64A3" w:rsidRPr="009D3DF4">
        <w:rPr>
          <w:rFonts w:ascii="Palatino Linotype" w:hAnsi="Palatino Linotype"/>
        </w:rPr>
        <w:t>: Oficio suscrito por la Directora de Obras Públicas, mediante el cual, manifestó lo siguiente:</w:t>
      </w:r>
    </w:p>
    <w:p w14:paraId="3D868051" w14:textId="77777777" w:rsidR="007F64A3" w:rsidRPr="009D3DF4" w:rsidRDefault="007F64A3" w:rsidP="007F64A3">
      <w:pPr>
        <w:ind w:right="567"/>
        <w:jc w:val="both"/>
        <w:rPr>
          <w:rFonts w:ascii="Palatino Linotype" w:eastAsia="Palatino Linotype" w:hAnsi="Palatino Linotype" w:cs="Palatino Linotype"/>
          <w:b/>
          <w:bCs/>
        </w:rPr>
      </w:pPr>
    </w:p>
    <w:p w14:paraId="64E68E21" w14:textId="612FBB85" w:rsidR="007F64A3" w:rsidRPr="009D3DF4" w:rsidRDefault="007F64A3" w:rsidP="007F64A3">
      <w:pPr>
        <w:ind w:left="567" w:right="567"/>
        <w:jc w:val="both"/>
        <w:rPr>
          <w:rFonts w:ascii="Palatino Linotype" w:eastAsia="Palatino Linotype" w:hAnsi="Palatino Linotype" w:cs="Palatino Linotype"/>
          <w:i/>
          <w:iCs/>
        </w:rPr>
      </w:pPr>
      <w:r w:rsidRPr="009D3DF4">
        <w:rPr>
          <w:rFonts w:ascii="Palatino Linotype" w:eastAsia="Palatino Linotype" w:hAnsi="Palatino Linotype" w:cs="Palatino Linotype"/>
          <w:i/>
          <w:iCs/>
        </w:rPr>
        <w:t xml:space="preserve">“La que suscribe Arq. Berenice Romero Sánchez, Directora de Obras Públicas y Servicios del Municipio de Ayapango, por medio del presente le envió un cordial y caluroso saludo y en atención a su oficio de fecha 16 de enero de 2026, mediante el cual solicita la emisión y/o validación de un dictamen técnico respecto a la rampa que cruza la vía de ferrocarril, ubicada en Ex Vía del Ferrocarril s/n Ayapango de Gabriel Ramos Millán, me permito informarle lo siguiente: </w:t>
      </w:r>
      <w:r w:rsidRPr="009D3DF4">
        <w:rPr>
          <w:rFonts w:ascii="Palatino Linotype" w:eastAsia="Palatino Linotype" w:hAnsi="Palatino Linotype" w:cs="Palatino Linotype"/>
          <w:b/>
          <w:bCs/>
          <w:i/>
          <w:iCs/>
        </w:rPr>
        <w:t>Una vez realizado el análisis correspondiente, se determina que no es procedente atender favorablemente la petición planteada, toda vez que la infraestructura referida se localiza dentro de una zona de competencia federal, por lo que cualquier autorización, dictaminación o validación técnica relacionada con cruces sobre vías férreas corresponde exclusivamente a las instancias federales competentes, conforme a la normatividad aplicable, haciendo mención de se debe respetar el derecho de vía (generalmente 15 metros a cada lado del eje de la vía). Asimismo, es importante precisar que la rampa actualmente existente no fue ejecutada, construida ni autorizada por la Dirección de Obras Públicas de este Ayuntamiento, por lo que esta dependencia no cuenta con antecedentes técnicos, administrativos ni contractuales relacionados con su realización. En ese sentido, este Ayuntamiento carece de atribuciones legales para emitir dictámenes técnicos o resoluciones respecto de dicha obra, resultando jurídicamente improcedente dar curso a la solicitud presentada. Cabe señalar que esta Dirección dio contestación en tiempo y forma al oficio al que hace referencia su solicitud; sin embargo, dicha respuesta no pudo ser debidamente notificada, en virtud de que el escrito original no contenía domicilio o dirección señalada para oír y recibir notificaciones, lo que imposibilitó su entrega formal. No obstante, lo anterior, se sugiere que, de considerarlo pertinente, la solicitud sea canalizada ante la autoridad federal competente, a efecto de que sea analizada dentro del ámbito de sus facultades.</w:t>
      </w:r>
      <w:r w:rsidRPr="009D3DF4">
        <w:rPr>
          <w:rFonts w:ascii="Palatino Linotype" w:eastAsia="Palatino Linotype" w:hAnsi="Palatino Linotype" w:cs="Palatino Linotype"/>
          <w:i/>
          <w:iCs/>
        </w:rPr>
        <w:t xml:space="preserve"> Sin otro particular, quedo a sus órdenes para cualquier aclaración relacionada con las atribuciones de esta administración Sin más por el momento me despido de usted quedando a sus órdenes para cualquier duda al respecto del presente asunto.” (Sic)</w:t>
      </w:r>
    </w:p>
    <w:p w14:paraId="7FBA2FA8" w14:textId="77777777" w:rsidR="004E3EF7" w:rsidRPr="009D3DF4" w:rsidRDefault="004E3EF7" w:rsidP="00361853">
      <w:pPr>
        <w:ind w:right="-561"/>
        <w:jc w:val="both"/>
        <w:rPr>
          <w:rFonts w:ascii="Palatino Linotype" w:eastAsia="Palatino Linotype" w:hAnsi="Palatino Linotype" w:cs="Palatino Linotype"/>
          <w:b/>
          <w:bCs/>
        </w:rPr>
      </w:pPr>
    </w:p>
    <w:p w14:paraId="24C32CAE" w14:textId="5D6AD45C"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 xml:space="preserve">El </w:t>
      </w:r>
      <w:r w:rsidR="00CE4E9C" w:rsidRPr="009D3DF4">
        <w:rPr>
          <w:rFonts w:ascii="Palatino Linotype" w:eastAsia="Palatino Linotype" w:hAnsi="Palatino Linotype" w:cs="Palatino Linotype"/>
        </w:rPr>
        <w:t>tres de febrero</w:t>
      </w:r>
      <w:r w:rsidR="003F5BBB" w:rsidRPr="009D3DF4">
        <w:rPr>
          <w:rFonts w:ascii="Palatino Linotype" w:eastAsia="Palatino Linotype" w:hAnsi="Palatino Linotype" w:cs="Palatino Linotype"/>
        </w:rPr>
        <w:t xml:space="preserve"> de dos mil veintiséis</w:t>
      </w:r>
      <w:r w:rsidRPr="009D3DF4">
        <w:rPr>
          <w:rFonts w:ascii="Palatino Linotype" w:eastAsia="Palatino Linotype" w:hAnsi="Palatino Linotype" w:cs="Palatino Linotype"/>
        </w:rPr>
        <w:t>,</w:t>
      </w:r>
      <w:r w:rsidRPr="009D3DF4">
        <w:rPr>
          <w:rFonts w:ascii="Palatino Linotype" w:eastAsia="Palatino Linotype" w:hAnsi="Palatino Linotype" w:cs="Palatino Linotype"/>
          <w:b/>
          <w:bCs/>
        </w:rPr>
        <w:t xml:space="preserve"> </w:t>
      </w:r>
      <w:r w:rsidRPr="009D3DF4">
        <w:rPr>
          <w:rFonts w:ascii="Palatino Linotype" w:eastAsia="Palatino Linotype" w:hAnsi="Palatino Linotype" w:cs="Palatino Linotype"/>
        </w:rPr>
        <w:t xml:space="preserve">el </w:t>
      </w:r>
      <w:r w:rsidRPr="009D3DF4">
        <w:rPr>
          <w:rFonts w:ascii="Palatino Linotype" w:eastAsia="Palatino Linotype" w:hAnsi="Palatino Linotype" w:cs="Palatino Linotype"/>
          <w:b/>
          <w:bCs/>
        </w:rPr>
        <w:t>RECURRENTE</w:t>
      </w:r>
      <w:r w:rsidRPr="009D3DF4">
        <w:rPr>
          <w:rFonts w:ascii="Palatino Linotype" w:eastAsia="Palatino Linotype" w:hAnsi="Palatino Linotype" w:cs="Palatino Linotype"/>
        </w:rPr>
        <w:t xml:space="preserve"> interpuso el recurso de revisión en contra de la respuesta, señalando como:</w:t>
      </w:r>
    </w:p>
    <w:p w14:paraId="048E1244" w14:textId="3710F7E8" w:rsidR="004E3EF7" w:rsidRPr="009D3DF4" w:rsidRDefault="00F2495A" w:rsidP="00BF0DE4">
      <w:pPr>
        <w:numPr>
          <w:ilvl w:val="0"/>
          <w:numId w:val="1"/>
        </w:numPr>
        <w:ind w:left="567" w:right="567" w:hanging="141"/>
        <w:jc w:val="both"/>
        <w:rPr>
          <w:rFonts w:ascii="Palatino Linotype" w:eastAsia="Palatino Linotype" w:hAnsi="Palatino Linotype" w:cs="Palatino Linotype"/>
        </w:rPr>
      </w:pPr>
      <w:r w:rsidRPr="009D3DF4">
        <w:rPr>
          <w:rFonts w:ascii="Palatino Linotype" w:eastAsia="Palatino Linotype" w:hAnsi="Palatino Linotype" w:cs="Palatino Linotype"/>
          <w:b/>
          <w:bCs/>
        </w:rPr>
        <w:lastRenderedPageBreak/>
        <w:t>Acto impugnado</w:t>
      </w:r>
      <w:r w:rsidRPr="009D3DF4">
        <w:rPr>
          <w:rFonts w:ascii="Palatino Linotype" w:eastAsia="Palatino Linotype" w:hAnsi="Palatino Linotype" w:cs="Palatino Linotype"/>
          <w:b/>
          <w:bCs/>
          <w:i/>
          <w:iCs/>
        </w:rPr>
        <w:t>:</w:t>
      </w:r>
      <w:r w:rsidRPr="009D3DF4">
        <w:rPr>
          <w:rFonts w:ascii="Palatino Linotype" w:eastAsia="Palatino Linotype" w:hAnsi="Palatino Linotype" w:cs="Palatino Linotype"/>
          <w:i/>
          <w:iCs/>
          <w:color w:val="000000"/>
        </w:rPr>
        <w:t xml:space="preserve"> “</w:t>
      </w:r>
      <w:r w:rsidR="00CE4E9C" w:rsidRPr="009D3DF4">
        <w:rPr>
          <w:rFonts w:ascii="Palatino Linotype" w:hAnsi="Palatino Linotype"/>
          <w:i/>
          <w:iCs/>
          <w:color w:val="000000"/>
        </w:rPr>
        <w:t>La respuesta emitida por el Ayuntamiento de Ayapango en el oficio AYPG/DOP/SS/00223/ENE-2026, donde se niega la existencia de antecedentes sobre la construcción de rampas de accesibilidad en la Calle 2 de Marzo, así como la falta de entrega de información técnica solicitada.</w:t>
      </w:r>
      <w:r w:rsidRPr="009D3DF4">
        <w:rPr>
          <w:rFonts w:ascii="Palatino Linotype" w:eastAsia="Palatino Linotype" w:hAnsi="Palatino Linotype" w:cs="Palatino Linotype"/>
          <w:i/>
          <w:iCs/>
          <w:color w:val="000000"/>
        </w:rPr>
        <w:t>” (Sic)</w:t>
      </w:r>
    </w:p>
    <w:p w14:paraId="595F6BC8" w14:textId="77777777" w:rsidR="004E3EF7" w:rsidRPr="009D3DF4" w:rsidRDefault="004E3EF7" w:rsidP="00BF0DE4">
      <w:pPr>
        <w:ind w:left="567" w:right="567" w:hanging="141"/>
        <w:jc w:val="both"/>
        <w:rPr>
          <w:rFonts w:ascii="Palatino Linotype" w:eastAsia="Palatino Linotype" w:hAnsi="Palatino Linotype" w:cs="Palatino Linotype"/>
        </w:rPr>
      </w:pPr>
    </w:p>
    <w:p w14:paraId="3CB6B086" w14:textId="14D83A89" w:rsidR="004E3EF7" w:rsidRPr="009D3DF4" w:rsidRDefault="00F2495A" w:rsidP="00BF0DE4">
      <w:pPr>
        <w:numPr>
          <w:ilvl w:val="0"/>
          <w:numId w:val="2"/>
        </w:numPr>
        <w:ind w:left="567" w:right="567" w:hanging="141"/>
        <w:jc w:val="both"/>
        <w:rPr>
          <w:rFonts w:ascii="Palatino Linotype" w:eastAsia="Palatino Linotype" w:hAnsi="Palatino Linotype" w:cs="Palatino Linotype"/>
        </w:rPr>
      </w:pPr>
      <w:r w:rsidRPr="009D3DF4">
        <w:rPr>
          <w:rFonts w:ascii="Palatino Linotype" w:eastAsia="Palatino Linotype" w:hAnsi="Palatino Linotype" w:cs="Palatino Linotype"/>
          <w:b/>
          <w:bCs/>
        </w:rPr>
        <w:t xml:space="preserve">Razones o Motivos de inconformidad: </w:t>
      </w:r>
      <w:r w:rsidRPr="009D3DF4">
        <w:rPr>
          <w:rFonts w:ascii="Palatino Linotype" w:eastAsia="Palatino Linotype" w:hAnsi="Palatino Linotype" w:cs="Palatino Linotype"/>
          <w:i/>
          <w:iCs/>
          <w:color w:val="000000"/>
        </w:rPr>
        <w:t>“</w:t>
      </w:r>
      <w:r w:rsidR="00CE4E9C" w:rsidRPr="009D3DF4">
        <w:rPr>
          <w:rFonts w:ascii="Palatino Linotype" w:hAnsi="Palatino Linotype"/>
          <w:b/>
          <w:bCs/>
          <w:i/>
          <w:iCs/>
          <w:color w:val="000000"/>
        </w:rPr>
        <w:t xml:space="preserve">Me inconformo debido a que la respuesta de la autoridad es incongruente y falta a la verdad. </w:t>
      </w:r>
      <w:r w:rsidR="00CE4E9C" w:rsidRPr="009D3DF4">
        <w:rPr>
          <w:rFonts w:ascii="Palatino Linotype" w:hAnsi="Palatino Linotype"/>
          <w:i/>
          <w:iCs/>
          <w:color w:val="000000"/>
        </w:rPr>
        <w:t>Cuento con evidencia fotográfica (anexa en el PDF) que demuestra que las rampas fueron construidas como parte de la obra de repavimentación 2025-2027 bajo supervisión municipal. Asimismo, la autoridad argumenta una supuesta imposibilidad técnica por ser zona federal, lo cual se desvirtúa mediante el comparativo con infraestructuras similares en la CDMX que demuestran la viabilidad del proyecto. Se vulnera mi derecho humano a la movilidad y a la información veraz.</w:t>
      </w:r>
      <w:r w:rsidRPr="009D3DF4">
        <w:rPr>
          <w:rFonts w:ascii="Palatino Linotype" w:eastAsia="Palatino Linotype" w:hAnsi="Palatino Linotype" w:cs="Palatino Linotype"/>
          <w:i/>
          <w:iCs/>
          <w:color w:val="000000"/>
        </w:rPr>
        <w:t>” (Sic)</w:t>
      </w:r>
    </w:p>
    <w:p w14:paraId="464A4D3F" w14:textId="77777777" w:rsidR="00CE4E9C" w:rsidRPr="009D3DF4" w:rsidRDefault="00CE4E9C" w:rsidP="00CE4E9C">
      <w:pPr>
        <w:ind w:right="567"/>
        <w:jc w:val="both"/>
        <w:rPr>
          <w:rFonts w:ascii="Palatino Linotype" w:eastAsia="Palatino Linotype" w:hAnsi="Palatino Linotype" w:cs="Palatino Linotype"/>
        </w:rPr>
      </w:pPr>
    </w:p>
    <w:p w14:paraId="479EC87D" w14:textId="3E33B657" w:rsidR="004E3EF7" w:rsidRPr="009D3DF4" w:rsidRDefault="00CE4E9C">
      <w:pPr>
        <w:spacing w:line="360" w:lineRule="auto"/>
        <w:ind w:right="-561"/>
        <w:jc w:val="both"/>
        <w:rPr>
          <w:rFonts w:ascii="Palatino Linotype" w:eastAsia="Palatino Linotype" w:hAnsi="Palatino Linotype" w:cs="Palatino Linotype"/>
          <w:b/>
          <w:bCs/>
        </w:rPr>
      </w:pPr>
      <w:r w:rsidRPr="009D3DF4">
        <w:rPr>
          <w:rFonts w:ascii="Palatino Linotype" w:eastAsia="Palatino Linotype" w:hAnsi="Palatino Linotype" w:cs="Palatino Linotype"/>
          <w:b/>
          <w:bCs/>
        </w:rPr>
        <w:t>Archivos electrónicos adjuntos:</w:t>
      </w:r>
    </w:p>
    <w:p w14:paraId="6F37A31B" w14:textId="24846C70" w:rsidR="00CE4E9C" w:rsidRPr="009D3DF4" w:rsidRDefault="004464AA" w:rsidP="00CE4E9C">
      <w:pPr>
        <w:spacing w:before="100" w:beforeAutospacing="1" w:after="100" w:afterAutospacing="1"/>
        <w:ind w:left="567" w:right="567"/>
        <w:rPr>
          <w:rFonts w:ascii="Palatino Linotype" w:hAnsi="Palatino Linotype" w:cs="Arial"/>
        </w:rPr>
      </w:pPr>
      <w:hyperlink r:id="rId14" w:tgtFrame="_blank" w:history="1">
        <w:r w:rsidR="00CE4E9C" w:rsidRPr="009D3DF4">
          <w:rPr>
            <w:rStyle w:val="Hipervnculo"/>
            <w:rFonts w:ascii="Palatino Linotype" w:hAnsi="Palatino Linotype" w:cs="Arial"/>
            <w:b/>
            <w:bCs/>
            <w:color w:val="auto"/>
            <w:u w:val="none"/>
          </w:rPr>
          <w:t>Recurso_Revision_Rampas_Ayapango. (1).pdf</w:t>
        </w:r>
      </w:hyperlink>
      <w:r w:rsidR="00CE4E9C" w:rsidRPr="009D3DF4">
        <w:rPr>
          <w:rFonts w:ascii="Palatino Linotype" w:hAnsi="Palatino Linotype" w:cs="Arial"/>
        </w:rPr>
        <w:t>: Escrito mediante el cual se ratificó los motivos de inconformidad vertidos en el recurso de revisión</w:t>
      </w:r>
    </w:p>
    <w:p w14:paraId="78663A5B" w14:textId="77777777" w:rsidR="00CE4E9C" w:rsidRPr="009D3DF4" w:rsidRDefault="00CE4E9C" w:rsidP="00CE4E9C">
      <w:pPr>
        <w:ind w:right="-561"/>
        <w:jc w:val="both"/>
        <w:rPr>
          <w:rFonts w:ascii="Palatino Linotype" w:eastAsia="Palatino Linotype" w:hAnsi="Palatino Linotype" w:cs="Palatino Linotype"/>
          <w:b/>
          <w:bCs/>
        </w:rPr>
      </w:pPr>
    </w:p>
    <w:p w14:paraId="317E4C03" w14:textId="77777777"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9D3DF4">
        <w:rPr>
          <w:rFonts w:ascii="Palatino Linotype" w:eastAsia="Palatino Linotype" w:hAnsi="Palatino Linotype" w:cs="Palatino Linotype"/>
          <w:b/>
          <w:bCs/>
        </w:rPr>
        <w:t xml:space="preserve">Ley de Transparencia y Acceso a la Información Pública del Estado de México y Municipios </w:t>
      </w:r>
      <w:r w:rsidRPr="009D3DF4">
        <w:rPr>
          <w:rFonts w:ascii="Palatino Linotype" w:eastAsia="Palatino Linotype" w:hAnsi="Palatino Linotype" w:cs="Palatino Linotype"/>
        </w:rPr>
        <w:t xml:space="preserve">se turna a la </w:t>
      </w:r>
      <w:r w:rsidRPr="009D3DF4">
        <w:rPr>
          <w:rFonts w:ascii="Palatino Linotype" w:eastAsia="Palatino Linotype" w:hAnsi="Palatino Linotype" w:cs="Palatino Linotype"/>
          <w:b/>
          <w:bCs/>
        </w:rPr>
        <w:t xml:space="preserve">Comisionada María del Rosario Mejía Ayala, </w:t>
      </w:r>
      <w:r w:rsidRPr="009D3DF4">
        <w:rPr>
          <w:rFonts w:ascii="Palatino Linotype" w:eastAsia="Palatino Linotype" w:hAnsi="Palatino Linotype" w:cs="Palatino Linotype"/>
        </w:rPr>
        <w:t xml:space="preserve">para su análisis. </w:t>
      </w:r>
    </w:p>
    <w:p w14:paraId="5536D872" w14:textId="77777777" w:rsidR="004E3EF7" w:rsidRPr="009D3DF4" w:rsidRDefault="004E3EF7" w:rsidP="00771F83">
      <w:pPr>
        <w:spacing w:line="360" w:lineRule="auto"/>
        <w:jc w:val="both"/>
        <w:rPr>
          <w:rFonts w:ascii="Palatino Linotype" w:eastAsia="Palatino Linotype" w:hAnsi="Palatino Linotype" w:cs="Palatino Linotype"/>
        </w:rPr>
      </w:pPr>
    </w:p>
    <w:p w14:paraId="341A6096" w14:textId="702DF4FF"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color w:val="000000"/>
        </w:rPr>
      </w:pPr>
      <w:r w:rsidRPr="009D3DF4">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CE4E9C" w:rsidRPr="009D3DF4">
        <w:rPr>
          <w:rFonts w:ascii="Palatino Linotype" w:eastAsia="Palatino Linotype" w:hAnsi="Palatino Linotype" w:cs="Palatino Linotype"/>
        </w:rPr>
        <w:t>cinco de febrero</w:t>
      </w:r>
      <w:r w:rsidR="00771F83" w:rsidRPr="009D3DF4">
        <w:rPr>
          <w:rFonts w:ascii="Palatino Linotype" w:eastAsia="Palatino Linotype" w:hAnsi="Palatino Linotype" w:cs="Palatino Linotype"/>
        </w:rPr>
        <w:t xml:space="preserve"> de dos mil veintiséis</w:t>
      </w:r>
      <w:r w:rsidRPr="009D3DF4">
        <w:rPr>
          <w:rFonts w:ascii="Palatino Linotype" w:eastAsia="Palatino Linotype" w:hAnsi="Palatino Linotype" w:cs="Palatino Linotype"/>
        </w:rPr>
        <w:t xml:space="preserve">, puso a disposición de las partes el expediente electrónico vía </w:t>
      </w:r>
      <w:r w:rsidRPr="009D3DF4">
        <w:rPr>
          <w:rFonts w:ascii="Palatino Linotype" w:eastAsia="Palatino Linotype" w:hAnsi="Palatino Linotype" w:cs="Palatino Linotype"/>
          <w:b/>
          <w:bCs/>
        </w:rPr>
        <w:t xml:space="preserve">SAIMEX </w:t>
      </w:r>
      <w:r w:rsidRPr="009D3DF4">
        <w:rPr>
          <w:rFonts w:ascii="Palatino Linotype" w:eastAsia="Palatino Linotype" w:hAnsi="Palatino Linotype" w:cs="Palatino Linotype"/>
        </w:rPr>
        <w:t xml:space="preserve">a efecto de que en un plazo máximo de siete días manifestara lo que a derecho conviniera, ofreciera </w:t>
      </w:r>
      <w:r w:rsidRPr="009D3DF4">
        <w:rPr>
          <w:rFonts w:ascii="Palatino Linotype" w:eastAsia="Palatino Linotype" w:hAnsi="Palatino Linotype" w:cs="Palatino Linotype"/>
        </w:rPr>
        <w:lastRenderedPageBreak/>
        <w:t xml:space="preserve">pruebas y alegatos según corresponda al caso concreto, de esta forma para que el </w:t>
      </w:r>
      <w:r w:rsidRPr="009D3DF4">
        <w:rPr>
          <w:rFonts w:ascii="Palatino Linotype" w:eastAsia="Palatino Linotype" w:hAnsi="Palatino Linotype" w:cs="Palatino Linotype"/>
          <w:b/>
          <w:bCs/>
        </w:rPr>
        <w:t>SUJETO OBLIGADO</w:t>
      </w:r>
      <w:r w:rsidRPr="009D3DF4">
        <w:rPr>
          <w:rFonts w:ascii="Palatino Linotype" w:eastAsia="Palatino Linotype" w:hAnsi="Palatino Linotype" w:cs="Palatino Linotype"/>
        </w:rPr>
        <w:t xml:space="preserve"> presentará el informe justificado procedente. </w:t>
      </w:r>
    </w:p>
    <w:p w14:paraId="72F825CB" w14:textId="77777777" w:rsidR="004E3EF7" w:rsidRPr="009D3DF4" w:rsidRDefault="004E3EF7" w:rsidP="00BF0DE4">
      <w:pPr>
        <w:pBdr>
          <w:top w:val="nil"/>
          <w:left w:val="nil"/>
          <w:bottom w:val="nil"/>
          <w:right w:val="nil"/>
          <w:between w:val="nil"/>
        </w:pBdr>
        <w:rPr>
          <w:rFonts w:ascii="Palatino Linotype" w:eastAsia="Palatino Linotype" w:hAnsi="Palatino Linotype" w:cs="Palatino Linotype"/>
          <w:color w:val="000000"/>
        </w:rPr>
      </w:pPr>
    </w:p>
    <w:p w14:paraId="077EE74C" w14:textId="12A9F5EB" w:rsidR="00CE4E9C" w:rsidRPr="009D3DF4" w:rsidRDefault="00F2495A" w:rsidP="00771F8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El</w:t>
      </w:r>
      <w:r w:rsidR="00CE4E9C" w:rsidRPr="009D3DF4">
        <w:rPr>
          <w:rFonts w:ascii="Palatino Linotype" w:eastAsia="Palatino Linotype" w:hAnsi="Palatino Linotype" w:cs="Palatino Linotype"/>
        </w:rPr>
        <w:t xml:space="preserve"> seis de febrero de dos mil veintiséis, el</w:t>
      </w:r>
      <w:r w:rsidRPr="009D3DF4">
        <w:rPr>
          <w:rFonts w:ascii="Palatino Linotype" w:eastAsia="Palatino Linotype" w:hAnsi="Palatino Linotype" w:cs="Palatino Linotype"/>
        </w:rPr>
        <w:t xml:space="preserve"> </w:t>
      </w:r>
      <w:r w:rsidRPr="009D3DF4">
        <w:rPr>
          <w:rFonts w:ascii="Palatino Linotype" w:eastAsia="Palatino Linotype" w:hAnsi="Palatino Linotype" w:cs="Palatino Linotype"/>
          <w:b/>
          <w:bCs/>
        </w:rPr>
        <w:t>SUJETO OBLIGADO</w:t>
      </w:r>
      <w:r w:rsidRPr="009D3DF4">
        <w:rPr>
          <w:rFonts w:ascii="Palatino Linotype" w:eastAsia="Palatino Linotype" w:hAnsi="Palatino Linotype" w:cs="Palatino Linotype"/>
        </w:rPr>
        <w:t xml:space="preserve"> </w:t>
      </w:r>
      <w:r w:rsidR="00CE4E9C" w:rsidRPr="009D3DF4">
        <w:rPr>
          <w:rFonts w:ascii="Palatino Linotype" w:eastAsia="Palatino Linotype" w:hAnsi="Palatino Linotype" w:cs="Palatino Linotype"/>
        </w:rPr>
        <w:t>rindió</w:t>
      </w:r>
      <w:r w:rsidRPr="009D3DF4">
        <w:rPr>
          <w:rFonts w:ascii="Palatino Linotype" w:eastAsia="Palatino Linotype" w:hAnsi="Palatino Linotype" w:cs="Palatino Linotype"/>
        </w:rPr>
        <w:t xml:space="preserve"> el informe justificado correspondiente, </w:t>
      </w:r>
      <w:r w:rsidR="00CE4E9C" w:rsidRPr="009D3DF4">
        <w:rPr>
          <w:rFonts w:ascii="Palatino Linotype" w:eastAsia="Palatino Linotype" w:hAnsi="Palatino Linotype" w:cs="Palatino Linotype"/>
        </w:rPr>
        <w:t xml:space="preserve">por medio del archivo electrónico denominado, </w:t>
      </w:r>
      <w:r w:rsidR="00CE4E9C" w:rsidRPr="009D3DF4">
        <w:rPr>
          <w:rFonts w:ascii="Palatino Linotype" w:eastAsia="Palatino Linotype" w:hAnsi="Palatino Linotype" w:cs="Palatino Linotype"/>
          <w:b/>
          <w:bCs/>
        </w:rPr>
        <w:t>01218 REC REV CONTEST.pdf</w:t>
      </w:r>
      <w:r w:rsidR="00CE4E9C" w:rsidRPr="009D3DF4">
        <w:rPr>
          <w:rFonts w:ascii="Palatino Linotype" w:eastAsia="Palatino Linotype" w:hAnsi="Palatino Linotype" w:cs="Palatino Linotype"/>
        </w:rPr>
        <w:t xml:space="preserve">, consistente en un oficio suscrito por la Directora de Obras Públicas y Servicios, mediante el cual, </w:t>
      </w:r>
      <w:r w:rsidR="00CE4E9C" w:rsidRPr="009D3DF4">
        <w:rPr>
          <w:rFonts w:ascii="Palatino Linotype" w:eastAsia="Palatino Linotype" w:hAnsi="Palatino Linotype" w:cs="Palatino Linotype"/>
          <w:b/>
          <w:bCs/>
        </w:rPr>
        <w:t>ratificó la respuesta.</w:t>
      </w:r>
    </w:p>
    <w:p w14:paraId="2A7BFD24" w14:textId="77777777" w:rsidR="00CE4E9C" w:rsidRPr="009D3DF4" w:rsidRDefault="00CE4E9C" w:rsidP="00CE4E9C">
      <w:pPr>
        <w:pStyle w:val="Prrafodelista"/>
        <w:rPr>
          <w:rFonts w:ascii="Palatino Linotype" w:eastAsia="Palatino Linotype" w:hAnsi="Palatino Linotype" w:cs="Palatino Linotype"/>
        </w:rPr>
      </w:pPr>
    </w:p>
    <w:p w14:paraId="1C22E1ED" w14:textId="71AB2032" w:rsidR="004E3EF7" w:rsidRPr="009D3DF4" w:rsidRDefault="00CE4E9C" w:rsidP="00771F8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P</w:t>
      </w:r>
      <w:r w:rsidR="00F2495A" w:rsidRPr="009D3DF4">
        <w:rPr>
          <w:rFonts w:ascii="Palatino Linotype" w:eastAsia="Palatino Linotype" w:hAnsi="Palatino Linotype" w:cs="Palatino Linotype"/>
        </w:rPr>
        <w:t>or su parte,</w:t>
      </w:r>
      <w:r w:rsidR="00F2495A" w:rsidRPr="009D3DF4">
        <w:rPr>
          <w:rFonts w:ascii="Palatino Linotype" w:eastAsia="Palatino Linotype" w:hAnsi="Palatino Linotype" w:cs="Palatino Linotype"/>
          <w:color w:val="000000"/>
        </w:rPr>
        <w:t xml:space="preserve"> </w:t>
      </w:r>
      <w:r w:rsidR="00771F83" w:rsidRPr="009D3DF4">
        <w:rPr>
          <w:rFonts w:ascii="Palatino Linotype" w:eastAsia="Palatino Linotype" w:hAnsi="Palatino Linotype" w:cs="Palatino Linotype"/>
          <w:color w:val="000000"/>
        </w:rPr>
        <w:t>el</w:t>
      </w:r>
      <w:r w:rsidR="00F2495A" w:rsidRPr="009D3DF4">
        <w:rPr>
          <w:rFonts w:ascii="Palatino Linotype" w:eastAsia="Palatino Linotype" w:hAnsi="Palatino Linotype" w:cs="Palatino Linotype"/>
          <w:color w:val="000000"/>
        </w:rPr>
        <w:t xml:space="preserve"> </w:t>
      </w:r>
      <w:r w:rsidR="00F2495A" w:rsidRPr="009D3DF4">
        <w:rPr>
          <w:rFonts w:ascii="Palatino Linotype" w:eastAsia="Palatino Linotype" w:hAnsi="Palatino Linotype" w:cs="Palatino Linotype"/>
          <w:b/>
          <w:bCs/>
          <w:color w:val="000000"/>
        </w:rPr>
        <w:t>RECURRENTE</w:t>
      </w:r>
      <w:r w:rsidR="00F2495A" w:rsidRPr="009D3DF4">
        <w:rPr>
          <w:rFonts w:ascii="Palatino Linotype" w:eastAsia="Palatino Linotype" w:hAnsi="Palatino Linotype" w:cs="Palatino Linotype"/>
          <w:color w:val="000000"/>
        </w:rPr>
        <w:t xml:space="preserve"> dejó de realizar manifestaciones que a su derecho conviniera y asistiera.</w:t>
      </w:r>
    </w:p>
    <w:p w14:paraId="2096CFDA" w14:textId="77777777" w:rsidR="00BF0DE4" w:rsidRPr="009D3DF4" w:rsidRDefault="00BF0DE4" w:rsidP="00BF0DE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916A5E" w14:textId="35164309"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 xml:space="preserve">La Comisionada Ponente decretó el cierre de instrucción mediante el acuerdo del </w:t>
      </w:r>
      <w:r w:rsidR="00771F83" w:rsidRPr="009D3DF4">
        <w:rPr>
          <w:rFonts w:ascii="Palatino Linotype" w:eastAsia="Palatino Linotype" w:hAnsi="Palatino Linotype" w:cs="Palatino Linotype"/>
        </w:rPr>
        <w:t xml:space="preserve">nueve de abril </w:t>
      </w:r>
      <w:r w:rsidRPr="009D3DF4">
        <w:rPr>
          <w:rFonts w:ascii="Palatino Linotype" w:eastAsia="Palatino Linotype" w:hAnsi="Palatino Linotype" w:cs="Palatino Linotype"/>
        </w:rPr>
        <w:t>de dos mil veintiséis.</w:t>
      </w:r>
    </w:p>
    <w:p w14:paraId="4CAA542A" w14:textId="77777777" w:rsidR="004E3EF7" w:rsidRPr="009D3DF4" w:rsidRDefault="004E3EF7">
      <w:pPr>
        <w:spacing w:line="360" w:lineRule="auto"/>
        <w:ind w:right="-561"/>
        <w:rPr>
          <w:rFonts w:ascii="Palatino Linotype" w:eastAsia="Palatino Linotype" w:hAnsi="Palatino Linotype" w:cs="Palatino Linotype"/>
          <w:b/>
          <w:bCs/>
        </w:rPr>
      </w:pPr>
    </w:p>
    <w:p w14:paraId="3D6BBC0E" w14:textId="77777777" w:rsidR="004E3EF7" w:rsidRPr="009D3DF4" w:rsidRDefault="00F2495A">
      <w:pPr>
        <w:keepNext/>
        <w:keepLines/>
        <w:spacing w:line="360" w:lineRule="auto"/>
        <w:ind w:right="-561"/>
        <w:jc w:val="center"/>
        <w:rPr>
          <w:rFonts w:ascii="Palatino Linotype" w:eastAsia="Palatino Linotype" w:hAnsi="Palatino Linotype" w:cs="Palatino Linotype"/>
          <w:b/>
          <w:bCs/>
        </w:rPr>
      </w:pPr>
      <w:r w:rsidRPr="009D3DF4">
        <w:rPr>
          <w:rFonts w:ascii="Palatino Linotype" w:eastAsia="Palatino Linotype" w:hAnsi="Palatino Linotype" w:cs="Palatino Linotype"/>
          <w:b/>
          <w:bCs/>
        </w:rPr>
        <w:t xml:space="preserve">C O N S I D E R A N D O </w:t>
      </w:r>
    </w:p>
    <w:p w14:paraId="691A3508" w14:textId="77777777" w:rsidR="004E3EF7" w:rsidRPr="009D3DF4" w:rsidRDefault="004E3EF7">
      <w:pPr>
        <w:keepNext/>
        <w:keepLines/>
        <w:spacing w:line="360" w:lineRule="auto"/>
        <w:ind w:right="-561"/>
        <w:rPr>
          <w:rFonts w:ascii="Palatino Linotype" w:eastAsia="Palatino Linotype" w:hAnsi="Palatino Linotype" w:cs="Palatino Linotype"/>
        </w:rPr>
      </w:pPr>
    </w:p>
    <w:p w14:paraId="27590538" w14:textId="6C59CC02" w:rsidR="00050E29" w:rsidRPr="009D3DF4" w:rsidRDefault="00F2495A">
      <w:pPr>
        <w:keepNext/>
        <w:keepLines/>
        <w:spacing w:line="360" w:lineRule="auto"/>
        <w:ind w:right="-561"/>
        <w:rPr>
          <w:rFonts w:ascii="Palatino Linotype" w:eastAsia="Palatino Linotype" w:hAnsi="Palatino Linotype" w:cs="Palatino Linotype"/>
          <w:b/>
          <w:bCs/>
        </w:rPr>
      </w:pPr>
      <w:r w:rsidRPr="009D3DF4">
        <w:rPr>
          <w:rFonts w:ascii="Palatino Linotype" w:eastAsia="Palatino Linotype" w:hAnsi="Palatino Linotype" w:cs="Palatino Linotype"/>
          <w:b/>
          <w:bCs/>
        </w:rPr>
        <w:t>PRIMERO. De la competencia.</w:t>
      </w:r>
    </w:p>
    <w:p w14:paraId="73695463" w14:textId="77777777"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1" w:name="_heading=h.3znysh7" w:colFirst="0" w:colLast="0"/>
      <w:bookmarkEnd w:id="1"/>
      <w:r w:rsidRPr="009D3DF4">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w:t>
      </w:r>
      <w:r w:rsidRPr="009D3DF4">
        <w:rPr>
          <w:rFonts w:ascii="Palatino Linotype" w:eastAsia="Palatino Linotype" w:hAnsi="Palatino Linotype" w:cs="Palatino Linotype"/>
        </w:rPr>
        <w:lastRenderedPageBreak/>
        <w:t>XXIV, y 11 del Reglamento Interior del Instituto de Transparencia, Acceso a la Información Pública y Protección de Datos Personales del Estado de México y Municipios.</w:t>
      </w:r>
    </w:p>
    <w:p w14:paraId="2AD74377" w14:textId="77777777" w:rsidR="004E3EF7" w:rsidRPr="009D3DF4" w:rsidRDefault="004E3EF7" w:rsidP="00BF0DE4">
      <w:pPr>
        <w:spacing w:line="360" w:lineRule="auto"/>
        <w:ind w:left="644"/>
        <w:jc w:val="both"/>
        <w:rPr>
          <w:rFonts w:ascii="Palatino Linotype" w:eastAsia="Palatino Linotype" w:hAnsi="Palatino Linotype" w:cs="Palatino Linotype"/>
        </w:rPr>
      </w:pPr>
      <w:bookmarkStart w:id="2" w:name="_heading=h.2v230knidey2" w:colFirst="0" w:colLast="0"/>
      <w:bookmarkEnd w:id="2"/>
    </w:p>
    <w:p w14:paraId="1F43FC7B" w14:textId="1837D240" w:rsidR="004E3EF7" w:rsidRPr="009D3DF4" w:rsidRDefault="00F2495A" w:rsidP="00BF0DE4">
      <w:pPr>
        <w:keepNext/>
        <w:keepLines/>
        <w:spacing w:line="360" w:lineRule="auto"/>
        <w:rPr>
          <w:rFonts w:ascii="Palatino Linotype" w:eastAsia="Palatino Linotype" w:hAnsi="Palatino Linotype" w:cs="Palatino Linotype"/>
          <w:b/>
          <w:bCs/>
        </w:rPr>
      </w:pPr>
      <w:r w:rsidRPr="009D3DF4">
        <w:rPr>
          <w:rFonts w:ascii="Palatino Linotype" w:eastAsia="Palatino Linotype" w:hAnsi="Palatino Linotype" w:cs="Palatino Linotype"/>
          <w:b/>
          <w:bCs/>
        </w:rPr>
        <w:t>SEGUNDO. De la oportunidad y procedencia.</w:t>
      </w:r>
    </w:p>
    <w:p w14:paraId="0E39C2C5" w14:textId="1D69C66A"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b/>
          <w:bCs/>
        </w:rPr>
      </w:pPr>
      <w:bookmarkStart w:id="3" w:name="_heading=h.3dy6vkm" w:colFirst="0" w:colLast="0"/>
      <w:bookmarkEnd w:id="3"/>
      <w:r w:rsidRPr="009D3DF4">
        <w:rPr>
          <w:rFonts w:ascii="Palatino Linotype" w:eastAsia="Palatino Linotype" w:hAnsi="Palatino Linotype" w:cs="Palatino Linotype"/>
        </w:rPr>
        <w:t xml:space="preserve">El medio de impugnación fue presentado a través del </w:t>
      </w:r>
      <w:r w:rsidRPr="009D3DF4">
        <w:rPr>
          <w:rFonts w:ascii="Palatino Linotype" w:eastAsia="Palatino Linotype" w:hAnsi="Palatino Linotype" w:cs="Palatino Linotype"/>
          <w:b/>
          <w:bCs/>
        </w:rPr>
        <w:t>SAIMEX,</w:t>
      </w:r>
      <w:r w:rsidRPr="009D3DF4">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9D3DF4">
        <w:rPr>
          <w:rFonts w:ascii="Palatino Linotype" w:eastAsia="Palatino Linotype" w:hAnsi="Palatino Linotype" w:cs="Palatino Linotype"/>
          <w:b/>
          <w:bCs/>
        </w:rPr>
        <w:t>SUJETO OBLIGADO</w:t>
      </w:r>
      <w:r w:rsidRPr="009D3DF4">
        <w:rPr>
          <w:rFonts w:ascii="Palatino Linotype" w:eastAsia="Palatino Linotype" w:hAnsi="Palatino Linotype" w:cs="Palatino Linotype"/>
        </w:rPr>
        <w:t xml:space="preserve"> entregó respuesta el </w:t>
      </w:r>
      <w:r w:rsidR="00050E29" w:rsidRPr="009D3DF4">
        <w:rPr>
          <w:rFonts w:ascii="Palatino Linotype" w:eastAsia="Palatino Linotype" w:hAnsi="Palatino Linotype" w:cs="Palatino Linotype"/>
        </w:rPr>
        <w:t xml:space="preserve">veintidós </w:t>
      </w:r>
      <w:r w:rsidR="00771F83" w:rsidRPr="009D3DF4">
        <w:rPr>
          <w:rFonts w:ascii="Palatino Linotype" w:eastAsia="Palatino Linotype" w:hAnsi="Palatino Linotype" w:cs="Palatino Linotype"/>
        </w:rPr>
        <w:t>de enero de dos mil veintiséis</w:t>
      </w:r>
      <w:r w:rsidRPr="009D3DF4">
        <w:rPr>
          <w:rFonts w:ascii="Palatino Linotype" w:eastAsia="Palatino Linotype" w:hAnsi="Palatino Linotype" w:cs="Palatino Linotype"/>
        </w:rPr>
        <w:t xml:space="preserve">, de tal forma que el plazo para interponer el recurso de revisión transcurrió del </w:t>
      </w:r>
      <w:r w:rsidR="00050E29" w:rsidRPr="009D3DF4">
        <w:rPr>
          <w:rFonts w:ascii="Palatino Linotype" w:eastAsia="Palatino Linotype" w:hAnsi="Palatino Linotype" w:cs="Palatino Linotype"/>
        </w:rPr>
        <w:t xml:space="preserve">veintitrés </w:t>
      </w:r>
      <w:r w:rsidR="00771F83" w:rsidRPr="009D3DF4">
        <w:rPr>
          <w:rFonts w:ascii="Palatino Linotype" w:eastAsia="Palatino Linotype" w:hAnsi="Palatino Linotype" w:cs="Palatino Linotype"/>
        </w:rPr>
        <w:t>de enero</w:t>
      </w:r>
      <w:r w:rsidRPr="009D3DF4">
        <w:rPr>
          <w:rFonts w:ascii="Palatino Linotype" w:eastAsia="Palatino Linotype" w:hAnsi="Palatino Linotype" w:cs="Palatino Linotype"/>
        </w:rPr>
        <w:t xml:space="preserve"> al </w:t>
      </w:r>
      <w:r w:rsidR="00050E29" w:rsidRPr="009D3DF4">
        <w:rPr>
          <w:rFonts w:ascii="Palatino Linotype" w:eastAsia="Palatino Linotype" w:hAnsi="Palatino Linotype" w:cs="Palatino Linotype"/>
        </w:rPr>
        <w:t>trece</w:t>
      </w:r>
      <w:r w:rsidR="00771F83" w:rsidRPr="009D3DF4">
        <w:rPr>
          <w:rFonts w:ascii="Palatino Linotype" w:eastAsia="Palatino Linotype" w:hAnsi="Palatino Linotype" w:cs="Palatino Linotype"/>
        </w:rPr>
        <w:t xml:space="preserve"> de febrero </w:t>
      </w:r>
      <w:r w:rsidRPr="009D3DF4">
        <w:rPr>
          <w:rFonts w:ascii="Palatino Linotype" w:eastAsia="Palatino Linotype" w:hAnsi="Palatino Linotype" w:cs="Palatino Linotype"/>
        </w:rPr>
        <w:t xml:space="preserve">de dos mil veintiséis; en consecuencia, presentó su inconformidad el </w:t>
      </w:r>
      <w:r w:rsidR="00050E29" w:rsidRPr="009D3DF4">
        <w:rPr>
          <w:rFonts w:ascii="Palatino Linotype" w:eastAsia="Palatino Linotype" w:hAnsi="Palatino Linotype" w:cs="Palatino Linotype"/>
        </w:rPr>
        <w:t>treinta y uno</w:t>
      </w:r>
      <w:r w:rsidR="00771F83" w:rsidRPr="009D3DF4">
        <w:rPr>
          <w:rFonts w:ascii="Palatino Linotype" w:eastAsia="Palatino Linotype" w:hAnsi="Palatino Linotype" w:cs="Palatino Linotype"/>
        </w:rPr>
        <w:t xml:space="preserve"> de enero de dos mil veintiséis</w:t>
      </w:r>
      <w:r w:rsidRPr="009D3DF4">
        <w:rPr>
          <w:rFonts w:ascii="Palatino Linotype" w:eastAsia="Palatino Linotype" w:hAnsi="Palatino Linotype" w:cs="Palatino Linotype"/>
        </w:rPr>
        <w:t xml:space="preserve">, por lo que se encuentra dentro de los márgenes temporales previstos en el artículo 178 de la </w:t>
      </w:r>
      <w:r w:rsidRPr="009D3DF4">
        <w:rPr>
          <w:rFonts w:ascii="Palatino Linotype" w:eastAsia="Palatino Linotype" w:hAnsi="Palatino Linotype" w:cs="Palatino Linotype"/>
          <w:b/>
          <w:bCs/>
        </w:rPr>
        <w:t xml:space="preserve">Ley de Transparencia y Acceso a la Información Pública del Estado de México y Municipios </w:t>
      </w:r>
      <w:r w:rsidRPr="009D3DF4">
        <w:rPr>
          <w:rFonts w:ascii="Palatino Linotype" w:eastAsia="Palatino Linotype" w:hAnsi="Palatino Linotype" w:cs="Palatino Linotype"/>
        </w:rPr>
        <w:t>vigente.</w:t>
      </w:r>
    </w:p>
    <w:p w14:paraId="58F1A900" w14:textId="77777777" w:rsidR="004E3EF7" w:rsidRPr="009D3DF4" w:rsidRDefault="004E3EF7" w:rsidP="00BF0DE4">
      <w:pPr>
        <w:spacing w:line="360" w:lineRule="auto"/>
        <w:jc w:val="both"/>
        <w:rPr>
          <w:rFonts w:ascii="Palatino Linotype" w:eastAsia="Palatino Linotype" w:hAnsi="Palatino Linotype" w:cs="Palatino Linotype"/>
          <w:b/>
          <w:bCs/>
        </w:rPr>
      </w:pPr>
    </w:p>
    <w:p w14:paraId="49ED4FFF" w14:textId="77777777" w:rsidR="004E3EF7" w:rsidRPr="009D3DF4"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022D22A" w14:textId="77777777" w:rsidR="004E3EF7" w:rsidRPr="009D3DF4" w:rsidRDefault="004E3EF7">
      <w:pPr>
        <w:pBdr>
          <w:top w:val="nil"/>
          <w:left w:val="nil"/>
          <w:bottom w:val="nil"/>
          <w:right w:val="nil"/>
          <w:between w:val="nil"/>
        </w:pBdr>
        <w:ind w:left="720" w:right="-561"/>
        <w:rPr>
          <w:rFonts w:ascii="Palatino Linotype" w:eastAsia="Palatino Linotype" w:hAnsi="Palatino Linotype" w:cs="Palatino Linotype"/>
          <w:b/>
          <w:bCs/>
          <w:color w:val="000000"/>
        </w:rPr>
      </w:pPr>
    </w:p>
    <w:p w14:paraId="42E557A5" w14:textId="1D1AF38C" w:rsidR="004E3EF7" w:rsidRPr="009D3DF4" w:rsidRDefault="00F2495A" w:rsidP="00BF0DE4">
      <w:pPr>
        <w:pStyle w:val="Ttulo1"/>
        <w:spacing w:before="0" w:after="0" w:line="360" w:lineRule="auto"/>
        <w:rPr>
          <w:rFonts w:ascii="Palatino Linotype" w:eastAsia="Palatino Linotype" w:hAnsi="Palatino Linotype" w:cs="Palatino Linotype"/>
          <w:sz w:val="24"/>
          <w:szCs w:val="24"/>
        </w:rPr>
      </w:pPr>
      <w:r w:rsidRPr="009D3DF4">
        <w:rPr>
          <w:rFonts w:ascii="Palatino Linotype" w:eastAsia="Palatino Linotype" w:hAnsi="Palatino Linotype" w:cs="Palatino Linotype"/>
          <w:sz w:val="24"/>
          <w:szCs w:val="24"/>
        </w:rPr>
        <w:t xml:space="preserve">TERCERO. </w:t>
      </w:r>
      <w:r w:rsidR="008D77DE" w:rsidRPr="009D3DF4">
        <w:rPr>
          <w:rFonts w:ascii="Palatino Linotype" w:hAnsi="Palatino Linotype"/>
          <w:sz w:val="24"/>
          <w:szCs w:val="24"/>
        </w:rPr>
        <w:t>De las causales del sobreseimiento.</w:t>
      </w:r>
    </w:p>
    <w:p w14:paraId="7CBEA9D2" w14:textId="77777777" w:rsidR="008D77DE" w:rsidRPr="009D3DF4" w:rsidRDefault="008D77DE" w:rsidP="008D77DE">
      <w:pPr>
        <w:numPr>
          <w:ilvl w:val="0"/>
          <w:numId w:val="3"/>
        </w:numPr>
        <w:spacing w:line="360" w:lineRule="auto"/>
        <w:ind w:left="0" w:firstLine="0"/>
        <w:jc w:val="both"/>
        <w:rPr>
          <w:rFonts w:ascii="Palatino Linotype" w:eastAsia="Palatino Linotype" w:hAnsi="Palatino Linotype" w:cs="Palatino Linotype"/>
          <w:b/>
          <w:bCs/>
        </w:rPr>
      </w:pPr>
      <w:r w:rsidRPr="009D3DF4">
        <w:rPr>
          <w:rFonts w:ascii="Palatino Linotype" w:eastAsia="Palatino Linotype" w:hAnsi="Palatino Linotype" w:cs="Palatino Linotype"/>
        </w:rPr>
        <w:t xml:space="preserve">El </w:t>
      </w:r>
      <w:r w:rsidRPr="009D3DF4">
        <w:rPr>
          <w:rFonts w:ascii="Palatino Linotype" w:hAnsi="Palatino Linotype" w:cs="Arial"/>
        </w:rPr>
        <w:t xml:space="preserve">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9D3DF4">
        <w:rPr>
          <w:rFonts w:ascii="Palatino Linotype" w:hAnsi="Palatino Linotype" w:cs="Arial"/>
          <w:b/>
          <w:u w:val="single"/>
        </w:rPr>
        <w:t>sobreseimiento</w:t>
      </w:r>
      <w:r w:rsidRPr="009D3DF4">
        <w:rPr>
          <w:rFonts w:ascii="Palatino Linotype" w:hAnsi="Palatino Linotype" w:cs="Arial"/>
        </w:rPr>
        <w:t xml:space="preserve">; y, en su caso, </w:t>
      </w:r>
      <w:r w:rsidRPr="009D3DF4">
        <w:rPr>
          <w:rFonts w:ascii="Palatino Linotype" w:hAnsi="Palatino Linotype" w:cs="Arial"/>
        </w:rPr>
        <w:lastRenderedPageBreak/>
        <w:t xml:space="preserve">ordenar la entrega de la información respecto a la falta de respuesta por parte del </w:t>
      </w:r>
      <w:r w:rsidRPr="009D3DF4">
        <w:rPr>
          <w:rFonts w:ascii="Palatino Linotype" w:hAnsi="Palatino Linotype" w:cs="Arial"/>
          <w:b/>
        </w:rPr>
        <w:t>SUJETO</w:t>
      </w:r>
      <w:r w:rsidRPr="009D3DF4">
        <w:rPr>
          <w:rFonts w:ascii="Palatino Linotype" w:hAnsi="Palatino Linotype" w:cs="Arial"/>
        </w:rPr>
        <w:t xml:space="preserve"> </w:t>
      </w:r>
      <w:r w:rsidRPr="009D3DF4">
        <w:rPr>
          <w:rFonts w:ascii="Palatino Linotype" w:hAnsi="Palatino Linotype" w:cs="Arial"/>
          <w:b/>
        </w:rPr>
        <w:t>OBLIGADO</w:t>
      </w:r>
      <w:r w:rsidRPr="009D3DF4">
        <w:rPr>
          <w:rFonts w:ascii="Palatino Linotype" w:hAnsi="Palatino Linotype" w:cs="Arial"/>
        </w:rPr>
        <w:t>.</w:t>
      </w:r>
    </w:p>
    <w:p w14:paraId="60CB2E4B" w14:textId="77777777" w:rsidR="008D77DE" w:rsidRPr="009D3DF4" w:rsidRDefault="008D77DE" w:rsidP="008D77DE">
      <w:pPr>
        <w:spacing w:line="360" w:lineRule="auto"/>
        <w:jc w:val="both"/>
        <w:rPr>
          <w:rFonts w:ascii="Palatino Linotype" w:eastAsia="Palatino Linotype" w:hAnsi="Palatino Linotype" w:cs="Palatino Linotype"/>
          <w:b/>
          <w:bCs/>
        </w:rPr>
      </w:pPr>
    </w:p>
    <w:p w14:paraId="76127555" w14:textId="3985E5BC" w:rsidR="008D77DE" w:rsidRPr="009D3DF4" w:rsidRDefault="008D77DE" w:rsidP="008D77DE">
      <w:pPr>
        <w:numPr>
          <w:ilvl w:val="0"/>
          <w:numId w:val="3"/>
        </w:numPr>
        <w:spacing w:line="360" w:lineRule="auto"/>
        <w:ind w:left="0" w:firstLine="0"/>
        <w:jc w:val="both"/>
        <w:rPr>
          <w:rFonts w:ascii="Palatino Linotype" w:eastAsia="Palatino Linotype" w:hAnsi="Palatino Linotype" w:cs="Palatino Linotype"/>
          <w:b/>
          <w:bCs/>
        </w:rPr>
      </w:pPr>
      <w:r w:rsidRPr="009D3DF4">
        <w:rPr>
          <w:rFonts w:ascii="Palatino Linotype" w:hAnsi="Palatino Linotype" w:cs="Tahoma"/>
          <w:iCs/>
          <w:lang w:val="es-ES" w:eastAsia="es-ES_tradnl"/>
        </w:rPr>
        <w:t xml:space="preserve">De </w:t>
      </w:r>
      <w:r w:rsidRPr="009D3DF4">
        <w:rPr>
          <w:rFonts w:ascii="Palatino Linotype" w:hAnsi="Palatino Linotype"/>
        </w:rPr>
        <w:t xml:space="preserve">acuerdo con el precepto legal contenido en la fracción IV del artículo 192 de la </w:t>
      </w:r>
      <w:r w:rsidRPr="009D3DF4">
        <w:rPr>
          <w:rFonts w:ascii="Palatino Linotype" w:hAnsi="Palatino Linotype"/>
          <w:b/>
        </w:rPr>
        <w:t>Ley de Transparencia y Acceso a la Información Pública del Estado de México y Municipios</w:t>
      </w:r>
      <w:r w:rsidRPr="009D3DF4">
        <w:rPr>
          <w:rFonts w:ascii="Palatino Linotype" w:hAnsi="Palatino Linotype"/>
        </w:rPr>
        <w:t>, el recurso será sobreseído, cuando una vez admitido, aparezca alguna causal de improcedencia en términos de la misma Ley.</w:t>
      </w:r>
    </w:p>
    <w:p w14:paraId="4A1BA0A3" w14:textId="77777777" w:rsidR="008D77DE" w:rsidRPr="009D3DF4" w:rsidRDefault="008D77DE" w:rsidP="008D77DE">
      <w:pPr>
        <w:spacing w:line="360" w:lineRule="auto"/>
        <w:jc w:val="both"/>
        <w:rPr>
          <w:rFonts w:ascii="Palatino Linotype" w:eastAsia="Palatino Linotype" w:hAnsi="Palatino Linotype" w:cs="Palatino Linotype"/>
          <w:b/>
          <w:bCs/>
        </w:rPr>
      </w:pPr>
    </w:p>
    <w:p w14:paraId="27D577F7" w14:textId="0A53B251" w:rsidR="00050E29" w:rsidRPr="009D3DF4" w:rsidRDefault="008D77DE" w:rsidP="00050E29">
      <w:pPr>
        <w:numPr>
          <w:ilvl w:val="0"/>
          <w:numId w:val="3"/>
        </w:numPr>
        <w:spacing w:line="360" w:lineRule="auto"/>
        <w:ind w:left="0" w:firstLine="0"/>
        <w:jc w:val="both"/>
        <w:rPr>
          <w:rFonts w:ascii="Palatino Linotype" w:eastAsia="Palatino Linotype" w:hAnsi="Palatino Linotype" w:cs="Palatino Linotype"/>
          <w:b/>
          <w:bCs/>
        </w:rPr>
      </w:pPr>
      <w:r w:rsidRPr="009D3DF4">
        <w:rPr>
          <w:rFonts w:ascii="Palatino Linotype" w:eastAsia="Palatino Linotype" w:hAnsi="Palatino Linotype" w:cs="Palatino Linotype"/>
        </w:rPr>
        <w:t>Ahora bien como ya se ha señalado, l</w:t>
      </w:r>
      <w:r w:rsidR="00F2495A" w:rsidRPr="009D3DF4">
        <w:rPr>
          <w:rFonts w:ascii="Palatino Linotype" w:eastAsia="Palatino Linotype" w:hAnsi="Palatino Linotype" w:cs="Palatino Linotype"/>
        </w:rPr>
        <w:t xml:space="preserve">a parte </w:t>
      </w:r>
      <w:r w:rsidR="00F2495A" w:rsidRPr="009D3DF4">
        <w:rPr>
          <w:rFonts w:ascii="Palatino Linotype" w:eastAsia="Palatino Linotype" w:hAnsi="Palatino Linotype" w:cs="Palatino Linotype"/>
          <w:b/>
          <w:bCs/>
        </w:rPr>
        <w:t>RECURRENTE</w:t>
      </w:r>
      <w:r w:rsidR="00F2495A" w:rsidRPr="009D3DF4">
        <w:rPr>
          <w:rFonts w:ascii="Palatino Linotype" w:eastAsia="Palatino Linotype" w:hAnsi="Palatino Linotype" w:cs="Palatino Linotype"/>
        </w:rPr>
        <w:t xml:space="preserve"> solicitó</w:t>
      </w:r>
      <w:r w:rsidR="00771F83" w:rsidRPr="009D3DF4">
        <w:rPr>
          <w:rFonts w:ascii="Palatino Linotype" w:eastAsia="Palatino Linotype" w:hAnsi="Palatino Linotype" w:cs="Palatino Linotype"/>
        </w:rPr>
        <w:t>,</w:t>
      </w:r>
      <w:r w:rsidR="00771F83" w:rsidRPr="009D3DF4">
        <w:rPr>
          <w:rFonts w:ascii="Palatino Linotype" w:hAnsi="Palatino Linotype"/>
          <w:color w:val="000000"/>
        </w:rPr>
        <w:t xml:space="preserve"> </w:t>
      </w:r>
      <w:r w:rsidR="00050E29" w:rsidRPr="009D3DF4">
        <w:rPr>
          <w:rFonts w:ascii="Palatino Linotype" w:hAnsi="Palatino Linotype"/>
          <w:color w:val="000000"/>
        </w:rPr>
        <w:t>lo siguiente:</w:t>
      </w:r>
      <w:r w:rsidR="00050E29" w:rsidRPr="009D3DF4">
        <w:rPr>
          <w:rFonts w:ascii="Palatino Linotype" w:eastAsia="Palatino Linotype" w:hAnsi="Palatino Linotype" w:cs="Palatino Linotype"/>
          <w:b/>
          <w:bCs/>
        </w:rPr>
        <w:t xml:space="preserve"> </w:t>
      </w:r>
      <w:r w:rsidR="00050E29" w:rsidRPr="009D3DF4">
        <w:rPr>
          <w:rFonts w:ascii="Palatino Linotype" w:hAnsi="Palatino Linotype"/>
          <w:i/>
          <w:iCs/>
          <w:color w:val="000000"/>
        </w:rPr>
        <w:t xml:space="preserve">"… </w:t>
      </w:r>
      <w:r w:rsidR="00050E29" w:rsidRPr="009D3DF4">
        <w:rPr>
          <w:rFonts w:ascii="Palatino Linotype" w:hAnsi="Palatino Linotype"/>
          <w:b/>
          <w:bCs/>
          <w:i/>
          <w:iCs/>
          <w:color w:val="000000"/>
        </w:rPr>
        <w:t xml:space="preserve">El estado procesal y respuesta formal al oficio entregado por la suscrita con fecha 18 de noviembre de 2025, </w:t>
      </w:r>
      <w:r w:rsidR="00050E29" w:rsidRPr="009D3DF4">
        <w:rPr>
          <w:rFonts w:ascii="Palatino Linotype" w:hAnsi="Palatino Linotype"/>
          <w:i/>
          <w:iCs/>
          <w:color w:val="000000"/>
        </w:rPr>
        <w:t xml:space="preserve">relativo a la adecuación de infraestructura vial (rampas) para personas con discapacidad. </w:t>
      </w:r>
      <w:r w:rsidR="00050E29" w:rsidRPr="009D3DF4">
        <w:rPr>
          <w:rFonts w:ascii="Palatino Linotype" w:hAnsi="Palatino Linotype"/>
          <w:b/>
          <w:bCs/>
          <w:i/>
          <w:iCs/>
          <w:color w:val="000000"/>
        </w:rPr>
        <w:t>Se informe si existe un dictamen técnico de la Dirección de Obras Públicas sobre la rampa ubicada en mi solicitud original, la cual presenta defectos de construcción que impiden su uso.</w:t>
      </w:r>
      <w:r w:rsidR="00050E29" w:rsidRPr="009D3DF4">
        <w:rPr>
          <w:rFonts w:ascii="Palatino Linotype" w:hAnsi="Palatino Linotype"/>
          <w:i/>
          <w:iCs/>
          <w:color w:val="000000"/>
        </w:rPr>
        <w:t xml:space="preserve"> </w:t>
      </w:r>
      <w:r w:rsidR="00050E29" w:rsidRPr="009D3DF4">
        <w:rPr>
          <w:rFonts w:ascii="Palatino Linotype" w:hAnsi="Palatino Linotype"/>
          <w:b/>
          <w:bCs/>
          <w:i/>
          <w:iCs/>
          <w:color w:val="000000"/>
        </w:rPr>
        <w:t>Se especifique el presupuesto asignado este año para la eliminación de barreras arquitectónicas en el municipio..</w:t>
      </w:r>
      <w:r w:rsidR="00050E29" w:rsidRPr="009D3DF4">
        <w:rPr>
          <w:rFonts w:ascii="Palatino Linotype" w:hAnsi="Palatino Linotype"/>
          <w:i/>
          <w:iCs/>
          <w:color w:val="000000"/>
        </w:rPr>
        <w:t>." (Sic)</w:t>
      </w:r>
    </w:p>
    <w:p w14:paraId="06B24232" w14:textId="77777777" w:rsidR="00050E29" w:rsidRPr="009D3DF4" w:rsidRDefault="00050E29" w:rsidP="00050E29">
      <w:pPr>
        <w:spacing w:line="360" w:lineRule="auto"/>
        <w:jc w:val="both"/>
        <w:rPr>
          <w:rFonts w:ascii="Palatino Linotype" w:eastAsia="Palatino Linotype" w:hAnsi="Palatino Linotype" w:cs="Palatino Linotype"/>
          <w:b/>
          <w:bCs/>
        </w:rPr>
      </w:pPr>
    </w:p>
    <w:p w14:paraId="4C3CEED1" w14:textId="33287F0C" w:rsidR="008D77DE" w:rsidRPr="009D3DF4" w:rsidRDefault="00F2495A" w:rsidP="008D77DE">
      <w:pPr>
        <w:numPr>
          <w:ilvl w:val="0"/>
          <w:numId w:val="3"/>
        </w:numPr>
        <w:spacing w:line="360" w:lineRule="auto"/>
        <w:ind w:left="0" w:firstLine="0"/>
        <w:jc w:val="both"/>
        <w:rPr>
          <w:rFonts w:ascii="Palatino Linotype" w:eastAsia="Palatino Linotype" w:hAnsi="Palatino Linotype" w:cs="Palatino Linotype"/>
          <w:b/>
          <w:bCs/>
        </w:rPr>
      </w:pPr>
      <w:r w:rsidRPr="009D3DF4">
        <w:rPr>
          <w:rFonts w:ascii="Palatino Linotype" w:eastAsia="Palatino Linotype" w:hAnsi="Palatino Linotype" w:cs="Palatino Linotype"/>
        </w:rPr>
        <w:t xml:space="preserve">El </w:t>
      </w:r>
      <w:r w:rsidRPr="009D3DF4">
        <w:rPr>
          <w:rFonts w:ascii="Palatino Linotype" w:eastAsia="Palatino Linotype" w:hAnsi="Palatino Linotype" w:cs="Palatino Linotype"/>
          <w:b/>
          <w:bCs/>
        </w:rPr>
        <w:t>SUJETO OBLIGADO</w:t>
      </w:r>
      <w:r w:rsidRPr="009D3DF4">
        <w:rPr>
          <w:rFonts w:ascii="Palatino Linotype" w:eastAsia="Palatino Linotype" w:hAnsi="Palatino Linotype" w:cs="Palatino Linotype"/>
        </w:rPr>
        <w:t xml:space="preserve"> emitió respuesta </w:t>
      </w:r>
      <w:r w:rsidR="008D77DE" w:rsidRPr="009D3DF4">
        <w:rPr>
          <w:rFonts w:ascii="Palatino Linotype" w:eastAsia="Palatino Linotype" w:hAnsi="Palatino Linotype" w:cs="Palatino Linotype"/>
        </w:rPr>
        <w:t xml:space="preserve">por medio de la </w:t>
      </w:r>
      <w:r w:rsidR="008D77DE" w:rsidRPr="009D3DF4">
        <w:rPr>
          <w:rFonts w:ascii="Palatino Linotype" w:hAnsi="Palatino Linotype"/>
        </w:rPr>
        <w:t xml:space="preserve">Directora de Obras Públicas, quien informó que la infraestructura referida en la solicitud de información </w:t>
      </w:r>
      <w:r w:rsidR="008D77DE" w:rsidRPr="009D3DF4">
        <w:rPr>
          <w:rFonts w:ascii="Palatino Linotype" w:hAnsi="Palatino Linotype" w:cs="Palatino Linotype"/>
        </w:rPr>
        <w:t xml:space="preserve">se localiza dentro de una zona de competencia federal, razón por la cual, cualquier autorización, dictaminación o validación técnica relacionada con cruces sobre vías férreas </w:t>
      </w:r>
      <w:r w:rsidR="008D77DE" w:rsidRPr="009D3DF4">
        <w:rPr>
          <w:rFonts w:ascii="Palatino Linotype" w:hAnsi="Palatino Linotype" w:cs="Palatino Linotype"/>
          <w:b/>
          <w:bCs/>
        </w:rPr>
        <w:t xml:space="preserve">corresponde exclusivamente a las instancias federales competentes, </w:t>
      </w:r>
      <w:r w:rsidR="008D77DE" w:rsidRPr="009D3DF4">
        <w:rPr>
          <w:rFonts w:ascii="Palatino Linotype" w:hAnsi="Palatino Linotype" w:cs="Palatino Linotype"/>
        </w:rPr>
        <w:t xml:space="preserve">conforme a la normatividad aplicable, haciendo mención de se debe respetar el derecho de vía (generalmente 15 metros a cada lado del eje de la vía). Asimismo, </w:t>
      </w:r>
      <w:r w:rsidR="008D77DE" w:rsidRPr="009D3DF4">
        <w:rPr>
          <w:rFonts w:ascii="Palatino Linotype" w:hAnsi="Palatino Linotype" w:cs="Palatino Linotype"/>
          <w:b/>
          <w:bCs/>
        </w:rPr>
        <w:t>precisó que la rampa actualmente existente no fue ejecutada, construida ni autorizada por la Dirección de Obras Públicas de este Ayuntamiento</w:t>
      </w:r>
      <w:r w:rsidR="008D77DE" w:rsidRPr="009D3DF4">
        <w:rPr>
          <w:rFonts w:ascii="Palatino Linotype" w:hAnsi="Palatino Linotype" w:cs="Palatino Linotype"/>
        </w:rPr>
        <w:t xml:space="preserve">, </w:t>
      </w:r>
      <w:r w:rsidR="008D77DE" w:rsidRPr="009D3DF4">
        <w:rPr>
          <w:rFonts w:ascii="Palatino Linotype" w:hAnsi="Palatino Linotype" w:cs="Palatino Linotype"/>
          <w:b/>
          <w:bCs/>
        </w:rPr>
        <w:t xml:space="preserve">por lo que la </w:t>
      </w:r>
      <w:r w:rsidR="008D77DE" w:rsidRPr="009D3DF4">
        <w:rPr>
          <w:rFonts w:ascii="Palatino Linotype" w:hAnsi="Palatino Linotype" w:cs="Palatino Linotype"/>
          <w:b/>
          <w:bCs/>
        </w:rPr>
        <w:lastRenderedPageBreak/>
        <w:t xml:space="preserve">dependencia no cuenta con antecedentes técnicos, administrativos ni contractuales relacionados con su realización. </w:t>
      </w:r>
      <w:r w:rsidR="008D77DE" w:rsidRPr="009D3DF4">
        <w:rPr>
          <w:rFonts w:ascii="Palatino Linotype" w:hAnsi="Palatino Linotype" w:cs="Palatino Linotype"/>
        </w:rPr>
        <w:t xml:space="preserve">Finalmente, refirió que </w:t>
      </w:r>
      <w:r w:rsidR="008D77DE" w:rsidRPr="009D3DF4">
        <w:rPr>
          <w:rFonts w:ascii="Palatino Linotype" w:hAnsi="Palatino Linotype" w:cs="Palatino Linotype"/>
          <w:b/>
          <w:bCs/>
        </w:rPr>
        <w:t>la Dirección dio contestación en tiempo y forma al oficio adjunto a la solicitud de información;</w:t>
      </w:r>
      <w:r w:rsidR="008D77DE" w:rsidRPr="009D3DF4">
        <w:rPr>
          <w:rFonts w:ascii="Palatino Linotype" w:hAnsi="Palatino Linotype" w:cs="Palatino Linotype"/>
        </w:rPr>
        <w:t xml:space="preserve"> sin embargo, la misma no pudo ser debidamente notificada, en virtud de que el escrito original no contenía domicilio o dirección señalada para oír y recibir notificaciones, lo que imposibilitó su entrega formal.</w:t>
      </w:r>
    </w:p>
    <w:p w14:paraId="6C7A0821" w14:textId="77777777" w:rsidR="008D77DE" w:rsidRPr="009D3DF4" w:rsidRDefault="008D77DE" w:rsidP="008D77DE">
      <w:pPr>
        <w:spacing w:line="360" w:lineRule="auto"/>
        <w:jc w:val="both"/>
        <w:rPr>
          <w:rFonts w:ascii="Palatino Linotype" w:eastAsia="Palatino Linotype" w:hAnsi="Palatino Linotype" w:cs="Palatino Linotype"/>
          <w:b/>
          <w:bCs/>
        </w:rPr>
      </w:pPr>
    </w:p>
    <w:p w14:paraId="2D39E641" w14:textId="18D5D14E" w:rsidR="008D77DE" w:rsidRPr="009D3DF4" w:rsidRDefault="008D77DE" w:rsidP="008D77DE">
      <w:pPr>
        <w:numPr>
          <w:ilvl w:val="0"/>
          <w:numId w:val="3"/>
        </w:numPr>
        <w:spacing w:line="360" w:lineRule="auto"/>
        <w:ind w:left="0" w:firstLine="0"/>
        <w:jc w:val="both"/>
        <w:rPr>
          <w:rFonts w:ascii="Palatino Linotype" w:eastAsia="Palatino Linotype" w:hAnsi="Palatino Linotype" w:cs="Palatino Linotype"/>
          <w:b/>
          <w:bCs/>
        </w:rPr>
      </w:pPr>
      <w:r w:rsidRPr="009D3DF4">
        <w:rPr>
          <w:rFonts w:ascii="Palatino Linotype" w:eastAsia="Palatino Linotype" w:hAnsi="Palatino Linotype" w:cs="Palatino Linotype"/>
        </w:rPr>
        <w:t xml:space="preserve">En atención a lo expuesto, se advierte que, si bien </w:t>
      </w:r>
      <w:r w:rsidRPr="009D3DF4">
        <w:rPr>
          <w:rFonts w:ascii="Palatino Linotype" w:hAnsi="Palatino Linotype" w:cs="Palatino Linotype"/>
        </w:rPr>
        <w:t xml:space="preserve">el </w:t>
      </w:r>
      <w:r w:rsidRPr="009D3DF4">
        <w:rPr>
          <w:rFonts w:ascii="Palatino Linotype" w:hAnsi="Palatino Linotype" w:cs="Palatino Linotype"/>
          <w:b/>
          <w:bCs/>
        </w:rPr>
        <w:t>SUJETO OBLIGADO</w:t>
      </w:r>
      <w:r w:rsidRPr="009D3DF4">
        <w:rPr>
          <w:rFonts w:ascii="Palatino Linotype" w:hAnsi="Palatino Linotype" w:cs="Palatino Linotype"/>
        </w:rPr>
        <w:t xml:space="preserve"> informó el estado procesal y la respuesta al oficio adjunto a la solicitud de información, también se advierte que carece de atribuciones legales para emitir dictámenes técnicos o resoluciones respecto de la obra señalada, ya que </w:t>
      </w:r>
      <w:r w:rsidRPr="009D3DF4">
        <w:rPr>
          <w:rFonts w:ascii="Palatino Linotype" w:hAnsi="Palatino Linotype"/>
        </w:rPr>
        <w:t xml:space="preserve">la infraestructura </w:t>
      </w:r>
      <w:r w:rsidRPr="009D3DF4">
        <w:rPr>
          <w:rFonts w:ascii="Palatino Linotype" w:hAnsi="Palatino Linotype" w:cs="Palatino Linotype"/>
        </w:rPr>
        <w:t>se localiza dentro de una zona de competencia federal.</w:t>
      </w:r>
    </w:p>
    <w:p w14:paraId="729F5B80" w14:textId="77777777" w:rsidR="008D77DE" w:rsidRPr="009D3DF4" w:rsidRDefault="008D77DE" w:rsidP="008D77DE">
      <w:pPr>
        <w:spacing w:line="360" w:lineRule="auto"/>
        <w:jc w:val="both"/>
        <w:rPr>
          <w:rFonts w:ascii="Palatino Linotype" w:eastAsia="Palatino Linotype" w:hAnsi="Palatino Linotype" w:cs="Palatino Linotype"/>
          <w:b/>
          <w:bCs/>
        </w:rPr>
      </w:pPr>
    </w:p>
    <w:p w14:paraId="4093F98E" w14:textId="77777777" w:rsidR="008D77DE" w:rsidRPr="009D3DF4" w:rsidRDefault="008D77DE" w:rsidP="008D77DE">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hAnsi="Palatino Linotype" w:cs="Palatino Linotype"/>
        </w:rPr>
        <w:t xml:space="preserve">En este sentido, </w:t>
      </w:r>
      <w:r w:rsidRPr="009D3DF4">
        <w:rPr>
          <w:rFonts w:ascii="Palatino Linotype" w:hAnsi="Palatino Linotype"/>
        </w:rPr>
        <w:t xml:space="preserve">nos encontramos ante la presencia de un </w:t>
      </w:r>
      <w:r w:rsidRPr="009D3DF4">
        <w:rPr>
          <w:rFonts w:ascii="Palatino Linotype" w:hAnsi="Palatino Linotype"/>
          <w:b/>
        </w:rPr>
        <w:t>hecho negativo</w:t>
      </w:r>
      <w:r w:rsidRPr="009D3DF4">
        <w:rPr>
          <w:rFonts w:ascii="Palatino Linotype" w:hAnsi="Palatino Linotype"/>
        </w:rPr>
        <w:t xml:space="preserve">, en virtud de que la información solicitada no puede fácticamente obrar en los archivos del </w:t>
      </w:r>
      <w:r w:rsidRPr="009D3DF4">
        <w:rPr>
          <w:rFonts w:ascii="Palatino Linotype" w:hAnsi="Palatino Linotype"/>
          <w:b/>
        </w:rPr>
        <w:t>SUJETO OBLIGADO</w:t>
      </w:r>
      <w:r w:rsidRPr="009D3DF4">
        <w:rPr>
          <w:rFonts w:ascii="Palatino Linotype" w:hAnsi="Palatino Linotype"/>
        </w:rPr>
        <w:t xml:space="preserve">, ya que no puede probarse por ser lógica y materialmente imposible. </w:t>
      </w:r>
    </w:p>
    <w:p w14:paraId="07D99B39" w14:textId="77777777" w:rsidR="008D77DE" w:rsidRPr="009D3DF4" w:rsidRDefault="008D77DE" w:rsidP="008D77DE">
      <w:pPr>
        <w:pStyle w:val="Prrafodelista"/>
        <w:rPr>
          <w:rFonts w:ascii="Palatino Linotype" w:hAnsi="Palatino Linotype"/>
        </w:rPr>
      </w:pPr>
    </w:p>
    <w:p w14:paraId="67D4DFFE" w14:textId="77777777" w:rsidR="008D77DE" w:rsidRPr="009D3DF4" w:rsidRDefault="008D77DE" w:rsidP="008D77DE">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hAnsi="Palatino Linotype"/>
        </w:rPr>
        <w:t xml:space="preserve">Asimismo, no se trata de un caso por el cual la negación del hecho implique la afirmación de este, simplemente se está ante una notoria y evidente inexistencia de la información solicitada. En este contexto, nos encontramos ante la presencia de un hecho negativo, en virtud de que la información solicitada no puede fácticamente obrar en los archivos del Sujeto Obligado, ya que no puede probarse por ser lógica y materialmente imposible. </w:t>
      </w:r>
    </w:p>
    <w:p w14:paraId="6B0D41EE" w14:textId="4BFA9938" w:rsidR="008D77DE" w:rsidRPr="009D3DF4" w:rsidRDefault="008D77DE" w:rsidP="008D77DE">
      <w:pPr>
        <w:numPr>
          <w:ilvl w:val="0"/>
          <w:numId w:val="3"/>
        </w:numPr>
        <w:spacing w:line="360" w:lineRule="auto"/>
        <w:ind w:left="0" w:firstLine="0"/>
        <w:jc w:val="both"/>
        <w:rPr>
          <w:rFonts w:ascii="Palatino Linotype" w:eastAsia="Palatino Linotype" w:hAnsi="Palatino Linotype" w:cs="Palatino Linotype"/>
        </w:rPr>
      </w:pPr>
      <w:r w:rsidRPr="009D3DF4">
        <w:rPr>
          <w:rFonts w:ascii="Palatino Linotype" w:hAnsi="Palatino Linotype"/>
        </w:rPr>
        <w:lastRenderedPageBreak/>
        <w:t xml:space="preserve">Es conveniente, invocar la tesis con número de registro 267287, de la Sexta Época, Instancia: Segunda Sala, publicada en el Semanario Judicial de la Federación, Volumen LII, Tercera Parte, Materia Común, que indica lo siguiente: </w:t>
      </w:r>
    </w:p>
    <w:p w14:paraId="080DF22F" w14:textId="77777777" w:rsidR="008D77DE" w:rsidRPr="009D3DF4" w:rsidRDefault="008D77DE" w:rsidP="008D77DE">
      <w:pPr>
        <w:ind w:left="567" w:right="567"/>
        <w:jc w:val="both"/>
        <w:rPr>
          <w:rFonts w:ascii="Palatino Linotype" w:hAnsi="Palatino Linotype" w:cs="Palatino Linotype"/>
          <w:b/>
        </w:rPr>
      </w:pPr>
      <w:r w:rsidRPr="009D3DF4">
        <w:rPr>
          <w:rFonts w:ascii="Palatino Linotype" w:hAnsi="Palatino Linotype"/>
          <w:i/>
        </w:rPr>
        <w:t>“</w:t>
      </w:r>
      <w:r w:rsidRPr="009D3DF4">
        <w:rPr>
          <w:rFonts w:ascii="Palatino Linotype" w:hAnsi="Palatino Linotype"/>
          <w:b/>
          <w:i/>
        </w:rPr>
        <w:t>HECHOS NEGATIVOS, NO SON SUSCEPTIBLES DE DEMOSTRACION.</w:t>
      </w:r>
      <w:r w:rsidRPr="009D3DF4">
        <w:rPr>
          <w:rFonts w:ascii="Palatino Linotype" w:hAnsi="Palatino Linotype"/>
          <w:i/>
        </w:rPr>
        <w:t xml:space="preserve"> Tratándose de un hecho negativo, el Juez no tiene por qué invocar prueba alguna de la que se desprenda, ya que es bien sabido que esta clase de hechos no son susceptibles de demostración.”</w:t>
      </w:r>
    </w:p>
    <w:p w14:paraId="377E132A" w14:textId="7AB1FBE9" w:rsidR="008D77DE" w:rsidRPr="009D3DF4" w:rsidRDefault="008D77DE" w:rsidP="008D77DE">
      <w:pPr>
        <w:spacing w:line="360" w:lineRule="auto"/>
        <w:jc w:val="both"/>
        <w:rPr>
          <w:rFonts w:ascii="Palatino Linotype" w:eastAsia="Palatino Linotype" w:hAnsi="Palatino Linotype" w:cs="Palatino Linotype"/>
        </w:rPr>
      </w:pPr>
    </w:p>
    <w:p w14:paraId="16FCECB2" w14:textId="77777777" w:rsidR="003E61CD" w:rsidRPr="009D3DF4" w:rsidRDefault="008D77DE"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eastAsia="Palatino Linotype" w:hAnsi="Palatino Linotype" w:cs="Palatino Linotype"/>
        </w:rPr>
        <w:t>Ahora bien, i</w:t>
      </w:r>
      <w:r w:rsidR="00F2495A" w:rsidRPr="009D3DF4">
        <w:rPr>
          <w:rFonts w:ascii="Palatino Linotype" w:eastAsia="Palatino Linotype" w:hAnsi="Palatino Linotype" w:cs="Palatino Linotype"/>
        </w:rPr>
        <w:t xml:space="preserve">nconforme con la respuesta, </w:t>
      </w:r>
      <w:r w:rsidRPr="009D3DF4">
        <w:rPr>
          <w:rFonts w:ascii="Palatino Linotype" w:eastAsia="Palatino Linotype" w:hAnsi="Palatino Linotype" w:cs="Palatino Linotype"/>
          <w:color w:val="000000"/>
        </w:rPr>
        <w:t xml:space="preserve">la parte </w:t>
      </w:r>
      <w:r w:rsidRPr="009D3DF4">
        <w:rPr>
          <w:rFonts w:ascii="Palatino Linotype" w:hAnsi="Palatino Linotype" w:cs="Tahoma"/>
          <w:b/>
          <w:bCs/>
          <w:color w:val="000000"/>
          <w:lang w:val="es-ES"/>
        </w:rPr>
        <w:t>RECURRENTE</w:t>
      </w:r>
      <w:r w:rsidRPr="009D3DF4">
        <w:rPr>
          <w:rFonts w:ascii="Palatino Linotype" w:hAnsi="Palatino Linotype" w:cs="Tahoma"/>
          <w:color w:val="000000"/>
          <w:lang w:val="es-ES"/>
        </w:rPr>
        <w:t xml:space="preserve"> interpuso el recurso de revisión, por medio del cual, refirió como razones o motivos de inconformidad, lo siguiente:</w:t>
      </w:r>
      <w:r w:rsidR="003E61CD" w:rsidRPr="009D3DF4">
        <w:rPr>
          <w:rFonts w:ascii="Palatino Linotype" w:eastAsia="Palatino Linotype" w:hAnsi="Palatino Linotype" w:cs="Palatino Linotype"/>
          <w:color w:val="000000"/>
          <w:lang w:val="es-ES"/>
        </w:rPr>
        <w:t xml:space="preserve"> “</w:t>
      </w:r>
      <w:r w:rsidR="003E61CD" w:rsidRPr="009D3DF4">
        <w:rPr>
          <w:rFonts w:ascii="Palatino Linotype" w:hAnsi="Palatino Linotype"/>
          <w:i/>
          <w:iCs/>
          <w:color w:val="000000"/>
        </w:rPr>
        <w:t xml:space="preserve">Me inconformo debido a que la respuesta de </w:t>
      </w:r>
      <w:r w:rsidR="003E61CD" w:rsidRPr="009D3DF4">
        <w:rPr>
          <w:rFonts w:ascii="Palatino Linotype" w:hAnsi="Palatino Linotype"/>
          <w:b/>
          <w:bCs/>
          <w:i/>
          <w:iCs/>
          <w:color w:val="000000"/>
        </w:rPr>
        <w:t>la autoridad es incongruente y falta a la verdad…” (Sic)</w:t>
      </w:r>
    </w:p>
    <w:p w14:paraId="23D135FF" w14:textId="77777777" w:rsidR="003E61CD" w:rsidRPr="009D3DF4" w:rsidRDefault="003E61CD" w:rsidP="003E61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7B37F3" w14:textId="77777777"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cs="Tahoma"/>
          <w:color w:val="000000"/>
          <w:lang w:val="es-ES"/>
        </w:rPr>
        <w:t xml:space="preserve">En este sentido, en necesario </w:t>
      </w:r>
      <w:r w:rsidRPr="009D3DF4">
        <w:rPr>
          <w:rFonts w:ascii="Palatino Linotype" w:hAnsi="Palatino Linotype"/>
        </w:rPr>
        <w:t xml:space="preserve">referir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9D3DF4">
        <w:rPr>
          <w:rFonts w:ascii="Palatino Linotype" w:hAnsi="Palatino Linotype"/>
          <w:b/>
          <w:bCs/>
        </w:rPr>
        <w:t>SAIMEX.</w:t>
      </w:r>
    </w:p>
    <w:p w14:paraId="5C344C83" w14:textId="77777777" w:rsidR="003E61CD" w:rsidRPr="009D3DF4" w:rsidRDefault="003E61CD" w:rsidP="003E61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8AEF28" w14:textId="77777777"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cs="Arial"/>
          <w:lang w:val="es-ES"/>
        </w:rPr>
        <w:t xml:space="preserve">Por otro lado, es necesario precisar que conforme a lo establecido en los artículos </w:t>
      </w:r>
      <w:r w:rsidRPr="009D3DF4">
        <w:rPr>
          <w:rFonts w:ascii="Palatino Linotype" w:hAnsi="Palatino Linotype" w:cs="Arial"/>
          <w:color w:val="000000" w:themeColor="text1"/>
        </w:rPr>
        <w:t xml:space="preserve">176 y 179 de la Ley de Transparencia y Acceso a la Información Pública del Estado de México y Municipios, el </w:t>
      </w:r>
      <w:r w:rsidRPr="009D3DF4">
        <w:rPr>
          <w:rFonts w:ascii="Palatino Linotype" w:hAnsi="Palatino Linotype" w:cs="Arial"/>
          <w:lang w:val="es-ES"/>
        </w:rPr>
        <w:t>Recurso de Revisión</w:t>
      </w:r>
      <w:r w:rsidRPr="009D3DF4">
        <w:rPr>
          <w:rFonts w:ascii="Palatino Linotype" w:hAnsi="Palatino Linotype" w:cs="Arial"/>
          <w:color w:val="000000" w:themeColor="text1"/>
        </w:rPr>
        <w:t xml:space="preserve"> es la garantía secundaria que la Ley otorga a los Particulares para reparar cualquier posible afectación a su derecho de Acceso a la Información Pública; siendo éste el medio a través del cual, este Órgano Garante después de realizar el</w:t>
      </w:r>
      <w:r w:rsidRPr="009D3DF4">
        <w:rPr>
          <w:rFonts w:ascii="Palatino Linotype" w:hAnsi="Palatino Linotype"/>
          <w:lang w:val="es-ES_tradnl"/>
        </w:rPr>
        <w:t xml:space="preserve"> </w:t>
      </w:r>
      <w:r w:rsidRPr="009D3DF4">
        <w:rPr>
          <w:rFonts w:ascii="Palatino Linotype" w:hAnsi="Palatino Linotype"/>
          <w:lang w:val="es-ES_tradnl"/>
        </w:rPr>
        <w:lastRenderedPageBreak/>
        <w:t>análisis al procedimiento de Acceso a la Información, podrá determinar la posible afectación y de ser el caso ordenar la reparación a la violación del derecho en cuestión.</w:t>
      </w:r>
    </w:p>
    <w:p w14:paraId="180BC9E5" w14:textId="77777777" w:rsidR="003E61CD" w:rsidRPr="009D3DF4" w:rsidRDefault="003E61CD" w:rsidP="003E61C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4BB0D04" w14:textId="77777777"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cs="Tahoma"/>
          <w:color w:val="000000"/>
          <w:lang w:val="es-ES"/>
        </w:rPr>
        <w:t xml:space="preserve">Es </w:t>
      </w:r>
      <w:r w:rsidRPr="009D3DF4">
        <w:rPr>
          <w:rFonts w:ascii="Palatino Linotype" w:hAnsi="Palatino Linotype"/>
          <w:bCs/>
          <w:color w:val="000000" w:themeColor="text1"/>
        </w:rPr>
        <w:t>así que, la legislación adjetiva establece medios de impugnación o recursos a través de los cuales los particulares o las personas que se consideren afectados en la emisión de un acto de autoridad, cuentan con la posibilidad de impugnar aquél, con el objeto de que la misma autoridad que emitió el acto, o bien, un órgano superior, realice un nuevo análisis del asunto a efecto de determinar la legalidad o ilegalidad del acto que se combate.</w:t>
      </w:r>
    </w:p>
    <w:p w14:paraId="66EF0E52" w14:textId="77777777" w:rsidR="003E61CD" w:rsidRPr="009D3DF4" w:rsidRDefault="003E61CD" w:rsidP="003E61CD">
      <w:pPr>
        <w:pStyle w:val="Prrafodelista"/>
        <w:rPr>
          <w:rFonts w:ascii="Palatino Linotype" w:hAnsi="Palatino Linotype"/>
          <w:bCs/>
          <w:color w:val="000000" w:themeColor="text1"/>
        </w:rPr>
      </w:pPr>
    </w:p>
    <w:p w14:paraId="30C7F2E3" w14:textId="77777777"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bCs/>
          <w:color w:val="000000" w:themeColor="text1"/>
        </w:rPr>
        <w:t>También, es necesario precisar que los medios de impugnación constituyen recursos legales a través de los cuales se corrigen los errores cometidos tanto en el curso del procedimiento, como en el dictado de la resolución.</w:t>
      </w:r>
    </w:p>
    <w:p w14:paraId="01BDC1F0" w14:textId="77777777" w:rsidR="003E61CD" w:rsidRPr="009D3DF4" w:rsidRDefault="003E61CD" w:rsidP="003E61CD">
      <w:pPr>
        <w:pStyle w:val="Prrafodelista"/>
        <w:rPr>
          <w:rFonts w:ascii="Palatino Linotype" w:hAnsi="Palatino Linotype"/>
          <w:bCs/>
          <w:color w:val="000000" w:themeColor="text1"/>
        </w:rPr>
      </w:pPr>
    </w:p>
    <w:p w14:paraId="3BC41EE0" w14:textId="77777777"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bCs/>
          <w:color w:val="000000" w:themeColor="text1"/>
        </w:rPr>
        <w:t xml:space="preserve">Conforme a los argumentos anteriormente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 la parte </w:t>
      </w:r>
      <w:r w:rsidRPr="009D3DF4">
        <w:rPr>
          <w:rFonts w:ascii="Palatino Linotype" w:hAnsi="Palatino Linotype"/>
          <w:b/>
          <w:color w:val="000000" w:themeColor="text1"/>
        </w:rPr>
        <w:t xml:space="preserve"> RECURRENTE</w:t>
      </w:r>
      <w:r w:rsidRPr="009D3DF4">
        <w:rPr>
          <w:rFonts w:ascii="Palatino Linotype" w:hAnsi="Palatino Linotype"/>
          <w:bCs/>
          <w:color w:val="000000" w:themeColor="text1"/>
        </w:rPr>
        <w:t>, señale la causa, motivo o circunstancia por la que considera que el acto que impugna le causa perjuicio o lesión a sus intereses.</w:t>
      </w:r>
    </w:p>
    <w:p w14:paraId="6DE15D5A" w14:textId="77777777" w:rsidR="003E61CD" w:rsidRPr="009D3DF4" w:rsidRDefault="003E61CD" w:rsidP="003E61CD">
      <w:pPr>
        <w:pStyle w:val="Prrafodelista"/>
        <w:rPr>
          <w:rFonts w:ascii="Palatino Linotype" w:hAnsi="Palatino Linotype"/>
          <w:bCs/>
          <w:color w:val="000000" w:themeColor="text1"/>
        </w:rPr>
      </w:pPr>
    </w:p>
    <w:p w14:paraId="43D0107F" w14:textId="77777777"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bCs/>
          <w:color w:val="000000" w:themeColor="text1"/>
        </w:rPr>
        <w:t xml:space="preserve">Asimismo, es importante destacar que los motivos de inconformidad o agravios expresados en un Recurso de Revisión deben tener por objeto combatir los argumentos sustentados en la respuesta impugnada, lo que implica que el límite de un recurso es el estudio efectuado a los motivos de inconformidad que </w:t>
      </w:r>
      <w:r w:rsidRPr="009D3DF4">
        <w:rPr>
          <w:rFonts w:ascii="Palatino Linotype" w:hAnsi="Palatino Linotype"/>
          <w:b/>
          <w:bCs/>
          <w:color w:val="000000" w:themeColor="text1"/>
        </w:rPr>
        <w:t>deben necesariamente tener relación directa con la materia del acto combatido.</w:t>
      </w:r>
      <w:bookmarkStart w:id="4" w:name="_GoBack"/>
      <w:bookmarkEnd w:id="4"/>
    </w:p>
    <w:p w14:paraId="4E12C502" w14:textId="77777777"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bCs/>
          <w:color w:val="000000" w:themeColor="text1"/>
        </w:rPr>
        <w:lastRenderedPageBreak/>
        <w:t xml:space="preserve">Lo anterior es así, en atención a que como se ha expuesto, las manifestaciones de las que se duele el </w:t>
      </w:r>
      <w:r w:rsidRPr="009D3DF4">
        <w:rPr>
          <w:rFonts w:ascii="Palatino Linotype" w:hAnsi="Palatino Linotype"/>
          <w:b/>
          <w:color w:val="000000" w:themeColor="text1"/>
        </w:rPr>
        <w:t>RECURRENTE</w:t>
      </w:r>
      <w:r w:rsidRPr="009D3DF4">
        <w:rPr>
          <w:rFonts w:ascii="Palatino Linotype" w:hAnsi="Palatino Linotype"/>
          <w:bCs/>
          <w:color w:val="000000" w:themeColor="text1"/>
        </w:rPr>
        <w:t xml:space="preserve"> deben llevar un perjuicio o motivo de inconformidad, que constituya una la lesión, menoscabo o afectación que una persona sufre en sus derechos en virtud de la emisión de un acto de autoridad. </w:t>
      </w:r>
    </w:p>
    <w:p w14:paraId="411CC4C1" w14:textId="77777777" w:rsidR="003E61CD" w:rsidRPr="009D3DF4" w:rsidRDefault="003E61CD" w:rsidP="003E61CD">
      <w:pPr>
        <w:pStyle w:val="Prrafodelista"/>
        <w:rPr>
          <w:rFonts w:ascii="Palatino Linotype" w:hAnsi="Palatino Linotype" w:cs="Arial"/>
          <w:color w:val="000000" w:themeColor="text1"/>
        </w:rPr>
      </w:pPr>
    </w:p>
    <w:p w14:paraId="69570F56" w14:textId="1CD0FBAE" w:rsidR="003E61CD" w:rsidRPr="009D3DF4" w:rsidRDefault="003E61CD" w:rsidP="003E61C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D3DF4">
        <w:rPr>
          <w:rFonts w:ascii="Palatino Linotype" w:hAnsi="Palatino Linotype" w:cs="Arial"/>
          <w:color w:val="000000" w:themeColor="text1"/>
        </w:rPr>
        <w:t xml:space="preserve">Por lo que, del análisis realizado a las manifestaciones vertidas por el particular como acto impugnado; así como razones o motivos de inconformidad, donde manifestó textualmente </w:t>
      </w:r>
      <w:r w:rsidRPr="009D3DF4">
        <w:rPr>
          <w:rFonts w:ascii="Palatino Linotype" w:hAnsi="Palatino Linotype"/>
          <w:b/>
          <w:i/>
          <w:iCs/>
          <w:color w:val="000000"/>
        </w:rPr>
        <w:t>“falta a la verdad" (Sic)</w:t>
      </w:r>
      <w:r w:rsidRPr="009D3DF4">
        <w:rPr>
          <w:rFonts w:ascii="Palatino Linotype" w:hAnsi="Palatino Linotype" w:cs="Arial"/>
          <w:b/>
          <w:i/>
          <w:iCs/>
          <w:color w:val="000000" w:themeColor="text1"/>
        </w:rPr>
        <w:t>,</w:t>
      </w:r>
      <w:r w:rsidRPr="009D3DF4">
        <w:rPr>
          <w:rFonts w:ascii="Palatino Linotype" w:hAnsi="Palatino Linotype" w:cs="Arial"/>
          <w:color w:val="000000" w:themeColor="text1"/>
        </w:rPr>
        <w:t xml:space="preserve"> este Órgano Garante advierte que </w:t>
      </w:r>
      <w:r w:rsidRPr="009D3DF4">
        <w:rPr>
          <w:rFonts w:ascii="Palatino Linotype" w:hAnsi="Palatino Linotype" w:cs="Arial"/>
          <w:b/>
          <w:bCs/>
          <w:color w:val="000000" w:themeColor="text1"/>
        </w:rPr>
        <w:t>impugna la veracidad de la información proporcionada</w:t>
      </w:r>
      <w:r w:rsidRPr="009D3DF4">
        <w:rPr>
          <w:rFonts w:ascii="Palatino Linotype" w:hAnsi="Palatino Linotype" w:cs="Arial"/>
        </w:rPr>
        <w:t>, situación que actualiza las causales de improcedencia establecida en el artículo 191, fracción V, de la Ley de Transparencia y Acceso a la Información Pública del Estado de México y Municipios; que a la letra dice:</w:t>
      </w:r>
    </w:p>
    <w:p w14:paraId="73F08FC3" w14:textId="77777777" w:rsidR="003E61CD" w:rsidRPr="009D3DF4" w:rsidRDefault="003E61CD" w:rsidP="003E61CD">
      <w:pPr>
        <w:ind w:left="567" w:right="539"/>
        <w:jc w:val="both"/>
        <w:rPr>
          <w:rFonts w:ascii="Palatino Linotype" w:hAnsi="Palatino Linotype" w:cs="Arial"/>
          <w:i/>
        </w:rPr>
      </w:pPr>
      <w:r w:rsidRPr="009D3DF4">
        <w:rPr>
          <w:rFonts w:ascii="Palatino Linotype" w:hAnsi="Palatino Linotype" w:cs="Arial"/>
          <w:i/>
        </w:rPr>
        <w:t>“</w:t>
      </w:r>
      <w:r w:rsidRPr="009D3DF4">
        <w:rPr>
          <w:rFonts w:ascii="Palatino Linotype" w:hAnsi="Palatino Linotype" w:cs="Arial"/>
          <w:b/>
          <w:i/>
        </w:rPr>
        <w:t xml:space="preserve">Artículo 191. </w:t>
      </w:r>
      <w:r w:rsidRPr="009D3DF4">
        <w:rPr>
          <w:rFonts w:ascii="Palatino Linotype" w:hAnsi="Palatino Linotype" w:cs="Arial"/>
          <w:i/>
        </w:rPr>
        <w:t>El recurso será desechado por improcedente cuando:</w:t>
      </w:r>
    </w:p>
    <w:p w14:paraId="6EC81676" w14:textId="77777777" w:rsidR="003E61CD" w:rsidRPr="009D3DF4" w:rsidRDefault="003E61CD" w:rsidP="003E61CD">
      <w:pPr>
        <w:ind w:left="567" w:right="539"/>
        <w:jc w:val="both"/>
        <w:rPr>
          <w:rFonts w:ascii="Palatino Linotype" w:hAnsi="Palatino Linotype" w:cs="Arial"/>
          <w:i/>
        </w:rPr>
      </w:pPr>
      <w:r w:rsidRPr="009D3DF4">
        <w:rPr>
          <w:rFonts w:ascii="Palatino Linotype" w:hAnsi="Palatino Linotype" w:cs="Arial"/>
          <w:i/>
        </w:rPr>
        <w:t>(…)</w:t>
      </w:r>
    </w:p>
    <w:p w14:paraId="0D1298FE" w14:textId="77777777" w:rsidR="003E61CD" w:rsidRPr="009D3DF4" w:rsidRDefault="003E61CD" w:rsidP="003E61CD">
      <w:pPr>
        <w:ind w:left="567" w:right="539"/>
        <w:jc w:val="both"/>
        <w:rPr>
          <w:rFonts w:ascii="Palatino Linotype" w:hAnsi="Palatino Linotype" w:cs="Arial"/>
          <w:b/>
          <w:i/>
        </w:rPr>
      </w:pPr>
      <w:r w:rsidRPr="009D3DF4">
        <w:rPr>
          <w:rFonts w:ascii="Palatino Linotype" w:hAnsi="Palatino Linotype" w:cs="Arial"/>
          <w:b/>
          <w:i/>
        </w:rPr>
        <w:t>V. Se impugne la veracidad de la información proporcionada;</w:t>
      </w:r>
    </w:p>
    <w:p w14:paraId="1D83FFF3" w14:textId="77777777" w:rsidR="003E61CD" w:rsidRPr="009D3DF4" w:rsidRDefault="003E61CD" w:rsidP="003E61CD">
      <w:pPr>
        <w:ind w:left="567" w:right="539"/>
        <w:jc w:val="both"/>
        <w:rPr>
          <w:rFonts w:ascii="Palatino Linotype" w:hAnsi="Palatino Linotype" w:cs="Arial"/>
          <w:b/>
          <w:i/>
        </w:rPr>
      </w:pPr>
    </w:p>
    <w:p w14:paraId="6BFEBF2D" w14:textId="77777777" w:rsidR="003E61CD" w:rsidRPr="009D3DF4" w:rsidRDefault="003E61CD" w:rsidP="003E61CD">
      <w:pPr>
        <w:ind w:left="567" w:right="539"/>
        <w:jc w:val="both"/>
        <w:rPr>
          <w:rFonts w:ascii="Palatino Linotype" w:hAnsi="Palatino Linotype" w:cs="Arial"/>
          <w:b/>
          <w:i/>
        </w:rPr>
      </w:pPr>
      <w:r w:rsidRPr="009D3DF4">
        <w:rPr>
          <w:rFonts w:ascii="Palatino Linotype" w:hAnsi="Palatino Linotype" w:cs="Arial"/>
          <w:i/>
        </w:rPr>
        <w:t>(…)”</w:t>
      </w:r>
    </w:p>
    <w:p w14:paraId="26F92081" w14:textId="77777777" w:rsidR="003E61CD" w:rsidRPr="009D3DF4" w:rsidRDefault="003E61CD" w:rsidP="003E61CD">
      <w:pPr>
        <w:spacing w:line="360" w:lineRule="auto"/>
        <w:jc w:val="both"/>
        <w:rPr>
          <w:rFonts w:ascii="Palatino Linotype" w:hAnsi="Palatino Linotype" w:cs="Arial"/>
        </w:rPr>
      </w:pPr>
    </w:p>
    <w:p w14:paraId="29F5691F" w14:textId="77777777" w:rsidR="003E61CD" w:rsidRPr="009D3DF4" w:rsidRDefault="003E61CD" w:rsidP="003E61CD">
      <w:pPr>
        <w:pStyle w:val="Prrafodelista"/>
        <w:numPr>
          <w:ilvl w:val="0"/>
          <w:numId w:val="3"/>
        </w:numPr>
        <w:spacing w:line="360" w:lineRule="auto"/>
        <w:ind w:left="0" w:firstLine="0"/>
        <w:jc w:val="both"/>
        <w:rPr>
          <w:rFonts w:ascii="Palatino Linotype" w:hAnsi="Palatino Linotype"/>
          <w:b/>
          <w:color w:val="000000" w:themeColor="text1"/>
        </w:rPr>
      </w:pPr>
      <w:r w:rsidRPr="009D3DF4">
        <w:rPr>
          <w:rFonts w:ascii="Palatino Linotype" w:hAnsi="Palatino Linotype"/>
          <w:bCs/>
          <w:color w:val="000000" w:themeColor="text1"/>
        </w:rPr>
        <w:t>Es así que, no debe perderse de vista que la materia del Recurso de Revisión versa sobre los motivos de inconformidad que ha de señalar el</w:t>
      </w:r>
      <w:r w:rsidRPr="009D3DF4">
        <w:rPr>
          <w:rFonts w:ascii="Palatino Linotype" w:hAnsi="Palatino Linotype"/>
          <w:b/>
          <w:color w:val="000000" w:themeColor="text1"/>
        </w:rPr>
        <w:t xml:space="preserve"> RECURRENTE</w:t>
      </w:r>
      <w:r w:rsidRPr="009D3DF4">
        <w:rPr>
          <w:rFonts w:ascii="Palatino Linotype" w:hAnsi="Palatino Linotype"/>
          <w:bCs/>
          <w:color w:val="000000" w:themeColor="text1"/>
        </w:rPr>
        <w:t>, los cuales tendrán por objeto desvirtuar o demostrar la ilegalidad de la respuesta impugnada; situación que en el presente caso no aconteció, toda vez que el</w:t>
      </w:r>
      <w:r w:rsidRPr="009D3DF4">
        <w:rPr>
          <w:rFonts w:ascii="Palatino Linotype" w:hAnsi="Palatino Linotype"/>
          <w:b/>
          <w:color w:val="000000" w:themeColor="text1"/>
        </w:rPr>
        <w:t xml:space="preserve"> RECURRENTE</w:t>
      </w:r>
      <w:r w:rsidRPr="009D3DF4">
        <w:rPr>
          <w:rFonts w:ascii="Palatino Linotype" w:hAnsi="Palatino Linotype"/>
          <w:bCs/>
          <w:color w:val="000000" w:themeColor="text1"/>
        </w:rPr>
        <w:t xml:space="preserve"> impugnó la veracidad de la información proporcionada por el</w:t>
      </w:r>
      <w:r w:rsidRPr="009D3DF4">
        <w:rPr>
          <w:rFonts w:ascii="Palatino Linotype" w:hAnsi="Palatino Linotype"/>
          <w:b/>
          <w:color w:val="000000" w:themeColor="text1"/>
        </w:rPr>
        <w:t xml:space="preserve"> SUJETO OBLIGADO. </w:t>
      </w:r>
    </w:p>
    <w:p w14:paraId="7FA594AF" w14:textId="77777777" w:rsidR="003E61CD" w:rsidRPr="009D3DF4" w:rsidRDefault="003E61CD" w:rsidP="003E61CD">
      <w:pPr>
        <w:pStyle w:val="Prrafodelista"/>
        <w:spacing w:line="360" w:lineRule="auto"/>
        <w:ind w:left="0"/>
        <w:jc w:val="both"/>
        <w:rPr>
          <w:rFonts w:ascii="Palatino Linotype" w:hAnsi="Palatino Linotype"/>
          <w:b/>
          <w:color w:val="000000" w:themeColor="text1"/>
        </w:rPr>
      </w:pPr>
    </w:p>
    <w:p w14:paraId="3E921268" w14:textId="0E45FB62" w:rsidR="003E61CD" w:rsidRPr="009D3DF4" w:rsidRDefault="003E61CD" w:rsidP="003E61CD">
      <w:pPr>
        <w:pStyle w:val="Prrafodelista"/>
        <w:numPr>
          <w:ilvl w:val="0"/>
          <w:numId w:val="3"/>
        </w:numPr>
        <w:spacing w:line="360" w:lineRule="auto"/>
        <w:ind w:left="0" w:firstLine="0"/>
        <w:jc w:val="both"/>
        <w:rPr>
          <w:rFonts w:ascii="Palatino Linotype" w:hAnsi="Palatino Linotype"/>
          <w:b/>
          <w:color w:val="000000" w:themeColor="text1"/>
        </w:rPr>
      </w:pPr>
      <w:r w:rsidRPr="009D3DF4">
        <w:rPr>
          <w:rFonts w:ascii="Palatino Linotype" w:hAnsi="Palatino Linotype" w:cs="Arial"/>
        </w:rPr>
        <w:t>Derivado de lo anterior, es importante traer a contexto lo dispuesto en los artículos 186 y 192 de la Ley de Transparencia y Acceso a la Información Pública del Estado de México y Municipios, los cuales disponen lo siguiente:</w:t>
      </w:r>
    </w:p>
    <w:p w14:paraId="04D8F6DA"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lastRenderedPageBreak/>
        <w:t xml:space="preserve">“Artículo 186. </w:t>
      </w:r>
      <w:r w:rsidRPr="009D3DF4">
        <w:rPr>
          <w:rFonts w:ascii="Palatino Linotype" w:eastAsiaTheme="minorEastAsia" w:hAnsi="Palatino Linotype" w:cs="Bookman Old Style"/>
          <w:i/>
        </w:rPr>
        <w:t>Las resoluciones del Instituto podrán:</w:t>
      </w:r>
    </w:p>
    <w:p w14:paraId="1282BF39"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t xml:space="preserve">I. </w:t>
      </w:r>
      <w:r w:rsidRPr="009D3DF4">
        <w:rPr>
          <w:rFonts w:ascii="Palatino Linotype" w:eastAsiaTheme="minorEastAsia" w:hAnsi="Palatino Linotype" w:cs="Bookman Old Style"/>
          <w:i/>
        </w:rPr>
        <w:t>Desechar o sobreseer el recurso;</w:t>
      </w:r>
    </w:p>
    <w:p w14:paraId="3CEE9FC2"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t xml:space="preserve">II. </w:t>
      </w:r>
      <w:r w:rsidRPr="009D3DF4">
        <w:rPr>
          <w:rFonts w:ascii="Palatino Linotype" w:eastAsiaTheme="minorEastAsia" w:hAnsi="Palatino Linotype" w:cs="Bookman Old Style"/>
          <w:i/>
        </w:rPr>
        <w:t>Confirmar la respuesta del sujeto obligado;</w:t>
      </w:r>
    </w:p>
    <w:p w14:paraId="2973BC34"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t xml:space="preserve">III. </w:t>
      </w:r>
      <w:r w:rsidRPr="009D3DF4">
        <w:rPr>
          <w:rFonts w:ascii="Palatino Linotype" w:eastAsiaTheme="minorEastAsia" w:hAnsi="Palatino Linotype" w:cs="Bookman Old Style"/>
          <w:i/>
        </w:rPr>
        <w:t>Revocar o modificar la respuesta del sujeto obligado; y</w:t>
      </w:r>
    </w:p>
    <w:p w14:paraId="5807F1DA" w14:textId="77777777" w:rsidR="003E61CD" w:rsidRPr="009D3DF4" w:rsidRDefault="003E61CD" w:rsidP="003E61CD">
      <w:pPr>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t xml:space="preserve">IV. </w:t>
      </w:r>
      <w:r w:rsidRPr="009D3DF4">
        <w:rPr>
          <w:rFonts w:ascii="Palatino Linotype" w:eastAsiaTheme="minorEastAsia" w:hAnsi="Palatino Linotype" w:cs="Bookman Old Style"/>
          <w:i/>
        </w:rPr>
        <w:t>Ordenar la entrega de la información</w:t>
      </w:r>
    </w:p>
    <w:p w14:paraId="43D625AA" w14:textId="77777777" w:rsidR="003E61CD" w:rsidRPr="009D3DF4" w:rsidRDefault="003E61CD" w:rsidP="003E61CD">
      <w:pPr>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t>(…)</w:t>
      </w:r>
    </w:p>
    <w:p w14:paraId="096FD310"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i/>
        </w:rPr>
      </w:pPr>
    </w:p>
    <w:p w14:paraId="2200BA4C"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t xml:space="preserve">Artículo 192. </w:t>
      </w:r>
      <w:r w:rsidRPr="009D3DF4">
        <w:rPr>
          <w:rFonts w:ascii="Palatino Linotype" w:eastAsiaTheme="minorEastAsia" w:hAnsi="Palatino Linotype" w:cs="Bookman Old Style"/>
          <w:i/>
        </w:rPr>
        <w:t>El recurso será sobreseído, en todo o en parte, cuando una vez admitido, se actualicen alguno de los siguientes supuestos:</w:t>
      </w:r>
    </w:p>
    <w:p w14:paraId="10F7B2E7"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i/>
        </w:rPr>
      </w:pPr>
      <w:r w:rsidRPr="009D3DF4">
        <w:rPr>
          <w:rFonts w:ascii="Palatino Linotype" w:eastAsiaTheme="minorEastAsia" w:hAnsi="Palatino Linotype" w:cs="Bookman Old Style,Bold"/>
          <w:b/>
          <w:bCs/>
          <w:i/>
        </w:rPr>
        <w:t>(…)</w:t>
      </w:r>
    </w:p>
    <w:p w14:paraId="099711BA"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
          <w:b/>
          <w:i/>
        </w:rPr>
      </w:pPr>
      <w:r w:rsidRPr="009D3DF4">
        <w:rPr>
          <w:rFonts w:ascii="Palatino Linotype" w:eastAsiaTheme="minorEastAsia" w:hAnsi="Palatino Linotype" w:cs="Bookman Old Style,Bold"/>
          <w:b/>
          <w:bCs/>
          <w:i/>
        </w:rPr>
        <w:t xml:space="preserve">IV. </w:t>
      </w:r>
      <w:r w:rsidRPr="009D3DF4">
        <w:rPr>
          <w:rFonts w:ascii="Palatino Linotype" w:eastAsiaTheme="minorEastAsia" w:hAnsi="Palatino Linotype" w:cs="Bookman Old Style"/>
          <w:b/>
          <w:i/>
        </w:rPr>
        <w:t>Admitido el Recurso de Revisión, aparezca alguna causal de improcedencia en los términos de la presente Ley; y</w:t>
      </w:r>
    </w:p>
    <w:p w14:paraId="038FBCD4" w14:textId="77777777" w:rsidR="003E61CD" w:rsidRPr="009D3DF4" w:rsidRDefault="003E61CD" w:rsidP="003E61CD">
      <w:pPr>
        <w:autoSpaceDE w:val="0"/>
        <w:autoSpaceDN w:val="0"/>
        <w:adjustRightInd w:val="0"/>
        <w:ind w:left="567" w:right="539"/>
        <w:jc w:val="both"/>
        <w:rPr>
          <w:rFonts w:ascii="Palatino Linotype" w:eastAsiaTheme="minorEastAsia" w:hAnsi="Palatino Linotype" w:cs="Bookman Old Style,Bold"/>
          <w:b/>
          <w:bCs/>
          <w:i/>
        </w:rPr>
      </w:pPr>
      <w:r w:rsidRPr="009D3DF4">
        <w:rPr>
          <w:rFonts w:ascii="Palatino Linotype" w:eastAsiaTheme="minorEastAsia" w:hAnsi="Palatino Linotype" w:cs="Bookman Old Style,Bold"/>
          <w:b/>
          <w:bCs/>
          <w:i/>
        </w:rPr>
        <w:t xml:space="preserve">(…)” </w:t>
      </w:r>
    </w:p>
    <w:p w14:paraId="3C4BC398" w14:textId="77777777" w:rsidR="003E61CD" w:rsidRPr="009D3DF4" w:rsidRDefault="003E61CD" w:rsidP="003E61CD">
      <w:pPr>
        <w:autoSpaceDE w:val="0"/>
        <w:autoSpaceDN w:val="0"/>
        <w:adjustRightInd w:val="0"/>
        <w:ind w:right="539"/>
        <w:jc w:val="both"/>
        <w:rPr>
          <w:rFonts w:ascii="Palatino Linotype" w:eastAsiaTheme="minorEastAsia" w:hAnsi="Palatino Linotype" w:cs="Bookman Old Style,Bold"/>
          <w:b/>
          <w:bCs/>
          <w:i/>
        </w:rPr>
      </w:pPr>
    </w:p>
    <w:p w14:paraId="419B68FF" w14:textId="413D82A7" w:rsidR="003E61CD" w:rsidRPr="009D3DF4" w:rsidRDefault="003E61CD" w:rsidP="003E61CD">
      <w:pPr>
        <w:pStyle w:val="Prrafodelista"/>
        <w:numPr>
          <w:ilvl w:val="0"/>
          <w:numId w:val="3"/>
        </w:numPr>
        <w:spacing w:line="360" w:lineRule="auto"/>
        <w:ind w:left="0" w:right="-28" w:firstLine="0"/>
        <w:jc w:val="both"/>
        <w:rPr>
          <w:rFonts w:ascii="Palatino Linotype" w:hAnsi="Palatino Linotype" w:cs="Arial"/>
        </w:rPr>
      </w:pPr>
      <w:r w:rsidRPr="009D3DF4">
        <w:rPr>
          <w:rFonts w:ascii="Palatino Linotype" w:hAnsi="Palatino Linotype" w:cs="Arial"/>
        </w:rPr>
        <w:t>Por lo que al analizar el contenido de los numerales citados previamente, podemos señalar que la Ley de Transparencia y Acceso a la Información Pública del Estado de México y Municipios,  contempla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0217E31F" w14:textId="77777777" w:rsidR="003E61CD" w:rsidRPr="009D3DF4" w:rsidRDefault="003E61CD" w:rsidP="003E61CD">
      <w:pPr>
        <w:spacing w:line="360" w:lineRule="auto"/>
        <w:ind w:right="-28"/>
        <w:contextualSpacing/>
        <w:jc w:val="both"/>
        <w:rPr>
          <w:rFonts w:ascii="Palatino Linotype" w:hAnsi="Palatino Linotype"/>
          <w:b/>
          <w:color w:val="000000" w:themeColor="text1"/>
        </w:rPr>
      </w:pPr>
    </w:p>
    <w:p w14:paraId="6970BFA0" w14:textId="77777777" w:rsidR="003E61CD" w:rsidRPr="009D3DF4" w:rsidRDefault="003E61CD" w:rsidP="003E61CD">
      <w:pPr>
        <w:numPr>
          <w:ilvl w:val="0"/>
          <w:numId w:val="3"/>
        </w:numPr>
        <w:spacing w:line="360" w:lineRule="auto"/>
        <w:ind w:left="0" w:right="-28" w:firstLine="0"/>
        <w:contextualSpacing/>
        <w:jc w:val="both"/>
        <w:rPr>
          <w:rFonts w:ascii="Palatino Linotype" w:hAnsi="Palatino Linotype" w:cs="Arial"/>
        </w:rPr>
      </w:pPr>
      <w:r w:rsidRPr="009D3DF4">
        <w:rPr>
          <w:rFonts w:ascii="Palatino Linotype" w:hAnsi="Palatino Linotype" w:cs="Arial"/>
        </w:rPr>
        <w:t xml:space="preserve">Cobrando aplicación lo previsto en el artículo 192 fracción IV de la Ley de Transparencia y Acceso a la Información Pública del Estado de México y Municipios, que señala las posibilidades en el que el Recurso de Revisión será sobreseído, actualizándose para el caso en concreto una causal de improcedencia en los términos de la presente ley. </w:t>
      </w:r>
    </w:p>
    <w:p w14:paraId="25745324" w14:textId="77777777" w:rsidR="003E61CD" w:rsidRPr="009D3DF4" w:rsidRDefault="003E61CD" w:rsidP="003E61CD">
      <w:pPr>
        <w:spacing w:line="360" w:lineRule="auto"/>
        <w:ind w:right="49"/>
        <w:jc w:val="both"/>
        <w:rPr>
          <w:rFonts w:ascii="Palatino Linotype" w:hAnsi="Palatino Linotype" w:cs="Arial"/>
        </w:rPr>
      </w:pPr>
    </w:p>
    <w:p w14:paraId="7AA659C7" w14:textId="77777777" w:rsidR="003E61CD" w:rsidRPr="009D3DF4" w:rsidRDefault="003E61CD" w:rsidP="003E61CD">
      <w:pPr>
        <w:numPr>
          <w:ilvl w:val="0"/>
          <w:numId w:val="3"/>
        </w:numPr>
        <w:spacing w:line="360" w:lineRule="auto"/>
        <w:ind w:left="0" w:right="49" w:firstLine="0"/>
        <w:contextualSpacing/>
        <w:jc w:val="both"/>
        <w:rPr>
          <w:rFonts w:ascii="Palatino Linotype" w:hAnsi="Palatino Linotype" w:cs="Arial"/>
        </w:rPr>
      </w:pPr>
      <w:r w:rsidRPr="009D3DF4">
        <w:rPr>
          <w:rFonts w:ascii="Palatino Linotype" w:hAnsi="Palatino Linotype" w:cs="Arial"/>
        </w:rPr>
        <w:t xml:space="preserve">Del análisis de las constancias que obran en el expediente electrónico formado en el </w:t>
      </w:r>
      <w:r w:rsidRPr="009D3DF4">
        <w:rPr>
          <w:rFonts w:ascii="Palatino Linotype" w:hAnsi="Palatino Linotype" w:cs="Arial"/>
          <w:b/>
          <w:bCs/>
        </w:rPr>
        <w:t xml:space="preserve">SAIMEX </w:t>
      </w:r>
      <w:r w:rsidRPr="009D3DF4">
        <w:rPr>
          <w:rFonts w:ascii="Palatino Linotype" w:hAnsi="Palatino Linotype" w:cs="Arial"/>
        </w:rPr>
        <w:t xml:space="preserve">del Recurso de Revisión materia del presente estudio, se advierte que se actualiza la causal de </w:t>
      </w:r>
      <w:r w:rsidRPr="009D3DF4">
        <w:rPr>
          <w:rFonts w:ascii="Palatino Linotype" w:hAnsi="Palatino Linotype" w:cs="Arial"/>
          <w:b/>
          <w:bCs/>
        </w:rPr>
        <w:t xml:space="preserve">sobreseimiento </w:t>
      </w:r>
      <w:r w:rsidRPr="009D3DF4">
        <w:rPr>
          <w:rFonts w:ascii="Palatino Linotype" w:hAnsi="Palatino Linotype" w:cs="Arial"/>
        </w:rPr>
        <w:t xml:space="preserve">prevista en el artículo 192 fracción IV en relación con el artículo 191, </w:t>
      </w:r>
      <w:r w:rsidRPr="009D3DF4">
        <w:rPr>
          <w:rFonts w:ascii="Palatino Linotype" w:hAnsi="Palatino Linotype" w:cs="Arial"/>
        </w:rPr>
        <w:lastRenderedPageBreak/>
        <w:t>fracción V de la Ley de Transparencia y Acceso a la Información Pública del Estado de México y Municipios, lo anterior, por cómo se ha analizado en el presente estudio, no existen elementos de procedencia.</w:t>
      </w:r>
    </w:p>
    <w:p w14:paraId="5ACF0EFE" w14:textId="77777777" w:rsidR="003E61CD" w:rsidRPr="009D3DF4" w:rsidRDefault="003E61CD" w:rsidP="003E61CD">
      <w:pPr>
        <w:spacing w:line="360" w:lineRule="auto"/>
        <w:ind w:right="49"/>
        <w:jc w:val="both"/>
        <w:rPr>
          <w:rFonts w:ascii="Palatino Linotype" w:hAnsi="Palatino Linotype" w:cs="Arial"/>
        </w:rPr>
      </w:pPr>
    </w:p>
    <w:p w14:paraId="547F0F19" w14:textId="77777777" w:rsidR="003E61CD" w:rsidRPr="009D3DF4" w:rsidRDefault="003E61CD" w:rsidP="003E61CD">
      <w:pPr>
        <w:numPr>
          <w:ilvl w:val="0"/>
          <w:numId w:val="3"/>
        </w:numPr>
        <w:spacing w:line="360" w:lineRule="auto"/>
        <w:ind w:left="0" w:right="49" w:firstLine="0"/>
        <w:contextualSpacing/>
        <w:jc w:val="both"/>
        <w:rPr>
          <w:rFonts w:ascii="Palatino Linotype" w:hAnsi="Palatino Linotype" w:cs="Arial"/>
        </w:rPr>
      </w:pPr>
      <w:r w:rsidRPr="009D3DF4">
        <w:rPr>
          <w:rFonts w:ascii="Palatino Linotype" w:hAnsi="Palatino Linotype" w:cs="Arial"/>
        </w:rPr>
        <w:t>Sirve como criterio orientador, lo establecido en la Jurisprudencia 1ª./J 3/99 de la Novena Época, emitida por la Primera Sala de la Suprema Corte de Justicia de la Nación, publicada en el Semanario Judicial de la Federación y su Gaceta, que en lo conducente dispone:</w:t>
      </w:r>
    </w:p>
    <w:p w14:paraId="3E46C6C7" w14:textId="77777777" w:rsidR="003E61CD" w:rsidRPr="009D3DF4" w:rsidRDefault="003E61CD" w:rsidP="003E61CD">
      <w:pPr>
        <w:autoSpaceDE w:val="0"/>
        <w:autoSpaceDN w:val="0"/>
        <w:adjustRightInd w:val="0"/>
        <w:ind w:left="567" w:right="539"/>
        <w:jc w:val="both"/>
        <w:rPr>
          <w:rFonts w:ascii="Palatino Linotype" w:hAnsi="Palatino Linotype" w:cs="Arial"/>
          <w:i/>
        </w:rPr>
      </w:pPr>
      <w:r w:rsidRPr="009D3DF4">
        <w:rPr>
          <w:rFonts w:ascii="Palatino Linotype" w:hAnsi="Palatino Linotype" w:cs="Arial"/>
          <w:b/>
          <w:i/>
        </w:rPr>
        <w:t xml:space="preserve">“IMPROCEDENCIA. ESTUDIO PREFERENCIAL DE LAS CAUSALES PREVISTAS EN EL ARTÍCULO 73 DE LA LEY DE AMPARO. </w:t>
      </w:r>
      <w:r w:rsidRPr="009D3DF4">
        <w:rPr>
          <w:rFonts w:ascii="Palatino Linotype" w:hAnsi="Palatino Linotype" w:cs="Arial"/>
          <w:i/>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3C448CB8" w14:textId="77777777" w:rsidR="003E61CD" w:rsidRPr="009D3DF4" w:rsidRDefault="003E61CD" w:rsidP="003E61CD">
      <w:pPr>
        <w:spacing w:line="360" w:lineRule="auto"/>
        <w:ind w:right="49"/>
        <w:jc w:val="both"/>
        <w:rPr>
          <w:rFonts w:ascii="Palatino Linotype" w:hAnsi="Palatino Linotype" w:cs="Arial"/>
        </w:rPr>
      </w:pPr>
    </w:p>
    <w:p w14:paraId="434F0A31" w14:textId="5BFF8490" w:rsidR="008D77DE" w:rsidRPr="009D3DF4" w:rsidRDefault="003E61CD" w:rsidP="003E61CD">
      <w:pPr>
        <w:numPr>
          <w:ilvl w:val="0"/>
          <w:numId w:val="3"/>
        </w:numPr>
        <w:spacing w:line="360" w:lineRule="auto"/>
        <w:ind w:left="0" w:right="49" w:firstLine="0"/>
        <w:contextualSpacing/>
        <w:jc w:val="both"/>
        <w:rPr>
          <w:rFonts w:ascii="Palatino Linotype" w:hAnsi="Palatino Linotype"/>
        </w:rPr>
      </w:pPr>
      <w:r w:rsidRPr="009D3DF4">
        <w:rPr>
          <w:rFonts w:ascii="Palatino Linotype" w:hAnsi="Palatino Linotype"/>
        </w:rPr>
        <w:t xml:space="preserve">Por ello, en términos del artículo 191, fracción V de la Ley de Transparencia y Acceso a la Información Pública del Estado de México y Municipios, este Órgano Garante considera procedente </w:t>
      </w:r>
      <w:r w:rsidRPr="009D3DF4">
        <w:rPr>
          <w:rFonts w:ascii="Palatino Linotype" w:hAnsi="Palatino Linotype"/>
          <w:b/>
        </w:rPr>
        <w:t xml:space="preserve">SOBRESEER </w:t>
      </w:r>
      <w:r w:rsidRPr="009D3DF4">
        <w:rPr>
          <w:rFonts w:ascii="Palatino Linotype" w:hAnsi="Palatino Linotype"/>
        </w:rPr>
        <w:t>el presente Recurso de Revisión, toda vez que se actualiza la fracción IV del artículo 192 del citado ordenamiento legal.</w:t>
      </w:r>
    </w:p>
    <w:p w14:paraId="376EAB69" w14:textId="2421740E" w:rsidR="00B26155" w:rsidRPr="009D3DF4" w:rsidRDefault="00B26155" w:rsidP="003E61CD">
      <w:pPr>
        <w:pBdr>
          <w:top w:val="nil"/>
          <w:left w:val="nil"/>
          <w:bottom w:val="nil"/>
          <w:right w:val="nil"/>
          <w:between w:val="nil"/>
        </w:pBdr>
        <w:spacing w:line="360" w:lineRule="auto"/>
        <w:rPr>
          <w:rFonts w:ascii="Palatino Linotype" w:eastAsia="Palatino Linotype" w:hAnsi="Palatino Linotype" w:cs="Palatino Linotype"/>
        </w:rPr>
      </w:pPr>
    </w:p>
    <w:p w14:paraId="741BCE68" w14:textId="77777777" w:rsidR="00B26155" w:rsidRPr="009D3DF4" w:rsidRDefault="00B26155" w:rsidP="00B26155">
      <w:pPr>
        <w:spacing w:line="360" w:lineRule="auto"/>
        <w:ind w:right="-561"/>
        <w:jc w:val="center"/>
        <w:rPr>
          <w:rFonts w:ascii="Palatino Linotype" w:eastAsia="Palatino Linotype" w:hAnsi="Palatino Linotype" w:cs="Palatino Linotype"/>
          <w:b/>
          <w:bCs/>
        </w:rPr>
      </w:pPr>
      <w:r w:rsidRPr="009D3DF4">
        <w:rPr>
          <w:rFonts w:ascii="Palatino Linotype" w:eastAsia="Palatino Linotype" w:hAnsi="Palatino Linotype" w:cs="Palatino Linotype"/>
          <w:b/>
          <w:bCs/>
        </w:rPr>
        <w:t>R E S O L U T I V O S</w:t>
      </w:r>
    </w:p>
    <w:p w14:paraId="69CA6DC8" w14:textId="77777777" w:rsidR="00B26155" w:rsidRPr="009D3DF4" w:rsidRDefault="00B26155" w:rsidP="00B26155">
      <w:pPr>
        <w:spacing w:line="360" w:lineRule="auto"/>
        <w:ind w:right="-561"/>
        <w:jc w:val="both"/>
        <w:rPr>
          <w:rFonts w:ascii="Palatino Linotype" w:eastAsia="Palatino Linotype" w:hAnsi="Palatino Linotype" w:cs="Palatino Linotype"/>
          <w:b/>
          <w:bCs/>
        </w:rPr>
      </w:pPr>
    </w:p>
    <w:p w14:paraId="6759949E" w14:textId="182EDDD2" w:rsidR="003E61CD" w:rsidRPr="009D3DF4" w:rsidRDefault="003E61CD" w:rsidP="003E61CD">
      <w:pPr>
        <w:spacing w:line="360" w:lineRule="auto"/>
        <w:jc w:val="both"/>
        <w:rPr>
          <w:rFonts w:ascii="Palatino Linotype" w:eastAsiaTheme="minorEastAsia" w:hAnsi="Palatino Linotype" w:cs="Arial"/>
          <w:bCs/>
          <w:lang w:val="es-ES_tradnl" w:eastAsia="es-ES"/>
        </w:rPr>
      </w:pPr>
      <w:r w:rsidRPr="009D3DF4">
        <w:rPr>
          <w:rFonts w:ascii="Palatino Linotype" w:hAnsi="Palatino Linotype" w:cs="Arial"/>
          <w:b/>
          <w:lang w:val="es-ES_tradnl" w:eastAsia="es-ES"/>
        </w:rPr>
        <w:t xml:space="preserve">PRIMERO. </w:t>
      </w:r>
      <w:r w:rsidRPr="009D3DF4">
        <w:rPr>
          <w:rFonts w:ascii="Palatino Linotype" w:hAnsi="Palatino Linotype"/>
        </w:rPr>
        <w:t xml:space="preserve">Se </w:t>
      </w:r>
      <w:r w:rsidRPr="009D3DF4">
        <w:rPr>
          <w:rFonts w:ascii="Palatino Linotype" w:hAnsi="Palatino Linotype"/>
          <w:b/>
        </w:rPr>
        <w:t>SOBRESEE por improcedente</w:t>
      </w:r>
      <w:r w:rsidRPr="009D3DF4">
        <w:rPr>
          <w:rFonts w:ascii="Palatino Linotype" w:hAnsi="Palatino Linotype"/>
        </w:rPr>
        <w:t xml:space="preserve"> el recurso de revisión número </w:t>
      </w:r>
      <w:r w:rsidRPr="009D3DF4">
        <w:rPr>
          <w:rFonts w:ascii="Palatino Linotype" w:hAnsi="Palatino Linotype"/>
          <w:b/>
        </w:rPr>
        <w:t xml:space="preserve">01218/INFOEM/IP/RR/2026 </w:t>
      </w:r>
      <w:r w:rsidRPr="009D3DF4">
        <w:rPr>
          <w:rFonts w:ascii="Palatino Linotype" w:hAnsi="Palatino Linotype"/>
          <w:bCs/>
        </w:rPr>
        <w:t xml:space="preserve">de conformidad con el 192, fracción IV, en relación con el artículo </w:t>
      </w:r>
      <w:r w:rsidRPr="009D3DF4">
        <w:rPr>
          <w:rFonts w:ascii="Palatino Linotype" w:hAnsi="Palatino Linotype"/>
          <w:bCs/>
        </w:rPr>
        <w:lastRenderedPageBreak/>
        <w:t>191, fracción V de la Ley de Transparencia y Acceso a la Información Pública del Estado de México y Municipios</w:t>
      </w:r>
      <w:r w:rsidRPr="009D3DF4">
        <w:rPr>
          <w:rFonts w:ascii="Palatino Linotype" w:hAnsi="Palatino Linotype"/>
        </w:rPr>
        <w:t xml:space="preserve">, en términos del Considerando </w:t>
      </w:r>
      <w:r w:rsidRPr="009D3DF4">
        <w:rPr>
          <w:rFonts w:ascii="Palatino Linotype" w:hAnsi="Palatino Linotype"/>
          <w:b/>
        </w:rPr>
        <w:t>TERCERO</w:t>
      </w:r>
      <w:r w:rsidRPr="009D3DF4">
        <w:rPr>
          <w:rFonts w:ascii="Palatino Linotype" w:hAnsi="Palatino Linotype"/>
        </w:rPr>
        <w:t xml:space="preserve"> de la presente resolución.</w:t>
      </w:r>
    </w:p>
    <w:p w14:paraId="72A75F8A" w14:textId="77777777" w:rsidR="003E61CD" w:rsidRPr="009D3DF4" w:rsidRDefault="003E61CD" w:rsidP="003E61CD">
      <w:pPr>
        <w:spacing w:line="360" w:lineRule="auto"/>
        <w:jc w:val="both"/>
        <w:rPr>
          <w:rFonts w:ascii="Palatino Linotype" w:hAnsi="Palatino Linotype"/>
          <w:lang w:val="es-ES_tradnl" w:eastAsia="es-ES"/>
        </w:rPr>
      </w:pPr>
    </w:p>
    <w:p w14:paraId="1A0931CA" w14:textId="6D072E57" w:rsidR="003E61CD" w:rsidRPr="009D3DF4" w:rsidRDefault="003E61CD" w:rsidP="003E61CD">
      <w:pPr>
        <w:spacing w:line="360" w:lineRule="auto"/>
        <w:jc w:val="both"/>
        <w:rPr>
          <w:rFonts w:ascii="Palatino Linotype" w:hAnsi="Palatino Linotype" w:cs="Arial"/>
          <w:lang w:val="es-ES" w:eastAsia="es-ES"/>
        </w:rPr>
      </w:pPr>
      <w:r w:rsidRPr="009D3DF4">
        <w:rPr>
          <w:rFonts w:ascii="Palatino Linotype" w:eastAsiaTheme="minorEastAsia" w:hAnsi="Palatino Linotype"/>
          <w:b/>
          <w:lang w:val="es-ES_tradnl" w:eastAsia="es-ES"/>
        </w:rPr>
        <w:t>SEGUNDO.</w:t>
      </w:r>
      <w:r w:rsidRPr="009D3DF4">
        <w:rPr>
          <w:rFonts w:ascii="Palatino Linotype" w:eastAsiaTheme="majorEastAsia" w:hAnsi="Palatino Linotype"/>
          <w:b/>
          <w:color w:val="365F91" w:themeColor="accent1" w:themeShade="BF"/>
          <w:lang w:val="es-ES_tradnl" w:eastAsia="es-ES"/>
        </w:rPr>
        <w:t xml:space="preserve"> </w:t>
      </w:r>
      <w:r w:rsidR="00FC0A57" w:rsidRPr="009D3DF4">
        <w:rPr>
          <w:rFonts w:ascii="Palatino Linotype" w:hAnsi="Palatino Linotype" w:cs="Arial"/>
          <w:b/>
          <w:bCs/>
          <w:lang w:val="es-ES"/>
        </w:rPr>
        <w:t>Notifíquese</w:t>
      </w:r>
      <w:r w:rsidRPr="009D3DF4">
        <w:rPr>
          <w:rFonts w:ascii="Palatino Linotype" w:hAnsi="Palatino Linotype" w:cs="Arial"/>
          <w:b/>
          <w:bCs/>
          <w:lang w:val="es-ES"/>
        </w:rPr>
        <w:t xml:space="preserve"> </w:t>
      </w:r>
      <w:r w:rsidRPr="009D3DF4">
        <w:rPr>
          <w:rFonts w:ascii="Palatino Linotype" w:hAnsi="Palatino Linotype" w:cs="Arial"/>
          <w:bCs/>
          <w:lang w:val="es-ES"/>
        </w:rPr>
        <w:t xml:space="preserve">a través del Sistema de Acceso a la Información Mexiquense </w:t>
      </w:r>
      <w:r w:rsidRPr="009D3DF4">
        <w:rPr>
          <w:rFonts w:ascii="Palatino Linotype" w:hAnsi="Palatino Linotype" w:cs="Arial"/>
          <w:b/>
          <w:bCs/>
          <w:lang w:val="es-ES"/>
        </w:rPr>
        <w:t xml:space="preserve">(SAIMEX) </w:t>
      </w:r>
      <w:r w:rsidRPr="009D3DF4">
        <w:rPr>
          <w:rFonts w:ascii="Palatino Linotype" w:hAnsi="Palatino Linotype" w:cs="Arial"/>
          <w:bCs/>
          <w:lang w:val="es-ES"/>
        </w:rPr>
        <w:t>la presente resolución al Titular de la Unidad de Transparencia del</w:t>
      </w:r>
      <w:r w:rsidRPr="009D3DF4">
        <w:rPr>
          <w:rFonts w:ascii="Palatino Linotype" w:hAnsi="Palatino Linotype" w:cs="Arial"/>
          <w:b/>
          <w:bCs/>
          <w:lang w:val="es-ES"/>
        </w:rPr>
        <w:t xml:space="preserve"> SUJETO OBLIGADO.</w:t>
      </w:r>
    </w:p>
    <w:p w14:paraId="6DC7C136" w14:textId="77777777" w:rsidR="003E61CD" w:rsidRPr="009D3DF4" w:rsidRDefault="003E61CD" w:rsidP="003E61CD">
      <w:pPr>
        <w:spacing w:line="360" w:lineRule="auto"/>
        <w:jc w:val="both"/>
        <w:rPr>
          <w:rFonts w:ascii="Palatino Linotype" w:hAnsi="Palatino Linotype" w:cs="Arial"/>
          <w:lang w:val="es-ES" w:eastAsia="es-ES"/>
        </w:rPr>
      </w:pPr>
    </w:p>
    <w:p w14:paraId="234C229D" w14:textId="77777777" w:rsidR="003E61CD" w:rsidRPr="009D3DF4" w:rsidRDefault="003E61CD" w:rsidP="003E61CD">
      <w:pPr>
        <w:tabs>
          <w:tab w:val="left" w:pos="8080"/>
        </w:tabs>
        <w:spacing w:line="360" w:lineRule="auto"/>
        <w:ind w:right="49"/>
        <w:contextualSpacing/>
        <w:jc w:val="both"/>
        <w:rPr>
          <w:rFonts w:ascii="Palatino Linotype" w:hAnsi="Palatino Linotype" w:cs="Arial"/>
          <w:b/>
          <w:bCs/>
          <w:lang w:val="es-ES"/>
        </w:rPr>
      </w:pPr>
      <w:r w:rsidRPr="009D3DF4">
        <w:rPr>
          <w:rFonts w:ascii="Palatino Linotype" w:hAnsi="Palatino Linotype" w:cs="Palatino Linotype"/>
          <w:b/>
          <w:lang w:val="es-ES_tradnl" w:eastAsia="es-ES"/>
        </w:rPr>
        <w:t xml:space="preserve">TERCERO. </w:t>
      </w:r>
      <w:r w:rsidRPr="009D3DF4">
        <w:rPr>
          <w:rFonts w:ascii="Palatino Linotype" w:hAnsi="Palatino Linotype"/>
          <w:b/>
          <w:bCs/>
          <w:lang w:val="es-ES"/>
        </w:rPr>
        <w:t xml:space="preserve">Notifíquese </w:t>
      </w:r>
      <w:r w:rsidRPr="009D3DF4">
        <w:rPr>
          <w:rFonts w:ascii="Palatino Linotype" w:hAnsi="Palatino Linotype"/>
          <w:bCs/>
          <w:lang w:val="es-ES"/>
        </w:rPr>
        <w:t xml:space="preserve">a la </w:t>
      </w:r>
      <w:r w:rsidRPr="009D3DF4">
        <w:rPr>
          <w:rFonts w:ascii="Palatino Linotype" w:hAnsi="Palatino Linotype"/>
          <w:b/>
          <w:bCs/>
          <w:lang w:val="es-ES"/>
        </w:rPr>
        <w:t>RECURRENTE</w:t>
      </w:r>
      <w:r w:rsidRPr="009D3DF4">
        <w:rPr>
          <w:rFonts w:ascii="Palatino Linotype" w:hAnsi="Palatino Linotype"/>
        </w:rPr>
        <w:t xml:space="preserve"> </w:t>
      </w:r>
      <w:r w:rsidRPr="009D3DF4">
        <w:rPr>
          <w:rFonts w:ascii="Palatino Linotype" w:hAnsi="Palatino Linotype"/>
          <w:lang w:val="es-ES"/>
        </w:rPr>
        <w:t xml:space="preserve">la presente resolución, </w:t>
      </w:r>
      <w:r w:rsidRPr="009D3DF4">
        <w:rPr>
          <w:rFonts w:ascii="Palatino Linotype" w:hAnsi="Palatino Linotype" w:cs="Arial"/>
          <w:bCs/>
          <w:lang w:val="es-ES"/>
        </w:rPr>
        <w:t xml:space="preserve">a través del Sistema de Acceso a la Información Mexiquense </w:t>
      </w:r>
      <w:r w:rsidRPr="009D3DF4">
        <w:rPr>
          <w:rFonts w:ascii="Palatino Linotype" w:hAnsi="Palatino Linotype" w:cs="Arial"/>
          <w:b/>
          <w:bCs/>
          <w:lang w:val="es-ES"/>
        </w:rPr>
        <w:t>(SAIMEX).</w:t>
      </w:r>
    </w:p>
    <w:p w14:paraId="3AD8AD63" w14:textId="77777777" w:rsidR="003E61CD" w:rsidRPr="009D3DF4" w:rsidRDefault="003E61CD" w:rsidP="003E61CD">
      <w:pPr>
        <w:tabs>
          <w:tab w:val="left" w:pos="8080"/>
        </w:tabs>
        <w:spacing w:line="360" w:lineRule="auto"/>
        <w:ind w:right="49"/>
        <w:contextualSpacing/>
        <w:jc w:val="both"/>
        <w:rPr>
          <w:rFonts w:ascii="Palatino Linotype" w:hAnsi="Palatino Linotype" w:cs="Arial"/>
          <w:b/>
          <w:bCs/>
          <w:lang w:val="es-ES"/>
        </w:rPr>
      </w:pPr>
    </w:p>
    <w:p w14:paraId="42655001" w14:textId="25808C54" w:rsidR="00B26155" w:rsidRPr="009D3DF4" w:rsidRDefault="003E61CD" w:rsidP="003E61CD">
      <w:pPr>
        <w:spacing w:line="360" w:lineRule="auto"/>
        <w:jc w:val="both"/>
        <w:rPr>
          <w:rFonts w:ascii="Palatino Linotype" w:eastAsia="Palatino Linotype" w:hAnsi="Palatino Linotype" w:cs="Palatino Linotype"/>
        </w:rPr>
      </w:pPr>
      <w:r w:rsidRPr="009D3DF4">
        <w:rPr>
          <w:rFonts w:ascii="Palatino Linotype" w:hAnsi="Palatino Linotype" w:cs="Arial"/>
          <w:b/>
          <w:color w:val="000000" w:themeColor="text1"/>
          <w:lang w:val="es-ES_tradnl" w:eastAsia="es-ES"/>
        </w:rPr>
        <w:t xml:space="preserve">CUARTO. </w:t>
      </w:r>
      <w:r w:rsidRPr="009D3DF4">
        <w:rPr>
          <w:rFonts w:ascii="Palatino Linotype" w:eastAsia="MS Mincho" w:hAnsi="Palatino Linotype"/>
          <w:lang w:val="es-ES"/>
        </w:rPr>
        <w:t xml:space="preserve">Se hace del conocimiento de la </w:t>
      </w:r>
      <w:r w:rsidRPr="009D3DF4">
        <w:rPr>
          <w:rFonts w:ascii="Palatino Linotype" w:hAnsi="Palatino Linotype"/>
          <w:b/>
          <w:bCs/>
          <w:lang w:val="es-ES"/>
        </w:rPr>
        <w:t>RECURRENTE</w:t>
      </w:r>
      <w:r w:rsidRPr="009D3DF4">
        <w:rPr>
          <w:rFonts w:ascii="Palatino Linotype" w:hAnsi="Palatino Linotype"/>
        </w:rPr>
        <w:t xml:space="preserve"> </w:t>
      </w:r>
      <w:r w:rsidRPr="009D3DF4">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D3DF4">
        <w:rPr>
          <w:rFonts w:ascii="Palatino Linotype" w:eastAsia="MS Mincho" w:hAnsi="Palatino Linotype"/>
          <w:bCs/>
          <w:lang w:val="es-ES"/>
        </w:rPr>
        <w:t>vía juicio de amparo</w:t>
      </w:r>
      <w:r w:rsidRPr="009D3DF4">
        <w:rPr>
          <w:rFonts w:ascii="Palatino Linotype" w:eastAsia="MS Mincho" w:hAnsi="Palatino Linotype"/>
          <w:lang w:val="es-ES"/>
        </w:rPr>
        <w:t> en los términos de las leyes aplicables.</w:t>
      </w:r>
    </w:p>
    <w:p w14:paraId="43BB1F30" w14:textId="77777777" w:rsidR="00B26155" w:rsidRPr="009D3DF4" w:rsidRDefault="00B26155" w:rsidP="00BF0DE4">
      <w:pPr>
        <w:spacing w:line="360" w:lineRule="auto"/>
        <w:rPr>
          <w:rFonts w:ascii="Palatino Linotype" w:eastAsia="Palatino Linotype" w:hAnsi="Palatino Linotype" w:cs="Palatino Linotype"/>
        </w:rPr>
      </w:pPr>
    </w:p>
    <w:p w14:paraId="1F176D77" w14:textId="77777777" w:rsidR="00FC0A57" w:rsidRPr="009D3DF4" w:rsidRDefault="00FC0A57" w:rsidP="00FC0A57">
      <w:pPr>
        <w:spacing w:before="240" w:after="240" w:line="360" w:lineRule="auto"/>
        <w:ind w:firstLine="1"/>
        <w:jc w:val="both"/>
        <w:rPr>
          <w:rFonts w:ascii="Palatino Linotype" w:hAnsi="Palatino Linotype"/>
        </w:rPr>
      </w:pPr>
      <w:bookmarkStart w:id="5" w:name="_Hlk99014733"/>
      <w:r w:rsidRPr="009D3DF4">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9D3DF4">
        <w:rPr>
          <w:rFonts w:ascii="Palatino Linotype" w:hAnsi="Palatino Linotype" w:cs="Palatino Linotype"/>
          <w:color w:val="000000" w:themeColor="text1"/>
        </w:rPr>
        <w:t>ALEXIS TAPIA RAMÍREZ.</w:t>
      </w:r>
    </w:p>
    <w:bookmarkEnd w:id="5"/>
    <w:p w14:paraId="3DDF8A61" w14:textId="77777777" w:rsidR="004E3EF7" w:rsidRPr="009D3DF4" w:rsidRDefault="004E3EF7">
      <w:pPr>
        <w:spacing w:line="360" w:lineRule="auto"/>
        <w:ind w:right="-561"/>
        <w:rPr>
          <w:rFonts w:ascii="Palatino Linotype" w:eastAsia="Palatino Linotype" w:hAnsi="Palatino Linotype" w:cs="Palatino Linotype"/>
        </w:rPr>
      </w:pPr>
    </w:p>
    <w:p w14:paraId="43CC8C45" w14:textId="77777777" w:rsidR="004E3EF7" w:rsidRPr="009D3DF4" w:rsidRDefault="004E3EF7">
      <w:pPr>
        <w:spacing w:line="360" w:lineRule="auto"/>
        <w:ind w:right="-561"/>
        <w:rPr>
          <w:rFonts w:ascii="Palatino Linotype" w:eastAsia="Palatino Linotype" w:hAnsi="Palatino Linotype" w:cs="Palatino Linotype"/>
        </w:rPr>
      </w:pPr>
    </w:p>
    <w:p w14:paraId="192E1586" w14:textId="77777777" w:rsidR="004E3EF7" w:rsidRPr="009D3DF4" w:rsidRDefault="004E3EF7">
      <w:pPr>
        <w:spacing w:line="360" w:lineRule="auto"/>
        <w:ind w:right="-561"/>
        <w:rPr>
          <w:rFonts w:ascii="Palatino Linotype" w:eastAsia="Palatino Linotype" w:hAnsi="Palatino Linotype" w:cs="Palatino Linotype"/>
        </w:rPr>
      </w:pPr>
    </w:p>
    <w:p w14:paraId="17FC8315" w14:textId="77777777" w:rsidR="004E3EF7" w:rsidRPr="009D3DF4" w:rsidRDefault="004E3EF7">
      <w:pPr>
        <w:spacing w:line="360" w:lineRule="auto"/>
        <w:ind w:right="-561"/>
        <w:rPr>
          <w:rFonts w:ascii="Palatino Linotype" w:eastAsia="Palatino Linotype" w:hAnsi="Palatino Linotype" w:cs="Palatino Linotype"/>
        </w:rPr>
      </w:pPr>
    </w:p>
    <w:p w14:paraId="268EFD62" w14:textId="77777777" w:rsidR="00414766" w:rsidRPr="009D3DF4" w:rsidRDefault="00414766">
      <w:pPr>
        <w:spacing w:line="360" w:lineRule="auto"/>
        <w:ind w:right="-561"/>
        <w:rPr>
          <w:rFonts w:ascii="Palatino Linotype" w:eastAsia="Palatino Linotype" w:hAnsi="Palatino Linotype" w:cs="Palatino Linotype"/>
        </w:rPr>
      </w:pPr>
    </w:p>
    <w:p w14:paraId="569B5EE2" w14:textId="77777777" w:rsidR="00414766" w:rsidRPr="009D3DF4" w:rsidRDefault="00414766">
      <w:pPr>
        <w:spacing w:line="360" w:lineRule="auto"/>
        <w:ind w:right="-561"/>
        <w:rPr>
          <w:rFonts w:ascii="Palatino Linotype" w:eastAsia="Palatino Linotype" w:hAnsi="Palatino Linotype" w:cs="Palatino Linotype"/>
        </w:rPr>
      </w:pPr>
    </w:p>
    <w:p w14:paraId="2193EC7B" w14:textId="77777777" w:rsidR="00414766" w:rsidRPr="009D3DF4" w:rsidRDefault="00414766">
      <w:pPr>
        <w:spacing w:line="360" w:lineRule="auto"/>
        <w:ind w:right="-561"/>
        <w:rPr>
          <w:rFonts w:ascii="Palatino Linotype" w:eastAsia="Palatino Linotype" w:hAnsi="Palatino Linotype" w:cs="Palatino Linotype"/>
        </w:rPr>
      </w:pPr>
    </w:p>
    <w:p w14:paraId="42E3DF22" w14:textId="77777777" w:rsidR="00414766" w:rsidRPr="009D3DF4" w:rsidRDefault="00414766">
      <w:pPr>
        <w:spacing w:line="360" w:lineRule="auto"/>
        <w:ind w:right="-561"/>
        <w:rPr>
          <w:rFonts w:ascii="Palatino Linotype" w:eastAsia="Palatino Linotype" w:hAnsi="Palatino Linotype" w:cs="Palatino Linotype"/>
        </w:rPr>
      </w:pPr>
    </w:p>
    <w:p w14:paraId="3AF3FAE3" w14:textId="77777777" w:rsidR="00414766" w:rsidRPr="009D3DF4" w:rsidRDefault="00414766">
      <w:pPr>
        <w:spacing w:line="360" w:lineRule="auto"/>
        <w:ind w:right="-561"/>
        <w:rPr>
          <w:rFonts w:ascii="Palatino Linotype" w:eastAsia="Palatino Linotype" w:hAnsi="Palatino Linotype" w:cs="Palatino Linotype"/>
        </w:rPr>
      </w:pPr>
    </w:p>
    <w:p w14:paraId="3CECA0A5" w14:textId="77777777" w:rsidR="00414766" w:rsidRPr="009D3DF4" w:rsidRDefault="00414766">
      <w:pPr>
        <w:spacing w:line="360" w:lineRule="auto"/>
        <w:ind w:right="-561"/>
        <w:rPr>
          <w:rFonts w:ascii="Palatino Linotype" w:eastAsia="Palatino Linotype" w:hAnsi="Palatino Linotype" w:cs="Palatino Linotype"/>
        </w:rPr>
      </w:pPr>
    </w:p>
    <w:p w14:paraId="5CDBAD09" w14:textId="77777777" w:rsidR="00414766" w:rsidRPr="009D3DF4" w:rsidRDefault="00414766">
      <w:pPr>
        <w:spacing w:line="360" w:lineRule="auto"/>
        <w:ind w:right="-561"/>
        <w:rPr>
          <w:rFonts w:ascii="Palatino Linotype" w:eastAsia="Palatino Linotype" w:hAnsi="Palatino Linotype" w:cs="Palatino Linotype"/>
        </w:rPr>
      </w:pPr>
    </w:p>
    <w:p w14:paraId="728A1CF7" w14:textId="77777777" w:rsidR="00414766" w:rsidRPr="009D3DF4" w:rsidRDefault="00414766">
      <w:pPr>
        <w:spacing w:line="360" w:lineRule="auto"/>
        <w:ind w:right="-561"/>
        <w:rPr>
          <w:rFonts w:ascii="Palatino Linotype" w:eastAsia="Palatino Linotype" w:hAnsi="Palatino Linotype" w:cs="Palatino Linotype"/>
        </w:rPr>
      </w:pPr>
    </w:p>
    <w:p w14:paraId="378622BF" w14:textId="77777777" w:rsidR="00414766" w:rsidRPr="009D3DF4" w:rsidRDefault="00414766">
      <w:pPr>
        <w:spacing w:line="360" w:lineRule="auto"/>
        <w:ind w:right="-561"/>
        <w:rPr>
          <w:rFonts w:ascii="Palatino Linotype" w:eastAsia="Palatino Linotype" w:hAnsi="Palatino Linotype" w:cs="Palatino Linotype"/>
        </w:rPr>
      </w:pPr>
    </w:p>
    <w:p w14:paraId="2FEFCC55" w14:textId="77777777" w:rsidR="00414766" w:rsidRPr="009D3DF4" w:rsidRDefault="00414766">
      <w:pPr>
        <w:spacing w:line="360" w:lineRule="auto"/>
        <w:ind w:right="-561"/>
        <w:rPr>
          <w:rFonts w:ascii="Palatino Linotype" w:eastAsia="Palatino Linotype" w:hAnsi="Palatino Linotype" w:cs="Palatino Linotype"/>
        </w:rPr>
      </w:pPr>
    </w:p>
    <w:p w14:paraId="1D7EB5A4" w14:textId="77777777" w:rsidR="00414766" w:rsidRPr="009D3DF4" w:rsidRDefault="00414766">
      <w:pPr>
        <w:spacing w:line="360" w:lineRule="auto"/>
        <w:ind w:right="-561"/>
        <w:rPr>
          <w:rFonts w:ascii="Palatino Linotype" w:eastAsia="Palatino Linotype" w:hAnsi="Palatino Linotype" w:cs="Palatino Linotype"/>
        </w:rPr>
      </w:pPr>
    </w:p>
    <w:p w14:paraId="210B2979" w14:textId="77777777" w:rsidR="00414766" w:rsidRPr="009D3DF4" w:rsidRDefault="00414766">
      <w:pPr>
        <w:spacing w:line="360" w:lineRule="auto"/>
        <w:ind w:right="-561"/>
        <w:rPr>
          <w:rFonts w:ascii="Palatino Linotype" w:eastAsia="Palatino Linotype" w:hAnsi="Palatino Linotype" w:cs="Palatino Linotype"/>
        </w:rPr>
      </w:pPr>
    </w:p>
    <w:p w14:paraId="4442D914" w14:textId="77777777" w:rsidR="00414766" w:rsidRPr="009D3DF4" w:rsidRDefault="00414766">
      <w:pPr>
        <w:spacing w:line="360" w:lineRule="auto"/>
        <w:ind w:right="-561"/>
        <w:rPr>
          <w:rFonts w:ascii="Palatino Linotype" w:eastAsia="Palatino Linotype" w:hAnsi="Palatino Linotype" w:cs="Palatino Linotype"/>
        </w:rPr>
      </w:pPr>
    </w:p>
    <w:p w14:paraId="538EB11A" w14:textId="77777777" w:rsidR="00414766" w:rsidRPr="009D3DF4" w:rsidRDefault="00414766">
      <w:pPr>
        <w:spacing w:line="360" w:lineRule="auto"/>
        <w:ind w:right="-561"/>
        <w:rPr>
          <w:rFonts w:ascii="Palatino Linotype" w:eastAsia="Palatino Linotype" w:hAnsi="Palatino Linotype" w:cs="Palatino Linotype"/>
        </w:rPr>
      </w:pPr>
    </w:p>
    <w:p w14:paraId="242D0E4F" w14:textId="77777777" w:rsidR="00414766" w:rsidRPr="009D3DF4" w:rsidRDefault="00414766">
      <w:pPr>
        <w:spacing w:line="360" w:lineRule="auto"/>
        <w:ind w:right="-561"/>
        <w:rPr>
          <w:rFonts w:ascii="Palatino Linotype" w:eastAsia="Palatino Linotype" w:hAnsi="Palatino Linotype" w:cs="Palatino Linotype"/>
        </w:rPr>
      </w:pPr>
    </w:p>
    <w:p w14:paraId="6F8ABAB2" w14:textId="77777777" w:rsidR="00414766" w:rsidRPr="009D3DF4" w:rsidRDefault="00414766">
      <w:pPr>
        <w:spacing w:line="360" w:lineRule="auto"/>
        <w:ind w:right="-561"/>
        <w:rPr>
          <w:rFonts w:ascii="Palatino Linotype" w:eastAsia="Palatino Linotype" w:hAnsi="Palatino Linotype" w:cs="Palatino Linotype"/>
        </w:rPr>
      </w:pPr>
    </w:p>
    <w:sectPr w:rsidR="00414766" w:rsidRPr="009D3DF4" w:rsidSect="009D3DF4">
      <w:headerReference w:type="even" r:id="rId15"/>
      <w:headerReference w:type="default" r:id="rId16"/>
      <w:footerReference w:type="default" r:id="rId17"/>
      <w:headerReference w:type="first" r:id="rId18"/>
      <w:footerReference w:type="first" r:id="rId19"/>
      <w:pgSz w:w="12240" w:h="15840"/>
      <w:pgMar w:top="80" w:right="758" w:bottom="1843"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971FC" w14:textId="77777777" w:rsidR="004464AA" w:rsidRDefault="004464AA">
      <w:r>
        <w:separator/>
      </w:r>
    </w:p>
  </w:endnote>
  <w:endnote w:type="continuationSeparator" w:id="0">
    <w:p w14:paraId="07DDE423" w14:textId="77777777" w:rsidR="004464AA" w:rsidRDefault="0044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A39880AA-1DAD-49C1-856D-FC2A56D4A98C}"/>
    <w:embedBold r:id="rId2" w:fontKey="{6DB219F2-FBC2-46A7-B6B9-7C5039C54F46}"/>
    <w:embedItalic r:id="rId3" w:fontKey="{2D23B655-DB04-4081-A628-C0F8204666FD}"/>
    <w:embedBoldItalic r:id="rId4" w:fontKey="{7DC553A2-4EDC-4126-89A7-1ABC5DB920B2}"/>
  </w:font>
  <w:font w:name="Noto Sans Symbols">
    <w:altName w:val="Times New Roman"/>
    <w:charset w:val="00"/>
    <w:family w:val="auto"/>
    <w:pitch w:val="default"/>
    <w:embedRegular r:id="rId5" w:fontKey="{DFCB7369-92D8-48DA-8096-597F30784478}"/>
  </w:font>
  <w:font w:name="Calibri">
    <w:panose1 w:val="020F0502020204030204"/>
    <w:charset w:val="00"/>
    <w:family w:val="swiss"/>
    <w:pitch w:val="variable"/>
    <w:sig w:usb0="E4002EFF" w:usb1="C200247B" w:usb2="00000009" w:usb3="00000000" w:csb0="000001FF" w:csb1="00000000"/>
    <w:embedRegular r:id="rId6" w:fontKey="{918300F0-B7EF-4CF1-9541-7B4F1C456619}"/>
  </w:font>
  <w:font w:name="Georgia">
    <w:panose1 w:val="02040502050405020303"/>
    <w:charset w:val="00"/>
    <w:family w:val="roman"/>
    <w:pitch w:val="variable"/>
    <w:sig w:usb0="00000287" w:usb1="00000000" w:usb2="00000000" w:usb3="00000000" w:csb0="0000009F" w:csb1="00000000"/>
    <w:embedItalic r:id="rId7" w:fontKey="{D1B13007-2EE9-4563-8FE6-48F7DF8B6FC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65FCAEB2-2683-4A10-BBC5-06F8AEE3A646}"/>
    <w:embedBold r:id="rId9" w:fontKey="{2D5FA440-03A4-40E1-B213-1AEF20788CEE}"/>
    <w:embedItalic r:id="rId10" w:fontKey="{25F52B83-4AA0-4929-8E04-CB053CE31A71}"/>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Regular r:id="rId11" w:fontKey="{27DC36CA-2798-467B-86B9-86A58ED4F094}"/>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embedRegular r:id="rId12" w:fontKey="{EC75D011-5F1D-40B1-888B-31EA2382D589}"/>
  </w:font>
  <w:font w:name="Cambria">
    <w:panose1 w:val="02040503050406030204"/>
    <w:charset w:val="00"/>
    <w:family w:val="roman"/>
    <w:pitch w:val="variable"/>
    <w:sig w:usb0="E00006FF" w:usb1="420024FF" w:usb2="02000000" w:usb3="00000000" w:csb0="0000019F" w:csb1="00000000"/>
    <w:embedRegular r:id="rId13" w:fontKey="{06C6380E-345D-4CEA-8281-DD543BF96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0D57E" w14:textId="77777777" w:rsidR="004E3EF7" w:rsidRDefault="00F2495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9C7E8E">
      <w:rPr>
        <w:rFonts w:ascii="Palatino Linotype" w:eastAsia="Palatino Linotype" w:hAnsi="Palatino Linotype" w:cs="Palatino Linotype"/>
        <w:b/>
        <w:bCs/>
        <w:noProof/>
        <w:color w:val="000000"/>
        <w:sz w:val="22"/>
        <w:szCs w:val="22"/>
      </w:rPr>
      <w:t>16</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9C7E8E">
      <w:rPr>
        <w:rFonts w:ascii="Palatino Linotype" w:eastAsia="Palatino Linotype" w:hAnsi="Palatino Linotype" w:cs="Palatino Linotype"/>
        <w:b/>
        <w:bCs/>
        <w:noProof/>
        <w:color w:val="000000"/>
        <w:sz w:val="22"/>
        <w:szCs w:val="22"/>
      </w:rPr>
      <w:t>16</w:t>
    </w:r>
    <w:r>
      <w:rPr>
        <w:rFonts w:ascii="Palatino Linotype" w:eastAsia="Palatino Linotype" w:hAnsi="Palatino Linotype" w:cs="Palatino Linotype"/>
        <w:b/>
        <w:bCs/>
        <w:color w:val="000000"/>
        <w:sz w:val="22"/>
        <w:szCs w:val="22"/>
      </w:rPr>
      <w:fldChar w:fldCharType="end"/>
    </w:r>
  </w:p>
  <w:p w14:paraId="263AFD25" w14:textId="77777777" w:rsidR="004E3EF7" w:rsidRDefault="004E3E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C1A33" w14:textId="77777777" w:rsidR="004E3EF7" w:rsidRDefault="00F2495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9C7E8E">
      <w:rPr>
        <w:rFonts w:ascii="Palatino Linotype" w:eastAsia="Palatino Linotype" w:hAnsi="Palatino Linotype" w:cs="Palatino Linotype"/>
        <w:b/>
        <w:bCs/>
        <w:noProof/>
        <w:color w:val="000000"/>
        <w:sz w:val="22"/>
        <w:szCs w:val="22"/>
      </w:rPr>
      <w:t>16</w:t>
    </w:r>
    <w:r>
      <w:rPr>
        <w:rFonts w:ascii="Palatino Linotype" w:eastAsia="Palatino Linotype" w:hAnsi="Palatino Linotype" w:cs="Palatino Linotype"/>
        <w:b/>
        <w:bCs/>
        <w:color w:val="000000"/>
        <w:sz w:val="22"/>
        <w:szCs w:val="22"/>
      </w:rPr>
      <w:fldChar w:fldCharType="end"/>
    </w:r>
  </w:p>
  <w:p w14:paraId="1845EF18" w14:textId="77777777" w:rsidR="004E3EF7" w:rsidRDefault="004E3E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B7BAA" w14:textId="77777777" w:rsidR="004464AA" w:rsidRDefault="004464AA">
      <w:r>
        <w:separator/>
      </w:r>
    </w:p>
  </w:footnote>
  <w:footnote w:type="continuationSeparator" w:id="0">
    <w:p w14:paraId="40BC0B4E" w14:textId="77777777" w:rsidR="004464AA" w:rsidRDefault="0044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A95F3" w14:textId="77777777" w:rsidR="004E3EF7" w:rsidRDefault="004464AA">
    <w:pPr>
      <w:pBdr>
        <w:top w:val="nil"/>
        <w:left w:val="nil"/>
        <w:bottom w:val="nil"/>
        <w:right w:val="nil"/>
        <w:between w:val="nil"/>
      </w:pBdr>
      <w:tabs>
        <w:tab w:val="center" w:pos="4419"/>
        <w:tab w:val="right" w:pos="8838"/>
      </w:tabs>
      <w:rPr>
        <w:color w:val="000000"/>
      </w:rPr>
    </w:pPr>
    <w:r>
      <w:rPr>
        <w:color w:val="000000"/>
      </w:rPr>
      <w:pict w14:anchorId="40BD0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348" w:type="dxa"/>
      <w:tblInd w:w="0" w:type="dxa"/>
      <w:tblLayout w:type="fixed"/>
      <w:tblLook w:val="0400" w:firstRow="0" w:lastRow="0" w:firstColumn="0" w:lastColumn="0" w:noHBand="0" w:noVBand="1"/>
    </w:tblPr>
    <w:tblGrid>
      <w:gridCol w:w="2268"/>
      <w:gridCol w:w="8080"/>
    </w:tblGrid>
    <w:tr w:rsidR="004E3EF7" w14:paraId="178AFE68" w14:textId="77777777" w:rsidTr="009D3DF4">
      <w:trPr>
        <w:trHeight w:val="1435"/>
      </w:trPr>
      <w:tc>
        <w:tcPr>
          <w:tcW w:w="2268" w:type="dxa"/>
          <w:shd w:val="clear" w:color="auto" w:fill="auto"/>
        </w:tcPr>
        <w:p w14:paraId="12166C45" w14:textId="40CD3ADA" w:rsidR="004E3EF7" w:rsidRDefault="004E3EF7">
          <w:pPr>
            <w:tabs>
              <w:tab w:val="right" w:pos="4273"/>
            </w:tabs>
            <w:rPr>
              <w:rFonts w:ascii="Garamond" w:eastAsia="Garamond" w:hAnsi="Garamond" w:cs="Garamond"/>
              <w:sz w:val="16"/>
              <w:szCs w:val="16"/>
            </w:rPr>
          </w:pPr>
        </w:p>
      </w:tc>
      <w:tc>
        <w:tcPr>
          <w:tcW w:w="8080" w:type="dxa"/>
          <w:shd w:val="clear" w:color="auto" w:fill="auto"/>
        </w:tcPr>
        <w:tbl>
          <w:tblPr>
            <w:tblStyle w:val="a1"/>
            <w:tblW w:w="7642" w:type="dxa"/>
            <w:tblInd w:w="40" w:type="dxa"/>
            <w:tblLayout w:type="fixed"/>
            <w:tblLook w:val="0400" w:firstRow="0" w:lastRow="0" w:firstColumn="0" w:lastColumn="0" w:noHBand="0" w:noVBand="1"/>
          </w:tblPr>
          <w:tblGrid>
            <w:gridCol w:w="3797"/>
            <w:gridCol w:w="3845"/>
          </w:tblGrid>
          <w:tr w:rsidR="004E3EF7" w14:paraId="280B747B" w14:textId="77777777" w:rsidTr="009D3DF4">
            <w:trPr>
              <w:trHeight w:val="150"/>
            </w:trPr>
            <w:tc>
              <w:tcPr>
                <w:tcW w:w="3797" w:type="dxa"/>
                <w:shd w:val="clear" w:color="auto" w:fill="auto"/>
              </w:tcPr>
              <w:p w14:paraId="33953132" w14:textId="77777777" w:rsidR="004E3EF7" w:rsidRPr="009D3DF4" w:rsidRDefault="00F2495A">
                <w:pPr>
                  <w:tabs>
                    <w:tab w:val="right" w:pos="8838"/>
                  </w:tabs>
                  <w:ind w:left="850" w:right="-105"/>
                  <w:jc w:val="both"/>
                  <w:rPr>
                    <w:rFonts w:ascii="Palatino Linotype" w:eastAsia="Palatino Linotype" w:hAnsi="Palatino Linotype" w:cs="Palatino Linotype"/>
                    <w:b/>
                    <w:bCs/>
                    <w:szCs w:val="22"/>
                  </w:rPr>
                </w:pPr>
                <w:r w:rsidRPr="009D3DF4">
                  <w:rPr>
                    <w:rFonts w:ascii="Palatino Linotype" w:eastAsia="Palatino Linotype" w:hAnsi="Palatino Linotype" w:cs="Palatino Linotype"/>
                    <w:b/>
                    <w:bCs/>
                    <w:szCs w:val="22"/>
                  </w:rPr>
                  <w:t>Recurso de Revisión:</w:t>
                </w:r>
              </w:p>
            </w:tc>
            <w:tc>
              <w:tcPr>
                <w:tcW w:w="3845" w:type="dxa"/>
                <w:shd w:val="clear" w:color="auto" w:fill="auto"/>
              </w:tcPr>
              <w:p w14:paraId="7D8D127E" w14:textId="56F7C963" w:rsidR="004E3EF7" w:rsidRPr="009D3DF4" w:rsidRDefault="003F5BBB">
                <w:pPr>
                  <w:ind w:right="-1343"/>
                  <w:jc w:val="both"/>
                  <w:rPr>
                    <w:rFonts w:ascii="Palatino Linotype" w:eastAsia="Palatino Linotype" w:hAnsi="Palatino Linotype" w:cs="Palatino Linotype"/>
                    <w:szCs w:val="22"/>
                  </w:rPr>
                </w:pPr>
                <w:r w:rsidRPr="009D3DF4">
                  <w:rPr>
                    <w:rFonts w:ascii="Palatino Linotype" w:eastAsia="Palatino Linotype" w:hAnsi="Palatino Linotype" w:cs="Palatino Linotype"/>
                    <w:szCs w:val="22"/>
                  </w:rPr>
                  <w:t>0</w:t>
                </w:r>
                <w:r w:rsidR="006E20BA" w:rsidRPr="009D3DF4">
                  <w:rPr>
                    <w:rFonts w:ascii="Palatino Linotype" w:eastAsia="Palatino Linotype" w:hAnsi="Palatino Linotype" w:cs="Palatino Linotype"/>
                    <w:szCs w:val="22"/>
                  </w:rPr>
                  <w:t>1218</w:t>
                </w:r>
                <w:r w:rsidR="00F2495A" w:rsidRPr="009D3DF4">
                  <w:rPr>
                    <w:rFonts w:ascii="Palatino Linotype" w:eastAsia="Palatino Linotype" w:hAnsi="Palatino Linotype" w:cs="Palatino Linotype"/>
                    <w:szCs w:val="22"/>
                  </w:rPr>
                  <w:t>/INFOEM/IP/RR/202</w:t>
                </w:r>
                <w:r w:rsidRPr="009D3DF4">
                  <w:rPr>
                    <w:rFonts w:ascii="Palatino Linotype" w:eastAsia="Palatino Linotype" w:hAnsi="Palatino Linotype" w:cs="Palatino Linotype"/>
                    <w:szCs w:val="22"/>
                  </w:rPr>
                  <w:t>6</w:t>
                </w:r>
              </w:p>
            </w:tc>
          </w:tr>
          <w:tr w:rsidR="004E3EF7" w14:paraId="1D8ED556" w14:textId="77777777" w:rsidTr="009D3DF4">
            <w:trPr>
              <w:trHeight w:val="295"/>
            </w:trPr>
            <w:tc>
              <w:tcPr>
                <w:tcW w:w="3797" w:type="dxa"/>
                <w:shd w:val="clear" w:color="auto" w:fill="auto"/>
              </w:tcPr>
              <w:p w14:paraId="5A8068ED" w14:textId="77777777" w:rsidR="004E3EF7" w:rsidRPr="009D3DF4" w:rsidRDefault="00F2495A">
                <w:pPr>
                  <w:tabs>
                    <w:tab w:val="right" w:pos="8838"/>
                  </w:tabs>
                  <w:ind w:left="850" w:right="-105"/>
                  <w:jc w:val="both"/>
                  <w:rPr>
                    <w:rFonts w:ascii="Palatino Linotype" w:eastAsia="Palatino Linotype" w:hAnsi="Palatino Linotype" w:cs="Palatino Linotype"/>
                    <w:b/>
                    <w:bCs/>
                    <w:szCs w:val="22"/>
                  </w:rPr>
                </w:pPr>
                <w:r w:rsidRPr="009D3DF4">
                  <w:rPr>
                    <w:rFonts w:ascii="Palatino Linotype" w:eastAsia="Palatino Linotype" w:hAnsi="Palatino Linotype" w:cs="Palatino Linotype"/>
                    <w:b/>
                    <w:bCs/>
                    <w:szCs w:val="22"/>
                  </w:rPr>
                  <w:t>Sujeto Obligado:</w:t>
                </w:r>
              </w:p>
            </w:tc>
            <w:tc>
              <w:tcPr>
                <w:tcW w:w="3845" w:type="dxa"/>
                <w:shd w:val="clear" w:color="auto" w:fill="auto"/>
              </w:tcPr>
              <w:p w14:paraId="0B462890" w14:textId="7193F765" w:rsidR="004E3EF7" w:rsidRPr="009D3DF4" w:rsidRDefault="00F2495A" w:rsidP="006E20BA">
                <w:pPr>
                  <w:ind w:right="-1343"/>
                  <w:rPr>
                    <w:rFonts w:ascii="Palatino Linotype" w:eastAsia="Palatino Linotype" w:hAnsi="Palatino Linotype" w:cs="Palatino Linotype"/>
                    <w:szCs w:val="22"/>
                  </w:rPr>
                </w:pPr>
                <w:r w:rsidRPr="009D3DF4">
                  <w:rPr>
                    <w:rFonts w:ascii="Palatino Linotype" w:eastAsia="Palatino Linotype" w:hAnsi="Palatino Linotype" w:cs="Palatino Linotype"/>
                    <w:szCs w:val="22"/>
                  </w:rPr>
                  <w:t xml:space="preserve">Ayuntamiento de </w:t>
                </w:r>
                <w:r w:rsidR="006E20BA" w:rsidRPr="009D3DF4">
                  <w:rPr>
                    <w:rFonts w:ascii="Palatino Linotype" w:eastAsia="Palatino Linotype" w:hAnsi="Palatino Linotype" w:cs="Palatino Linotype"/>
                    <w:szCs w:val="22"/>
                  </w:rPr>
                  <w:t>Ayapango</w:t>
                </w:r>
              </w:p>
            </w:tc>
          </w:tr>
          <w:tr w:rsidR="004E3EF7" w14:paraId="704479EA" w14:textId="77777777" w:rsidTr="009D3DF4">
            <w:trPr>
              <w:trHeight w:val="295"/>
            </w:trPr>
            <w:tc>
              <w:tcPr>
                <w:tcW w:w="3797" w:type="dxa"/>
                <w:shd w:val="clear" w:color="auto" w:fill="auto"/>
              </w:tcPr>
              <w:p w14:paraId="0B9B007D" w14:textId="77777777" w:rsidR="004E3EF7" w:rsidRPr="009D3DF4" w:rsidRDefault="00F2495A">
                <w:pPr>
                  <w:tabs>
                    <w:tab w:val="right" w:pos="8838"/>
                  </w:tabs>
                  <w:ind w:left="850" w:right="-105"/>
                  <w:jc w:val="both"/>
                  <w:rPr>
                    <w:rFonts w:ascii="Palatino Linotype" w:eastAsia="Palatino Linotype" w:hAnsi="Palatino Linotype" w:cs="Palatino Linotype"/>
                    <w:b/>
                    <w:bCs/>
                    <w:szCs w:val="22"/>
                  </w:rPr>
                </w:pPr>
                <w:r w:rsidRPr="009D3DF4">
                  <w:rPr>
                    <w:rFonts w:ascii="Palatino Linotype" w:eastAsia="Palatino Linotype" w:hAnsi="Palatino Linotype" w:cs="Palatino Linotype"/>
                    <w:b/>
                    <w:bCs/>
                    <w:szCs w:val="22"/>
                  </w:rPr>
                  <w:t>Comisionada ponente:</w:t>
                </w:r>
              </w:p>
            </w:tc>
            <w:tc>
              <w:tcPr>
                <w:tcW w:w="3845" w:type="dxa"/>
                <w:shd w:val="clear" w:color="auto" w:fill="auto"/>
              </w:tcPr>
              <w:p w14:paraId="546E7062" w14:textId="77777777" w:rsidR="004E3EF7" w:rsidRPr="009D3DF4" w:rsidRDefault="00F2495A">
                <w:pPr>
                  <w:ind w:right="-1343"/>
                  <w:jc w:val="both"/>
                  <w:rPr>
                    <w:rFonts w:ascii="Palatino Linotype" w:eastAsia="Palatino Linotype" w:hAnsi="Palatino Linotype" w:cs="Palatino Linotype"/>
                    <w:szCs w:val="22"/>
                  </w:rPr>
                </w:pPr>
                <w:r w:rsidRPr="009D3DF4">
                  <w:rPr>
                    <w:rFonts w:ascii="Palatino Linotype" w:eastAsia="Palatino Linotype" w:hAnsi="Palatino Linotype" w:cs="Palatino Linotype"/>
                    <w:szCs w:val="22"/>
                  </w:rPr>
                  <w:t>María del Rosario Mejía Ayala</w:t>
                </w:r>
              </w:p>
              <w:p w14:paraId="2BDA498D" w14:textId="77777777" w:rsidR="004E3EF7" w:rsidRPr="009D3DF4" w:rsidRDefault="004E3EF7">
                <w:pPr>
                  <w:ind w:left="141" w:right="-1343"/>
                  <w:jc w:val="both"/>
                  <w:rPr>
                    <w:rFonts w:ascii="Palatino Linotype" w:eastAsia="Palatino Linotype" w:hAnsi="Palatino Linotype" w:cs="Palatino Linotype"/>
                    <w:szCs w:val="22"/>
                  </w:rPr>
                </w:pPr>
              </w:p>
            </w:tc>
          </w:tr>
        </w:tbl>
        <w:p w14:paraId="0E060218" w14:textId="77777777" w:rsidR="004E3EF7" w:rsidRDefault="004E3EF7">
          <w:pPr>
            <w:tabs>
              <w:tab w:val="right" w:pos="8838"/>
            </w:tabs>
            <w:ind w:left="-28"/>
            <w:jc w:val="both"/>
            <w:rPr>
              <w:rFonts w:ascii="Arial" w:eastAsia="Arial" w:hAnsi="Arial" w:cs="Arial"/>
              <w:b/>
              <w:bCs/>
              <w:sz w:val="18"/>
              <w:szCs w:val="18"/>
            </w:rPr>
          </w:pPr>
        </w:p>
      </w:tc>
    </w:tr>
  </w:tbl>
  <w:p w14:paraId="4A4E8B49" w14:textId="1C5797A3" w:rsidR="004E3EF7" w:rsidRDefault="004464A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2F351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54.15pt;margin-top:-126.2pt;width:589.8pt;height:768pt;z-index:-251659776;mso-position-horizontal-relative:margin;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1061" w:type="dxa"/>
      <w:tblInd w:w="0" w:type="dxa"/>
      <w:tblLayout w:type="fixed"/>
      <w:tblLook w:val="0400" w:firstRow="0" w:lastRow="0" w:firstColumn="0" w:lastColumn="0" w:noHBand="0" w:noVBand="1"/>
    </w:tblPr>
    <w:tblGrid>
      <w:gridCol w:w="3261"/>
      <w:gridCol w:w="7800"/>
    </w:tblGrid>
    <w:tr w:rsidR="004E3EF7" w14:paraId="52BE5BBF" w14:textId="77777777" w:rsidTr="00FC0A57">
      <w:trPr>
        <w:trHeight w:val="1435"/>
      </w:trPr>
      <w:tc>
        <w:tcPr>
          <w:tcW w:w="3261" w:type="dxa"/>
          <w:shd w:val="clear" w:color="auto" w:fill="auto"/>
        </w:tcPr>
        <w:p w14:paraId="4BE2DD81" w14:textId="5AD71B28" w:rsidR="004E3EF7" w:rsidRDefault="004E3EF7">
          <w:pPr>
            <w:tabs>
              <w:tab w:val="right" w:pos="4273"/>
            </w:tabs>
            <w:rPr>
              <w:rFonts w:ascii="Garamond" w:eastAsia="Garamond" w:hAnsi="Garamond" w:cs="Garamond"/>
              <w:sz w:val="22"/>
              <w:szCs w:val="22"/>
            </w:rPr>
          </w:pPr>
        </w:p>
      </w:tc>
      <w:tc>
        <w:tcPr>
          <w:tcW w:w="7800" w:type="dxa"/>
          <w:shd w:val="clear" w:color="auto" w:fill="auto"/>
        </w:tcPr>
        <w:tbl>
          <w:tblPr>
            <w:tblStyle w:val="a3"/>
            <w:tblW w:w="6379" w:type="dxa"/>
            <w:tblInd w:w="310" w:type="dxa"/>
            <w:tblLayout w:type="fixed"/>
            <w:tblLook w:val="0400" w:firstRow="0" w:lastRow="0" w:firstColumn="0" w:lastColumn="0" w:noHBand="0" w:noVBand="1"/>
          </w:tblPr>
          <w:tblGrid>
            <w:gridCol w:w="2807"/>
            <w:gridCol w:w="3572"/>
          </w:tblGrid>
          <w:tr w:rsidR="004E3EF7" w14:paraId="08664596" w14:textId="77777777" w:rsidTr="009D3DF4">
            <w:trPr>
              <w:trHeight w:val="144"/>
            </w:trPr>
            <w:tc>
              <w:tcPr>
                <w:tcW w:w="2807" w:type="dxa"/>
                <w:shd w:val="clear" w:color="auto" w:fill="auto"/>
              </w:tcPr>
              <w:p w14:paraId="3308F9A6" w14:textId="77777777" w:rsidR="004E3EF7" w:rsidRDefault="00F2495A" w:rsidP="009D3DF4">
                <w:pPr>
                  <w:tabs>
                    <w:tab w:val="right" w:pos="8838"/>
                  </w:tabs>
                  <w:ind w:right="-126"/>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572" w:type="dxa"/>
                <w:shd w:val="clear" w:color="auto" w:fill="auto"/>
              </w:tcPr>
              <w:p w14:paraId="7A5E22B4" w14:textId="176D4572" w:rsidR="004E3EF7" w:rsidRDefault="006E20BA" w:rsidP="009C7E8E">
                <w:pPr>
                  <w:tabs>
                    <w:tab w:val="right" w:pos="8838"/>
                  </w:tabs>
                  <w:ind w:right="-126"/>
                  <w:rPr>
                    <w:rFonts w:ascii="Palatino Linotype" w:eastAsia="Palatino Linotype" w:hAnsi="Palatino Linotype" w:cs="Palatino Linotype"/>
                  </w:rPr>
                </w:pPr>
                <w:r>
                  <w:rPr>
                    <w:rFonts w:ascii="Palatino Linotype" w:eastAsia="Palatino Linotype" w:hAnsi="Palatino Linotype" w:cs="Palatino Linotype"/>
                  </w:rPr>
                  <w:t>1218</w:t>
                </w:r>
                <w:r w:rsidR="00F2495A">
                  <w:rPr>
                    <w:rFonts w:ascii="Palatino Linotype" w:eastAsia="Palatino Linotype" w:hAnsi="Palatino Linotype" w:cs="Palatino Linotype"/>
                  </w:rPr>
                  <w:t>/INFOEM/IP/RR/202</w:t>
                </w:r>
                <w:r w:rsidR="003F5BBB">
                  <w:rPr>
                    <w:rFonts w:ascii="Palatino Linotype" w:eastAsia="Palatino Linotype" w:hAnsi="Palatino Linotype" w:cs="Palatino Linotype"/>
                  </w:rPr>
                  <w:t>6</w:t>
                </w:r>
              </w:p>
            </w:tc>
          </w:tr>
          <w:tr w:rsidR="004E3EF7" w14:paraId="0F0507A8" w14:textId="77777777" w:rsidTr="009D3DF4">
            <w:trPr>
              <w:trHeight w:val="144"/>
            </w:trPr>
            <w:tc>
              <w:tcPr>
                <w:tcW w:w="2807" w:type="dxa"/>
                <w:shd w:val="clear" w:color="auto" w:fill="auto"/>
              </w:tcPr>
              <w:p w14:paraId="56883813" w14:textId="77777777" w:rsidR="004E3EF7" w:rsidRDefault="00F2495A" w:rsidP="009D3DF4">
                <w:pPr>
                  <w:tabs>
                    <w:tab w:val="right" w:pos="8838"/>
                  </w:tabs>
                  <w:ind w:right="-126"/>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572" w:type="dxa"/>
                <w:shd w:val="clear" w:color="auto" w:fill="auto"/>
              </w:tcPr>
              <w:p w14:paraId="42DC0DAA" w14:textId="238718EE" w:rsidR="004E3EF7" w:rsidRDefault="009C7E8E" w:rsidP="009C7E8E">
                <w:pPr>
                  <w:tabs>
                    <w:tab w:val="left" w:pos="3122"/>
                    <w:tab w:val="right" w:pos="8838"/>
                  </w:tabs>
                  <w:ind w:right="-126"/>
                  <w:rPr>
                    <w:rFonts w:ascii="Palatino Linotype" w:eastAsia="Palatino Linotype" w:hAnsi="Palatino Linotype" w:cs="Palatino Linotype"/>
                  </w:rPr>
                </w:pPr>
                <w:r>
                  <w:rPr>
                    <w:rFonts w:ascii="Palatino Linotype" w:eastAsia="Palatino Linotype" w:hAnsi="Palatino Linotype" w:cs="Palatino Linotype"/>
                  </w:rPr>
                  <w:t>XXXX</w:t>
                </w:r>
              </w:p>
            </w:tc>
          </w:tr>
          <w:tr w:rsidR="004E3EF7" w14:paraId="478C5535" w14:textId="77777777" w:rsidTr="009D3DF4">
            <w:trPr>
              <w:trHeight w:val="80"/>
            </w:trPr>
            <w:tc>
              <w:tcPr>
                <w:tcW w:w="2807" w:type="dxa"/>
                <w:shd w:val="clear" w:color="auto" w:fill="auto"/>
              </w:tcPr>
              <w:p w14:paraId="4F0363CA" w14:textId="77777777" w:rsidR="004E3EF7" w:rsidRDefault="00F2495A" w:rsidP="009D3DF4">
                <w:pPr>
                  <w:tabs>
                    <w:tab w:val="right" w:pos="8838"/>
                  </w:tabs>
                  <w:ind w:right="-126"/>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572" w:type="dxa"/>
                <w:shd w:val="clear" w:color="auto" w:fill="auto"/>
              </w:tcPr>
              <w:p w14:paraId="50181938" w14:textId="73B41A9B" w:rsidR="004E3EF7" w:rsidRDefault="00F2495A" w:rsidP="009C7E8E">
                <w:pPr>
                  <w:tabs>
                    <w:tab w:val="left" w:pos="3122"/>
                    <w:tab w:val="right" w:pos="8838"/>
                  </w:tabs>
                  <w:ind w:right="-126"/>
                  <w:rPr>
                    <w:rFonts w:ascii="Palatino Linotype" w:eastAsia="Palatino Linotype" w:hAnsi="Palatino Linotype" w:cs="Palatino Linotype"/>
                  </w:rPr>
                </w:pPr>
                <w:r>
                  <w:rPr>
                    <w:rFonts w:ascii="Palatino Linotype" w:eastAsia="Palatino Linotype" w:hAnsi="Palatino Linotype" w:cs="Palatino Linotype"/>
                  </w:rPr>
                  <w:t xml:space="preserve">Ayuntamiento de </w:t>
                </w:r>
                <w:r w:rsidR="006E20BA">
                  <w:rPr>
                    <w:rFonts w:ascii="Palatino Linotype" w:eastAsia="Palatino Linotype" w:hAnsi="Palatino Linotype" w:cs="Palatino Linotype"/>
                  </w:rPr>
                  <w:t>Ayapango</w:t>
                </w:r>
              </w:p>
            </w:tc>
          </w:tr>
          <w:tr w:rsidR="004E3EF7" w14:paraId="17B2D809" w14:textId="77777777" w:rsidTr="009D3DF4">
            <w:trPr>
              <w:trHeight w:val="283"/>
            </w:trPr>
            <w:tc>
              <w:tcPr>
                <w:tcW w:w="2807" w:type="dxa"/>
                <w:shd w:val="clear" w:color="auto" w:fill="auto"/>
              </w:tcPr>
              <w:p w14:paraId="6DADA040" w14:textId="77777777" w:rsidR="004E3EF7" w:rsidRDefault="00F2495A" w:rsidP="009D3DF4">
                <w:pPr>
                  <w:tabs>
                    <w:tab w:val="right" w:pos="8838"/>
                  </w:tabs>
                  <w:ind w:right="-126"/>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572" w:type="dxa"/>
                <w:shd w:val="clear" w:color="auto" w:fill="auto"/>
              </w:tcPr>
              <w:p w14:paraId="38E9BAD3" w14:textId="77777777" w:rsidR="004E3EF7" w:rsidRDefault="00F2495A" w:rsidP="009C7E8E">
                <w:pPr>
                  <w:tabs>
                    <w:tab w:val="right" w:pos="8838"/>
                  </w:tabs>
                  <w:ind w:right="-126"/>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79B108FD" w14:textId="77777777" w:rsidR="004E3EF7" w:rsidRDefault="004E3EF7" w:rsidP="009C7E8E">
                <w:pPr>
                  <w:tabs>
                    <w:tab w:val="right" w:pos="8838"/>
                  </w:tabs>
                  <w:ind w:right="-126"/>
                  <w:rPr>
                    <w:rFonts w:ascii="Palatino Linotype" w:eastAsia="Palatino Linotype" w:hAnsi="Palatino Linotype" w:cs="Palatino Linotype"/>
                  </w:rPr>
                </w:pPr>
              </w:p>
            </w:tc>
          </w:tr>
        </w:tbl>
        <w:p w14:paraId="43168A24" w14:textId="77777777" w:rsidR="004E3EF7" w:rsidRDefault="004E3EF7">
          <w:pPr>
            <w:tabs>
              <w:tab w:val="right" w:pos="8838"/>
            </w:tabs>
            <w:ind w:left="-28"/>
            <w:jc w:val="both"/>
            <w:rPr>
              <w:rFonts w:ascii="Arial" w:eastAsia="Arial" w:hAnsi="Arial" w:cs="Arial"/>
              <w:b/>
              <w:bCs/>
              <w:sz w:val="22"/>
              <w:szCs w:val="22"/>
            </w:rPr>
          </w:pPr>
        </w:p>
      </w:tc>
    </w:tr>
  </w:tbl>
  <w:p w14:paraId="6BD291F7" w14:textId="0939A14E" w:rsidR="004E3EF7" w:rsidRDefault="004464AA">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1BA1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2.75pt;margin-top:-124.5pt;width:589.8pt;height:768pt;z-index:-251658752;mso-position-horizontal-relative:margin;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13165"/>
    <w:multiLevelType w:val="hybridMultilevel"/>
    <w:tmpl w:val="35FC5F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CDB4E78"/>
    <w:multiLevelType w:val="multilevel"/>
    <w:tmpl w:val="2F683004"/>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CD25B5"/>
    <w:multiLevelType w:val="multilevel"/>
    <w:tmpl w:val="7CF4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2564F"/>
    <w:multiLevelType w:val="multilevel"/>
    <w:tmpl w:val="A5CAA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906AFC"/>
    <w:multiLevelType w:val="multilevel"/>
    <w:tmpl w:val="3C2A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17490"/>
    <w:multiLevelType w:val="hybridMultilevel"/>
    <w:tmpl w:val="FFFFFFFF"/>
    <w:lvl w:ilvl="0" w:tplc="92BE0B36">
      <w:start w:val="1"/>
      <w:numFmt w:val="decimal"/>
      <w:lvlText w:val="%1."/>
      <w:lvlJc w:val="left"/>
      <w:pPr>
        <w:ind w:left="360" w:hanging="360"/>
      </w:pPr>
      <w:rPr>
        <w:rFonts w:ascii="Palatino Linotype" w:hAnsi="Palatino Linotype" w:cs="Times New Roman" w:hint="default"/>
        <w:b/>
        <w:i w:val="0"/>
        <w:color w:val="auto"/>
        <w:sz w:val="24"/>
      </w:rPr>
    </w:lvl>
    <w:lvl w:ilvl="1" w:tplc="080A0013">
      <w:start w:val="1"/>
      <w:numFmt w:val="upperRoman"/>
      <w:lvlText w:val="%2."/>
      <w:lvlJc w:val="right"/>
      <w:pPr>
        <w:ind w:left="7525" w:hanging="720"/>
      </w:pPr>
      <w:rPr>
        <w:rFonts w:cs="Times New Roman" w:hint="default"/>
      </w:rPr>
    </w:lvl>
    <w:lvl w:ilvl="2" w:tplc="362EE9DC">
      <w:start w:val="4"/>
      <w:numFmt w:val="lowerLetter"/>
      <w:lvlText w:val="%3)"/>
      <w:lvlJc w:val="left"/>
      <w:pPr>
        <w:ind w:left="2340" w:hanging="360"/>
      </w:pPr>
      <w:rPr>
        <w:rFonts w:cs="Times New Roman" w:hint="default"/>
      </w:rPr>
    </w:lvl>
    <w:lvl w:ilvl="3" w:tplc="080A000F">
      <w:start w:val="1"/>
      <w:numFmt w:val="decimal"/>
      <w:lvlText w:val="%4."/>
      <w:lvlJc w:val="left"/>
      <w:pPr>
        <w:ind w:left="2880" w:hanging="360"/>
      </w:pPr>
      <w:rPr>
        <w:rFonts w:cs="Times New Roman"/>
      </w:rPr>
    </w:lvl>
    <w:lvl w:ilvl="4" w:tplc="3B14BCD2">
      <w:start w:val="104"/>
      <w:numFmt w:val="decimal"/>
      <w:lvlText w:val="%5"/>
      <w:lvlJc w:val="left"/>
      <w:pPr>
        <w:ind w:left="3600" w:hanging="360"/>
      </w:pPr>
      <w:rPr>
        <w:rFonts w:cs="Times New Roman" w:hint="default"/>
        <w:b/>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42AE483A"/>
    <w:multiLevelType w:val="multilevel"/>
    <w:tmpl w:val="49E69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DC2FF6"/>
    <w:multiLevelType w:val="multilevel"/>
    <w:tmpl w:val="FFFFFFFF"/>
    <w:lvl w:ilvl="0">
      <w:start w:val="1"/>
      <w:numFmt w:val="decimal"/>
      <w:lvlText w:val="%1."/>
      <w:lvlJc w:val="left"/>
      <w:pPr>
        <w:ind w:left="357" w:hanging="357"/>
      </w:pPr>
      <w:rPr>
        <w:rFonts w:ascii="Palatino Linotype" w:eastAsia="Times New Roman" w:hAnsi="Palatino Linotype" w:cs="Palatino Linotype"/>
        <w:b/>
        <w:bCs/>
        <w:i w:val="0"/>
        <w:iCs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bCs/>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5E053133"/>
    <w:multiLevelType w:val="hybridMultilevel"/>
    <w:tmpl w:val="5FB4D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3442C6"/>
    <w:multiLevelType w:val="multilevel"/>
    <w:tmpl w:val="DD10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CE652C"/>
    <w:multiLevelType w:val="multilevel"/>
    <w:tmpl w:val="3850A7B6"/>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1"/>
  </w:num>
  <w:num w:numId="4">
    <w:abstractNumId w:val="10"/>
  </w:num>
  <w:num w:numId="5">
    <w:abstractNumId w:val="3"/>
  </w:num>
  <w:num w:numId="6">
    <w:abstractNumId w:val="8"/>
  </w:num>
  <w:num w:numId="7">
    <w:abstractNumId w:val="2"/>
  </w:num>
  <w:num w:numId="8">
    <w:abstractNumId w:val="9"/>
  </w:num>
  <w:num w:numId="9">
    <w:abstractNumId w:val="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F7"/>
    <w:rsid w:val="00050E29"/>
    <w:rsid w:val="00061318"/>
    <w:rsid w:val="002934A0"/>
    <w:rsid w:val="0029594C"/>
    <w:rsid w:val="00361853"/>
    <w:rsid w:val="00382448"/>
    <w:rsid w:val="003E61CD"/>
    <w:rsid w:val="003F5BBB"/>
    <w:rsid w:val="00414766"/>
    <w:rsid w:val="004464AA"/>
    <w:rsid w:val="00450B89"/>
    <w:rsid w:val="004C4768"/>
    <w:rsid w:val="004E3EF7"/>
    <w:rsid w:val="00517893"/>
    <w:rsid w:val="00594520"/>
    <w:rsid w:val="005B6190"/>
    <w:rsid w:val="006E20BA"/>
    <w:rsid w:val="00771F83"/>
    <w:rsid w:val="007F64A3"/>
    <w:rsid w:val="00834EE8"/>
    <w:rsid w:val="008A3E88"/>
    <w:rsid w:val="008D77DE"/>
    <w:rsid w:val="009C7E8E"/>
    <w:rsid w:val="009D3DF4"/>
    <w:rsid w:val="00B26155"/>
    <w:rsid w:val="00BF0DE4"/>
    <w:rsid w:val="00C9212C"/>
    <w:rsid w:val="00CE4E9C"/>
    <w:rsid w:val="00F2495A"/>
    <w:rsid w:val="00FC0A57"/>
    <w:rsid w:val="00FF3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A24D5A"/>
  <w15:docId w15:val="{3D2C3422-ED30-489C-9AB0-787385CC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B26155"/>
    <w:pPr>
      <w:tabs>
        <w:tab w:val="center" w:pos="4419"/>
        <w:tab w:val="right" w:pos="8838"/>
      </w:tabs>
    </w:pPr>
  </w:style>
  <w:style w:type="character" w:customStyle="1" w:styleId="PiedepginaCar">
    <w:name w:val="Pie de página Car"/>
    <w:basedOn w:val="Fuentedeprrafopredeter"/>
    <w:link w:val="Piedepgina"/>
    <w:uiPriority w:val="99"/>
    <w:rsid w:val="00B2615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4EE8"/>
    <w:pPr>
      <w:ind w:left="720"/>
      <w:contextualSpacing/>
    </w:pPr>
  </w:style>
  <w:style w:type="character" w:styleId="Hipervnculo">
    <w:name w:val="Hyperlink"/>
    <w:basedOn w:val="Fuentedeprrafopredeter"/>
    <w:uiPriority w:val="99"/>
    <w:semiHidden/>
    <w:unhideWhenUsed/>
    <w:rsid w:val="003F5BBB"/>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7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29726">
      <w:bodyDiv w:val="1"/>
      <w:marLeft w:val="0"/>
      <w:marRight w:val="0"/>
      <w:marTop w:val="0"/>
      <w:marBottom w:val="0"/>
      <w:divBdr>
        <w:top w:val="none" w:sz="0" w:space="0" w:color="auto"/>
        <w:left w:val="none" w:sz="0" w:space="0" w:color="auto"/>
        <w:bottom w:val="none" w:sz="0" w:space="0" w:color="auto"/>
        <w:right w:val="none" w:sz="0" w:space="0" w:color="auto"/>
      </w:divBdr>
    </w:div>
    <w:div w:id="653069247">
      <w:bodyDiv w:val="1"/>
      <w:marLeft w:val="0"/>
      <w:marRight w:val="0"/>
      <w:marTop w:val="0"/>
      <w:marBottom w:val="0"/>
      <w:divBdr>
        <w:top w:val="none" w:sz="0" w:space="0" w:color="auto"/>
        <w:left w:val="none" w:sz="0" w:space="0" w:color="auto"/>
        <w:bottom w:val="none" w:sz="0" w:space="0" w:color="auto"/>
        <w:right w:val="none" w:sz="0" w:space="0" w:color="auto"/>
      </w:divBdr>
    </w:div>
    <w:div w:id="733700879">
      <w:bodyDiv w:val="1"/>
      <w:marLeft w:val="0"/>
      <w:marRight w:val="0"/>
      <w:marTop w:val="0"/>
      <w:marBottom w:val="0"/>
      <w:divBdr>
        <w:top w:val="none" w:sz="0" w:space="0" w:color="auto"/>
        <w:left w:val="none" w:sz="0" w:space="0" w:color="auto"/>
        <w:bottom w:val="none" w:sz="0" w:space="0" w:color="auto"/>
        <w:right w:val="none" w:sz="0" w:space="0" w:color="auto"/>
      </w:divBdr>
    </w:div>
    <w:div w:id="823662523">
      <w:bodyDiv w:val="1"/>
      <w:marLeft w:val="0"/>
      <w:marRight w:val="0"/>
      <w:marTop w:val="0"/>
      <w:marBottom w:val="0"/>
      <w:divBdr>
        <w:top w:val="none" w:sz="0" w:space="0" w:color="auto"/>
        <w:left w:val="none" w:sz="0" w:space="0" w:color="auto"/>
        <w:bottom w:val="none" w:sz="0" w:space="0" w:color="auto"/>
        <w:right w:val="none" w:sz="0" w:space="0" w:color="auto"/>
      </w:divBdr>
    </w:div>
    <w:div w:id="829370387">
      <w:bodyDiv w:val="1"/>
      <w:marLeft w:val="0"/>
      <w:marRight w:val="0"/>
      <w:marTop w:val="0"/>
      <w:marBottom w:val="0"/>
      <w:divBdr>
        <w:top w:val="none" w:sz="0" w:space="0" w:color="auto"/>
        <w:left w:val="none" w:sz="0" w:space="0" w:color="auto"/>
        <w:bottom w:val="none" w:sz="0" w:space="0" w:color="auto"/>
        <w:right w:val="none" w:sz="0" w:space="0" w:color="auto"/>
      </w:divBdr>
    </w:div>
    <w:div w:id="879127153">
      <w:bodyDiv w:val="1"/>
      <w:marLeft w:val="0"/>
      <w:marRight w:val="0"/>
      <w:marTop w:val="0"/>
      <w:marBottom w:val="0"/>
      <w:divBdr>
        <w:top w:val="none" w:sz="0" w:space="0" w:color="auto"/>
        <w:left w:val="none" w:sz="0" w:space="0" w:color="auto"/>
        <w:bottom w:val="none" w:sz="0" w:space="0" w:color="auto"/>
        <w:right w:val="none" w:sz="0" w:space="0" w:color="auto"/>
      </w:divBdr>
    </w:div>
    <w:div w:id="1203715020">
      <w:bodyDiv w:val="1"/>
      <w:marLeft w:val="0"/>
      <w:marRight w:val="0"/>
      <w:marTop w:val="0"/>
      <w:marBottom w:val="0"/>
      <w:divBdr>
        <w:top w:val="none" w:sz="0" w:space="0" w:color="auto"/>
        <w:left w:val="none" w:sz="0" w:space="0" w:color="auto"/>
        <w:bottom w:val="none" w:sz="0" w:space="0" w:color="auto"/>
        <w:right w:val="none" w:sz="0" w:space="0" w:color="auto"/>
      </w:divBdr>
    </w:div>
    <w:div w:id="1578855271">
      <w:bodyDiv w:val="1"/>
      <w:marLeft w:val="0"/>
      <w:marRight w:val="0"/>
      <w:marTop w:val="0"/>
      <w:marBottom w:val="0"/>
      <w:divBdr>
        <w:top w:val="none" w:sz="0" w:space="0" w:color="auto"/>
        <w:left w:val="none" w:sz="0" w:space="0" w:color="auto"/>
        <w:bottom w:val="none" w:sz="0" w:space="0" w:color="auto"/>
        <w:right w:val="none" w:sz="0" w:space="0" w:color="auto"/>
      </w:divBdr>
    </w:div>
    <w:div w:id="2069760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53442.page" TargetMode="External"/><Relationship Id="rId13" Type="http://schemas.openxmlformats.org/officeDocument/2006/relationships/hyperlink" Target="https://saimex.org.mx/saimex/solicitud/downloadAttach/2663304.pag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2657643.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657642.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2657641.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655816.page" TargetMode="External"/><Relationship Id="rId14" Type="http://schemas.openxmlformats.org/officeDocument/2006/relationships/hyperlink" Target="https://saimex.org.mx/saimex/solicitud/downloadAttach/2672939.pa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htvc9fr65bA9GHf4skvX+4c4g==">CgMxLjAyDmgubnRkajIwbXZuem5iMgloLjN6bnlzaDcyDmguMnYyMzBrbmlkZXkyMgloLjNkeTZ2a20yCWguMzBqMHpsbDIJaC4yczhleW8xMg5oLmQzMHZjc3Q0aGhpNDIOaC44dGdxOWFtMnh5NnYyDWguazA2cmRlNzV0Mzg4AHIhMWp6OHl2bC1qUVlSMXcwMjZQWnpQTnA2NlF0N1kzRlBN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16</Pages>
  <Words>4103</Words>
  <Characters>22568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INFOEM574</dc:creator>
  <cp:lastModifiedBy>Cuenta Microsoft</cp:lastModifiedBy>
  <cp:revision>11</cp:revision>
  <cp:lastPrinted>2026-06-29T15:56:00Z</cp:lastPrinted>
  <dcterms:created xsi:type="dcterms:W3CDTF">2026-06-17T00:18:00Z</dcterms:created>
  <dcterms:modified xsi:type="dcterms:W3CDTF">2026-07-02T23:23:00Z</dcterms:modified>
</cp:coreProperties>
</file>