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3EB" w:rsidRPr="00190A09" w:rsidRDefault="00C073EB" w:rsidP="00C073EB">
      <w:pPr>
        <w:tabs>
          <w:tab w:val="left" w:pos="3465"/>
        </w:tabs>
        <w:spacing w:line="360" w:lineRule="auto"/>
        <w:jc w:val="both"/>
        <w:rPr>
          <w:rFonts w:ascii="Palatino Linotype" w:eastAsia="Palatino Linotype" w:hAnsi="Palatino Linotype" w:cs="Palatino Linotype"/>
          <w:b/>
        </w:rPr>
      </w:pPr>
      <w:bookmarkStart w:id="0" w:name="_GoBack"/>
      <w:bookmarkEnd w:id="0"/>
      <w:r w:rsidRPr="00190A0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90A09">
        <w:rPr>
          <w:rFonts w:ascii="Palatino Linotype" w:eastAsia="Palatino Linotype" w:hAnsi="Palatino Linotype" w:cs="Palatino Linotype"/>
          <w:b/>
        </w:rPr>
        <w:t xml:space="preserve">de fecha dieciocho </w:t>
      </w:r>
      <w:r w:rsidR="00190A09" w:rsidRPr="00190A09">
        <w:rPr>
          <w:rFonts w:ascii="Palatino Linotype" w:eastAsia="Palatino Linotype" w:hAnsi="Palatino Linotype" w:cs="Palatino Linotype"/>
          <w:b/>
        </w:rPr>
        <w:t xml:space="preserve">(18) </w:t>
      </w:r>
      <w:r w:rsidRPr="00190A09">
        <w:rPr>
          <w:rFonts w:ascii="Palatino Linotype" w:eastAsia="Palatino Linotype" w:hAnsi="Palatino Linotype" w:cs="Palatino Linotype"/>
          <w:b/>
        </w:rPr>
        <w:t xml:space="preserve">de febrero de dos mil veintiséis. </w:t>
      </w:r>
    </w:p>
    <w:p w:rsidR="00C073EB" w:rsidRPr="00190A09" w:rsidRDefault="00C073EB" w:rsidP="00C073EB">
      <w:pPr>
        <w:tabs>
          <w:tab w:val="left" w:pos="3465"/>
        </w:tabs>
        <w:spacing w:line="360" w:lineRule="auto"/>
        <w:jc w:val="both"/>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b/>
        </w:rPr>
        <w:t>VISTO</w:t>
      </w:r>
      <w:r w:rsidRPr="00190A09">
        <w:rPr>
          <w:rFonts w:ascii="Palatino Linotype" w:eastAsia="Palatino Linotype" w:hAnsi="Palatino Linotype" w:cs="Palatino Linotype"/>
        </w:rPr>
        <w:t xml:space="preserve"> el expediente electrónico formado con motivo del recurso de revisión </w:t>
      </w:r>
      <w:r w:rsidRPr="00190A09">
        <w:rPr>
          <w:rFonts w:ascii="Palatino Linotype" w:eastAsia="Palatino Linotype" w:hAnsi="Palatino Linotype" w:cs="Palatino Linotype"/>
          <w:b/>
        </w:rPr>
        <w:t xml:space="preserve">05238/INFOEM/IP/RR/2025, </w:t>
      </w:r>
      <w:r w:rsidRPr="00190A09">
        <w:rPr>
          <w:rFonts w:ascii="Palatino Linotype" w:eastAsia="Palatino Linotype" w:hAnsi="Palatino Linotype" w:cs="Palatino Linotype"/>
        </w:rPr>
        <w:t>promovido por</w:t>
      </w:r>
      <w:r w:rsidRPr="00190A09">
        <w:rPr>
          <w:rFonts w:ascii="Palatino Linotype" w:eastAsia="Palatino Linotype" w:hAnsi="Palatino Linotype" w:cs="Palatino Linotype"/>
          <w:b/>
        </w:rPr>
        <w:t xml:space="preserve"> </w:t>
      </w:r>
      <w:r w:rsidRPr="00190A09">
        <w:rPr>
          <w:rFonts w:ascii="Palatino Linotype" w:eastAsia="Palatino Linotype" w:hAnsi="Palatino Linotype" w:cs="Palatino Linotype"/>
          <w:b/>
          <w:bCs/>
        </w:rPr>
        <w:t>una persona que no proporciona datos de identificación</w:t>
      </w:r>
      <w:r w:rsidRPr="00190A09">
        <w:rPr>
          <w:rFonts w:ascii="Palatino Linotype" w:eastAsia="Palatino Linotype" w:hAnsi="Palatino Linotype" w:cs="Palatino Linotype"/>
        </w:rPr>
        <w:t xml:space="preserve">, a quien en lo sucesivo se le identificará como </w:t>
      </w:r>
      <w:r w:rsidRPr="00190A09">
        <w:rPr>
          <w:rFonts w:ascii="Palatino Linotype" w:eastAsia="Palatino Linotype" w:hAnsi="Palatino Linotype" w:cs="Palatino Linotype"/>
          <w:b/>
        </w:rPr>
        <w:t>EL RECURRENTE</w:t>
      </w:r>
      <w:r w:rsidRPr="00190A09">
        <w:rPr>
          <w:rFonts w:ascii="Palatino Linotype" w:eastAsia="Palatino Linotype" w:hAnsi="Palatino Linotype" w:cs="Palatino Linotype"/>
        </w:rPr>
        <w:t xml:space="preserve">, en contra de la respuesta de la </w:t>
      </w:r>
      <w:r w:rsidRPr="00190A09">
        <w:rPr>
          <w:rFonts w:ascii="Palatino Linotype" w:eastAsia="Palatino Linotype" w:hAnsi="Palatino Linotype" w:cs="Palatino Linotype"/>
          <w:b/>
        </w:rPr>
        <w:t xml:space="preserve">Secretaría de Movilidad, </w:t>
      </w:r>
      <w:r w:rsidRPr="00190A09">
        <w:rPr>
          <w:rFonts w:ascii="Palatino Linotype" w:eastAsia="Palatino Linotype" w:hAnsi="Palatino Linotype" w:cs="Palatino Linotype"/>
        </w:rPr>
        <w:t xml:space="preserve">en </w:t>
      </w:r>
      <w:r w:rsidR="00190A09">
        <w:rPr>
          <w:rFonts w:ascii="Palatino Linotype" w:eastAsia="Palatino Linotype" w:hAnsi="Palatino Linotype" w:cs="Palatino Linotype"/>
        </w:rPr>
        <w:t>adelante</w:t>
      </w:r>
      <w:r w:rsidRPr="00190A09">
        <w:rPr>
          <w:rFonts w:ascii="Palatino Linotype" w:eastAsia="Palatino Linotype" w:hAnsi="Palatino Linotype" w:cs="Palatino Linotype"/>
        </w:rPr>
        <w:t xml:space="preserve"> el</w:t>
      </w:r>
      <w:r w:rsidRPr="00190A09">
        <w:rPr>
          <w:rFonts w:ascii="Palatino Linotype" w:eastAsia="Palatino Linotype" w:hAnsi="Palatino Linotype" w:cs="Palatino Linotype"/>
          <w:b/>
        </w:rPr>
        <w:t xml:space="preserve"> SUJETO OBLIGADO</w:t>
      </w:r>
      <w:r w:rsidRPr="00190A09">
        <w:rPr>
          <w:rFonts w:ascii="Palatino Linotype" w:eastAsia="Palatino Linotype" w:hAnsi="Palatino Linotype" w:cs="Palatino Linotype"/>
        </w:rPr>
        <w:t>, se procede a dictar la presente resolución, con base en los siguientes:</w:t>
      </w:r>
    </w:p>
    <w:p w:rsidR="00C073EB" w:rsidRPr="00190A09" w:rsidRDefault="00C073EB" w:rsidP="00C073EB">
      <w:pPr>
        <w:spacing w:line="360" w:lineRule="auto"/>
        <w:jc w:val="both"/>
        <w:rPr>
          <w:rFonts w:ascii="Palatino Linotype" w:eastAsia="Palatino Linotype" w:hAnsi="Palatino Linotype" w:cs="Palatino Linotype"/>
          <w:b/>
        </w:rPr>
      </w:pPr>
    </w:p>
    <w:p w:rsidR="00C073EB" w:rsidRPr="00190A09" w:rsidRDefault="00C073EB" w:rsidP="00C073EB">
      <w:pPr>
        <w:pStyle w:val="Ttulo1"/>
        <w:spacing w:before="0" w:line="360" w:lineRule="auto"/>
        <w:jc w:val="center"/>
        <w:rPr>
          <w:rFonts w:ascii="Palatino Linotype" w:eastAsia="Palatino Linotype" w:hAnsi="Palatino Linotype" w:cs="Palatino Linotype"/>
          <w:b/>
          <w:color w:val="000000"/>
          <w:sz w:val="24"/>
          <w:szCs w:val="24"/>
        </w:rPr>
      </w:pPr>
      <w:bookmarkStart w:id="1" w:name="_heading=h.apvhca4zlqyc" w:colFirst="0" w:colLast="0"/>
      <w:bookmarkEnd w:id="1"/>
      <w:r w:rsidRPr="00190A09">
        <w:rPr>
          <w:rFonts w:ascii="Palatino Linotype" w:eastAsia="Palatino Linotype" w:hAnsi="Palatino Linotype" w:cs="Palatino Linotype"/>
          <w:b/>
          <w:color w:val="000000"/>
          <w:sz w:val="24"/>
          <w:szCs w:val="24"/>
        </w:rPr>
        <w:t>A</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N</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T</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E</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C</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E</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D</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E</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N</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T</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E</w:t>
      </w:r>
      <w:r w:rsidR="00190A09">
        <w:rPr>
          <w:rFonts w:ascii="Palatino Linotype" w:eastAsia="Palatino Linotype" w:hAnsi="Palatino Linotype" w:cs="Palatino Linotype"/>
          <w:b/>
          <w:color w:val="000000"/>
          <w:sz w:val="24"/>
          <w:szCs w:val="24"/>
        </w:rPr>
        <w:t xml:space="preserve"> </w:t>
      </w:r>
      <w:r w:rsidRPr="00190A09">
        <w:rPr>
          <w:rFonts w:ascii="Palatino Linotype" w:eastAsia="Palatino Linotype" w:hAnsi="Palatino Linotype" w:cs="Palatino Linotype"/>
          <w:b/>
          <w:color w:val="000000"/>
          <w:sz w:val="24"/>
          <w:szCs w:val="24"/>
        </w:rPr>
        <w:t>S</w:t>
      </w:r>
      <w:r w:rsidR="00190A09">
        <w:rPr>
          <w:rFonts w:ascii="Palatino Linotype" w:eastAsia="Palatino Linotype" w:hAnsi="Palatino Linotype" w:cs="Palatino Linotype"/>
          <w:b/>
          <w:color w:val="000000"/>
          <w:sz w:val="24"/>
          <w:szCs w:val="24"/>
        </w:rPr>
        <w:t xml:space="preserve"> </w:t>
      </w:r>
    </w:p>
    <w:p w:rsidR="00C073EB" w:rsidRPr="00190A09" w:rsidRDefault="00C073EB" w:rsidP="00C073EB">
      <w:pPr>
        <w:rPr>
          <w:rFonts w:ascii="Palatino Linotype" w:hAnsi="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El día </w:t>
      </w:r>
      <w:r w:rsidR="002C3C62" w:rsidRPr="00190A09">
        <w:rPr>
          <w:rFonts w:ascii="Palatino Linotype" w:eastAsia="Palatino Linotype" w:hAnsi="Palatino Linotype" w:cs="Palatino Linotype"/>
          <w:b/>
          <w:color w:val="000000"/>
        </w:rPr>
        <w:t xml:space="preserve">seis </w:t>
      </w:r>
      <w:r w:rsidRPr="00190A09">
        <w:rPr>
          <w:rFonts w:ascii="Palatino Linotype" w:eastAsia="Palatino Linotype" w:hAnsi="Palatino Linotype" w:cs="Palatino Linotype"/>
          <w:b/>
          <w:color w:val="000000"/>
        </w:rPr>
        <w:t>de marzo de dos mil veinticinco</w:t>
      </w:r>
      <w:r w:rsidRPr="00190A09">
        <w:rPr>
          <w:rFonts w:ascii="Palatino Linotype" w:eastAsia="Palatino Linotype" w:hAnsi="Palatino Linotype" w:cs="Palatino Linotype"/>
          <w:color w:val="000000"/>
        </w:rPr>
        <w:t xml:space="preserve">, se presentó ante el </w:t>
      </w:r>
      <w:r w:rsidRPr="00190A09">
        <w:rPr>
          <w:rFonts w:ascii="Palatino Linotype" w:eastAsia="Palatino Linotype" w:hAnsi="Palatino Linotype" w:cs="Palatino Linotype"/>
          <w:b/>
          <w:color w:val="000000"/>
        </w:rPr>
        <w:t>SUJETO OBLIGADO</w:t>
      </w:r>
      <w:r w:rsidRPr="00190A09">
        <w:rPr>
          <w:rFonts w:ascii="Palatino Linotype" w:eastAsia="Palatino Linotype" w:hAnsi="Palatino Linotype" w:cs="Palatino Linotype"/>
          <w:color w:val="000000"/>
        </w:rPr>
        <w:t xml:space="preserve"> vía SAIMEX, la solicitud de información pública registrada con el número </w:t>
      </w:r>
      <w:r w:rsidR="002C3C62" w:rsidRPr="00190A09">
        <w:rPr>
          <w:rFonts w:ascii="Palatino Linotype" w:eastAsia="Palatino Linotype" w:hAnsi="Palatino Linotype" w:cs="Palatino Linotype"/>
          <w:b/>
          <w:color w:val="000000"/>
        </w:rPr>
        <w:t>00179/SMOV/IP/2025</w:t>
      </w:r>
      <w:r w:rsidRPr="00190A09">
        <w:rPr>
          <w:rFonts w:ascii="Palatino Linotype" w:eastAsia="Palatino Linotype" w:hAnsi="Palatino Linotype" w:cs="Palatino Linotype"/>
          <w:color w:val="000000"/>
        </w:rPr>
        <w:t xml:space="preserve">; </w:t>
      </w:r>
      <w:r w:rsidR="00190A09">
        <w:rPr>
          <w:rFonts w:ascii="Palatino Linotype" w:eastAsia="Palatino Linotype" w:hAnsi="Palatino Linotype" w:cs="Palatino Linotype"/>
          <w:color w:val="000000"/>
        </w:rPr>
        <w:t>en la que</w:t>
      </w:r>
      <w:r w:rsidRPr="00190A09">
        <w:rPr>
          <w:rFonts w:ascii="Palatino Linotype" w:eastAsia="Palatino Linotype" w:hAnsi="Palatino Linotype" w:cs="Palatino Linotype"/>
          <w:color w:val="000000"/>
        </w:rPr>
        <w:t xml:space="preserve"> se solicitó la siguiente información:</w:t>
      </w:r>
    </w:p>
    <w:p w:rsidR="00C073EB" w:rsidRPr="00190A09" w:rsidRDefault="00C073EB" w:rsidP="00C073E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C073EB" w:rsidRPr="00190A09" w:rsidRDefault="00C073EB" w:rsidP="00C073EB">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i/>
          <w:color w:val="000000"/>
        </w:rPr>
        <w:t>“</w:t>
      </w:r>
      <w:r w:rsidR="002C3C62" w:rsidRPr="00190A09">
        <w:rPr>
          <w:rFonts w:ascii="Palatino Linotype" w:eastAsia="Palatino Linotype" w:hAnsi="Palatino Linotype" w:cs="Palatino Linotype"/>
          <w:i/>
          <w:color w:val="000000"/>
        </w:rPr>
        <w:t>Los oficios firmados por todos los directores generales de marzo 2024 a febrero 2025</w:t>
      </w:r>
      <w:r w:rsidRPr="00190A09">
        <w:rPr>
          <w:rFonts w:ascii="Palatino Linotype" w:eastAsia="Palatino Linotype" w:hAnsi="Palatino Linotype" w:cs="Palatino Linotype"/>
          <w:i/>
          <w:color w:val="000000"/>
        </w:rPr>
        <w:t>.”</w:t>
      </w:r>
    </w:p>
    <w:p w:rsidR="00C073EB" w:rsidRDefault="00C073EB" w:rsidP="00C073EB">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190A09" w:rsidRPr="00190A09" w:rsidRDefault="00190A09" w:rsidP="00C073EB">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C073EB" w:rsidRPr="00190A09" w:rsidRDefault="00C073EB" w:rsidP="00190A09">
      <w:pPr>
        <w:numPr>
          <w:ilvl w:val="0"/>
          <w:numId w:val="2"/>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Se eligió modalidad de entrega de la información: </w:t>
      </w:r>
      <w:r w:rsidRPr="00190A09">
        <w:rPr>
          <w:rFonts w:ascii="Palatino Linotype" w:eastAsia="Palatino Linotype" w:hAnsi="Palatino Linotype" w:cs="Palatino Linotype"/>
          <w:b/>
          <w:color w:val="000000"/>
        </w:rPr>
        <w:t xml:space="preserve">Vía Sistema de Acceso a la Información (SAIMEX) </w:t>
      </w:r>
    </w:p>
    <w:p w:rsidR="00C073EB" w:rsidRPr="00190A09" w:rsidRDefault="00C073EB" w:rsidP="00C073EB">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color w:val="000000"/>
        </w:rPr>
        <w:lastRenderedPageBreak/>
        <w:t xml:space="preserve">El </w:t>
      </w:r>
      <w:r w:rsidR="002C3C62" w:rsidRPr="00190A09">
        <w:rPr>
          <w:rFonts w:ascii="Palatino Linotype" w:eastAsia="Palatino Linotype" w:hAnsi="Palatino Linotype" w:cs="Palatino Linotype"/>
          <w:b/>
          <w:color w:val="000000"/>
        </w:rPr>
        <w:t xml:space="preserve">siete </w:t>
      </w:r>
      <w:r w:rsidRPr="00190A09">
        <w:rPr>
          <w:rFonts w:ascii="Palatino Linotype" w:eastAsia="Palatino Linotype" w:hAnsi="Palatino Linotype" w:cs="Palatino Linotype"/>
          <w:b/>
          <w:color w:val="000000"/>
        </w:rPr>
        <w:t>de marzo de dos mil veinticinco</w:t>
      </w:r>
      <w:r w:rsidRPr="00190A09">
        <w:rPr>
          <w:rFonts w:ascii="Palatino Linotype" w:eastAsia="Palatino Linotype" w:hAnsi="Palatino Linotype" w:cs="Palatino Linotype"/>
          <w:color w:val="000000"/>
        </w:rPr>
        <w:t xml:space="preserve">, el </w:t>
      </w:r>
      <w:r w:rsidRPr="00190A09">
        <w:rPr>
          <w:rFonts w:ascii="Palatino Linotype" w:eastAsia="Palatino Linotype" w:hAnsi="Palatino Linotype" w:cs="Palatino Linotype"/>
          <w:b/>
          <w:color w:val="000000"/>
        </w:rPr>
        <w:t>SUJETO OBLIGADO</w:t>
      </w:r>
      <w:r w:rsidRPr="00190A09">
        <w:rPr>
          <w:rFonts w:ascii="Palatino Linotype" w:eastAsia="Palatino Linotype" w:hAnsi="Palatino Linotype" w:cs="Palatino Linotype"/>
          <w:color w:val="000000"/>
        </w:rPr>
        <w:t xml:space="preserve">, giro el requerimiento de información para que fuera atendida la solicitud de información </w:t>
      </w:r>
      <w:r w:rsidR="002C3C62" w:rsidRPr="00190A09">
        <w:rPr>
          <w:rFonts w:ascii="Palatino Linotype" w:eastAsia="Palatino Linotype" w:hAnsi="Palatino Linotype" w:cs="Palatino Linotype"/>
          <w:b/>
          <w:color w:val="000000"/>
        </w:rPr>
        <w:t>00179/SMOV/IP/2025</w:t>
      </w:r>
      <w:r w:rsidRPr="00190A09">
        <w:rPr>
          <w:rFonts w:ascii="Palatino Linotype" w:eastAsia="Palatino Linotype" w:hAnsi="Palatino Linotype" w:cs="Palatino Linotype"/>
          <w:b/>
          <w:color w:val="000000"/>
        </w:rPr>
        <w:t xml:space="preserve">. </w:t>
      </w:r>
    </w:p>
    <w:p w:rsidR="00C073EB" w:rsidRPr="00190A09" w:rsidRDefault="00C073EB" w:rsidP="00C073E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color w:val="000000"/>
        </w:rPr>
        <w:t xml:space="preserve"> </w:t>
      </w:r>
    </w:p>
    <w:p w:rsidR="002C3C62" w:rsidRPr="00190A09" w:rsidRDefault="002C3C62" w:rsidP="002C3C6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 xml:space="preserve">veintiséis de marzo de dos mil veinticinco, </w:t>
      </w: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 xml:space="preserve">SUJETO OBLIGADO </w:t>
      </w:r>
      <w:r w:rsidRPr="00190A09">
        <w:rPr>
          <w:rFonts w:ascii="Palatino Linotype" w:eastAsia="Palatino Linotype" w:hAnsi="Palatino Linotype" w:cs="Palatino Linotype"/>
          <w:color w:val="000000"/>
        </w:rPr>
        <w:t xml:space="preserve">emitió la prórroga para que fuera atendida la solicitud de información </w:t>
      </w:r>
      <w:r w:rsidRPr="00190A09">
        <w:rPr>
          <w:rFonts w:ascii="Palatino Linotype" w:eastAsia="Palatino Linotype" w:hAnsi="Palatino Linotype" w:cs="Palatino Linotype"/>
          <w:b/>
          <w:color w:val="000000"/>
        </w:rPr>
        <w:t xml:space="preserve">00179/SMOV/IP/2025. </w:t>
      </w:r>
    </w:p>
    <w:p w:rsidR="002C3C62" w:rsidRPr="00190A09" w:rsidRDefault="002C3C62" w:rsidP="002C3C62">
      <w:pPr>
        <w:pStyle w:val="Prrafodelista"/>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 xml:space="preserve">ocho de abril de dos mil veinticinco, </w:t>
      </w: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 xml:space="preserve">SUJETO OBLIGADO </w:t>
      </w:r>
      <w:r w:rsidRPr="00190A09">
        <w:rPr>
          <w:rFonts w:ascii="Palatino Linotype" w:eastAsia="Palatino Linotype" w:hAnsi="Palatino Linotype" w:cs="Palatino Linotype"/>
          <w:color w:val="000000"/>
        </w:rPr>
        <w:t xml:space="preserve">dio respuesta por medio de </w:t>
      </w:r>
      <w:r w:rsidR="00737EBF" w:rsidRPr="00190A09">
        <w:rPr>
          <w:rFonts w:ascii="Palatino Linotype" w:eastAsia="Palatino Linotype" w:hAnsi="Palatino Linotype" w:cs="Palatino Linotype"/>
          <w:color w:val="000000"/>
        </w:rPr>
        <w:t xml:space="preserve">treinta y </w:t>
      </w:r>
      <w:r w:rsidRPr="00190A09">
        <w:rPr>
          <w:rFonts w:ascii="Palatino Linotype" w:eastAsia="Palatino Linotype" w:hAnsi="Palatino Linotype" w:cs="Palatino Linotype"/>
          <w:color w:val="000000"/>
        </w:rPr>
        <w:t xml:space="preserve">dos archivos electrónicos en formato pdf, cuyo contenido grosso modo es el siguiente. </w:t>
      </w:r>
    </w:p>
    <w:p w:rsidR="00737EBF" w:rsidRPr="00190A09" w:rsidRDefault="00737EBF" w:rsidP="00737EBF">
      <w:pPr>
        <w:ind w:left="1134" w:right="900"/>
        <w:jc w:val="both"/>
        <w:rPr>
          <w:rFonts w:ascii="Palatino Linotype" w:hAnsi="Palatino Linotype"/>
          <w:i/>
        </w:rPr>
      </w:pPr>
      <w:bookmarkStart w:id="2" w:name="_heading=h.9pf8vy1dgkhd" w:colFirst="0" w:colLast="0"/>
      <w:bookmarkEnd w:id="2"/>
      <w:r w:rsidRPr="00190A09">
        <w:rPr>
          <w:rFonts w:ascii="Palatino Linotype" w:hAnsi="Palatino Linotype"/>
          <w:b/>
          <w:i/>
        </w:rPr>
        <w:t xml:space="preserve">marzo24.pdf: </w:t>
      </w:r>
      <w:r w:rsidRPr="00190A09">
        <w:rPr>
          <w:rFonts w:ascii="Palatino Linotype" w:hAnsi="Palatino Linotype"/>
          <w:i/>
        </w:rPr>
        <w:t xml:space="preserve">oficio de la Dirección General de Movilidad Zona IV, del mes de marzo de dos mil veinticinco, </w:t>
      </w:r>
      <w:r w:rsidRPr="00190A09">
        <w:rPr>
          <w:rFonts w:ascii="Palatino Linotype" w:hAnsi="Palatino Linotype"/>
          <w:b/>
          <w:i/>
        </w:rPr>
        <w:t>en cual se clasifico el número de placas de un vehículo operativo se la Secretaría de Movilidad</w:t>
      </w:r>
      <w:r w:rsidRPr="00190A09">
        <w:rPr>
          <w:rFonts w:ascii="Palatino Linotype" w:hAnsi="Palatino Linotype"/>
          <w:i/>
        </w:rPr>
        <w:t xml:space="preserve">. (dato que no debe de ser clasificado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24_complemento.pdf: </w:t>
      </w:r>
      <w:r w:rsidRPr="00190A09">
        <w:rPr>
          <w:rFonts w:ascii="Palatino Linotype" w:hAnsi="Palatino Linotype"/>
          <w:i/>
        </w:rPr>
        <w:t>oficios de la Dirección General de Movilidad Zona I, de los cuales del folio 1341 se saltan al 1362, del 1362 al 1397, del 1398 al 1443, del 1452 al 1459, del 1460 al 1523</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25_complemento.pdf: </w:t>
      </w:r>
      <w:r w:rsidRPr="00190A09">
        <w:rPr>
          <w:rFonts w:ascii="Palatino Linotype" w:hAnsi="Palatino Linotype"/>
          <w:i/>
        </w:rPr>
        <w:t xml:space="preserve">oficio de la Dirección General de Movilidad Zona I, del mes de enero y febrero de 2025, de los cuales se observa que hacen falta folios, así como la clasificación de datos que no debieron de ser clasificados como lo es la información de las copias que se giran de los oficios en las distintas áreas de la Secretaría de Movilidad.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Oficios_2025.pdf: </w:t>
      </w:r>
      <w:r w:rsidRPr="00190A09">
        <w:rPr>
          <w:rFonts w:ascii="Palatino Linotype" w:hAnsi="Palatino Linotype"/>
          <w:i/>
        </w:rPr>
        <w:t xml:space="preserve">documento que contiene oficios de la Dirección General de Movilidad Zona I, de enero a febrero de dos mil veinticinco, de los cuales  se observa que hacen falta los folios 64, 66, 67, 68, 76, 77, 78, 79, 97, 107, 124, 125, 134, 146, 147, 148, 149 y del 157 al 180, de manera enunciativa más no limitativa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Oficios_2024.pdf: </w:t>
      </w:r>
      <w:r w:rsidRPr="00190A09">
        <w:rPr>
          <w:rFonts w:ascii="Palatino Linotype" w:hAnsi="Palatino Linotype"/>
          <w:i/>
        </w:rPr>
        <w:t xml:space="preserve">oficios de la Dirección General de Movilidad Zona I, que inician en el mes de marzo de 2024 con el folio 148, faltando folios de manera enunciativa más no limitativa 209, 220, 223, 224, 225, 226, 228, 230, 245 246, 253.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i/>
        </w:rPr>
        <w:lastRenderedPageBreak/>
        <w:t xml:space="preserve">Del contenido de los oficios de observa que entregan hasta el 19 de diciembre de dos mil veinticuatro.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ABRIL A JUN 2024 (V.P).pdf.: </w:t>
      </w:r>
      <w:r w:rsidRPr="00190A09">
        <w:rPr>
          <w:rFonts w:ascii="Palatino Linotype" w:hAnsi="Palatino Linotype"/>
          <w:i/>
        </w:rPr>
        <w:t>Oficios de la Dirección General de Movilidad Zona II, mediante el cual remiten oficios que inician el 28 de junio de dos mil veinticuatro, del contenido del documento de observa que los folios de los oficios se encuentran incompletos, de manera enunciativa más no limitativa del 641 al 644</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JUL A SEPT 2024 (V.P) .pdf: </w:t>
      </w:r>
      <w:r w:rsidRPr="00190A09">
        <w:rPr>
          <w:rFonts w:ascii="Palatino Linotype" w:hAnsi="Palatino Linotype"/>
          <w:i/>
        </w:rPr>
        <w:t xml:space="preserve">oficios de la Dirección General de Movilidad Zona II, de los cuales se observan que los folios se encuentran incompleto, de manera enunciativa más no limitativa entregan el oficio 699 y posteriormente el oficio 963, también se visuliaza que entregan el oficio 601 y se saltan al 595, el documento solo contiene oficios de los meses de abril, junio, julio y septiembre, de los cuales los folios se encuentran incompletos.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Del contenido de los oficios entregados se tendrán que ordenar en correcta versión pública, toda vez que se testo el nombre de representantes legales de empresas que prestan servicio a autobuses, así como direcciones de fiscalía, nombres de servidores públicos de quien recibe los oficios y correos electrónicos de servidores públicos en funciones de servicio.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DE ENERO FEBRERO 2025.pdf: </w:t>
      </w:r>
      <w:r w:rsidRPr="00190A09">
        <w:rPr>
          <w:rFonts w:ascii="Palatino Linotype" w:hAnsi="Palatino Linotype"/>
          <w:i/>
        </w:rPr>
        <w:t xml:space="preserve">oficios de la Dirección General de Movilidad Zona II, que inicia el 28 de febrero con el folio 103, de la revisión de los documentos entregan el oficio 98 y luego el 80, haciendo falta de folios, faltando también del 50 al 58, del 24 al 43, del 13 al 17, del 8 al 11 y el dos.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OCTUBRE 2024 V.P.pdf: </w:t>
      </w:r>
      <w:r w:rsidRPr="00190A09">
        <w:rPr>
          <w:rFonts w:ascii="Palatino Linotype" w:hAnsi="Palatino Linotype"/>
          <w:i/>
        </w:rPr>
        <w:t xml:space="preserve">oficios de la Dirección General de Movilidad Zona II, iniciando con la fecha 22 de octubre, faltando oficios del 850 al 851, del 813 al 838, 805 al 811 y el 802.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NOVIEMBRE 2024 V.P.pdf: </w:t>
      </w:r>
      <w:r w:rsidRPr="00190A09">
        <w:rPr>
          <w:rFonts w:ascii="Palatino Linotype" w:hAnsi="Palatino Linotype"/>
          <w:i/>
        </w:rPr>
        <w:t>oficio de la Dirección General de Movilidad Zona II, iniciando el cinco de noviembre con el oficio 994, faltando el 993, faltando del 977 al 989, del 940 al 968, del 918 al 930</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MARZ 2024 (V.P).pdf: </w:t>
      </w:r>
      <w:r w:rsidRPr="00190A09">
        <w:rPr>
          <w:rFonts w:ascii="Palatino Linotype" w:hAnsi="Palatino Linotype"/>
          <w:i/>
        </w:rPr>
        <w:t xml:space="preserve">oficio de la Dirección General de Movilidad Zona II, que inicia el veintidós de marzo de dos mil veinticuatro, faltando oficios del 208 al 212, del 203 al 204, 195, 196, del 179 al187. Del 168 al 171.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OFICIOS DICIEMBRE 2024 V.P.pdf: </w:t>
      </w:r>
      <w:r w:rsidRPr="00190A09">
        <w:rPr>
          <w:rFonts w:ascii="Palatino Linotype" w:hAnsi="Palatino Linotype"/>
          <w:i/>
        </w:rPr>
        <w:t>oficios de la Dirección General de Movilidad Zona II, que inician el 19 de diciembre de 2024, con el folio 1094, faltando el oficio 1087, del 1078 al 1084, del 1059 al 1074, del 1048 al 1053 y del 1036 al 1041</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lastRenderedPageBreak/>
        <w:t xml:space="preserve">O 016 25_censurado.pdf: </w:t>
      </w:r>
      <w:r w:rsidRPr="00190A09">
        <w:rPr>
          <w:rFonts w:ascii="Palatino Linotype" w:hAnsi="Palatino Linotype"/>
          <w:i/>
        </w:rPr>
        <w:t xml:space="preserve">oficio de la Dirección General de Movilidad Zona III, del quince de enero de 2025, con el folio 16, faltando los folios del 1 al 15.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007 25_censurado.pdf: </w:t>
      </w:r>
      <w:r w:rsidRPr="00190A09">
        <w:rPr>
          <w:rFonts w:ascii="Palatino Linotype" w:hAnsi="Palatino Linotype"/>
          <w:i/>
        </w:rPr>
        <w:t>oficio de la Dirección General de Movilidad Zona III, del ocho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220 25_censurado.pdf: </w:t>
      </w:r>
      <w:r w:rsidRPr="00190A09">
        <w:rPr>
          <w:rFonts w:ascii="Palatino Linotype" w:hAnsi="Palatino Linotype"/>
          <w:i/>
        </w:rPr>
        <w:t>oficio de la Dirección General de Movilidad Zona III, del uno de abril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210 25_censurado.pdf: </w:t>
      </w:r>
      <w:r w:rsidRPr="00190A09">
        <w:rPr>
          <w:rFonts w:ascii="Palatino Linotype" w:hAnsi="Palatino Linotype"/>
          <w:i/>
        </w:rPr>
        <w:t>oficio de la Dirección General de Movilidad Zona III, del uno de abril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12 25_censurado.pdf: </w:t>
      </w:r>
      <w:r w:rsidRPr="00190A09">
        <w:rPr>
          <w:rFonts w:ascii="Palatino Linotype" w:hAnsi="Palatino Linotype"/>
          <w:i/>
        </w:rPr>
        <w:t>oficio de la Dirección General de Movilidad Zona III, del diez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009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013 25_censurado.pdf. </w:t>
      </w:r>
      <w:r w:rsidRPr="00190A09">
        <w:rPr>
          <w:rFonts w:ascii="Palatino Linotype" w:hAnsi="Palatino Linotype"/>
          <w:i/>
        </w:rPr>
        <w:t>Oficio de la Dirección General de Movilidad Zona III, del diez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006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003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002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10 25_censurado.pdf: </w:t>
      </w:r>
      <w:r w:rsidRPr="00190A09">
        <w:rPr>
          <w:rFonts w:ascii="Palatino Linotype" w:hAnsi="Palatino Linotype"/>
          <w:i/>
        </w:rPr>
        <w:t>Oficio de la Dirección General de Movilidad Zona III, del ocho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014 25_censurado.pdf: </w:t>
      </w:r>
      <w:r w:rsidRPr="00190A09">
        <w:rPr>
          <w:rFonts w:ascii="Palatino Linotype" w:hAnsi="Palatino Linotype"/>
          <w:i/>
        </w:rPr>
        <w:t>Oficio de la Dirección General de Movilidad Zona III, del catorce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005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008 25_censurado.pdf: </w:t>
      </w:r>
      <w:r w:rsidRPr="00190A09">
        <w:rPr>
          <w:rFonts w:ascii="Palatino Linotype" w:hAnsi="Palatino Linotype"/>
          <w:i/>
        </w:rPr>
        <w:t>Oficio de la Dirección General de Movilidad Zona III, del siete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015 25_censurado.pdf: </w:t>
      </w:r>
      <w:r w:rsidRPr="00190A09">
        <w:rPr>
          <w:rFonts w:ascii="Palatino Linotype" w:hAnsi="Palatino Linotype"/>
          <w:i/>
        </w:rPr>
        <w:t>Oficio de la Dirección General de Movilidad Zona III, del diez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219 25_censurado.pdf: </w:t>
      </w:r>
      <w:r w:rsidRPr="00190A09">
        <w:rPr>
          <w:rFonts w:ascii="Palatino Linotype" w:hAnsi="Palatino Linotype"/>
          <w:i/>
        </w:rPr>
        <w:t>Oficio de la Dirección General de Movilidad Zona III, del uno de abril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O 004 25_censurado.pdf: </w:t>
      </w:r>
      <w:r w:rsidRPr="00190A09">
        <w:rPr>
          <w:rFonts w:ascii="Palatino Linotype" w:hAnsi="Palatino Linotype"/>
          <w:i/>
        </w:rPr>
        <w:t>Oficio de la Dirección General de Movilidad Zona III, del dos de enero  de 2025</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Respuesta a solicitud 179.pdf:</w:t>
      </w:r>
      <w:r w:rsidRPr="00190A09">
        <w:rPr>
          <w:rFonts w:ascii="Palatino Linotype" w:hAnsi="Palatino Linotype"/>
          <w:i/>
        </w:rPr>
        <w:t xml:space="preserve"> oficio del Titular de la Unidad de Transparencia, mediante el cual informa lo siguiente.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lastRenderedPageBreak/>
        <w:t xml:space="preserve">Dirección General del Registro Estatal del Transporte Público, </w:t>
      </w:r>
      <w:r w:rsidRPr="00190A09">
        <w:rPr>
          <w:rFonts w:ascii="Palatino Linotype" w:hAnsi="Palatino Linotype"/>
          <w:i/>
        </w:rPr>
        <w:t>informa que toda vez que el contenido de los oficios tiene información que debe de ser clasificada como reservada por contener información de juicios y confidenciales por contener datos personales, situación por la cual no pueden ser entregados, refiere la prueba de daño, sin embargo la misma no es entregada.</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Dirección General de Movilidad Zona I: </w:t>
      </w:r>
      <w:r w:rsidRPr="00190A09">
        <w:rPr>
          <w:rFonts w:ascii="Palatino Linotype" w:hAnsi="Palatino Linotype"/>
          <w:i/>
        </w:rPr>
        <w:t>informa que se entrega la información solicitada.</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Dirección General de Movilidad Zona II: </w:t>
      </w:r>
      <w:r w:rsidRPr="00190A09">
        <w:rPr>
          <w:rFonts w:ascii="Palatino Linotype" w:hAnsi="Palatino Linotype"/>
          <w:i/>
        </w:rPr>
        <w:t>informa que se entrega la información solicitada.</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Dirección General de Movilidad Zona III: </w:t>
      </w:r>
      <w:r w:rsidRPr="00190A09">
        <w:rPr>
          <w:rFonts w:ascii="Palatino Linotype" w:hAnsi="Palatino Linotype"/>
          <w:i/>
        </w:rPr>
        <w:t>informa que se entrega la información solicitada.</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Dirección General de Movilidad Zona IV</w:t>
      </w:r>
      <w:r w:rsidRPr="00190A09">
        <w:rPr>
          <w:rFonts w:ascii="Palatino Linotype" w:hAnsi="Palatino Linotype"/>
          <w:i/>
        </w:rPr>
        <w:t>: informa que se localizaron de manera física 2144 oficios con un total de 2,897 fojas relacionadas con los oficios generados y firmados, refiriendo que el escaneo de cada foja genera un peso aproximado de 144 kb, por lo cual pone la información en consulta directa.</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Dirección General de Vialidad: </w:t>
      </w:r>
      <w:r w:rsidRPr="00190A09">
        <w:rPr>
          <w:rFonts w:ascii="Palatino Linotype" w:hAnsi="Palatino Linotype"/>
          <w:i/>
        </w:rPr>
        <w:t xml:space="preserve">informa que para proporcionar la información deberá de pagar los derechos de la misma.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Acta 48 sesion Extraord VP.pdf: </w:t>
      </w:r>
      <w:r w:rsidRPr="00190A09">
        <w:rPr>
          <w:rFonts w:ascii="Palatino Linotype" w:hAnsi="Palatino Linotype"/>
          <w:i/>
        </w:rPr>
        <w:t xml:space="preserve">Acta de la Cuadragésima Octava Sesión Extraordinaria, mediante la cual se aprueba la clasificación de la reserva de información de 4055 oficios localizados en expedientes de juicios administrativos, civiles y mercantiles por un periodo de cinco años, en el Acta también se clasifican dato de particulares, nombres, firma, teléfono, correo y domicilio particular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Acta 50 sesion Extraord VP.pdf: </w:t>
      </w:r>
      <w:r w:rsidRPr="00190A09">
        <w:rPr>
          <w:rFonts w:ascii="Palatino Linotype" w:hAnsi="Palatino Linotype"/>
          <w:i/>
        </w:rPr>
        <w:t>Acta de la Quincuagésima Sesión Extraordinaria, mediante la cual la Dirección General de Movilidad Zona I, clasifica como confidenciales los datos de</w:t>
      </w:r>
      <w:r w:rsidRPr="00190A09">
        <w:t xml:space="preserve"> </w:t>
      </w:r>
      <w:r w:rsidRPr="00190A09">
        <w:rPr>
          <w:rFonts w:ascii="Palatino Linotype" w:hAnsi="Palatino Linotype"/>
          <w:i/>
        </w:rPr>
        <w:t>Clave de servidor público • Nombre de Particulares • Firma y/o rubrica • Nombre de personas físicas y morales no concesionarias • Números de expediente • Domicilio particular • Correo electrónico personal • Placas particulares • Número telefónico • Número de serie de vehículos particulares</w:t>
      </w:r>
    </w:p>
    <w:p w:rsidR="00C073EB" w:rsidRDefault="00C073EB" w:rsidP="00C073EB">
      <w:pPr>
        <w:pBdr>
          <w:top w:val="nil"/>
          <w:left w:val="nil"/>
          <w:bottom w:val="nil"/>
          <w:right w:val="nil"/>
          <w:between w:val="nil"/>
        </w:pBdr>
        <w:tabs>
          <w:tab w:val="left" w:pos="0"/>
        </w:tabs>
        <w:ind w:left="1134" w:right="900"/>
        <w:jc w:val="both"/>
        <w:rPr>
          <w:rFonts w:ascii="Palatino Linotype" w:eastAsia="Palatino Linotype" w:hAnsi="Palatino Linotype" w:cs="Palatino Linotype"/>
          <w:i/>
          <w:color w:val="000000"/>
        </w:rPr>
      </w:pPr>
    </w:p>
    <w:p w:rsidR="00190A09" w:rsidRPr="00190A09" w:rsidRDefault="00190A09" w:rsidP="00C073EB">
      <w:pPr>
        <w:pBdr>
          <w:top w:val="nil"/>
          <w:left w:val="nil"/>
          <w:bottom w:val="nil"/>
          <w:right w:val="nil"/>
          <w:between w:val="nil"/>
        </w:pBdr>
        <w:tabs>
          <w:tab w:val="left" w:pos="0"/>
        </w:tabs>
        <w:ind w:left="1134" w:right="900"/>
        <w:jc w:val="both"/>
        <w:rPr>
          <w:rFonts w:ascii="Palatino Linotype" w:eastAsia="Palatino Linotype" w:hAnsi="Palatino Linotype" w:cs="Palatino Linotype"/>
          <w:i/>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color w:val="000000"/>
        </w:rPr>
        <w:t>El</w:t>
      </w:r>
      <w:r w:rsidRPr="00190A09">
        <w:rPr>
          <w:rFonts w:ascii="Palatino Linotype" w:eastAsia="Palatino Linotype" w:hAnsi="Palatino Linotype" w:cs="Palatino Linotype"/>
          <w:b/>
          <w:color w:val="000000"/>
        </w:rPr>
        <w:t xml:space="preserve"> </w:t>
      </w:r>
      <w:r w:rsidR="00737EBF" w:rsidRPr="00190A09">
        <w:rPr>
          <w:rFonts w:ascii="Palatino Linotype" w:eastAsia="Palatino Linotype" w:hAnsi="Palatino Linotype" w:cs="Palatino Linotype"/>
          <w:b/>
          <w:color w:val="000000"/>
        </w:rPr>
        <w:t xml:space="preserve">ocho de mayo </w:t>
      </w:r>
      <w:r w:rsidRPr="00190A09">
        <w:rPr>
          <w:rFonts w:ascii="Palatino Linotype" w:eastAsia="Palatino Linotype" w:hAnsi="Palatino Linotype" w:cs="Palatino Linotype"/>
          <w:b/>
          <w:color w:val="000000"/>
        </w:rPr>
        <w:t>de dos mil veinticinco</w:t>
      </w:r>
      <w:r w:rsidRPr="00190A09">
        <w:rPr>
          <w:rFonts w:ascii="Palatino Linotype" w:eastAsia="Palatino Linotype" w:hAnsi="Palatino Linotype" w:cs="Palatino Linotype"/>
          <w:color w:val="000000"/>
        </w:rPr>
        <w:t>, el particular interpuso el recurso de revisión en contra de la respuesta, manifestando las siguientes razones o motivos de inconformidad:</w:t>
      </w:r>
    </w:p>
    <w:p w:rsidR="00C073EB" w:rsidRPr="00190A09" w:rsidRDefault="00C073EB" w:rsidP="00C073E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p>
    <w:p w:rsidR="00C073EB" w:rsidRPr="00190A09" w:rsidRDefault="00190A09" w:rsidP="00190A09">
      <w:pPr>
        <w:numPr>
          <w:ilvl w:val="0"/>
          <w:numId w:val="2"/>
        </w:numPr>
        <w:pBdr>
          <w:top w:val="nil"/>
          <w:left w:val="nil"/>
          <w:bottom w:val="nil"/>
          <w:right w:val="nil"/>
          <w:between w:val="nil"/>
        </w:pBdr>
        <w:spacing w:line="360" w:lineRule="auto"/>
        <w:ind w:left="0" w:right="900" w:firstLine="0"/>
        <w:jc w:val="both"/>
        <w:rPr>
          <w:rFonts w:ascii="Palatino Linotype" w:eastAsia="Palatino Linotype" w:hAnsi="Palatino Linotype" w:cs="Palatino Linotype"/>
          <w:i/>
          <w:color w:val="000000"/>
        </w:rPr>
      </w:pPr>
      <w:bookmarkStart w:id="3" w:name="_heading=h.bu48n3507cx8" w:colFirst="0" w:colLast="0"/>
      <w:bookmarkEnd w:id="3"/>
      <w:r w:rsidRPr="00190A09">
        <w:rPr>
          <w:rFonts w:ascii="Palatino Linotype" w:eastAsia="Palatino Linotype" w:hAnsi="Palatino Linotype" w:cs="Palatino Linotype"/>
          <w:b/>
          <w:color w:val="000000"/>
        </w:rPr>
        <w:lastRenderedPageBreak/>
        <w:t>ACTO IMPUGNADO</w:t>
      </w:r>
      <w:r w:rsidR="00C073EB" w:rsidRPr="00190A09">
        <w:rPr>
          <w:rFonts w:ascii="Palatino Linotype" w:eastAsia="Palatino Linotype" w:hAnsi="Palatino Linotype" w:cs="Palatino Linotype"/>
          <w:b/>
          <w:color w:val="000000"/>
        </w:rPr>
        <w:t xml:space="preserve">: </w:t>
      </w:r>
      <w:r w:rsidR="00C073EB" w:rsidRPr="00190A09">
        <w:rPr>
          <w:rFonts w:ascii="Palatino Linotype" w:eastAsia="Palatino Linotype" w:hAnsi="Palatino Linotype" w:cs="Palatino Linotype"/>
          <w:i/>
          <w:color w:val="000000"/>
        </w:rPr>
        <w:t>“</w:t>
      </w:r>
      <w:r w:rsidR="00737EBF" w:rsidRPr="00190A09">
        <w:rPr>
          <w:rFonts w:ascii="Palatino Linotype" w:eastAsia="Palatino Linotype" w:hAnsi="Palatino Linotype" w:cs="Palatino Linotype"/>
          <w:i/>
          <w:color w:val="000000"/>
        </w:rPr>
        <w:t>La entrega de la información incompleta y censurada</w:t>
      </w:r>
      <w:r w:rsidR="00C073EB" w:rsidRPr="00190A09">
        <w:rPr>
          <w:rFonts w:ascii="Palatino Linotype" w:eastAsia="Palatino Linotype" w:hAnsi="Palatino Linotype" w:cs="Palatino Linotype"/>
          <w:i/>
          <w:color w:val="000000"/>
        </w:rPr>
        <w:t>”</w:t>
      </w:r>
    </w:p>
    <w:p w:rsidR="00C073EB" w:rsidRPr="00190A09" w:rsidRDefault="00C073EB" w:rsidP="00190A09">
      <w:pPr>
        <w:pBdr>
          <w:top w:val="nil"/>
          <w:left w:val="nil"/>
          <w:bottom w:val="nil"/>
          <w:right w:val="nil"/>
          <w:between w:val="nil"/>
        </w:pBdr>
        <w:tabs>
          <w:tab w:val="left" w:pos="7020"/>
        </w:tabs>
        <w:spacing w:line="360" w:lineRule="auto"/>
        <w:ind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ab/>
      </w:r>
    </w:p>
    <w:p w:rsidR="00C073EB" w:rsidRPr="00190A09" w:rsidRDefault="00190A09" w:rsidP="00190A09">
      <w:pPr>
        <w:numPr>
          <w:ilvl w:val="0"/>
          <w:numId w:val="2"/>
        </w:numPr>
        <w:pBdr>
          <w:top w:val="nil"/>
          <w:left w:val="nil"/>
          <w:bottom w:val="nil"/>
          <w:right w:val="nil"/>
          <w:between w:val="nil"/>
        </w:pBdr>
        <w:spacing w:line="360" w:lineRule="auto"/>
        <w:ind w:left="0" w:right="900" w:firstLine="0"/>
        <w:jc w:val="both"/>
        <w:rPr>
          <w:rFonts w:ascii="Palatino Linotype" w:eastAsia="Palatino Linotype" w:hAnsi="Palatino Linotype" w:cs="Palatino Linotype"/>
          <w:b/>
          <w:i/>
          <w:color w:val="000000"/>
        </w:rPr>
      </w:pPr>
      <w:bookmarkStart w:id="4" w:name="_heading=h.966ghff0b3fn" w:colFirst="0" w:colLast="0"/>
      <w:bookmarkEnd w:id="4"/>
      <w:r w:rsidRPr="00190A09">
        <w:rPr>
          <w:rFonts w:ascii="Palatino Linotype" w:eastAsia="Palatino Linotype" w:hAnsi="Palatino Linotype" w:cs="Palatino Linotype"/>
          <w:b/>
          <w:color w:val="000000"/>
        </w:rPr>
        <w:t>RAZONES O MOTIVOS DE INCONFORMIDAD</w:t>
      </w:r>
      <w:r w:rsidR="00C073EB" w:rsidRPr="00190A09">
        <w:rPr>
          <w:rFonts w:ascii="Palatino Linotype" w:eastAsia="Palatino Linotype" w:hAnsi="Palatino Linotype" w:cs="Palatino Linotype"/>
          <w:b/>
          <w:color w:val="000000"/>
        </w:rPr>
        <w:t xml:space="preserve">: </w:t>
      </w:r>
      <w:r w:rsidR="00C073EB" w:rsidRPr="00190A09">
        <w:rPr>
          <w:rFonts w:ascii="Palatino Linotype" w:eastAsia="Palatino Linotype" w:hAnsi="Palatino Linotype" w:cs="Palatino Linotype"/>
          <w:i/>
          <w:color w:val="000000"/>
        </w:rPr>
        <w:t>“</w:t>
      </w:r>
      <w:r w:rsidR="00737EBF" w:rsidRPr="00190A09">
        <w:rPr>
          <w:rFonts w:ascii="Palatino Linotype" w:eastAsia="Palatino Linotype" w:hAnsi="Palatino Linotype" w:cs="Palatino Linotype"/>
          <w:i/>
          <w:color w:val="000000"/>
        </w:rPr>
        <w:t>La entrega de la información incompleta y censurada</w:t>
      </w:r>
      <w:r w:rsidR="00C073EB" w:rsidRPr="00190A09">
        <w:rPr>
          <w:rFonts w:ascii="Palatino Linotype" w:eastAsia="Palatino Linotype" w:hAnsi="Palatino Linotype" w:cs="Palatino Linotype"/>
          <w:i/>
          <w:color w:val="000000"/>
        </w:rPr>
        <w:t>”</w:t>
      </w:r>
    </w:p>
    <w:p w:rsidR="00C073EB" w:rsidRPr="00190A09" w:rsidRDefault="00C073EB" w:rsidP="00C073EB">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C073EB" w:rsidRPr="00190A09" w:rsidRDefault="00190A09"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Pr>
          <w:rFonts w:ascii="Palatino Linotype" w:eastAsia="Palatino Linotype" w:hAnsi="Palatino Linotype" w:cs="Palatino Linotype"/>
          <w:color w:val="000000"/>
        </w:rPr>
        <w:t>La Comisionada p</w:t>
      </w:r>
      <w:r w:rsidR="00C073EB" w:rsidRPr="00190A09">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737EBF" w:rsidRPr="00190A09">
        <w:rPr>
          <w:rFonts w:ascii="Palatino Linotype" w:eastAsia="Palatino Linotype" w:hAnsi="Palatino Linotype" w:cs="Palatino Linotype"/>
          <w:b/>
          <w:color w:val="000000"/>
        </w:rPr>
        <w:t xml:space="preserve">doce de mayo </w:t>
      </w:r>
      <w:r w:rsidR="00C073EB" w:rsidRPr="00190A09">
        <w:rPr>
          <w:rFonts w:ascii="Palatino Linotype" w:eastAsia="Palatino Linotype" w:hAnsi="Palatino Linotype" w:cs="Palatino Linotype"/>
          <w:b/>
          <w:color w:val="000000"/>
        </w:rPr>
        <w:t>de dos mil veinticinco</w:t>
      </w:r>
      <w:r w:rsidR="00C073EB" w:rsidRPr="00190A09">
        <w:rPr>
          <w:rFonts w:ascii="Palatino Linotype" w:eastAsia="Palatino Linotype" w:hAnsi="Palatino Linotype" w:cs="Palatino Linotype"/>
          <w:color w:val="000000"/>
        </w:rPr>
        <w:t xml:space="preserve">, puso a disposición de las partes el expediente electrónico vía </w:t>
      </w:r>
      <w:r w:rsidR="00C073EB" w:rsidRPr="00190A09">
        <w:rPr>
          <w:rFonts w:ascii="Palatino Linotype" w:eastAsia="Palatino Linotype" w:hAnsi="Palatino Linotype" w:cs="Palatino Linotype"/>
          <w:b/>
          <w:color w:val="000000"/>
        </w:rPr>
        <w:t xml:space="preserve">SAIMEX </w:t>
      </w:r>
      <w:r w:rsidR="00C073EB" w:rsidRPr="00190A09">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00C073EB" w:rsidRPr="00190A09">
        <w:rPr>
          <w:rFonts w:ascii="Palatino Linotype" w:eastAsia="Palatino Linotype" w:hAnsi="Palatino Linotype" w:cs="Palatino Linotype"/>
          <w:b/>
          <w:color w:val="000000"/>
        </w:rPr>
        <w:t>SUJETO OBLIGADO</w:t>
      </w:r>
      <w:r w:rsidR="00C073EB" w:rsidRPr="00190A09">
        <w:rPr>
          <w:rFonts w:ascii="Palatino Linotype" w:eastAsia="Palatino Linotype" w:hAnsi="Palatino Linotype" w:cs="Palatino Linotype"/>
          <w:color w:val="000000"/>
        </w:rPr>
        <w:t xml:space="preserve"> presentará el Informe Justificado procedente.</w:t>
      </w:r>
    </w:p>
    <w:p w:rsidR="00C073EB" w:rsidRPr="00190A09" w:rsidRDefault="00C073EB" w:rsidP="00C073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De lo </w:t>
      </w:r>
      <w:r w:rsidRPr="00190A09">
        <w:rPr>
          <w:rFonts w:ascii="Palatino Linotype" w:eastAsia="Palatino Linotype" w:hAnsi="Palatino Linotype" w:cs="Palatino Linotype"/>
          <w:b/>
          <w:color w:val="000000"/>
        </w:rPr>
        <w:t>anterior</w:t>
      </w:r>
      <w:r w:rsidRPr="00190A09">
        <w:rPr>
          <w:rFonts w:ascii="Palatino Linotype" w:eastAsia="Palatino Linotype" w:hAnsi="Palatino Linotype" w:cs="Palatino Linotype"/>
          <w:color w:val="000000"/>
        </w:rPr>
        <w:t>, el</w:t>
      </w:r>
      <w:r w:rsidRPr="00190A09">
        <w:rPr>
          <w:rFonts w:ascii="Palatino Linotype" w:eastAsia="Palatino Linotype" w:hAnsi="Palatino Linotype" w:cs="Palatino Linotype"/>
          <w:b/>
          <w:color w:val="000000"/>
        </w:rPr>
        <w:t xml:space="preserve"> ocho de mayo de dos mil veinticinco, </w:t>
      </w: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 xml:space="preserve">SUJETO OBLIGADO  </w:t>
      </w:r>
      <w:r w:rsidRPr="00190A09">
        <w:rPr>
          <w:rFonts w:ascii="Palatino Linotype" w:eastAsia="Palatino Linotype" w:hAnsi="Palatino Linotype" w:cs="Palatino Linotype"/>
          <w:color w:val="000000"/>
        </w:rPr>
        <w:t xml:space="preserve">entrego </w:t>
      </w:r>
      <w:r w:rsidR="0018466C" w:rsidRPr="00190A09">
        <w:rPr>
          <w:rFonts w:ascii="Palatino Linotype" w:eastAsia="Palatino Linotype" w:hAnsi="Palatino Linotype" w:cs="Palatino Linotype"/>
          <w:color w:val="000000"/>
        </w:rPr>
        <w:t>once</w:t>
      </w:r>
      <w:r w:rsidR="00737EBF" w:rsidRPr="00190A09">
        <w:rPr>
          <w:rFonts w:ascii="Palatino Linotype" w:eastAsia="Palatino Linotype" w:hAnsi="Palatino Linotype" w:cs="Palatino Linotype"/>
          <w:color w:val="000000"/>
        </w:rPr>
        <w:t xml:space="preserve"> archivos electrónicos </w:t>
      </w:r>
      <w:r w:rsidRPr="00190A09">
        <w:rPr>
          <w:rFonts w:ascii="Palatino Linotype" w:eastAsia="Palatino Linotype" w:hAnsi="Palatino Linotype" w:cs="Palatino Linotype"/>
          <w:color w:val="000000"/>
        </w:rPr>
        <w:t>en formato pdf, cuyo contenido grosso modo es el siguiente.</w:t>
      </w:r>
      <w:r w:rsidRPr="00190A09">
        <w:rPr>
          <w:rFonts w:ascii="Palatino Linotype" w:eastAsia="Palatino Linotype" w:hAnsi="Palatino Linotype" w:cs="Palatino Linotype"/>
          <w:b/>
          <w:color w:val="000000"/>
        </w:rPr>
        <w:t xml:space="preserve">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Zona 4 5238.pdf: </w:t>
      </w:r>
      <w:r w:rsidRPr="00190A09">
        <w:rPr>
          <w:rFonts w:ascii="Palatino Linotype" w:hAnsi="Palatino Linotype"/>
          <w:i/>
        </w:rPr>
        <w:t xml:space="preserve">oficio de la Dirección  General de Movilidad Zona IV, mediante el cual ratifica su respuesta inicial.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Registro 5238.pdf: </w:t>
      </w:r>
      <w:r w:rsidRPr="00190A09">
        <w:rPr>
          <w:rFonts w:ascii="Palatino Linotype" w:hAnsi="Palatino Linotype"/>
          <w:i/>
        </w:rPr>
        <w:t xml:space="preserve">oficio del Director del Registro Estatal de Transporte Público, mediante el cual ratifica su respuesta.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Vialidad 5238 (1).pdf: </w:t>
      </w:r>
      <w:r w:rsidRPr="00190A09">
        <w:rPr>
          <w:rFonts w:ascii="Palatino Linotype" w:hAnsi="Palatino Linotype"/>
          <w:i/>
        </w:rPr>
        <w:t xml:space="preserve">oficio de la </w:t>
      </w:r>
      <w:r w:rsidRPr="00190A09">
        <w:rPr>
          <w:rFonts w:ascii="Palatino Linotype" w:hAnsi="Palatino Linotype"/>
          <w:b/>
          <w:i/>
        </w:rPr>
        <w:t xml:space="preserve">Dirección General de Vialidad, </w:t>
      </w:r>
      <w:r w:rsidRPr="00190A09">
        <w:rPr>
          <w:rFonts w:ascii="Palatino Linotype" w:hAnsi="Palatino Linotype"/>
          <w:i/>
        </w:rPr>
        <w:t xml:space="preserve">mediante el cual informa que pone en consulta directa la información, toda vez que sobre pasa las capacidades técnicas del sistema.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Zona 1 5238.pdf: </w:t>
      </w:r>
      <w:r w:rsidRPr="00190A09">
        <w:rPr>
          <w:rFonts w:ascii="Palatino Linotype" w:hAnsi="Palatino Linotype"/>
          <w:i/>
        </w:rPr>
        <w:t xml:space="preserve">oficio de la Dirección General de Movilidad Zona I, mediante el cual ratifica la respuesta inicial. </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Zona 2 5238.pdf: </w:t>
      </w:r>
      <w:r w:rsidRPr="00190A09">
        <w:rPr>
          <w:rFonts w:ascii="Palatino Linotype" w:hAnsi="Palatino Linotype"/>
          <w:i/>
        </w:rPr>
        <w:t>oficio de la Dirección General de Movilidad Zona II, mediante el cual ratifica la respuesta inicial.</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Informe Justificado 5238 (2).pdf: </w:t>
      </w:r>
      <w:r w:rsidRPr="00190A09">
        <w:rPr>
          <w:rFonts w:ascii="Palatino Linotype" w:hAnsi="Palatino Linotype"/>
          <w:i/>
        </w:rPr>
        <w:t>informe justificado que contiene un resumen de respuesta de las direcciones.</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lastRenderedPageBreak/>
        <w:t xml:space="preserve">Informe Justificado 5238.pdf: </w:t>
      </w:r>
      <w:r w:rsidRPr="00190A09">
        <w:rPr>
          <w:rFonts w:ascii="Palatino Linotype" w:hAnsi="Palatino Linotype"/>
          <w:i/>
        </w:rPr>
        <w:t>informe justificado que contiene un resumen de respuesta de las direcciones.</w:t>
      </w:r>
    </w:p>
    <w:p w:rsidR="00737EBF" w:rsidRPr="00190A09" w:rsidRDefault="00737EBF" w:rsidP="00737EBF">
      <w:pPr>
        <w:ind w:left="1134" w:right="900"/>
        <w:jc w:val="both"/>
        <w:rPr>
          <w:rFonts w:ascii="Palatino Linotype" w:hAnsi="Palatino Linotype"/>
          <w:i/>
        </w:rPr>
      </w:pPr>
      <w:r w:rsidRPr="00190A09">
        <w:rPr>
          <w:rFonts w:ascii="Palatino Linotype" w:hAnsi="Palatino Linotype"/>
          <w:b/>
          <w:i/>
        </w:rPr>
        <w:t xml:space="preserve">ACTA 64 SES ORD.pdf: </w:t>
      </w:r>
      <w:r w:rsidRPr="00190A09">
        <w:rPr>
          <w:rFonts w:ascii="Palatino Linotype" w:hAnsi="Palatino Linotype"/>
          <w:i/>
        </w:rPr>
        <w:t xml:space="preserve">Acta de la Sexagésima Cuarta Sesión Ordinaria, mediante la cual se aprueba el cambio de modalidad a consulta directa de la información que se encuentra en la Dirección General de Vialidad. </w:t>
      </w:r>
    </w:p>
    <w:p w:rsidR="0018466C" w:rsidRPr="00190A09" w:rsidRDefault="0018466C" w:rsidP="0018466C">
      <w:pPr>
        <w:spacing w:line="360" w:lineRule="auto"/>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 xml:space="preserve">Respuesta a Requerimiento.pdf: </w:t>
      </w:r>
      <w:r w:rsidRPr="00190A09">
        <w:rPr>
          <w:rFonts w:ascii="Palatino Linotype" w:eastAsia="Palatino Linotype" w:hAnsi="Palatino Linotype" w:cs="Palatino Linotype"/>
          <w:i/>
        </w:rPr>
        <w:t xml:space="preserve">documento que contiene el oficio de la Dirección General de Movilidad Zona IV, mediante el cual informa que con el fin de privilegiar y facilitar el acceso a la información pública; hará entrega de la información pública solicitada en los términos requeridos </w:t>
      </w:r>
      <w:r w:rsidRPr="00190A09">
        <w:rPr>
          <w:rFonts w:ascii="Palatino Linotype" w:eastAsia="Palatino Linotype" w:hAnsi="Palatino Linotype" w:cs="Palatino Linotype"/>
          <w:b/>
          <w:i/>
        </w:rPr>
        <w:t>a través del Sistema de Acceso a la Información Mexiquense.</w:t>
      </w:r>
    </w:p>
    <w:p w:rsidR="0018466C" w:rsidRPr="00190A09" w:rsidRDefault="0018466C" w:rsidP="0018466C">
      <w:pPr>
        <w:spacing w:line="360" w:lineRule="auto"/>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i/>
        </w:rPr>
        <w:t xml:space="preserve">El documento también contiene de la Dirección General de Vialidad, mediante el cual informa que la información consta de seis mil ciento treinta y tres hojas y 3.68gb, </w:t>
      </w:r>
      <w:r w:rsidRPr="00190A09">
        <w:rPr>
          <w:rFonts w:ascii="Palatino Linotype" w:eastAsia="Palatino Linotype" w:hAnsi="Palatino Linotype" w:cs="Palatino Linotype"/>
          <w:b/>
          <w:i/>
        </w:rPr>
        <w:t xml:space="preserve">de lo cual se anexa el registro del reporte de incidencia de la Dirección General de Vialidad. </w:t>
      </w:r>
    </w:p>
    <w:p w:rsidR="0018466C" w:rsidRPr="00190A09" w:rsidRDefault="0018466C" w:rsidP="0018466C">
      <w:pPr>
        <w:ind w:left="1134" w:right="900"/>
        <w:jc w:val="both"/>
        <w:rPr>
          <w:rFonts w:ascii="Palatino Linotype" w:hAnsi="Palatino Linotype"/>
          <w:i/>
        </w:rPr>
      </w:pPr>
      <w:r w:rsidRPr="00190A09">
        <w:rPr>
          <w:rFonts w:ascii="Palatino Linotype" w:eastAsia="Palatino Linotype" w:hAnsi="Palatino Linotype" w:cs="Palatino Linotype"/>
          <w:b/>
          <w:i/>
        </w:rPr>
        <w:t xml:space="preserve">Acta 64 Ext 2025.pdf: </w:t>
      </w:r>
      <w:r w:rsidRPr="00190A09">
        <w:rPr>
          <w:rFonts w:ascii="Palatino Linotype" w:hAnsi="Palatino Linotype"/>
          <w:i/>
        </w:rPr>
        <w:t xml:space="preserve">Acta de la Sexagésima Cuarta Sesión Ordinaria, mediante la cual se aprueba el cambio de modalidad a consulta directa de la información que se encuentra en la Dirección General de Vialidad. </w:t>
      </w:r>
    </w:p>
    <w:p w:rsidR="0018466C" w:rsidRPr="00190A09" w:rsidRDefault="0018466C" w:rsidP="00737EBF">
      <w:pPr>
        <w:ind w:left="1134" w:right="900"/>
        <w:jc w:val="both"/>
        <w:rPr>
          <w:rFonts w:ascii="Palatino Linotype" w:hAnsi="Palatino Linotype"/>
          <w:i/>
        </w:rPr>
      </w:pPr>
    </w:p>
    <w:p w:rsidR="00C073EB" w:rsidRPr="00190A09" w:rsidRDefault="00C073EB" w:rsidP="00C073EB">
      <w:pPr>
        <w:pBdr>
          <w:top w:val="nil"/>
          <w:left w:val="nil"/>
          <w:bottom w:val="nil"/>
          <w:right w:val="nil"/>
          <w:between w:val="nil"/>
        </w:pBdr>
        <w:ind w:left="1134"/>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bookmarkStart w:id="5" w:name="_heading=h.l3xxakc7t6i0" w:colFirst="0" w:colLast="0"/>
      <w:bookmarkEnd w:id="5"/>
      <w:r w:rsidRPr="00190A09">
        <w:rPr>
          <w:rFonts w:ascii="Palatino Linotype" w:eastAsia="Palatino Linotype" w:hAnsi="Palatino Linotype" w:cs="Palatino Linotype"/>
          <w:color w:val="000000"/>
        </w:rPr>
        <w:t xml:space="preserve">El </w:t>
      </w:r>
      <w:r w:rsidR="00737EBF" w:rsidRPr="00190A09">
        <w:rPr>
          <w:rFonts w:ascii="Palatino Linotype" w:eastAsia="Palatino Linotype" w:hAnsi="Palatino Linotype" w:cs="Palatino Linotype"/>
          <w:b/>
          <w:color w:val="000000"/>
        </w:rPr>
        <w:t>diez de febrero</w:t>
      </w:r>
      <w:r w:rsidRPr="00190A09">
        <w:rPr>
          <w:rFonts w:ascii="Palatino Linotype" w:eastAsia="Palatino Linotype" w:hAnsi="Palatino Linotype" w:cs="Palatino Linotype"/>
          <w:b/>
          <w:color w:val="000000"/>
        </w:rPr>
        <w:t xml:space="preserve"> de dos mil veinticinco</w:t>
      </w:r>
      <w:r w:rsidRPr="00190A09">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w:t>
      </w:r>
      <w:r w:rsidR="00190A09">
        <w:rPr>
          <w:rFonts w:ascii="Palatino Linotype" w:eastAsia="Palatino Linotype" w:hAnsi="Palatino Linotype" w:cs="Palatino Linotype"/>
          <w:color w:val="000000"/>
        </w:rPr>
        <w:t>l Estado de México y Municipios.</w:t>
      </w:r>
      <w:r w:rsidRPr="00190A09">
        <w:rPr>
          <w:rFonts w:ascii="Palatino Linotype" w:eastAsia="Palatino Linotype" w:hAnsi="Palatino Linotype" w:cs="Palatino Linotype"/>
          <w:color w:val="000000"/>
        </w:rPr>
        <w:t xml:space="preserve"> </w:t>
      </w:r>
    </w:p>
    <w:p w:rsidR="00C073EB" w:rsidRPr="00190A09" w:rsidRDefault="00C073EB" w:rsidP="00C073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073EB" w:rsidRPr="00190A09" w:rsidRDefault="00190A09"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Finalmente, la Comisionada p</w:t>
      </w:r>
      <w:r w:rsidR="00C073EB" w:rsidRPr="00190A09">
        <w:rPr>
          <w:rFonts w:ascii="Palatino Linotype" w:eastAsia="Palatino Linotype" w:hAnsi="Palatino Linotype" w:cs="Palatino Linotype"/>
          <w:color w:val="000000"/>
        </w:rPr>
        <w:t>onente mediante acuerdo de fecha</w:t>
      </w:r>
      <w:r w:rsidR="00C073EB" w:rsidRPr="00190A09">
        <w:rPr>
          <w:rFonts w:ascii="Palatino Linotype" w:eastAsia="Palatino Linotype" w:hAnsi="Palatino Linotype" w:cs="Palatino Linotype"/>
          <w:b/>
          <w:color w:val="000000"/>
        </w:rPr>
        <w:t xml:space="preserve"> </w:t>
      </w:r>
      <w:r w:rsidR="00737EBF" w:rsidRPr="00190A09">
        <w:rPr>
          <w:rFonts w:ascii="Palatino Linotype" w:eastAsia="Palatino Linotype" w:hAnsi="Palatino Linotype" w:cs="Palatino Linotype"/>
          <w:b/>
          <w:color w:val="000000"/>
        </w:rPr>
        <w:t xml:space="preserve">dieciséis de febrero </w:t>
      </w:r>
      <w:r w:rsidR="00C073EB" w:rsidRPr="00190A09">
        <w:rPr>
          <w:rFonts w:ascii="Palatino Linotype" w:eastAsia="Palatino Linotype" w:hAnsi="Palatino Linotype" w:cs="Palatino Linotype"/>
          <w:b/>
          <w:color w:val="000000"/>
        </w:rPr>
        <w:t>de dos mil veinticinco</w:t>
      </w:r>
      <w:r w:rsidR="00C073EB" w:rsidRPr="00190A09">
        <w:rPr>
          <w:rFonts w:ascii="Palatino Linotype" w:eastAsia="Palatino Linotype" w:hAnsi="Palatino Linotype" w:cs="Palatino Linotype"/>
          <w:color w:val="000000"/>
        </w:rPr>
        <w:t>, decretó el cierre de instrucción de los expedientes, por lo que no habiendo más que hacer constar, y</w:t>
      </w:r>
      <w:r>
        <w:rPr>
          <w:rFonts w:ascii="Palatino Linotype" w:eastAsia="Palatino Linotype" w:hAnsi="Palatino Linotype" w:cs="Palatino Linotype"/>
          <w:color w:val="000000"/>
        </w:rPr>
        <w:t xml:space="preserve"> -------------------------------------------------------------------------</w:t>
      </w:r>
    </w:p>
    <w:p w:rsidR="00C073EB" w:rsidRPr="00190A09" w:rsidRDefault="00C073EB" w:rsidP="00C073EB">
      <w:pPr>
        <w:rPr>
          <w:rFonts w:ascii="Palatino Linotype" w:eastAsia="Palatino Linotype" w:hAnsi="Palatino Linotype" w:cs="Palatino Linotype"/>
          <w:b/>
          <w:color w:val="000000"/>
        </w:rPr>
      </w:pPr>
    </w:p>
    <w:p w:rsidR="00C073EB" w:rsidRPr="00190A09" w:rsidRDefault="00C073EB" w:rsidP="00C073E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190A09">
        <w:rPr>
          <w:rFonts w:ascii="Palatino Linotype" w:eastAsia="Palatino Linotype" w:hAnsi="Palatino Linotype" w:cs="Palatino Linotype"/>
          <w:b/>
          <w:color w:val="000000"/>
        </w:rPr>
        <w:lastRenderedPageBreak/>
        <w:t>C</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O</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N</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S</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I</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D</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E</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R</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A</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N</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D</w:t>
      </w:r>
      <w:r w:rsid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b/>
          <w:color w:val="000000"/>
        </w:rPr>
        <w:t>O</w:t>
      </w:r>
      <w:r w:rsidR="00190A09">
        <w:rPr>
          <w:rFonts w:ascii="Palatino Linotype" w:eastAsia="Palatino Linotype" w:hAnsi="Palatino Linotype" w:cs="Palatino Linotype"/>
          <w:b/>
          <w:color w:val="000000"/>
        </w:rPr>
        <w:t xml:space="preserve"> </w:t>
      </w:r>
    </w:p>
    <w:p w:rsidR="00C073EB" w:rsidRPr="00190A09" w:rsidRDefault="00C073EB" w:rsidP="00C073E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rsidR="00C073EB" w:rsidRPr="00190A09" w:rsidRDefault="00C073EB" w:rsidP="00C073EB">
      <w:pPr>
        <w:pStyle w:val="Ttulo2"/>
        <w:spacing w:before="0" w:line="360" w:lineRule="auto"/>
        <w:rPr>
          <w:rFonts w:ascii="Palatino Linotype" w:eastAsia="Palatino Linotype" w:hAnsi="Palatino Linotype" w:cs="Palatino Linotype"/>
          <w:b/>
          <w:color w:val="000000"/>
          <w:sz w:val="24"/>
          <w:szCs w:val="24"/>
        </w:rPr>
      </w:pPr>
      <w:bookmarkStart w:id="6" w:name="_heading=h.tgyb9poxpo9e" w:colFirst="0" w:colLast="0"/>
      <w:bookmarkEnd w:id="6"/>
      <w:r w:rsidRPr="00190A09">
        <w:rPr>
          <w:rFonts w:ascii="Palatino Linotype" w:eastAsia="Palatino Linotype" w:hAnsi="Palatino Linotype" w:cs="Palatino Linotype"/>
          <w:b/>
          <w:color w:val="000000"/>
          <w:sz w:val="24"/>
          <w:szCs w:val="24"/>
        </w:rPr>
        <w:t>PRIMERO. De la competencia</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color w:val="000000"/>
        </w:rPr>
      </w:pPr>
      <w:bookmarkStart w:id="7" w:name="_heading=h.8vqc9jp1uzo6" w:colFirst="0" w:colLast="0"/>
      <w:bookmarkEnd w:id="7"/>
      <w:r w:rsidRPr="00190A09">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w:t>
      </w:r>
      <w:r w:rsidRPr="00190A09">
        <w:rPr>
          <w:rFonts w:ascii="Palatino Linotype" w:eastAsia="Palatino Linotype" w:hAnsi="Palatino Linotype" w:cs="Palatino Linotype"/>
          <w:b/>
          <w:color w:val="000000"/>
        </w:rPr>
        <w:t>.</w:t>
      </w:r>
    </w:p>
    <w:p w:rsidR="00C073EB" w:rsidRPr="00190A09" w:rsidRDefault="00C073EB" w:rsidP="00C073E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C073EB" w:rsidRPr="00190A09" w:rsidRDefault="00C073EB" w:rsidP="00C073EB">
      <w:pPr>
        <w:spacing w:line="360" w:lineRule="auto"/>
        <w:rPr>
          <w:rFonts w:ascii="Palatino Linotype" w:eastAsia="Palatino Linotype" w:hAnsi="Palatino Linotype" w:cs="Palatino Linotype"/>
          <w:b/>
          <w:color w:val="000000"/>
        </w:rPr>
      </w:pPr>
      <w:r w:rsidRPr="00190A09">
        <w:rPr>
          <w:rFonts w:ascii="Palatino Linotype" w:eastAsia="Palatino Linotype" w:hAnsi="Palatino Linotype" w:cs="Palatino Linotype"/>
          <w:b/>
          <w:color w:val="000000"/>
        </w:rPr>
        <w:t>SEGUNDO. De la oportunidad y procedencia.</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El medio de impugnación fue presentado a través del </w:t>
      </w:r>
      <w:r w:rsidRPr="00190A09">
        <w:rPr>
          <w:rFonts w:ascii="Palatino Linotype" w:eastAsia="Palatino Linotype" w:hAnsi="Palatino Linotype" w:cs="Palatino Linotype"/>
          <w:b/>
          <w:color w:val="000000"/>
        </w:rPr>
        <w:t>SAIMEX,</w:t>
      </w:r>
      <w:r w:rsidRPr="00190A09">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190A09">
        <w:rPr>
          <w:rFonts w:ascii="Palatino Linotype" w:eastAsia="Palatino Linotype" w:hAnsi="Palatino Linotype" w:cs="Palatino Linotype"/>
          <w:b/>
          <w:color w:val="000000"/>
        </w:rPr>
        <w:t>SUJETO OBLIGADO</w:t>
      </w:r>
      <w:r w:rsidRPr="00190A09">
        <w:rPr>
          <w:rFonts w:ascii="Palatino Linotype" w:eastAsia="Palatino Linotype" w:hAnsi="Palatino Linotype" w:cs="Palatino Linotype"/>
          <w:color w:val="000000"/>
        </w:rPr>
        <w:t xml:space="preserve"> entregó su respuesta el </w:t>
      </w:r>
      <w:r w:rsidRPr="00190A09">
        <w:rPr>
          <w:rFonts w:ascii="Palatino Linotype" w:eastAsia="Palatino Linotype" w:hAnsi="Palatino Linotype" w:cs="Palatino Linotype"/>
          <w:b/>
          <w:color w:val="000000"/>
        </w:rPr>
        <w:t>ocho de abril de dos mil veinticinco</w:t>
      </w:r>
      <w:r w:rsidRPr="00190A09">
        <w:rPr>
          <w:rFonts w:ascii="Palatino Linotype" w:eastAsia="Palatino Linotype" w:hAnsi="Palatino Linotype" w:cs="Palatino Linotype"/>
          <w:color w:val="000000"/>
        </w:rPr>
        <w:t xml:space="preserve">, de tal forma que el plazo para interponer el recurso de revisión transcurrió del </w:t>
      </w:r>
      <w:r w:rsidRPr="00190A09">
        <w:rPr>
          <w:rFonts w:ascii="Palatino Linotype" w:eastAsia="Palatino Linotype" w:hAnsi="Palatino Linotype" w:cs="Palatino Linotype"/>
          <w:b/>
          <w:color w:val="000000"/>
        </w:rPr>
        <w:t>nueve de abril al ocho de mayo de dos mil veinticinco</w:t>
      </w:r>
      <w:r w:rsidRPr="00190A09">
        <w:rPr>
          <w:rFonts w:ascii="Palatino Linotype" w:eastAsia="Palatino Linotype" w:hAnsi="Palatino Linotype" w:cs="Palatino Linotype"/>
          <w:color w:val="000000"/>
        </w:rPr>
        <w:t xml:space="preserve">; en consecuencia, el ahora </w:t>
      </w:r>
      <w:r w:rsidRPr="00190A09">
        <w:rPr>
          <w:rFonts w:ascii="Palatino Linotype" w:eastAsia="Palatino Linotype" w:hAnsi="Palatino Linotype" w:cs="Palatino Linotype"/>
          <w:b/>
          <w:color w:val="000000"/>
        </w:rPr>
        <w:t>RECURRENTE</w:t>
      </w:r>
      <w:r w:rsidRPr="00190A09">
        <w:rPr>
          <w:rFonts w:ascii="Palatino Linotype" w:eastAsia="Palatino Linotype" w:hAnsi="Palatino Linotype" w:cs="Palatino Linotype"/>
          <w:color w:val="000000"/>
        </w:rPr>
        <w:t xml:space="preserve"> presentó su inconformidad el día </w:t>
      </w:r>
      <w:r w:rsidRPr="00190A09">
        <w:rPr>
          <w:rFonts w:ascii="Palatino Linotype" w:eastAsia="Palatino Linotype" w:hAnsi="Palatino Linotype" w:cs="Palatino Linotype"/>
          <w:b/>
          <w:color w:val="000000"/>
        </w:rPr>
        <w:t>veintitrés de abril de dos mil veinticinco</w:t>
      </w:r>
      <w:r w:rsidRPr="00190A09">
        <w:rPr>
          <w:rFonts w:ascii="Palatino Linotype" w:eastAsia="Palatino Linotype" w:hAnsi="Palatino Linotype" w:cs="Palatino Linotype"/>
          <w:color w:val="000000"/>
        </w:rPr>
        <w:t>; por lo que se estima que la inconformidad se presentó dentro del lapso legalmente establecido para tal efecto.</w:t>
      </w:r>
    </w:p>
    <w:p w:rsidR="00C073EB" w:rsidRPr="00190A09" w:rsidRDefault="00C073EB" w:rsidP="00C073EB">
      <w:pPr>
        <w:pBdr>
          <w:top w:val="nil"/>
          <w:left w:val="nil"/>
          <w:bottom w:val="nil"/>
          <w:right w:val="nil"/>
          <w:between w:val="nil"/>
        </w:pBdr>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073EB" w:rsidRPr="00190A09" w:rsidRDefault="00C073EB" w:rsidP="00C073EB">
      <w:pPr>
        <w:pBdr>
          <w:top w:val="nil"/>
          <w:left w:val="nil"/>
          <w:bottom w:val="nil"/>
          <w:right w:val="nil"/>
          <w:between w:val="nil"/>
        </w:pBdr>
        <w:spacing w:line="360" w:lineRule="auto"/>
        <w:rPr>
          <w:rFonts w:ascii="Palatino Linotype" w:eastAsia="Palatino Linotype" w:hAnsi="Palatino Linotype" w:cs="Palatino Linotype"/>
          <w:color w:val="000000"/>
        </w:rPr>
      </w:pPr>
    </w:p>
    <w:p w:rsidR="00C073EB" w:rsidRPr="00190A09" w:rsidRDefault="00C073EB" w:rsidP="00C073EB">
      <w:pPr>
        <w:pStyle w:val="Ttulo1"/>
        <w:spacing w:before="0" w:line="360" w:lineRule="auto"/>
        <w:rPr>
          <w:rFonts w:ascii="Palatino Linotype" w:eastAsia="Palatino Linotype" w:hAnsi="Palatino Linotype" w:cs="Palatino Linotype"/>
          <w:b/>
          <w:color w:val="000000"/>
          <w:sz w:val="24"/>
          <w:szCs w:val="24"/>
        </w:rPr>
      </w:pPr>
      <w:bookmarkStart w:id="8" w:name="_heading=h.1ymc2k5vj4cs" w:colFirst="0" w:colLast="0"/>
      <w:bookmarkEnd w:id="8"/>
      <w:r w:rsidRPr="00190A09">
        <w:rPr>
          <w:rFonts w:ascii="Palatino Linotype" w:eastAsia="Palatino Linotype" w:hAnsi="Palatino Linotype" w:cs="Palatino Linotype"/>
          <w:b/>
          <w:color w:val="000000"/>
          <w:sz w:val="24"/>
          <w:szCs w:val="24"/>
        </w:rPr>
        <w:t xml:space="preserve">TERCERO. Del planteamiento de la </w:t>
      </w:r>
      <w:r w:rsidRPr="00190A09">
        <w:rPr>
          <w:rFonts w:ascii="Palatino Linotype" w:eastAsia="Palatino Linotype" w:hAnsi="Palatino Linotype" w:cs="Palatino Linotype"/>
          <w:b/>
          <w:i/>
          <w:color w:val="000000"/>
          <w:sz w:val="24"/>
          <w:szCs w:val="24"/>
        </w:rPr>
        <w:t>Litis</w:t>
      </w:r>
      <w:r w:rsidRPr="00190A09">
        <w:rPr>
          <w:rFonts w:ascii="Palatino Linotype" w:eastAsia="Palatino Linotype" w:hAnsi="Palatino Linotype" w:cs="Palatino Linotype"/>
          <w:b/>
          <w:color w:val="000000"/>
          <w:sz w:val="24"/>
          <w:szCs w:val="24"/>
        </w:rPr>
        <w:t>.</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bookmarkStart w:id="9" w:name="_heading=h.mke4xnbuv2yk" w:colFirst="0" w:colLast="0"/>
      <w:bookmarkEnd w:id="9"/>
      <w:r w:rsidRPr="00190A09">
        <w:rPr>
          <w:rFonts w:ascii="Palatino Linotype" w:eastAsia="Palatino Linotype" w:hAnsi="Palatino Linotype" w:cs="Palatino Linotype"/>
          <w:color w:val="000000"/>
        </w:rPr>
        <w:t>Se solicitó tener acceso, a la información que a continuación se desagrega:</w:t>
      </w:r>
    </w:p>
    <w:p w:rsidR="00737EBF" w:rsidRPr="00190A09" w:rsidRDefault="00737EBF" w:rsidP="00190A09">
      <w:pPr>
        <w:pStyle w:val="Prrafodelista"/>
        <w:numPr>
          <w:ilvl w:val="3"/>
          <w:numId w:val="1"/>
        </w:numPr>
        <w:spacing w:line="360" w:lineRule="auto"/>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oficios firmados por todos los directores generales de marzo 2024 a febrero 2025</w:t>
      </w:r>
    </w:p>
    <w:p w:rsidR="00190A09" w:rsidRPr="00190A09" w:rsidRDefault="00190A09" w:rsidP="00190A09">
      <w:pPr>
        <w:pStyle w:val="Prrafodelista"/>
        <w:spacing w:line="360" w:lineRule="auto"/>
        <w:ind w:left="2880" w:right="900"/>
        <w:jc w:val="both"/>
        <w:rPr>
          <w:rFonts w:ascii="Palatino Linotype" w:eastAsia="Palatino Linotype" w:hAnsi="Palatino Linotype" w:cs="Palatino Linotype"/>
          <w:b/>
          <w:i/>
        </w:rPr>
      </w:pPr>
    </w:p>
    <w:p w:rsidR="00C073EB" w:rsidRPr="00190A09" w:rsidRDefault="00C073EB" w:rsidP="00737EB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rPr>
        <w:t xml:space="preserve">En respuesta,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entrego los archivos </w:t>
      </w:r>
      <w:r w:rsidRPr="00190A09">
        <w:rPr>
          <w:rFonts w:ascii="Palatino Linotype" w:eastAsia="Palatino Linotype" w:hAnsi="Palatino Linotype" w:cs="Palatino Linotype"/>
          <w:color w:val="000000"/>
        </w:rPr>
        <w:t>electrónicos</w:t>
      </w:r>
      <w:r w:rsidRPr="00190A09">
        <w:rPr>
          <w:rFonts w:ascii="Palatino Linotype" w:eastAsia="Palatino Linotype" w:hAnsi="Palatino Linotype" w:cs="Palatino Linotype"/>
        </w:rPr>
        <w:t xml:space="preserve"> que fueron </w:t>
      </w:r>
      <w:r w:rsidR="00737EBF" w:rsidRPr="00190A09">
        <w:rPr>
          <w:rFonts w:ascii="Palatino Linotype" w:eastAsia="Palatino Linotype" w:hAnsi="Palatino Linotype" w:cs="Palatino Linotype"/>
        </w:rPr>
        <w:t>descritos en el párrafo cuatro</w:t>
      </w:r>
      <w:r w:rsidRPr="00190A09">
        <w:rPr>
          <w:rFonts w:ascii="Palatino Linotype" w:eastAsia="Palatino Linotype" w:hAnsi="Palatino Linotype" w:cs="Palatino Linotype"/>
        </w:rPr>
        <w:t xml:space="preserve"> de la presente resolución.</w:t>
      </w:r>
    </w:p>
    <w:p w:rsidR="00C073EB" w:rsidRPr="00190A09" w:rsidRDefault="00C073EB" w:rsidP="00C073EB">
      <w:pPr>
        <w:tabs>
          <w:tab w:val="left" w:pos="933"/>
        </w:tabs>
        <w:spacing w:line="360" w:lineRule="auto"/>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En dichas condiciones, la </w:t>
      </w:r>
      <w:r w:rsidRPr="00190A09">
        <w:rPr>
          <w:rFonts w:ascii="Palatino Linotype" w:eastAsia="Palatino Linotype" w:hAnsi="Palatino Linotype" w:cs="Palatino Linotype"/>
          <w:i/>
        </w:rPr>
        <w:t>Litis</w:t>
      </w:r>
      <w:r w:rsidRPr="00190A09">
        <w:rPr>
          <w:rFonts w:ascii="Palatino Linotype" w:eastAsia="Palatino Linotype" w:hAnsi="Palatino Linotype" w:cs="Palatino Linotype"/>
        </w:rPr>
        <w:t xml:space="preserve"> a resolver en este recurso se circunscribe a determinar si se actualiza la causal de procedencia prevista en el artículo 179, </w:t>
      </w:r>
      <w:r w:rsidR="00737EBF" w:rsidRPr="00190A09">
        <w:rPr>
          <w:rFonts w:ascii="Palatino Linotype" w:eastAsia="Palatino Linotype" w:hAnsi="Palatino Linotype" w:cs="Palatino Linotype"/>
          <w:b/>
        </w:rPr>
        <w:t>fracciones II y</w:t>
      </w:r>
      <w:r w:rsidRPr="00190A09">
        <w:rPr>
          <w:rFonts w:ascii="Palatino Linotype" w:eastAsia="Palatino Linotype" w:hAnsi="Palatino Linotype" w:cs="Palatino Linotype"/>
          <w:b/>
        </w:rPr>
        <w:t xml:space="preserve"> V </w:t>
      </w:r>
      <w:r w:rsidRPr="00190A09">
        <w:rPr>
          <w:rFonts w:ascii="Palatino Linotype" w:eastAsia="Palatino Linotype" w:hAnsi="Palatino Linotype" w:cs="Palatino Linotype"/>
        </w:rPr>
        <w:t xml:space="preserve">de la </w:t>
      </w:r>
      <w:r w:rsidRPr="00190A09">
        <w:rPr>
          <w:rFonts w:ascii="Palatino Linotype" w:eastAsia="Palatino Linotype" w:hAnsi="Palatino Linotype" w:cs="Palatino Linotype"/>
          <w:b/>
        </w:rPr>
        <w:t xml:space="preserve">Ley de Transparencia y Acceso a la Información Pública del Estado de </w:t>
      </w:r>
      <w:r w:rsidRPr="00190A09">
        <w:rPr>
          <w:rFonts w:ascii="Palatino Linotype" w:eastAsia="Palatino Linotype" w:hAnsi="Palatino Linotype" w:cs="Palatino Linotype"/>
        </w:rPr>
        <w:t>México</w:t>
      </w:r>
      <w:r w:rsidRPr="00190A09">
        <w:rPr>
          <w:rFonts w:ascii="Palatino Linotype" w:eastAsia="Palatino Linotype" w:hAnsi="Palatino Linotype" w:cs="Palatino Linotype"/>
          <w:b/>
        </w:rPr>
        <w:t xml:space="preserve"> y </w:t>
      </w:r>
      <w:r w:rsidRPr="00190A09">
        <w:rPr>
          <w:rFonts w:ascii="Palatino Linotype" w:eastAsia="Palatino Linotype" w:hAnsi="Palatino Linotype" w:cs="Palatino Linotype"/>
        </w:rPr>
        <w:t xml:space="preserve">Municipios; </w:t>
      </w:r>
      <w:r w:rsidR="00737EBF" w:rsidRPr="00190A09">
        <w:rPr>
          <w:rFonts w:ascii="Palatino Linotype" w:eastAsia="Palatino Linotype" w:hAnsi="Palatino Linotype" w:cs="Palatino Linotype"/>
          <w:color w:val="000000"/>
        </w:rPr>
        <w:t>fracciones</w:t>
      </w:r>
      <w:r w:rsidRPr="00190A09">
        <w:rPr>
          <w:rFonts w:ascii="Palatino Linotype" w:eastAsia="Palatino Linotype" w:hAnsi="Palatino Linotype" w:cs="Palatino Linotype"/>
          <w:color w:val="000000"/>
        </w:rPr>
        <w:t xml:space="preserve"> que determina</w:t>
      </w:r>
      <w:r w:rsidR="00737EBF" w:rsidRPr="00190A09">
        <w:rPr>
          <w:rFonts w:ascii="Palatino Linotype" w:eastAsia="Palatino Linotype" w:hAnsi="Palatino Linotype" w:cs="Palatino Linotype"/>
          <w:color w:val="000000"/>
        </w:rPr>
        <w:t>n</w:t>
      </w:r>
      <w:r w:rsidRPr="00190A09">
        <w:rPr>
          <w:rFonts w:ascii="Palatino Linotype" w:eastAsia="Palatino Linotype" w:hAnsi="Palatino Linotype" w:cs="Palatino Linotype"/>
          <w:color w:val="000000"/>
        </w:rPr>
        <w:t xml:space="preserve"> la</w:t>
      </w:r>
      <w:r w:rsidR="00737EBF" w:rsidRPr="00190A09">
        <w:rPr>
          <w:rFonts w:ascii="Palatino Linotype" w:eastAsia="Palatino Linotype" w:hAnsi="Palatino Linotype" w:cs="Palatino Linotype"/>
          <w:color w:val="000000"/>
        </w:rPr>
        <w:t>s</w:t>
      </w:r>
      <w:r w:rsidRPr="00190A09">
        <w:rPr>
          <w:rFonts w:ascii="Palatino Linotype" w:eastAsia="Palatino Linotype" w:hAnsi="Palatino Linotype" w:cs="Palatino Linotype"/>
          <w:color w:val="000000"/>
        </w:rPr>
        <w:t xml:space="preserve"> hipótesis jurídica</w:t>
      </w:r>
      <w:r w:rsidR="00737EBF" w:rsidRPr="00190A09">
        <w:rPr>
          <w:rFonts w:ascii="Palatino Linotype" w:eastAsia="Palatino Linotype" w:hAnsi="Palatino Linotype" w:cs="Palatino Linotype"/>
          <w:color w:val="000000"/>
        </w:rPr>
        <w:t>s</w:t>
      </w:r>
      <w:r w:rsidRPr="00190A09">
        <w:rPr>
          <w:rFonts w:ascii="Palatino Linotype" w:eastAsia="Palatino Linotype" w:hAnsi="Palatino Linotype" w:cs="Palatino Linotype"/>
          <w:color w:val="000000"/>
        </w:rPr>
        <w:t xml:space="preserve"> relativa</w:t>
      </w:r>
      <w:r w:rsidR="00737EBF" w:rsidRPr="00190A09">
        <w:rPr>
          <w:rFonts w:ascii="Palatino Linotype" w:eastAsia="Palatino Linotype" w:hAnsi="Palatino Linotype" w:cs="Palatino Linotype"/>
          <w:color w:val="000000"/>
        </w:rPr>
        <w:t>s</w:t>
      </w:r>
      <w:r w:rsidRPr="00190A09">
        <w:rPr>
          <w:rFonts w:ascii="Palatino Linotype" w:eastAsia="Palatino Linotype" w:hAnsi="Palatino Linotype" w:cs="Palatino Linotype"/>
          <w:color w:val="000000"/>
        </w:rPr>
        <w:t xml:space="preserve"> a la</w:t>
      </w:r>
      <w:r w:rsidR="00737EBF" w:rsidRPr="00190A09">
        <w:rPr>
          <w:rFonts w:ascii="Palatino Linotype" w:eastAsia="Palatino Linotype" w:hAnsi="Palatino Linotype" w:cs="Palatino Linotype"/>
          <w:color w:val="000000"/>
        </w:rPr>
        <w:t xml:space="preserve"> clasificación de la información y la</w:t>
      </w:r>
      <w:r w:rsidRPr="00190A09">
        <w:rPr>
          <w:rFonts w:ascii="Palatino Linotype" w:eastAsia="Palatino Linotype" w:hAnsi="Palatino Linotype" w:cs="Palatino Linotype"/>
          <w:color w:val="000000"/>
        </w:rPr>
        <w:t xml:space="preserve"> entrega de información incompleta; </w:t>
      </w:r>
      <w:r w:rsidRPr="00190A09">
        <w:rPr>
          <w:rFonts w:ascii="Palatino Linotype" w:eastAsia="Palatino Linotype" w:hAnsi="Palatino Linotype" w:cs="Palatino Linotype"/>
        </w:rPr>
        <w:t>contexto</w:t>
      </w:r>
      <w:r w:rsidR="00737EBF" w:rsidRPr="00190A09">
        <w:rPr>
          <w:rFonts w:ascii="Palatino Linotype" w:eastAsia="Palatino Linotype" w:hAnsi="Palatino Linotype" w:cs="Palatino Linotype"/>
        </w:rPr>
        <w:t>s</w:t>
      </w:r>
      <w:r w:rsidRPr="00190A09">
        <w:rPr>
          <w:rFonts w:ascii="Palatino Linotype" w:eastAsia="Palatino Linotype" w:hAnsi="Palatino Linotype" w:cs="Palatino Linotype"/>
        </w:rPr>
        <w:t xml:space="preserve"> de</w:t>
      </w:r>
      <w:r w:rsidR="00737EBF" w:rsidRPr="00190A09">
        <w:rPr>
          <w:rFonts w:ascii="Palatino Linotype" w:eastAsia="Palatino Linotype" w:hAnsi="Palatino Linotype" w:cs="Palatino Linotype"/>
        </w:rPr>
        <w:t xml:space="preserve"> </w:t>
      </w:r>
      <w:r w:rsidRPr="00190A09">
        <w:rPr>
          <w:rFonts w:ascii="Palatino Linotype" w:eastAsia="Palatino Linotype" w:hAnsi="Palatino Linotype" w:cs="Palatino Linotype"/>
        </w:rPr>
        <w:t>l</w:t>
      </w:r>
      <w:r w:rsidR="00737EBF" w:rsidRPr="00190A09">
        <w:rPr>
          <w:rFonts w:ascii="Palatino Linotype" w:eastAsia="Palatino Linotype" w:hAnsi="Palatino Linotype" w:cs="Palatino Linotype"/>
        </w:rPr>
        <w:t>os</w:t>
      </w:r>
      <w:r w:rsidRPr="00190A09">
        <w:rPr>
          <w:rFonts w:ascii="Palatino Linotype" w:eastAsia="Palatino Linotype" w:hAnsi="Palatino Linotype" w:cs="Palatino Linotype"/>
        </w:rPr>
        <w:t xml:space="preserve"> cual</w:t>
      </w:r>
      <w:r w:rsidR="00737EBF" w:rsidRPr="00190A09">
        <w:rPr>
          <w:rFonts w:ascii="Palatino Linotype" w:eastAsia="Palatino Linotype" w:hAnsi="Palatino Linotype" w:cs="Palatino Linotype"/>
        </w:rPr>
        <w:t>es</w:t>
      </w:r>
      <w:r w:rsidRPr="00190A09">
        <w:rPr>
          <w:rFonts w:ascii="Palatino Linotype" w:eastAsia="Palatino Linotype" w:hAnsi="Palatino Linotype" w:cs="Palatino Linotype"/>
        </w:rPr>
        <w:t xml:space="preserve"> se dolió </w:t>
      </w:r>
      <w:r w:rsidRPr="00190A09">
        <w:rPr>
          <w:rFonts w:ascii="Palatino Linotype" w:eastAsia="Palatino Linotype" w:hAnsi="Palatino Linotype" w:cs="Palatino Linotype"/>
          <w:b/>
        </w:rPr>
        <w:t xml:space="preserve">EL RECURRENTE </w:t>
      </w:r>
      <w:r w:rsidRPr="00190A09">
        <w:rPr>
          <w:rFonts w:ascii="Palatino Linotype" w:eastAsia="Palatino Linotype" w:hAnsi="Palatino Linotype" w:cs="Palatino Linotype"/>
        </w:rPr>
        <w:t>al momento de interponer su inconformidad.</w:t>
      </w:r>
      <w:r w:rsidRPr="00190A09">
        <w:rPr>
          <w:rFonts w:ascii="Palatino Linotype" w:eastAsia="Palatino Linotype" w:hAnsi="Palatino Linotype" w:cs="Palatino Linotype"/>
          <w:color w:val="000000"/>
        </w:rPr>
        <w:t xml:space="preserve"> De modo tal que el presente recurso de revisión se abocara en determinar si el </w:t>
      </w:r>
      <w:r w:rsidRPr="00190A09">
        <w:rPr>
          <w:rFonts w:ascii="Palatino Linotype" w:eastAsia="Palatino Linotype" w:hAnsi="Palatino Linotype" w:cs="Palatino Linotype"/>
          <w:b/>
          <w:color w:val="000000"/>
        </w:rPr>
        <w:t>SUJETO</w:t>
      </w:r>
      <w:r w:rsidRPr="00190A09">
        <w:rPr>
          <w:rFonts w:ascii="Palatino Linotype" w:eastAsia="Palatino Linotype" w:hAnsi="Palatino Linotype" w:cs="Palatino Linotype"/>
          <w:color w:val="000000"/>
        </w:rPr>
        <w:t xml:space="preserve"> </w:t>
      </w:r>
      <w:r w:rsidRPr="00190A09">
        <w:rPr>
          <w:rFonts w:ascii="Palatino Linotype" w:eastAsia="Palatino Linotype" w:hAnsi="Palatino Linotype" w:cs="Palatino Linotype"/>
          <w:b/>
          <w:color w:val="000000"/>
        </w:rPr>
        <w:t>OBLIGADO</w:t>
      </w:r>
      <w:r w:rsidRPr="00190A09">
        <w:rPr>
          <w:rFonts w:ascii="Palatino Linotype" w:eastAsia="Palatino Linotype" w:hAnsi="Palatino Linotype" w:cs="Palatino Linotype"/>
          <w:color w:val="000000"/>
        </w:rPr>
        <w:t xml:space="preserve"> con su respuesta ciertamente actualiza la causal de procedencia</w:t>
      </w:r>
      <w:r w:rsidRP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color w:val="000000"/>
        </w:rPr>
        <w:t xml:space="preserve">antes señalada. </w:t>
      </w: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pStyle w:val="Ttulo2"/>
        <w:spacing w:before="0" w:line="360" w:lineRule="auto"/>
        <w:rPr>
          <w:rFonts w:ascii="Palatino Linotype" w:eastAsia="Palatino Linotype" w:hAnsi="Palatino Linotype" w:cs="Palatino Linotype"/>
          <w:b/>
          <w:color w:val="000000"/>
          <w:sz w:val="24"/>
          <w:szCs w:val="24"/>
        </w:rPr>
      </w:pPr>
      <w:bookmarkStart w:id="10" w:name="_heading=h.j01y6j4x5yp3" w:colFirst="0" w:colLast="0"/>
      <w:bookmarkEnd w:id="10"/>
      <w:r w:rsidRPr="00190A09">
        <w:rPr>
          <w:rFonts w:ascii="Palatino Linotype" w:eastAsia="Palatino Linotype" w:hAnsi="Palatino Linotype" w:cs="Palatino Linotype"/>
          <w:b/>
          <w:color w:val="000000"/>
          <w:sz w:val="24"/>
          <w:szCs w:val="24"/>
        </w:rPr>
        <w:lastRenderedPageBreak/>
        <w:t>CUARTO. Del estudio y resolución del asunto.</w:t>
      </w:r>
    </w:p>
    <w:p w:rsidR="00C073EB" w:rsidRPr="00190A09" w:rsidRDefault="00C073EB" w:rsidP="00C073EB">
      <w:pPr>
        <w:pStyle w:val="Ttulo1"/>
        <w:numPr>
          <w:ilvl w:val="0"/>
          <w:numId w:val="3"/>
        </w:numPr>
        <w:spacing w:before="0" w:after="240" w:line="360" w:lineRule="auto"/>
        <w:ind w:left="786" w:hanging="360"/>
        <w:rPr>
          <w:rFonts w:ascii="Palatino Linotype" w:eastAsia="Palatino Linotype" w:hAnsi="Palatino Linotype" w:cs="Palatino Linotype"/>
          <w:b/>
          <w:color w:val="000000"/>
          <w:sz w:val="24"/>
          <w:szCs w:val="24"/>
        </w:rPr>
      </w:pPr>
      <w:r w:rsidRPr="00190A09">
        <w:rPr>
          <w:rFonts w:ascii="Palatino Linotype" w:eastAsia="Palatino Linotype" w:hAnsi="Palatino Linotype" w:cs="Palatino Linotype"/>
          <w:b/>
          <w:color w:val="000000"/>
          <w:sz w:val="24"/>
          <w:szCs w:val="24"/>
        </w:rPr>
        <w:t>Del derecho de acceso a la información.</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Definiendo el Derecho de Acceso a la Información Pública como: </w:t>
      </w:r>
      <w:r w:rsidRPr="00190A09">
        <w:rPr>
          <w:rFonts w:ascii="Palatino Linotype" w:eastAsia="Palatino Linotype" w:hAnsi="Palatino Linotype" w:cs="Palatino Linotype"/>
          <w:i/>
          <w:color w:val="000000"/>
        </w:rPr>
        <w:t>La igualdad de oportunidades para recibir, buscar e impartir información</w:t>
      </w:r>
      <w:r w:rsidRPr="00190A09">
        <w:rPr>
          <w:rFonts w:ascii="Palatino Linotype" w:eastAsia="Palatino Linotype" w:hAnsi="Palatino Linotype" w:cs="Palatino Linotype"/>
          <w:i/>
          <w:vertAlign w:val="superscript"/>
        </w:rPr>
        <w:footnoteReference w:id="1"/>
      </w:r>
      <w:r w:rsidRPr="00190A09">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90A09">
        <w:rPr>
          <w:rFonts w:ascii="Palatino Linotype" w:eastAsia="Palatino Linotype" w:hAnsi="Palatino Linotype" w:cs="Palatino Linotype"/>
          <w:i/>
          <w:vertAlign w:val="superscript"/>
        </w:rPr>
        <w:footnoteReference w:id="2"/>
      </w:r>
      <w:r w:rsidRPr="00190A09">
        <w:rPr>
          <w:rFonts w:ascii="Palatino Linotype" w:eastAsia="Palatino Linotype" w:hAnsi="Palatino Linotype" w:cs="Palatino Linotype"/>
          <w:color w:val="000000"/>
        </w:rPr>
        <w:t>que se constituye como una herramienta fundamental para ejercer</w:t>
      </w:r>
      <w:r w:rsidRPr="00190A09">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190A09">
        <w:rPr>
          <w:rFonts w:ascii="Palatino Linotype" w:eastAsia="Palatino Linotype" w:hAnsi="Palatino Linotype" w:cs="Palatino Linotype"/>
          <w:i/>
          <w:vertAlign w:val="superscript"/>
        </w:rPr>
        <w:footnoteReference w:id="3"/>
      </w:r>
      <w:r w:rsidRPr="00190A09">
        <w:rPr>
          <w:rFonts w:ascii="Palatino Linotype" w:eastAsia="Palatino Linotype" w:hAnsi="Palatino Linotype" w:cs="Palatino Linotype"/>
          <w:color w:val="000000"/>
        </w:rPr>
        <w:t>fomentando</w:t>
      </w:r>
      <w:r w:rsidRPr="00190A09">
        <w:rPr>
          <w:rFonts w:ascii="Palatino Linotype" w:eastAsia="Palatino Linotype" w:hAnsi="Palatino Linotype" w:cs="Palatino Linotype"/>
          <w:i/>
          <w:color w:val="000000"/>
        </w:rPr>
        <w:t xml:space="preserve"> la transparencia de las actividades estatales y </w:t>
      </w:r>
      <w:r w:rsidRPr="00190A09">
        <w:rPr>
          <w:rFonts w:ascii="Palatino Linotype" w:eastAsia="Palatino Linotype" w:hAnsi="Palatino Linotype" w:cs="Palatino Linotype"/>
          <w:color w:val="000000"/>
        </w:rPr>
        <w:t>promoviendo</w:t>
      </w:r>
      <w:r w:rsidRPr="00190A09">
        <w:rPr>
          <w:rFonts w:ascii="Palatino Linotype" w:eastAsia="Palatino Linotype" w:hAnsi="Palatino Linotype" w:cs="Palatino Linotype"/>
          <w:i/>
          <w:color w:val="000000"/>
        </w:rPr>
        <w:t xml:space="preserve"> la responsabilidad de los funcionarios sobre su gestión pública,</w:t>
      </w:r>
      <w:r w:rsidRPr="00190A09">
        <w:rPr>
          <w:rFonts w:ascii="Palatino Linotype" w:eastAsia="Palatino Linotype" w:hAnsi="Palatino Linotype" w:cs="Palatino Linotype"/>
          <w:i/>
          <w:vertAlign w:val="superscript"/>
        </w:rPr>
        <w:footnoteReference w:id="4"/>
      </w:r>
      <w:r w:rsidRPr="00190A09">
        <w:rPr>
          <w:rFonts w:ascii="Palatino Linotype" w:eastAsia="Palatino Linotype" w:hAnsi="Palatino Linotype" w:cs="Palatino Linotype"/>
          <w:color w:val="000000"/>
        </w:rPr>
        <w:t>que permite</w:t>
      </w:r>
      <w:r w:rsidRPr="00190A09">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C073EB" w:rsidRPr="00190A09" w:rsidRDefault="00C073EB" w:rsidP="00C073EB">
      <w:pPr>
        <w:spacing w:line="360" w:lineRule="auto"/>
        <w:ind w:right="49"/>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C073EB" w:rsidRPr="00190A09" w:rsidRDefault="00C073EB" w:rsidP="00C073EB">
      <w:pPr>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w:t>
      </w:r>
      <w:r w:rsidRPr="00190A09">
        <w:rPr>
          <w:rFonts w:ascii="Palatino Linotype" w:eastAsia="Palatino Linotype" w:hAnsi="Palatino Linotype" w:cs="Palatino Linotype"/>
          <w:b/>
          <w:i/>
        </w:rPr>
        <w:t>Artículo 1.-</w:t>
      </w:r>
      <w:r w:rsidRPr="00190A09">
        <w:rPr>
          <w:rFonts w:ascii="Palatino Linotype" w:eastAsia="Palatino Linotype" w:hAnsi="Palatino Linotype" w:cs="Palatino Linotype"/>
          <w:i/>
        </w:rPr>
        <w:t xml:space="preserve"> </w:t>
      </w:r>
    </w:p>
    <w:p w:rsidR="00C073EB" w:rsidRPr="00190A09" w:rsidRDefault="00C073EB" w:rsidP="00C073EB">
      <w:pPr>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w:t>
      </w:r>
    </w:p>
    <w:p w:rsidR="00C073EB" w:rsidRPr="00190A09" w:rsidRDefault="00C073EB" w:rsidP="00C073EB">
      <w:pPr>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Todas las</w:t>
      </w:r>
      <w:r w:rsidRPr="00190A09">
        <w:rPr>
          <w:rFonts w:ascii="Palatino Linotype" w:eastAsia="Palatino Linotype" w:hAnsi="Palatino Linotype" w:cs="Palatino Linotype"/>
        </w:rPr>
        <w:t xml:space="preserve"> </w:t>
      </w:r>
      <w:r w:rsidRPr="00190A09">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C073EB" w:rsidRPr="00190A09" w:rsidRDefault="00C073EB" w:rsidP="00C073EB">
      <w:pPr>
        <w:ind w:left="1134" w:right="900"/>
        <w:jc w:val="both"/>
        <w:rPr>
          <w:rFonts w:ascii="Palatino Linotype" w:eastAsia="Palatino Linotype" w:hAnsi="Palatino Linotype" w:cs="Palatino Linotype"/>
        </w:rPr>
      </w:pPr>
      <w:r w:rsidRPr="00190A09">
        <w:rPr>
          <w:rFonts w:ascii="Palatino Linotype" w:eastAsia="Palatino Linotype" w:hAnsi="Palatino Linotype" w:cs="Palatino Linotype"/>
          <w:i/>
        </w:rPr>
        <w:t>(…)</w:t>
      </w:r>
      <w:r w:rsidRPr="00190A09">
        <w:rPr>
          <w:rFonts w:ascii="Palatino Linotype" w:eastAsia="Palatino Linotype" w:hAnsi="Palatino Linotype" w:cs="Palatino Linotype"/>
        </w:rPr>
        <w:t>”.</w:t>
      </w:r>
    </w:p>
    <w:p w:rsidR="00C073EB" w:rsidRPr="00190A09" w:rsidRDefault="00C073EB" w:rsidP="00C073EB">
      <w:pPr>
        <w:ind w:right="567"/>
        <w:jc w:val="both"/>
        <w:rPr>
          <w:rFonts w:ascii="Palatino Linotype" w:eastAsia="Palatino Linotype" w:hAnsi="Palatino Linotype" w:cs="Palatino Linotype"/>
          <w:b/>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C073EB" w:rsidRPr="00190A09" w:rsidRDefault="00C073EB" w:rsidP="00C073EB">
      <w:pPr>
        <w:spacing w:line="360" w:lineRule="auto"/>
        <w:ind w:right="49"/>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C073EB" w:rsidRPr="00190A09" w:rsidRDefault="00C073EB" w:rsidP="00C073EB">
      <w:pPr>
        <w:spacing w:after="240"/>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Constitución Política de los Estados Unidos Mexicanos</w:t>
      </w:r>
    </w:p>
    <w:p w:rsidR="00C073EB" w:rsidRPr="00190A09" w:rsidRDefault="00C073EB" w:rsidP="00C073EB">
      <w:pPr>
        <w:spacing w:before="240" w:after="240"/>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“Artículo 6.</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Para efectos de lo dispuesto en el presente artículo se observará lo siguiente:</w:t>
      </w:r>
    </w:p>
    <w:p w:rsidR="00C073EB" w:rsidRPr="00190A09" w:rsidRDefault="00C073EB" w:rsidP="00C073EB">
      <w:pPr>
        <w:spacing w:before="240" w:after="240"/>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lastRenderedPageBreak/>
        <w:t>A</w:t>
      </w:r>
      <w:r w:rsidRPr="00190A09">
        <w:rPr>
          <w:rFonts w:ascii="Palatino Linotype" w:eastAsia="Palatino Linotype" w:hAnsi="Palatino Linotype" w:cs="Palatino Linotype"/>
          <w:i/>
        </w:rPr>
        <w:t xml:space="preserve">. </w:t>
      </w:r>
      <w:r w:rsidRPr="00190A09">
        <w:rPr>
          <w:rFonts w:ascii="Palatino Linotype" w:eastAsia="Palatino Linotype" w:hAnsi="Palatino Linotype" w:cs="Palatino Linotype"/>
          <w:b/>
          <w:i/>
        </w:rPr>
        <w:t>Para el ejercicio del derecho de acceso a la información</w:t>
      </w:r>
      <w:r w:rsidRPr="00190A09">
        <w:rPr>
          <w:rFonts w:ascii="Palatino Linotype" w:eastAsia="Palatino Linotype" w:hAnsi="Palatino Linotype" w:cs="Palatino Linotype"/>
          <w:i/>
        </w:rPr>
        <w:t xml:space="preserve">, la Federación y </w:t>
      </w:r>
      <w:r w:rsidRPr="00190A09">
        <w:rPr>
          <w:rFonts w:ascii="Palatino Linotype" w:eastAsia="Palatino Linotype" w:hAnsi="Palatino Linotype" w:cs="Palatino Linotype"/>
          <w:b/>
          <w:i/>
        </w:rPr>
        <w:t>las entidades federativas, en el ámbito de sus respectivas competencias, se regirán por los siguientes principios y bases:</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b/>
          <w:i/>
        </w:rPr>
        <w:t xml:space="preserve">I. </w:t>
      </w:r>
      <w:r w:rsidRPr="00190A09">
        <w:rPr>
          <w:rFonts w:ascii="Palatino Linotype" w:eastAsia="Palatino Linotype" w:hAnsi="Palatino Linotype" w:cs="Palatino Linotype"/>
          <w:b/>
          <w:i/>
        </w:rPr>
        <w:tab/>
        <w:t>Toda la información en posesión de cualquier</w:t>
      </w:r>
      <w:r w:rsidRPr="00190A09">
        <w:rPr>
          <w:rFonts w:ascii="Palatino Linotype" w:eastAsia="Palatino Linotype" w:hAnsi="Palatino Linotype" w:cs="Palatino Linotype"/>
          <w:i/>
        </w:rPr>
        <w:t xml:space="preserve"> </w:t>
      </w:r>
      <w:r w:rsidRPr="00190A09">
        <w:rPr>
          <w:rFonts w:ascii="Palatino Linotype" w:eastAsia="Palatino Linotype" w:hAnsi="Palatino Linotype" w:cs="Palatino Linotype"/>
          <w:b/>
          <w:i/>
        </w:rPr>
        <w:t>autoridad</w:t>
      </w:r>
      <w:r w:rsidRPr="00190A09">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90A09">
        <w:rPr>
          <w:rFonts w:ascii="Palatino Linotype" w:eastAsia="Palatino Linotype" w:hAnsi="Palatino Linotype" w:cs="Palatino Linotype"/>
          <w:b/>
          <w:i/>
        </w:rPr>
        <w:t>municipal</w:t>
      </w:r>
      <w:r w:rsidRPr="00190A09">
        <w:rPr>
          <w:rFonts w:ascii="Palatino Linotype" w:eastAsia="Palatino Linotype" w:hAnsi="Palatino Linotype" w:cs="Palatino Linotype"/>
          <w:i/>
        </w:rPr>
        <w:t xml:space="preserve">, </w:t>
      </w:r>
      <w:r w:rsidRPr="00190A09">
        <w:rPr>
          <w:rFonts w:ascii="Palatino Linotype" w:eastAsia="Palatino Linotype" w:hAnsi="Palatino Linotype" w:cs="Palatino Linotype"/>
          <w:b/>
          <w:i/>
        </w:rPr>
        <w:t>es pública</w:t>
      </w:r>
      <w:r w:rsidRPr="00190A09">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190A09">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190A09">
        <w:rPr>
          <w:rFonts w:ascii="Palatino Linotype" w:eastAsia="Palatino Linotype" w:hAnsi="Palatino Linotype" w:cs="Palatino Linotype"/>
          <w:i/>
        </w:rPr>
        <w:t>, la ley determinará los supuestos específicos bajo los cuales procederá la declaración de inexistencia de la información.”</w:t>
      </w:r>
    </w:p>
    <w:p w:rsidR="00C073EB" w:rsidRPr="00190A09" w:rsidRDefault="00C073EB" w:rsidP="00C073EB">
      <w:pPr>
        <w:pBdr>
          <w:top w:val="nil"/>
          <w:left w:val="nil"/>
          <w:bottom w:val="nil"/>
          <w:right w:val="nil"/>
          <w:between w:val="nil"/>
        </w:pBdr>
        <w:tabs>
          <w:tab w:val="left" w:pos="567"/>
        </w:tabs>
        <w:spacing w:before="240" w:after="240"/>
        <w:ind w:left="1134" w:right="900"/>
        <w:jc w:val="both"/>
        <w:rPr>
          <w:rFonts w:ascii="Palatino Linotype" w:eastAsia="Palatino Linotype" w:hAnsi="Palatino Linotype" w:cs="Palatino Linotype"/>
          <w:b/>
          <w:i/>
          <w:color w:val="000000"/>
        </w:rPr>
      </w:pPr>
    </w:p>
    <w:p w:rsidR="00C073EB" w:rsidRPr="00190A09" w:rsidRDefault="00C073EB" w:rsidP="00C073EB">
      <w:pPr>
        <w:spacing w:before="240" w:after="240"/>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Constitución Política del Estado Libre y Soberano de México</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b/>
          <w:i/>
        </w:rPr>
        <w:t>“Artículo 5</w:t>
      </w:r>
      <w:r w:rsidRPr="00190A09">
        <w:rPr>
          <w:rFonts w:ascii="Palatino Linotype" w:eastAsia="Palatino Linotype" w:hAnsi="Palatino Linotype" w:cs="Palatino Linotype"/>
          <w:i/>
        </w:rPr>
        <w:t xml:space="preserve">.- </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190A09">
        <w:rPr>
          <w:rFonts w:ascii="Palatino Linotype" w:eastAsia="Palatino Linotype" w:hAnsi="Palatino Linotype" w:cs="Palatino Linotype"/>
          <w:i/>
        </w:rPr>
        <w:t>.</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b/>
          <w:i/>
        </w:rPr>
        <w:t>Este derecho se regirá por los principios y bases siguientes</w:t>
      </w:r>
      <w:r w:rsidRPr="00190A09">
        <w:rPr>
          <w:rFonts w:ascii="Palatino Linotype" w:eastAsia="Palatino Linotype" w:hAnsi="Palatino Linotype" w:cs="Palatino Linotype"/>
          <w:i/>
        </w:rPr>
        <w:t>:</w:t>
      </w:r>
    </w:p>
    <w:p w:rsidR="00C073EB" w:rsidRPr="00190A09" w:rsidRDefault="00C073EB" w:rsidP="00C073EB">
      <w:pPr>
        <w:spacing w:before="240" w:after="240"/>
        <w:ind w:left="1134" w:right="900"/>
        <w:jc w:val="both"/>
        <w:rPr>
          <w:rFonts w:ascii="Palatino Linotype" w:eastAsia="Palatino Linotype" w:hAnsi="Palatino Linotype" w:cs="Palatino Linotype"/>
          <w:i/>
        </w:rPr>
      </w:pPr>
      <w:r w:rsidRPr="00190A09">
        <w:rPr>
          <w:rFonts w:ascii="Palatino Linotype" w:eastAsia="Palatino Linotype" w:hAnsi="Palatino Linotype" w:cs="Palatino Linotype"/>
          <w:b/>
          <w:i/>
        </w:rPr>
        <w:t>I. Toda la información en posesión de cualquier autoridad, entidad, órgano y organismos de los</w:t>
      </w:r>
      <w:r w:rsidRPr="00190A09">
        <w:rPr>
          <w:rFonts w:ascii="Palatino Linotype" w:eastAsia="Palatino Linotype" w:hAnsi="Palatino Linotype" w:cs="Palatino Linotype"/>
          <w:i/>
        </w:rPr>
        <w:t xml:space="preserve"> Poderes Ejecutivo, Legislativo y Judicial, órganos </w:t>
      </w:r>
      <w:r w:rsidRPr="00190A09">
        <w:rPr>
          <w:rFonts w:ascii="Palatino Linotype" w:eastAsia="Palatino Linotype" w:hAnsi="Palatino Linotype" w:cs="Palatino Linotype"/>
          <w:i/>
        </w:rPr>
        <w:lastRenderedPageBreak/>
        <w:t xml:space="preserve">autónomos, partidos políticos, fideicomisos y fondos públicos estatales y </w:t>
      </w:r>
      <w:r w:rsidRPr="00190A09">
        <w:rPr>
          <w:rFonts w:ascii="Palatino Linotype" w:eastAsia="Palatino Linotype" w:hAnsi="Palatino Linotype" w:cs="Palatino Linotype"/>
          <w:b/>
          <w:i/>
        </w:rPr>
        <w:t>municipales</w:t>
      </w:r>
      <w:r w:rsidRPr="00190A09">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90A09">
        <w:rPr>
          <w:rFonts w:ascii="Palatino Linotype" w:eastAsia="Palatino Linotype" w:hAnsi="Palatino Linotype" w:cs="Palatino Linotype"/>
          <w:b/>
          <w:i/>
        </w:rPr>
        <w:t>es pública</w:t>
      </w:r>
      <w:r w:rsidRPr="00190A09">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190A09">
        <w:rPr>
          <w:rFonts w:ascii="Palatino Linotype" w:eastAsia="Palatino Linotype" w:hAnsi="Palatino Linotype" w:cs="Palatino Linotype"/>
          <w:b/>
          <w:i/>
        </w:rPr>
        <w:t>En la interpretación de este derecho deberá prevalecer el principio de máxima publicidad</w:t>
      </w:r>
      <w:r w:rsidRPr="00190A09">
        <w:rPr>
          <w:rFonts w:ascii="Palatino Linotype" w:eastAsia="Palatino Linotype" w:hAnsi="Palatino Linotype" w:cs="Palatino Linotype"/>
          <w:i/>
        </w:rPr>
        <w:t xml:space="preserve">. </w:t>
      </w:r>
      <w:r w:rsidRPr="00190A09">
        <w:rPr>
          <w:rFonts w:ascii="Palatino Linotype" w:eastAsia="Palatino Linotype" w:hAnsi="Palatino Linotype" w:cs="Palatino Linotype"/>
          <w:b/>
          <w:i/>
        </w:rPr>
        <w:t>Los sujetos obligados deberán documentar todo acto que derive del ejercicio de sus facultades, competencias o funciones</w:t>
      </w:r>
      <w:r w:rsidRPr="00190A09">
        <w:rPr>
          <w:rFonts w:ascii="Palatino Linotype" w:eastAsia="Palatino Linotype" w:hAnsi="Palatino Linotype" w:cs="Palatino Linotype"/>
          <w:i/>
        </w:rPr>
        <w:t>, la ley determinará los supuestos específicos bajo los cuales procederá la declaración de inexistencia de la información.”</w:t>
      </w:r>
    </w:p>
    <w:p w:rsidR="00190A09" w:rsidRDefault="00190A09" w:rsidP="00190A0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073EB" w:rsidRPr="00190A09" w:rsidRDefault="00190A09"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Pr>
          <w:rFonts w:ascii="Palatino Linotype" w:eastAsia="Palatino Linotype" w:hAnsi="Palatino Linotype" w:cs="Palatino Linotype"/>
        </w:rPr>
        <w:t>S</w:t>
      </w:r>
      <w:r w:rsidR="00C073EB" w:rsidRPr="00190A09">
        <w:rPr>
          <w:rFonts w:ascii="Palatino Linotype" w:eastAsia="Palatino Linotype" w:hAnsi="Palatino Linotype" w:cs="Palatino Linotype"/>
        </w:rPr>
        <w:t xml:space="preserve">egún el artículo 150 de la Ley de Transparencia del Estado, la solicitud es la garantía primaria del Derecho de Acceso a la Información, además, establece que se regirá </w:t>
      </w:r>
      <w:r w:rsidR="00C073EB" w:rsidRPr="00190A09">
        <w:rPr>
          <w:rFonts w:ascii="Palatino Linotype" w:eastAsia="Palatino Linotype" w:hAnsi="Palatino Linotype" w:cs="Palatino Linotype"/>
          <w:i/>
        </w:rPr>
        <w:t>por los principios de simplicidad, rapidez gratuidad del procedimiento, auxilio y orientación a los particulares</w:t>
      </w:r>
      <w:r w:rsidR="00C073EB" w:rsidRPr="00190A09">
        <w:rPr>
          <w:rFonts w:ascii="Palatino Linotype" w:eastAsia="Palatino Linotype" w:hAnsi="Palatino Linotype" w:cs="Palatino Linotype"/>
        </w:rPr>
        <w:t>, contemplando el derecho de las personas con discapacidad y hablantes de lengua indígena.</w:t>
      </w:r>
    </w:p>
    <w:p w:rsidR="00C073EB" w:rsidRPr="00190A09" w:rsidRDefault="00C073EB" w:rsidP="00C073EB">
      <w:pPr>
        <w:spacing w:line="360" w:lineRule="auto"/>
        <w:ind w:right="49"/>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El Derecho de Acceso a la Información se garantiza y respeta oportunamente, y según lo que dispone la Ley, las </w:t>
      </w:r>
      <w:r w:rsidRPr="00190A09">
        <w:rPr>
          <w:rFonts w:ascii="Palatino Linotype" w:eastAsia="Palatino Linotype" w:hAnsi="Palatino Linotype" w:cs="Palatino Linotype"/>
          <w:i/>
        </w:rPr>
        <w:t>solicitudes de acceso a la información</w:t>
      </w:r>
      <w:r w:rsidRPr="00190A09">
        <w:rPr>
          <w:rFonts w:ascii="Palatino Linotype" w:eastAsia="Palatino Linotype" w:hAnsi="Palatino Linotype" w:cs="Palatino Linotype"/>
        </w:rPr>
        <w:t>.</w:t>
      </w:r>
    </w:p>
    <w:p w:rsidR="00C073EB" w:rsidRPr="00190A09" w:rsidRDefault="00C073EB" w:rsidP="00C073EB">
      <w:pPr>
        <w:spacing w:line="360" w:lineRule="auto"/>
        <w:ind w:right="49"/>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bookmarkStart w:id="11" w:name="_heading=h.2s8eyo1" w:colFirst="0" w:colLast="0"/>
      <w:bookmarkEnd w:id="11"/>
      <w:r w:rsidRPr="00190A09">
        <w:rPr>
          <w:rFonts w:ascii="Palatino Linotype" w:eastAsia="Palatino Linotype" w:hAnsi="Palatino Linotype" w:cs="Palatino Linotype"/>
        </w:rPr>
        <w:t xml:space="preserve">Así entonces, se procede analizar, en primer lugar, si el </w:t>
      </w:r>
      <w:r w:rsidRPr="00190A09">
        <w:rPr>
          <w:rFonts w:ascii="Palatino Linotype" w:eastAsia="Palatino Linotype" w:hAnsi="Palatino Linotype" w:cs="Palatino Linotype"/>
          <w:b/>
        </w:rPr>
        <w:t>SUJETO OBLIGADO</w:t>
      </w:r>
      <w:r w:rsidRPr="00190A0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C073EB" w:rsidRPr="00190A09" w:rsidRDefault="00C073EB" w:rsidP="00C073EB">
      <w:pPr>
        <w:spacing w:line="360" w:lineRule="auto"/>
        <w:ind w:right="49"/>
        <w:jc w:val="both"/>
        <w:rPr>
          <w:rFonts w:ascii="Palatino Linotype" w:eastAsia="Palatino Linotype" w:hAnsi="Palatino Linotype" w:cs="Palatino Linotype"/>
        </w:rPr>
      </w:pPr>
    </w:p>
    <w:p w:rsidR="00C073EB" w:rsidRPr="00190A09" w:rsidRDefault="00C073EB" w:rsidP="00C073EB">
      <w:pPr>
        <w:pStyle w:val="Ttulo1"/>
        <w:spacing w:before="0" w:after="240" w:line="360" w:lineRule="auto"/>
        <w:rPr>
          <w:rFonts w:ascii="Palatino Linotype" w:eastAsia="Palatino Linotype" w:hAnsi="Palatino Linotype" w:cs="Palatino Linotype"/>
          <w:b/>
          <w:color w:val="000000"/>
          <w:sz w:val="24"/>
          <w:szCs w:val="24"/>
        </w:rPr>
      </w:pPr>
      <w:bookmarkStart w:id="12" w:name="_heading=h.17dp8vu" w:colFirst="0" w:colLast="0"/>
      <w:bookmarkEnd w:id="12"/>
      <w:r w:rsidRPr="00190A09">
        <w:rPr>
          <w:rFonts w:ascii="Palatino Linotype" w:eastAsia="Palatino Linotype" w:hAnsi="Palatino Linotype" w:cs="Palatino Linotype"/>
          <w:b/>
          <w:color w:val="000000"/>
          <w:sz w:val="24"/>
          <w:szCs w:val="24"/>
        </w:rPr>
        <w:lastRenderedPageBreak/>
        <w:t>II. De la información solicitada y la respuesta del SUJETO OBLIGADO</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color w:val="000000"/>
        </w:rPr>
        <w:t xml:space="preserve">Acotada la </w:t>
      </w:r>
      <w:r w:rsidRPr="00190A09">
        <w:rPr>
          <w:rFonts w:ascii="Palatino Linotype" w:eastAsia="Palatino Linotype" w:hAnsi="Palatino Linotype" w:cs="Palatino Linotype"/>
          <w:i/>
          <w:color w:val="000000"/>
        </w:rPr>
        <w:t>Litis</w:t>
      </w:r>
      <w:r w:rsidRPr="00190A09">
        <w:rPr>
          <w:rFonts w:ascii="Palatino Linotype" w:eastAsia="Palatino Linotype" w:hAnsi="Palatino Linotype" w:cs="Palatino Linotype"/>
          <w:color w:val="000000"/>
        </w:rPr>
        <w:t xml:space="preserve"> del presente asunto, primeramente, es menester precisar que del escrito de inconformidad, se observa que el particular se duele </w:t>
      </w:r>
      <w:r w:rsidR="00147D88" w:rsidRPr="00190A09">
        <w:rPr>
          <w:rFonts w:ascii="Palatino Linotype" w:eastAsia="Palatino Linotype" w:hAnsi="Palatino Linotype" w:cs="Palatino Linotype"/>
          <w:color w:val="000000"/>
        </w:rPr>
        <w:t xml:space="preserve">por la entrega de información incompleta y por la clasificación de la información. </w:t>
      </w: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En ese sentido, es importante recordar la información que fue solicitada por el </w:t>
      </w:r>
      <w:r w:rsidRPr="00190A09">
        <w:rPr>
          <w:rFonts w:ascii="Palatino Linotype" w:eastAsia="Palatino Linotype" w:hAnsi="Palatino Linotype" w:cs="Palatino Linotype"/>
          <w:b/>
        </w:rPr>
        <w:t>RECURRENTE y la respuesta del SUJETO OBLIGADO</w:t>
      </w:r>
      <w:r w:rsidRPr="00190A09">
        <w:rPr>
          <w:rFonts w:ascii="Palatino Linotype" w:eastAsia="Palatino Linotype" w:hAnsi="Palatino Linotype" w:cs="Palatino Linotype"/>
        </w:rPr>
        <w:t xml:space="preserve"> para establecer si con la información entregada se colmada el derecho de acceso a la información de lo solicitado. </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7"/>
        <w:gridCol w:w="2600"/>
        <w:gridCol w:w="2691"/>
        <w:gridCol w:w="1957"/>
      </w:tblGrid>
      <w:tr w:rsidR="00C86E3C" w:rsidRPr="00190A09" w:rsidTr="00190A09">
        <w:tc>
          <w:tcPr>
            <w:tcW w:w="2817" w:type="dxa"/>
          </w:tcPr>
          <w:p w:rsidR="00C86E3C" w:rsidRPr="00190A09" w:rsidRDefault="00C86E3C" w:rsidP="002C3C62">
            <w:pPr>
              <w:ind w:right="616"/>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Información Solicitada</w:t>
            </w:r>
          </w:p>
        </w:tc>
        <w:tc>
          <w:tcPr>
            <w:tcW w:w="2600" w:type="dxa"/>
          </w:tcPr>
          <w:p w:rsidR="00C86E3C" w:rsidRPr="00190A09" w:rsidRDefault="00C86E3C" w:rsidP="002C3C62">
            <w:pPr>
              <w:ind w:right="616"/>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Respuesta del Sujeto Obligado </w:t>
            </w:r>
          </w:p>
        </w:tc>
        <w:tc>
          <w:tcPr>
            <w:tcW w:w="2691" w:type="dxa"/>
          </w:tcPr>
          <w:p w:rsidR="00C86E3C" w:rsidRPr="00190A09" w:rsidRDefault="00C86E3C" w:rsidP="002C3C62">
            <w:pPr>
              <w:ind w:right="616"/>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Manifestaciones </w:t>
            </w:r>
          </w:p>
        </w:tc>
        <w:tc>
          <w:tcPr>
            <w:tcW w:w="1957" w:type="dxa"/>
          </w:tcPr>
          <w:p w:rsidR="00C86E3C" w:rsidRPr="00190A09" w:rsidRDefault="00C86E3C" w:rsidP="002C3C62">
            <w:pPr>
              <w:ind w:right="616"/>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Colma </w:t>
            </w:r>
          </w:p>
        </w:tc>
      </w:tr>
      <w:tr w:rsidR="00C86E3C" w:rsidRPr="00190A09" w:rsidTr="00190A09">
        <w:tc>
          <w:tcPr>
            <w:tcW w:w="2817" w:type="dxa"/>
          </w:tcPr>
          <w:p w:rsidR="00C86E3C" w:rsidRPr="00190A09" w:rsidRDefault="00C86E3C" w:rsidP="00C86E3C">
            <w:pPr>
              <w:spacing w:after="160" w:line="259" w:lineRule="auto"/>
              <w:ind w:right="315"/>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1.- oficios firmados por todos los directores generales de marzo 2024 a febrero 2025</w:t>
            </w:r>
          </w:p>
        </w:tc>
        <w:tc>
          <w:tcPr>
            <w:tcW w:w="2600" w:type="dxa"/>
          </w:tcPr>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marzo24.pdf: </w:t>
            </w:r>
            <w:r w:rsidRPr="00190A09">
              <w:rPr>
                <w:rFonts w:ascii="Palatino Linotype" w:eastAsia="Palatino Linotype" w:hAnsi="Palatino Linotype" w:cs="Palatino Linotype"/>
                <w:i/>
                <w:color w:val="000000"/>
              </w:rPr>
              <w:t xml:space="preserve">oficio de la Dirección General de Movilidad Zona IV, del mes de marzo de dos mil veinticinco, </w:t>
            </w:r>
            <w:r w:rsidRPr="00190A09">
              <w:rPr>
                <w:rFonts w:ascii="Palatino Linotype" w:eastAsia="Palatino Linotype" w:hAnsi="Palatino Linotype" w:cs="Palatino Linotype"/>
                <w:b/>
                <w:i/>
                <w:color w:val="000000"/>
              </w:rPr>
              <w:t>en cual se clasifico el número de placas de un vehículo operativo se la Secretaría de Movilidad</w:t>
            </w:r>
            <w:r w:rsidRPr="00190A09">
              <w:rPr>
                <w:rFonts w:ascii="Palatino Linotype" w:eastAsia="Palatino Linotype" w:hAnsi="Palatino Linotype" w:cs="Palatino Linotype"/>
                <w:i/>
                <w:color w:val="000000"/>
              </w:rPr>
              <w:t xml:space="preserve">. (dato que no debe de ser clasificado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24_complemento.pdf: </w:t>
            </w:r>
            <w:r w:rsidRPr="00190A09">
              <w:rPr>
                <w:rFonts w:ascii="Palatino Linotype" w:eastAsia="Palatino Linotype" w:hAnsi="Palatino Linotype" w:cs="Palatino Linotype"/>
                <w:i/>
                <w:color w:val="000000"/>
              </w:rPr>
              <w:t>oficios de la Dirección General de Movilidad Zona I, de los cuales del folio 1341 se saltan al 1362, del 1362 al 1397, del 1398 al 1443, del 1452 al 1459, del 1460 al 1523</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25_complemento.pdf: </w:t>
            </w:r>
            <w:r w:rsidRPr="00190A09">
              <w:rPr>
                <w:rFonts w:ascii="Palatino Linotype" w:eastAsia="Palatino Linotype" w:hAnsi="Palatino Linotype" w:cs="Palatino Linotype"/>
                <w:i/>
                <w:color w:val="000000"/>
              </w:rPr>
              <w:t xml:space="preserve">oficio de la Dirección General de Movilidad Zona I, del mes de enero y febrero de 2025, de los cuales se observa que hacen falta folios, así como la clasificación de datos que no debieron de ser clasificados como lo es la información de las copias que se giran de los oficios en las distintas áreas de la Secretaría de Movilidad.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Oficios_2025.pdf: </w:t>
            </w:r>
            <w:r w:rsidRPr="00190A09">
              <w:rPr>
                <w:rFonts w:ascii="Palatino Linotype" w:eastAsia="Palatino Linotype" w:hAnsi="Palatino Linotype" w:cs="Palatino Linotype"/>
                <w:i/>
                <w:color w:val="000000"/>
              </w:rPr>
              <w:t xml:space="preserve">documento que contiene oficios de la Dirección General de Movilidad Zona I, de enero a febrero de dos mil veinticinco, de los cuales  se observa que hacen falta los folios 64, 66, 67, 68, 76, 77, 78, 79, 97, 107, 124, 125, 134, 146, 147, 148, 149 y del 157 al 180, de manera enunciativa más no limitativa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Oficios_2024.pdf: </w:t>
            </w:r>
            <w:r w:rsidRPr="00190A09">
              <w:rPr>
                <w:rFonts w:ascii="Palatino Linotype" w:eastAsia="Palatino Linotype" w:hAnsi="Palatino Linotype" w:cs="Palatino Linotype"/>
                <w:i/>
                <w:color w:val="000000"/>
              </w:rPr>
              <w:t xml:space="preserve">oficios de la Dirección General de Movilidad Zona I, que inician en el mes de marzo de 2024 con el folio 148, faltando folios de manera </w:t>
            </w:r>
            <w:r w:rsidRPr="00190A09">
              <w:rPr>
                <w:rFonts w:ascii="Palatino Linotype" w:eastAsia="Palatino Linotype" w:hAnsi="Palatino Linotype" w:cs="Palatino Linotype"/>
                <w:i/>
                <w:color w:val="000000"/>
              </w:rPr>
              <w:lastRenderedPageBreak/>
              <w:t xml:space="preserve">enunciativa más no limitativa 209, 220, 223, 224, 225, 226, 228, 230, 245 246, 253.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 xml:space="preserve">Del contenido de los oficios de observa que entregan hasta el 19 de diciembre de dos mil veinticuatro.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ABRIL A JUN 2024 (V.P).pdf.: </w:t>
            </w:r>
            <w:r w:rsidRPr="00190A09">
              <w:rPr>
                <w:rFonts w:ascii="Palatino Linotype" w:eastAsia="Palatino Linotype" w:hAnsi="Palatino Linotype" w:cs="Palatino Linotype"/>
                <w:i/>
                <w:color w:val="000000"/>
              </w:rPr>
              <w:t>Oficios de la Dirección General de Movilidad Zona II, mediante el cual remiten oficios que inician el 28 de junio de dos mil veinticuatro, del contenido del documento de observa que los folios de los oficios se encuentran incompletos, de manera enunciativa más no limitativa del 641 al 644</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JUL A SEPT 2024 (V.P) .pdf: </w:t>
            </w:r>
            <w:r w:rsidRPr="00190A09">
              <w:rPr>
                <w:rFonts w:ascii="Palatino Linotype" w:eastAsia="Palatino Linotype" w:hAnsi="Palatino Linotype" w:cs="Palatino Linotype"/>
                <w:i/>
                <w:color w:val="000000"/>
              </w:rPr>
              <w:t xml:space="preserve">oficios de la Dirección General de Movilidad Zona II, de los cuales se observan que los folios se encuentran incompleto, de manera enunciativa más no limitativa entregan el oficio 699 y posteriormente el oficio 963, también se </w:t>
            </w:r>
            <w:r w:rsidRPr="00190A09">
              <w:rPr>
                <w:rFonts w:ascii="Palatino Linotype" w:eastAsia="Palatino Linotype" w:hAnsi="Palatino Linotype" w:cs="Palatino Linotype"/>
                <w:i/>
                <w:color w:val="000000"/>
              </w:rPr>
              <w:lastRenderedPageBreak/>
              <w:t xml:space="preserve">visuliaza que entregan el oficio 601 y se saltan al 595, el documento solo contiene oficios de los meses de abril, junio, julio y septiembre, de los cuales los folios se encuentran incompletos.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Del contenido de los oficios entregados se tendrán que ordenar en correcta versión pública, toda vez que se testo el nombre de representantes legales de empresas que prestan servicio a autobuses, así como direcciones de fiscalía, nombres de servidores públicos de quien recibe los oficios y correos electrónicos de servidores públicos en funciones de servicio.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DE ENERO FEBRERO 2025.pdf: </w:t>
            </w:r>
            <w:r w:rsidRPr="00190A09">
              <w:rPr>
                <w:rFonts w:ascii="Palatino Linotype" w:eastAsia="Palatino Linotype" w:hAnsi="Palatino Linotype" w:cs="Palatino Linotype"/>
                <w:i/>
                <w:color w:val="000000"/>
              </w:rPr>
              <w:t xml:space="preserve">oficios de la Dirección General de Movilidad Zona II, que inicia el 28 de febrero con el folio 103, de la revisión de los documentos entregan el oficio 98 y luego el 80, haciendo falta de folios, faltando también del 50 </w:t>
            </w:r>
            <w:r w:rsidRPr="00190A09">
              <w:rPr>
                <w:rFonts w:ascii="Palatino Linotype" w:eastAsia="Palatino Linotype" w:hAnsi="Palatino Linotype" w:cs="Palatino Linotype"/>
                <w:i/>
                <w:color w:val="000000"/>
              </w:rPr>
              <w:lastRenderedPageBreak/>
              <w:t xml:space="preserve">al 58, del 24 al 43, del 13 al 17, del 8 al 11 y el dos.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OCTUBRE 2024 V.P.pdf: </w:t>
            </w:r>
            <w:r w:rsidRPr="00190A09">
              <w:rPr>
                <w:rFonts w:ascii="Palatino Linotype" w:eastAsia="Palatino Linotype" w:hAnsi="Palatino Linotype" w:cs="Palatino Linotype"/>
                <w:i/>
                <w:color w:val="000000"/>
              </w:rPr>
              <w:t xml:space="preserve">oficios de la Dirección General de Movilidad Zona II, iniciando con la fecha 22 de octubre, faltando oficios del 850 al 851, del 813 al 838, 805 al 811 y el 802.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NOVIEMBRE 2024 V.P.pdf: </w:t>
            </w:r>
            <w:r w:rsidRPr="00190A09">
              <w:rPr>
                <w:rFonts w:ascii="Palatino Linotype" w:eastAsia="Palatino Linotype" w:hAnsi="Palatino Linotype" w:cs="Palatino Linotype"/>
                <w:i/>
                <w:color w:val="000000"/>
              </w:rPr>
              <w:t>oficio de la Dirección General de Movilidad Zona II, iniciando el cinco de noviembre con el oficio 994, faltando el 993, faltando del 977 al 989, del 940 al 968, del 918 al 930</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MARZ 2024 (V.P).pdf: </w:t>
            </w:r>
            <w:r w:rsidRPr="00190A09">
              <w:rPr>
                <w:rFonts w:ascii="Palatino Linotype" w:eastAsia="Palatino Linotype" w:hAnsi="Palatino Linotype" w:cs="Palatino Linotype"/>
                <w:i/>
                <w:color w:val="000000"/>
              </w:rPr>
              <w:t xml:space="preserve">oficio de la Dirección General de Movilidad Zona II, que inicia el veintidós de marzo de dos mil veinticuatro, faltando oficios del 208 al 212, del 203 al 204, 195, 196, del 179 al187. Del 168 al 171.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OFICIOS DICIEMBRE 2024 V.P.pdf: </w:t>
            </w:r>
            <w:r w:rsidRPr="00190A09">
              <w:rPr>
                <w:rFonts w:ascii="Palatino Linotype" w:eastAsia="Palatino Linotype" w:hAnsi="Palatino Linotype" w:cs="Palatino Linotype"/>
                <w:i/>
                <w:color w:val="000000"/>
              </w:rPr>
              <w:t xml:space="preserve">oficios de la </w:t>
            </w:r>
            <w:r w:rsidRPr="00190A09">
              <w:rPr>
                <w:rFonts w:ascii="Palatino Linotype" w:eastAsia="Palatino Linotype" w:hAnsi="Palatino Linotype" w:cs="Palatino Linotype"/>
                <w:i/>
                <w:color w:val="000000"/>
              </w:rPr>
              <w:lastRenderedPageBreak/>
              <w:t>Dirección General de Movilidad Zona II, que inician el 19 de diciembre de 2024, con el folio 1094, faltando el oficio 1087, del 1078 al 1084, del 1059 al 1074, del 1048 al 1053 y del 1036 al 1041</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016 25_censurado.pdf: </w:t>
            </w:r>
            <w:r w:rsidRPr="00190A09">
              <w:rPr>
                <w:rFonts w:ascii="Palatino Linotype" w:eastAsia="Palatino Linotype" w:hAnsi="Palatino Linotype" w:cs="Palatino Linotype"/>
                <w:i/>
                <w:color w:val="000000"/>
              </w:rPr>
              <w:t xml:space="preserve">oficio de la Dirección General de Movilidad Zona III, del quince de enero de 2025, con el folio 16, faltando los folios del 1 al 15.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007 25_censurado.pdf: </w:t>
            </w:r>
            <w:r w:rsidRPr="00190A09">
              <w:rPr>
                <w:rFonts w:ascii="Palatino Linotype" w:eastAsia="Palatino Linotype" w:hAnsi="Palatino Linotype" w:cs="Palatino Linotype"/>
                <w:i/>
                <w:color w:val="000000"/>
              </w:rPr>
              <w:t>oficio de la Dirección General de Movilidad Zona III, del ocho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220 25_censurado.pdf: </w:t>
            </w:r>
            <w:r w:rsidRPr="00190A09">
              <w:rPr>
                <w:rFonts w:ascii="Palatino Linotype" w:eastAsia="Palatino Linotype" w:hAnsi="Palatino Linotype" w:cs="Palatino Linotype"/>
                <w:i/>
                <w:color w:val="000000"/>
              </w:rPr>
              <w:t>oficio de la Dirección General de Movilidad Zona III, del uno de abril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210 25_censurado.pdf: </w:t>
            </w:r>
            <w:r w:rsidRPr="00190A09">
              <w:rPr>
                <w:rFonts w:ascii="Palatino Linotype" w:eastAsia="Palatino Linotype" w:hAnsi="Palatino Linotype" w:cs="Palatino Linotype"/>
                <w:i/>
                <w:color w:val="000000"/>
              </w:rPr>
              <w:t>oficio de la Dirección General de Movilidad Zona III, del uno de abril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O 12 25_censurado.pdf: </w:t>
            </w:r>
            <w:r w:rsidRPr="00190A09">
              <w:rPr>
                <w:rFonts w:ascii="Palatino Linotype" w:eastAsia="Palatino Linotype" w:hAnsi="Palatino Linotype" w:cs="Palatino Linotype"/>
                <w:i/>
                <w:color w:val="000000"/>
              </w:rPr>
              <w:t>oficio de la Dirección General de Movilidad Zona III, del diez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009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013 25_censurado.pdf. </w:t>
            </w:r>
            <w:r w:rsidRPr="00190A09">
              <w:rPr>
                <w:rFonts w:ascii="Palatino Linotype" w:eastAsia="Palatino Linotype" w:hAnsi="Palatino Linotype" w:cs="Palatino Linotype"/>
                <w:i/>
                <w:color w:val="000000"/>
              </w:rPr>
              <w:t>Oficio de la Dirección General de Movilidad Zona III, del diez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006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003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002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O 10 25_censurado.pdf: </w:t>
            </w:r>
            <w:r w:rsidRPr="00190A09">
              <w:rPr>
                <w:rFonts w:ascii="Palatino Linotype" w:eastAsia="Palatino Linotype" w:hAnsi="Palatino Linotype" w:cs="Palatino Linotype"/>
                <w:i/>
                <w:color w:val="000000"/>
              </w:rPr>
              <w:t>Oficio de la Dirección General de Movilidad Zona III, del ocho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014 25_censurado.pdf: </w:t>
            </w:r>
            <w:r w:rsidRPr="00190A09">
              <w:rPr>
                <w:rFonts w:ascii="Palatino Linotype" w:eastAsia="Palatino Linotype" w:hAnsi="Palatino Linotype" w:cs="Palatino Linotype"/>
                <w:i/>
                <w:color w:val="000000"/>
              </w:rPr>
              <w:t>Oficio de la Dirección General de Movilidad Zona III, del catorce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005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008 25_censurado.pdf: </w:t>
            </w:r>
            <w:r w:rsidRPr="00190A09">
              <w:rPr>
                <w:rFonts w:ascii="Palatino Linotype" w:eastAsia="Palatino Linotype" w:hAnsi="Palatino Linotype" w:cs="Palatino Linotype"/>
                <w:i/>
                <w:color w:val="000000"/>
              </w:rPr>
              <w:t>Oficio de la Dirección General de Movilidad Zona III, del siete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015 25_censurado.pdf: </w:t>
            </w:r>
            <w:r w:rsidRPr="00190A09">
              <w:rPr>
                <w:rFonts w:ascii="Palatino Linotype" w:eastAsia="Palatino Linotype" w:hAnsi="Palatino Linotype" w:cs="Palatino Linotype"/>
                <w:i/>
                <w:color w:val="000000"/>
              </w:rPr>
              <w:t>Oficio de la Dirección General de Movilidad Zona III, del diez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O 219 25_censurado.pdf: </w:t>
            </w:r>
            <w:r w:rsidRPr="00190A09">
              <w:rPr>
                <w:rFonts w:ascii="Palatino Linotype" w:eastAsia="Palatino Linotype" w:hAnsi="Palatino Linotype" w:cs="Palatino Linotype"/>
                <w:i/>
                <w:color w:val="000000"/>
              </w:rPr>
              <w:t>Oficio de la Dirección General de Movilidad Zona III, del uno de abril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O 004 25_censurado.pdf: </w:t>
            </w:r>
            <w:r w:rsidRPr="00190A09">
              <w:rPr>
                <w:rFonts w:ascii="Palatino Linotype" w:eastAsia="Palatino Linotype" w:hAnsi="Palatino Linotype" w:cs="Palatino Linotype"/>
                <w:i/>
                <w:color w:val="000000"/>
              </w:rPr>
              <w:t>Oficio de la Dirección General de Movilidad Zona III, del dos de enero  de 2025</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Respuesta a solicitud 179.pdf:</w:t>
            </w:r>
            <w:r w:rsidRPr="00190A09">
              <w:rPr>
                <w:rFonts w:ascii="Palatino Linotype" w:eastAsia="Palatino Linotype" w:hAnsi="Palatino Linotype" w:cs="Palatino Linotype"/>
                <w:i/>
                <w:color w:val="000000"/>
              </w:rPr>
              <w:t xml:space="preserve"> oficio del Titular de la Unidad de Transparencia, mediante el cual informa lo siguiente.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Dirección General del Registro Estatal del Transporte Público, </w:t>
            </w:r>
            <w:r w:rsidRPr="00190A09">
              <w:rPr>
                <w:rFonts w:ascii="Palatino Linotype" w:eastAsia="Palatino Linotype" w:hAnsi="Palatino Linotype" w:cs="Palatino Linotype"/>
                <w:i/>
                <w:color w:val="000000"/>
              </w:rPr>
              <w:t>informa que toda vez que el contenido de los oficios tiene información que debe de ser clasificada como reservada por contener información de juicios y confidenciales por contener datos personales, situación por la cual no pueden ser entregados, refiere la prueba de daño, sin embargo la misma no es entregada.</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Dirección General de Movilidad Zona I: </w:t>
            </w:r>
            <w:r w:rsidRPr="00190A09">
              <w:rPr>
                <w:rFonts w:ascii="Palatino Linotype" w:eastAsia="Palatino Linotype" w:hAnsi="Palatino Linotype" w:cs="Palatino Linotype"/>
                <w:i/>
                <w:color w:val="000000"/>
              </w:rPr>
              <w:t>informa que se entrega la información solicitada.</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Dirección General de Movilidad Zona II: </w:t>
            </w:r>
            <w:r w:rsidRPr="00190A09">
              <w:rPr>
                <w:rFonts w:ascii="Palatino Linotype" w:eastAsia="Palatino Linotype" w:hAnsi="Palatino Linotype" w:cs="Palatino Linotype"/>
                <w:i/>
                <w:color w:val="000000"/>
              </w:rPr>
              <w:lastRenderedPageBreak/>
              <w:t>informa que se entrega la información solicitada.</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Dirección General de Movilidad Zona III: </w:t>
            </w:r>
            <w:r w:rsidRPr="00190A09">
              <w:rPr>
                <w:rFonts w:ascii="Palatino Linotype" w:eastAsia="Palatino Linotype" w:hAnsi="Palatino Linotype" w:cs="Palatino Linotype"/>
                <w:i/>
                <w:color w:val="000000"/>
              </w:rPr>
              <w:t>informa que se entrega la información solicitada.</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Dirección General de Movilidad Zona IV</w:t>
            </w:r>
            <w:r w:rsidRPr="00190A09">
              <w:rPr>
                <w:rFonts w:ascii="Palatino Linotype" w:eastAsia="Palatino Linotype" w:hAnsi="Palatino Linotype" w:cs="Palatino Linotype"/>
                <w:i/>
                <w:color w:val="000000"/>
              </w:rPr>
              <w:t>: informa que se localizaron de manera física 2144 oficios con un total de 2,897 fojas relacionadas con los oficios generados y firmados, refiriendo que el escaneo de cada foja genera un peso aproximado de 144 kb, por lo cual pone la información en consulta directa.</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Dirección General de Vialidad: </w:t>
            </w:r>
            <w:r w:rsidRPr="00190A09">
              <w:rPr>
                <w:rFonts w:ascii="Palatino Linotype" w:eastAsia="Palatino Linotype" w:hAnsi="Palatino Linotype" w:cs="Palatino Linotype"/>
                <w:i/>
                <w:color w:val="000000"/>
              </w:rPr>
              <w:t xml:space="preserve">informa que para proporcionar la información deberá de pagar los derechos de la misma.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Acta 48 sesion Extraord VP.pdf: </w:t>
            </w:r>
            <w:r w:rsidRPr="00190A09">
              <w:rPr>
                <w:rFonts w:ascii="Palatino Linotype" w:eastAsia="Palatino Linotype" w:hAnsi="Palatino Linotype" w:cs="Palatino Linotype"/>
                <w:i/>
                <w:color w:val="000000"/>
              </w:rPr>
              <w:t xml:space="preserve">Acta de la Cuadragésima Octava Sesión Extraordinaria, mediante la cual se aprueba la clasificación de la reserva de información de 4055 </w:t>
            </w:r>
            <w:r w:rsidRPr="00190A09">
              <w:rPr>
                <w:rFonts w:ascii="Palatino Linotype" w:eastAsia="Palatino Linotype" w:hAnsi="Palatino Linotype" w:cs="Palatino Linotype"/>
                <w:i/>
                <w:color w:val="000000"/>
              </w:rPr>
              <w:lastRenderedPageBreak/>
              <w:t xml:space="preserve">oficios localizados en expedientes de juicios administrativos, civiles y mercantiles por un periodo de cinco años, en el Acta también se clasifican dato de particulares, nombres, firma, teléfono, correo y domicilio particular </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Acta 50 sesion Extraord VP.pdf: </w:t>
            </w:r>
            <w:r w:rsidRPr="00190A09">
              <w:rPr>
                <w:rFonts w:ascii="Palatino Linotype" w:eastAsia="Palatino Linotype" w:hAnsi="Palatino Linotype" w:cs="Palatino Linotype"/>
                <w:i/>
                <w:color w:val="000000"/>
              </w:rPr>
              <w:t>Acta de la Quincuagésima Sesión Extraordinaria, mediante la cual la Dirección General de Movilidad Zona I, clasifica como confidenciales los datos de Clave de servidor público • Nombre de Particulares • Firma y/o rubrica • Nombre de personas físicas y morales no concesionarias • Números de expediente • Domicilio particular • Correo electrónico personal • Placas particulares • Número telefónico • Número de serie de vehículos particulares</w:t>
            </w:r>
          </w:p>
          <w:p w:rsidR="00C86E3C" w:rsidRPr="00190A09" w:rsidRDefault="00C86E3C" w:rsidP="00C86E3C">
            <w:pPr>
              <w:pBdr>
                <w:top w:val="nil"/>
                <w:left w:val="nil"/>
                <w:bottom w:val="nil"/>
                <w:right w:val="nil"/>
                <w:between w:val="nil"/>
              </w:pBdr>
              <w:tabs>
                <w:tab w:val="left" w:pos="0"/>
              </w:tabs>
              <w:jc w:val="both"/>
              <w:rPr>
                <w:rFonts w:ascii="Palatino Linotype" w:eastAsia="Palatino Linotype" w:hAnsi="Palatino Linotype" w:cs="Palatino Linotype"/>
                <w:i/>
                <w:color w:val="000000"/>
              </w:rPr>
            </w:pPr>
          </w:p>
        </w:tc>
        <w:tc>
          <w:tcPr>
            <w:tcW w:w="2691" w:type="dxa"/>
          </w:tcPr>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Zona 4 5238.pdf: </w:t>
            </w:r>
            <w:r w:rsidRPr="00190A09">
              <w:rPr>
                <w:rFonts w:ascii="Palatino Linotype" w:eastAsia="Palatino Linotype" w:hAnsi="Palatino Linotype" w:cs="Palatino Linotype"/>
                <w:i/>
                <w:color w:val="000000"/>
              </w:rPr>
              <w:t xml:space="preserve">oficio de la Dirección  General de Movilidad Zona IV, mediante el cual ratifica su respuesta inicial. </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Registro 5238.pdf: </w:t>
            </w:r>
            <w:r w:rsidRPr="00190A09">
              <w:rPr>
                <w:rFonts w:ascii="Palatino Linotype" w:eastAsia="Palatino Linotype" w:hAnsi="Palatino Linotype" w:cs="Palatino Linotype"/>
                <w:i/>
                <w:color w:val="000000"/>
              </w:rPr>
              <w:t xml:space="preserve">oficio del Director del Registro Estatal de Transporte Público, mediante el cual ratifica su respuesta. </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Vialidad 5238 (1).pdf: </w:t>
            </w:r>
            <w:r w:rsidRPr="00190A09">
              <w:rPr>
                <w:rFonts w:ascii="Palatino Linotype" w:eastAsia="Palatino Linotype" w:hAnsi="Palatino Linotype" w:cs="Palatino Linotype"/>
                <w:i/>
                <w:color w:val="000000"/>
              </w:rPr>
              <w:t xml:space="preserve">oficio de la </w:t>
            </w:r>
            <w:r w:rsidRPr="00190A09">
              <w:rPr>
                <w:rFonts w:ascii="Palatino Linotype" w:eastAsia="Palatino Linotype" w:hAnsi="Palatino Linotype" w:cs="Palatino Linotype"/>
                <w:b/>
                <w:i/>
                <w:color w:val="000000"/>
              </w:rPr>
              <w:t xml:space="preserve">Dirección General de Vialidad, </w:t>
            </w:r>
            <w:r w:rsidRPr="00190A09">
              <w:rPr>
                <w:rFonts w:ascii="Palatino Linotype" w:eastAsia="Palatino Linotype" w:hAnsi="Palatino Linotype" w:cs="Palatino Linotype"/>
                <w:i/>
                <w:color w:val="000000"/>
              </w:rPr>
              <w:t xml:space="preserve">mediante el cual informa que pone en consulta directa la información, toda vez que sobre pasa las capacidades técnicas del sistema. </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 xml:space="preserve">Zona 1 5238.pdf: </w:t>
            </w:r>
            <w:r w:rsidRPr="00190A09">
              <w:rPr>
                <w:rFonts w:ascii="Palatino Linotype" w:eastAsia="Palatino Linotype" w:hAnsi="Palatino Linotype" w:cs="Palatino Linotype"/>
                <w:i/>
                <w:color w:val="000000"/>
              </w:rPr>
              <w:t xml:space="preserve">oficio de la Dirección General de Movilidad Zona I, mediante el cual ratifica la respuesta inicial. </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Zona 2 5238.pdf: </w:t>
            </w:r>
            <w:r w:rsidRPr="00190A09">
              <w:rPr>
                <w:rFonts w:ascii="Palatino Linotype" w:eastAsia="Palatino Linotype" w:hAnsi="Palatino Linotype" w:cs="Palatino Linotype"/>
                <w:i/>
                <w:color w:val="000000"/>
              </w:rPr>
              <w:t>oficio de la Dirección General de Movilidad Zona II, mediante el cual ratifica la respuesta inicial.</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Informe Justificado 5238 (2).pdf: </w:t>
            </w:r>
            <w:r w:rsidRPr="00190A09">
              <w:rPr>
                <w:rFonts w:ascii="Palatino Linotype" w:eastAsia="Palatino Linotype" w:hAnsi="Palatino Linotype" w:cs="Palatino Linotype"/>
                <w:i/>
                <w:color w:val="000000"/>
              </w:rPr>
              <w:t>informe justificado que contiene un resumen de respuesta de las direcciones.</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Informe Justificado 5238.pdf: </w:t>
            </w:r>
            <w:r w:rsidRPr="00190A09">
              <w:rPr>
                <w:rFonts w:ascii="Palatino Linotype" w:eastAsia="Palatino Linotype" w:hAnsi="Palatino Linotype" w:cs="Palatino Linotype"/>
                <w:i/>
                <w:color w:val="000000"/>
              </w:rPr>
              <w:t>informe justificado que contiene un resumen de respuesta de las direcciones.</w:t>
            </w:r>
          </w:p>
          <w:p w:rsidR="00C86E3C" w:rsidRPr="00190A09" w:rsidRDefault="00C86E3C" w:rsidP="00C86E3C">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ACTA 64 SES ORD.pdf: </w:t>
            </w:r>
            <w:r w:rsidRPr="00190A09">
              <w:rPr>
                <w:rFonts w:ascii="Palatino Linotype" w:eastAsia="Palatino Linotype" w:hAnsi="Palatino Linotype" w:cs="Palatino Linotype"/>
                <w:i/>
                <w:color w:val="000000"/>
              </w:rPr>
              <w:t xml:space="preserve">Acta de la Sexagésima Cuarta Sesión Ordinaria, mediante la cual se aprueba el cambio de modalidad a consulta directa de la información que se encuentra en la Dirección General de Vialidad. </w:t>
            </w:r>
          </w:p>
          <w:p w:rsidR="00C86E3C" w:rsidRPr="00190A09" w:rsidRDefault="00C86E3C" w:rsidP="002C3C62">
            <w:pPr>
              <w:ind w:right="78"/>
              <w:jc w:val="both"/>
              <w:rPr>
                <w:rFonts w:ascii="Palatino Linotype" w:eastAsia="Palatino Linotype" w:hAnsi="Palatino Linotype" w:cs="Palatino Linotype"/>
                <w:i/>
                <w:color w:val="000000"/>
              </w:rPr>
            </w:pPr>
          </w:p>
        </w:tc>
        <w:tc>
          <w:tcPr>
            <w:tcW w:w="1957" w:type="dxa"/>
          </w:tcPr>
          <w:p w:rsidR="00C86E3C" w:rsidRPr="00190A09" w:rsidRDefault="00C86E3C" w:rsidP="002C3C62">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lastRenderedPageBreak/>
              <w:t xml:space="preserve">Colma parcialmente, toda vez que la entrega de oficios es incompleta pues de la revisión se observan falta folios, así mismo del contenido de los oficios se muestra que se hicieron clasificaciones de datos que no debieron de ser clasificados como las firmas de servidores, datos de ubicaciones de dependencias de </w:t>
            </w:r>
            <w:r w:rsidRPr="00190A09">
              <w:rPr>
                <w:rFonts w:ascii="Palatino Linotype" w:eastAsia="Palatino Linotype" w:hAnsi="Palatino Linotype" w:cs="Palatino Linotype"/>
                <w:i/>
                <w:color w:val="000000"/>
              </w:rPr>
              <w:lastRenderedPageBreak/>
              <w:t xml:space="preserve">gobierno, nombre de representantes legales de las empresas. </w:t>
            </w:r>
          </w:p>
          <w:p w:rsidR="00C86E3C" w:rsidRPr="00190A09" w:rsidRDefault="00C86E3C" w:rsidP="002C3C62">
            <w:pPr>
              <w:ind w:right="78"/>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 xml:space="preserve">Así mismo se aprueban cambios de modalidad a consulta directa, copias simples  y demás modalidades sin embargo no se señala cuáles y tampoco el procedimiento que debe de seguir el </w:t>
            </w:r>
            <w:r w:rsidRPr="00190A09">
              <w:rPr>
                <w:rFonts w:ascii="Palatino Linotype" w:eastAsia="Palatino Linotype" w:hAnsi="Palatino Linotype" w:cs="Palatino Linotype"/>
                <w:b/>
                <w:i/>
                <w:color w:val="000000"/>
              </w:rPr>
              <w:t xml:space="preserve">RECURRENTE </w:t>
            </w:r>
            <w:r w:rsidRPr="00190A09">
              <w:rPr>
                <w:rFonts w:ascii="Palatino Linotype" w:eastAsia="Palatino Linotype" w:hAnsi="Palatino Linotype" w:cs="Palatino Linotype"/>
                <w:i/>
                <w:color w:val="000000"/>
              </w:rPr>
              <w:t xml:space="preserve">para acceder a ellas. </w:t>
            </w:r>
          </w:p>
          <w:p w:rsidR="00C86E3C" w:rsidRPr="00190A09" w:rsidRDefault="00C86E3C" w:rsidP="002C3C62">
            <w:pPr>
              <w:ind w:right="78"/>
              <w:jc w:val="both"/>
              <w:rPr>
                <w:rFonts w:ascii="Palatino Linotype" w:eastAsia="Palatino Linotype" w:hAnsi="Palatino Linotype" w:cs="Palatino Linotype"/>
                <w:i/>
                <w:color w:val="000000"/>
              </w:rPr>
            </w:pPr>
          </w:p>
        </w:tc>
      </w:tr>
    </w:tbl>
    <w:p w:rsidR="00C073EB" w:rsidRPr="00190A09" w:rsidRDefault="00C073EB" w:rsidP="00C073EB">
      <w:pPr>
        <w:pBdr>
          <w:top w:val="nil"/>
          <w:left w:val="nil"/>
          <w:bottom w:val="nil"/>
          <w:right w:val="nil"/>
          <w:between w:val="nil"/>
        </w:pBdr>
        <w:ind w:left="720" w:right="616"/>
        <w:jc w:val="both"/>
        <w:rPr>
          <w:rFonts w:ascii="Palatino Linotype" w:eastAsia="Palatino Linotype" w:hAnsi="Palatino Linotype" w:cs="Palatino Linotype"/>
          <w:b/>
          <w:i/>
          <w:color w:val="000000"/>
        </w:rPr>
      </w:pPr>
    </w:p>
    <w:p w:rsidR="00C86E3C" w:rsidRPr="00190A09" w:rsidRDefault="00C86E3C"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Del cuadro de </w:t>
      </w:r>
      <w:r w:rsidR="005C193B" w:rsidRPr="00190A09">
        <w:rPr>
          <w:rFonts w:ascii="Palatino Linotype" w:eastAsia="Palatino Linotype" w:hAnsi="Palatino Linotype" w:cs="Palatino Linotype"/>
        </w:rPr>
        <w:t>análisis</w:t>
      </w:r>
      <w:r w:rsidRPr="00190A09">
        <w:rPr>
          <w:rFonts w:ascii="Palatino Linotype" w:eastAsia="Palatino Linotype" w:hAnsi="Palatino Linotype" w:cs="Palatino Linotype"/>
        </w:rPr>
        <w:t xml:space="preserve"> se determina que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colmo parcialmente el derecho de acceso a la información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toda vez que la entrega de los oficios no se hizo de manera completa, así mismo se clasificaron datos que no deben de ser clasificados como las firmas de los servidores públicos, ubicaciones de dependencias y nombres y firmar de representantes legales, situaciones que serán analizadas en los párrafos siguientes. </w:t>
      </w:r>
    </w:p>
    <w:p w:rsidR="00C86E3C" w:rsidRPr="00190A09" w:rsidRDefault="00C86E3C" w:rsidP="00C86E3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3845BF" w:rsidRPr="00190A09" w:rsidRDefault="003845BF"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primera línea, se debe de señalar que de acuerdo con el Manual General de Organización de la Secretaría de Movilidad, se observa que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se </w:t>
      </w:r>
      <w:r w:rsidR="00BD1348" w:rsidRPr="00190A09">
        <w:rPr>
          <w:rFonts w:ascii="Palatino Linotype" w:eastAsia="Palatino Linotype" w:hAnsi="Palatino Linotype" w:cs="Palatino Linotype"/>
        </w:rPr>
        <w:t xml:space="preserve">integra por las siguientes direcciones. </w:t>
      </w:r>
    </w:p>
    <w:p w:rsidR="00BD1348" w:rsidRPr="00190A09" w:rsidRDefault="00BD1348" w:rsidP="00BD1348">
      <w:pPr>
        <w:pStyle w:val="Prrafodelista"/>
        <w:rPr>
          <w:rFonts w:ascii="Palatino Linotype" w:eastAsia="Palatino Linotype" w:hAnsi="Palatino Linotype" w:cs="Palatino Linotype"/>
          <w:b/>
        </w:rPr>
      </w:pPr>
    </w:p>
    <w:tbl>
      <w:tblPr>
        <w:tblStyle w:val="Tablaconcuadrcula"/>
        <w:tblW w:w="0" w:type="auto"/>
        <w:jc w:val="center"/>
        <w:tblLook w:val="04A0" w:firstRow="1" w:lastRow="0" w:firstColumn="1" w:lastColumn="0" w:noHBand="0" w:noVBand="1"/>
      </w:tblPr>
      <w:tblGrid>
        <w:gridCol w:w="8828"/>
      </w:tblGrid>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Vialidad</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del Registro Estatal de Transporte Público</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Movilidad Zona I</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Movilidad Zona II</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Movilidad Zona III</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Movilidad Zona IV</w:t>
            </w:r>
          </w:p>
        </w:tc>
      </w:tr>
      <w:tr w:rsidR="008F3867" w:rsidRPr="00190A09" w:rsidTr="00190A09">
        <w:trPr>
          <w:jc w:val="center"/>
        </w:trPr>
        <w:tc>
          <w:tcPr>
            <w:tcW w:w="8828" w:type="dxa"/>
          </w:tcPr>
          <w:p w:rsidR="008F3867" w:rsidRPr="00190A09" w:rsidRDefault="008F3867" w:rsidP="008F3867">
            <w:pPr>
              <w:tabs>
                <w:tab w:val="left" w:pos="0"/>
              </w:tabs>
              <w:ind w:right="49"/>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Dirección General de Transporte Público Mexiquense</w:t>
            </w:r>
          </w:p>
        </w:tc>
      </w:tr>
    </w:tbl>
    <w:p w:rsidR="00BD1348" w:rsidRPr="00190A09" w:rsidRDefault="00BD1348" w:rsidP="00BD134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3845BF" w:rsidRPr="00190A09" w:rsidRDefault="003845BF" w:rsidP="003845BF">
      <w:pPr>
        <w:pStyle w:val="Prrafodelista"/>
        <w:rPr>
          <w:rFonts w:ascii="Palatino Linotype" w:eastAsia="Palatino Linotype" w:hAnsi="Palatino Linotype" w:cs="Palatino Linotype"/>
        </w:rPr>
      </w:pPr>
    </w:p>
    <w:p w:rsidR="00C65CF8" w:rsidRPr="00190A09" w:rsidRDefault="00C65CF8"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 la estructura de las direcciones y de la revisión de la información remitida se determina que la Dirección General de Transporte Público Mexiquense, no emitió pronunciamiento en respuesta inicial y tampoco en la etapa de manifestaciones, situación por la cual para colmar el derecho de acceso a la información del </w:t>
      </w:r>
      <w:r w:rsidRPr="00190A09">
        <w:rPr>
          <w:rFonts w:ascii="Palatino Linotype" w:eastAsia="Palatino Linotype" w:hAnsi="Palatino Linotype" w:cs="Palatino Linotype"/>
          <w:b/>
        </w:rPr>
        <w:t xml:space="preserve">RECURRRENTE </w:t>
      </w:r>
      <w:r w:rsidRPr="00190A09">
        <w:rPr>
          <w:rFonts w:ascii="Palatino Linotype" w:eastAsia="Palatino Linotype" w:hAnsi="Palatino Linotype" w:cs="Palatino Linotype"/>
        </w:rPr>
        <w:t xml:space="preserve">se tendrá que entregar los oficios firmados por el Director General de Transporte Público Mexiquense del mes de marzo de dos mil veinticuatro a febrero de dos mil veinticinco. </w:t>
      </w:r>
    </w:p>
    <w:p w:rsidR="00C65CF8" w:rsidRPr="00190A09" w:rsidRDefault="00C65CF8" w:rsidP="00C65CF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lastRenderedPageBreak/>
        <w:t xml:space="preserve">Resulta </w:t>
      </w:r>
      <w:r w:rsidRPr="00190A09">
        <w:rPr>
          <w:rFonts w:ascii="Palatino Linotype" w:eastAsia="Palatino Linotype" w:hAnsi="Palatino Linotype" w:cs="Palatino Linotype"/>
        </w:rPr>
        <w:t>necesario</w:t>
      </w:r>
      <w:r w:rsidRPr="00190A09">
        <w:rPr>
          <w:rFonts w:ascii="Palatino Linotype" w:eastAsia="Palatino Linotype" w:hAnsi="Palatino Linotype" w:cs="Palatino Linotype"/>
          <w:color w:val="000000"/>
        </w:rPr>
        <w:t xml:space="preserve">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Artículo 4.</w:t>
      </w:r>
      <w:r w:rsidRPr="00190A09">
        <w:rPr>
          <w:rFonts w:ascii="Palatino Linotype" w:eastAsia="Palatino Linotype" w:hAnsi="Palatino Linotype" w:cs="Palatino Linotype"/>
          <w:i/>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Artículo 12.</w:t>
      </w:r>
      <w:r w:rsidRPr="00190A09">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w:t>
      </w:r>
      <w:r w:rsidRPr="00190A09">
        <w:rPr>
          <w:rFonts w:ascii="Palatino Linotype" w:eastAsia="Palatino Linotype" w:hAnsi="Palatino Linotype" w:cs="Palatino Linotype"/>
        </w:rPr>
        <w:t>por</w:t>
      </w:r>
      <w:r w:rsidRPr="00190A09">
        <w:rPr>
          <w:rFonts w:ascii="Palatino Linotype" w:eastAsia="Palatino Linotype" w:hAnsi="Palatino Linotype" w:cs="Palatino Linotype"/>
          <w:color w:val="000000"/>
        </w:rPr>
        <w:t xml:space="preserve">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Robustece lo anterior la Tesis aislada identificada con la clave I.4º.A.40 A del Cuarto </w:t>
      </w:r>
      <w:r w:rsidRPr="00190A09">
        <w:rPr>
          <w:rFonts w:ascii="Palatino Linotype" w:eastAsia="Palatino Linotype" w:hAnsi="Palatino Linotype" w:cs="Palatino Linotype"/>
        </w:rPr>
        <w:t>Tribunal</w:t>
      </w:r>
      <w:r w:rsidRPr="00190A09">
        <w:rPr>
          <w:rFonts w:ascii="Palatino Linotype" w:eastAsia="Palatino Linotype" w:hAnsi="Palatino Linotype" w:cs="Palatino Linotype"/>
          <w:color w:val="000000"/>
        </w:rPr>
        <w:t xml:space="preserve"> colegiado en Materia Administrativa del Primer Circuito, publicada en el Seminario Judicial de la Federación y su Gaceta en el libro XVIII, Marzo 2013, Página 1899.</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ACCESO A LA INFORMACIÓN. IMPLICACIÓN DEL PRINCIPIO DE MÁXIMA PUBLICIDAD EN EL DERECHO FUNDAMENTAL RELATIVO.</w:t>
      </w:r>
      <w:r w:rsidRPr="00190A09">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w:t>
      </w:r>
      <w:r w:rsidRPr="00190A09">
        <w:rPr>
          <w:rFonts w:ascii="Palatino Linotype" w:eastAsia="Palatino Linotype" w:hAnsi="Palatino Linotype" w:cs="Palatino Linotype"/>
          <w:i/>
          <w:color w:val="000000"/>
        </w:rPr>
        <w:lastRenderedPageBreak/>
        <w:t xml:space="preserve">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w:t>
      </w:r>
      <w:r w:rsidRPr="00190A09">
        <w:rPr>
          <w:rFonts w:ascii="Palatino Linotype" w:eastAsia="Palatino Linotype" w:hAnsi="Palatino Linotype" w:cs="Palatino Linotype"/>
        </w:rPr>
        <w:t>transparencia</w:t>
      </w:r>
      <w:r w:rsidRPr="00190A09">
        <w:rPr>
          <w:rFonts w:ascii="Palatino Linotype" w:eastAsia="Palatino Linotype" w:hAnsi="Palatino Linotype" w:cs="Palatino Linotype"/>
          <w:color w:val="000000"/>
        </w:rPr>
        <w:t xml:space="preserve"> y máxima publicidad. </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Es pertinente enfatizar lo que respecto al derecho de acceso a la información </w:t>
      </w:r>
      <w:r w:rsidRPr="00190A09">
        <w:rPr>
          <w:rFonts w:ascii="Palatino Linotype" w:eastAsia="Palatino Linotype" w:hAnsi="Palatino Linotype" w:cs="Palatino Linotype"/>
        </w:rPr>
        <w:t>pública</w:t>
      </w:r>
      <w:r w:rsidRPr="00190A09">
        <w:rPr>
          <w:rFonts w:ascii="Palatino Linotype" w:eastAsia="Palatino Linotype" w:hAnsi="Palatino Linotype" w:cs="Palatino Linotype"/>
          <w:color w:val="000000"/>
        </w:rPr>
        <w:t>, refiere el artículo 6° de la Constitución Política de los Estados Unidos Mexicanos, que en su parte conducente señala:</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“Artículo 6o.</w:t>
      </w:r>
      <w:r w:rsidRPr="00190A09">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lastRenderedPageBreak/>
        <w:t>Toda persona tiene derecho al libre acceso a información plural y oportuna, así como a buscar, recibir y difundir información e ideas de toda índole por cualquier medio de expresión.</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Para efectos de lo dispuesto en el presente artículo se observará lo siguiente:</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numPr>
          <w:ilvl w:val="4"/>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Para el ejercicio del derecho de acceso a la información, la Federación, los Estados y el Distrito Federal, en el ámbito de sus respectivas competencias, se regirán por los siguientes principios y bases: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La información que se refiere a la vida privada y los datos personales será protegida en los términos y con las excepciones que fijen las leyes.</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Se establecerán mecanismos de acceso a la información y procedimientos de revisión expeditos que se sustanciarán ante los organismos autónomos especializados e imparciales que establece esta Constitución.</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 xml:space="preserve">Los sujetos obligados deberán preservar sus documentos en archivos administrativos actualizados y publicarán, a través de los medios electrónicos disponibles, la información completa y actualizada sobre el ejercicio de los </w:t>
      </w:r>
      <w:r w:rsidRPr="00190A09">
        <w:rPr>
          <w:rFonts w:ascii="Palatino Linotype" w:eastAsia="Palatino Linotype" w:hAnsi="Palatino Linotype" w:cs="Palatino Linotype"/>
          <w:i/>
          <w:color w:val="000000"/>
        </w:rPr>
        <w:lastRenderedPageBreak/>
        <w:t>recursos públicos y los indicadores que permitan rendir cuenta del cumplimiento de sus objetivos y de los resultados obtenidos.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Las leyes determinarán la manera en que los sujetos obligados deberán hacer pública la información relativa a los recursos públicos que entreguen a personas físicas o morales.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La inobservancia a las disposiciones en materia de acceso a la información pública será sancionada en los términos que dispongan las leyes.</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La ley establecerá aquella información que se considere reservada o confidencial.”</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Por su parte, la Constitución Política del Estado Libre y Soberano de México, en su </w:t>
      </w:r>
      <w:r w:rsidRPr="00190A09">
        <w:rPr>
          <w:rFonts w:ascii="Palatino Linotype" w:eastAsia="Palatino Linotype" w:hAnsi="Palatino Linotype" w:cs="Palatino Linotype"/>
        </w:rPr>
        <w:t>artículo</w:t>
      </w:r>
      <w:r w:rsidRPr="00190A09">
        <w:rPr>
          <w:rFonts w:ascii="Palatino Linotype" w:eastAsia="Palatino Linotype" w:hAnsi="Palatino Linotype" w:cs="Palatino Linotype"/>
          <w:color w:val="000000"/>
        </w:rPr>
        <w:t xml:space="preserve"> 5°, dispone en su parte conducente, lo siguiente:</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“Artículo 5. … </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El derecho a la información será garantizado por el Estado</w:t>
      </w:r>
      <w:r w:rsidRPr="00190A09">
        <w:rPr>
          <w:rFonts w:ascii="Palatino Linotype" w:eastAsia="Palatino Linotype" w:hAnsi="Palatino Linotype" w:cs="Palatino Linotype"/>
          <w:i/>
          <w:color w:val="000000"/>
        </w:rPr>
        <w:t xml:space="preserve">. La ley establecerá las previsiones que permitan asegurar la protección, el respeto y la difusión de este derecho. </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Este derecho se regirá por los principios y bases siguientes:</w:t>
      </w:r>
    </w:p>
    <w:p w:rsidR="00C65CF8" w:rsidRPr="00190A09" w:rsidRDefault="00C65CF8" w:rsidP="00C65CF8">
      <w:pPr>
        <w:ind w:left="567" w:right="900"/>
        <w:jc w:val="both"/>
        <w:rPr>
          <w:rFonts w:ascii="Palatino Linotype" w:eastAsia="Palatino Linotype" w:hAnsi="Palatino Linotype" w:cs="Palatino Linotype"/>
          <w:i/>
          <w:color w:val="000000"/>
        </w:rPr>
      </w:pP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Toda la información en posesión de cualquier autoridad</w:t>
      </w:r>
      <w:r w:rsidRPr="00190A09">
        <w:rPr>
          <w:rFonts w:ascii="Palatino Linotype" w:eastAsia="Palatino Linotype" w:hAnsi="Palatino Linotype" w:cs="Palatino Linotype"/>
          <w:i/>
          <w:color w:val="000000"/>
        </w:rPr>
        <w:t xml:space="preserve">, entidad, órgano y organismos de los Poderes Ejecutivo, Legislativo y Judicial, órganos </w:t>
      </w:r>
      <w:r w:rsidRPr="00190A09">
        <w:rPr>
          <w:rFonts w:ascii="Palatino Linotype" w:eastAsia="Palatino Linotype" w:hAnsi="Palatino Linotype" w:cs="Palatino Linotype"/>
          <w:i/>
          <w:color w:val="000000"/>
        </w:rPr>
        <w:lastRenderedPageBreak/>
        <w:t xml:space="preserve">autónomos, partidos políticos, fideicomisos y fondos públicos estatales y municipales, </w:t>
      </w:r>
      <w:r w:rsidRPr="00190A09">
        <w:rPr>
          <w:rFonts w:ascii="Palatino Linotype" w:eastAsia="Palatino Linotype" w:hAnsi="Palatino Linotype" w:cs="Palatino Linotype"/>
          <w:b/>
          <w:i/>
          <w:color w:val="000000"/>
        </w:rPr>
        <w:t>así como del gobierno y de la administración pública municipal y sus organismos descentralizados</w:t>
      </w:r>
      <w:r w:rsidRPr="00190A09">
        <w:rPr>
          <w:rFonts w:ascii="Palatino Linotype" w:eastAsia="Palatino Linotype" w:hAnsi="Palatino Linotype" w:cs="Palatino Linotype"/>
          <w:i/>
          <w:color w:val="000000"/>
        </w:rPr>
        <w:t xml:space="preserve">, asimismo de cualquier persona física, jurídica colectiva o sindicato que reciba y ejerza recursos públicos o realice actos de autoridad en el ámbito estatal y municipal, </w:t>
      </w:r>
      <w:r w:rsidRPr="00190A09">
        <w:rPr>
          <w:rFonts w:ascii="Palatino Linotype" w:eastAsia="Palatino Linotype" w:hAnsi="Palatino Linotype" w:cs="Palatino Linotype"/>
          <w:b/>
          <w:i/>
          <w:color w:val="000000"/>
        </w:rPr>
        <w:t>es pública</w:t>
      </w:r>
      <w:r w:rsidRPr="00190A09">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Se establecerán mecanismos de acceso a la información y procedimientos de revisión expeditos que se sustanciarán ante el organismo autónomo especializado e imparcial que establece esta Constitución.</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Los sujetos obligados deberán preservar sus documentos en archivos administrativos actualizados y publicarán, a través de los medios electrónicos disponibles, la información completa y actualizada sobre el ejercicio de los recursos públicos</w:t>
      </w:r>
      <w:r w:rsidRPr="00190A09">
        <w:rPr>
          <w:rFonts w:ascii="Palatino Linotype" w:eastAsia="Palatino Linotype" w:hAnsi="Palatino Linotype" w:cs="Palatino Linotype"/>
          <w:i/>
          <w:color w:val="000000"/>
        </w:rPr>
        <w:t xml:space="preserve"> y los indicadores que permitan rendir cuenta del cumplimiento de sus objetivos y los resultados obtenidos.</w:t>
      </w:r>
    </w:p>
    <w:p w:rsidR="00C65CF8" w:rsidRPr="00190A09" w:rsidRDefault="00C65CF8" w:rsidP="00C65CF8">
      <w:pPr>
        <w:numPr>
          <w:ilvl w:val="3"/>
          <w:numId w:val="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lastRenderedPageBreak/>
        <w:t>La ley reglamentaria, determinará la manera en que los sujetos obligados deberán hacer pública la información relativa a los recursos públicos que entreguen a personas físicas o jurídicas colectivas.”</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Adicional, tenemos que la Ley de Transparencia y Acceso a la Información </w:t>
      </w:r>
      <w:r w:rsidRPr="00190A09">
        <w:rPr>
          <w:rFonts w:ascii="Palatino Linotype" w:eastAsia="Palatino Linotype" w:hAnsi="Palatino Linotype" w:cs="Palatino Linotype"/>
        </w:rPr>
        <w:t>Pública</w:t>
      </w:r>
      <w:r w:rsidRPr="00190A09">
        <w:rPr>
          <w:rFonts w:ascii="Palatino Linotype" w:eastAsia="Palatino Linotype" w:hAnsi="Palatino Linotype" w:cs="Palatino Linotype"/>
          <w:color w:val="000000"/>
        </w:rPr>
        <w:t xml:space="preserve"> del Estado de México y Municipios, prevé en su artículo 23 fracción I, lo siguiente:</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“Artículo 23.</w:t>
      </w:r>
      <w:r w:rsidRPr="00190A09">
        <w:rPr>
          <w:rFonts w:ascii="Palatino Linotype" w:eastAsia="Palatino Linotype" w:hAnsi="Palatino Linotype" w:cs="Palatino Linotype"/>
          <w:i/>
          <w:color w:val="000000"/>
        </w:rPr>
        <w:t xml:space="preserve"> Son sujetos obligados a transparentar y permitir el acceso a su información y proteger los datos personales que obren en su poder:</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 xml:space="preserve">I. El Poder Ejecutivo del Estado de México, las dependencias, organismos auxiliares, órganos, entidades, fideicomisos y fondos públicos, así como la Fiscalía General de Justicia del Estado de México; </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w:t>
      </w: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C65CF8" w:rsidRPr="00190A09" w:rsidRDefault="00C65CF8" w:rsidP="00C65CF8">
      <w:pPr>
        <w:ind w:left="1134" w:right="900"/>
        <w:jc w:val="both"/>
        <w:rPr>
          <w:rFonts w:ascii="Palatino Linotype" w:eastAsia="Palatino Linotype" w:hAnsi="Palatino Linotype" w:cs="Palatino Linotype"/>
          <w:i/>
          <w:color w:val="000000"/>
        </w:rPr>
      </w:pPr>
    </w:p>
    <w:p w:rsidR="00C65CF8" w:rsidRPr="00190A09" w:rsidRDefault="00C65CF8" w:rsidP="00C65CF8">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Los servidores públicos deberán transparentar sus acciones así como garantizar y respetar el derecho de acceso a la información pública.”</w:t>
      </w:r>
    </w:p>
    <w:p w:rsidR="00C65CF8" w:rsidRPr="00190A09" w:rsidRDefault="00C65CF8" w:rsidP="00C65CF8">
      <w:pPr>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C65CF8" w:rsidRPr="00190A09" w:rsidRDefault="00C65CF8" w:rsidP="00C65CF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C65CF8" w:rsidRPr="00190A09" w:rsidRDefault="00C65CF8" w:rsidP="00C65CF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Por lo anterior, es de referir que, la </w:t>
      </w:r>
      <w:r w:rsidRPr="00190A09">
        <w:rPr>
          <w:rFonts w:ascii="Palatino Linotype" w:eastAsia="Palatino Linotype" w:hAnsi="Palatino Linotype" w:cs="Palatino Linotype"/>
          <w:b/>
          <w:color w:val="000000"/>
        </w:rPr>
        <w:t>Secretaría de Movilidad</w:t>
      </w:r>
      <w:r w:rsidRPr="00190A09">
        <w:rPr>
          <w:rFonts w:ascii="Palatino Linotype" w:eastAsia="Palatino Linotype" w:hAnsi="Palatino Linotype" w:cs="Palatino Linotype"/>
          <w:color w:val="000000"/>
        </w:rPr>
        <w:t xml:space="preserve">, al ser un Sujeto </w:t>
      </w:r>
      <w:r w:rsidRPr="00190A09">
        <w:rPr>
          <w:rFonts w:ascii="Palatino Linotype" w:eastAsia="Palatino Linotype" w:hAnsi="Palatino Linotype" w:cs="Palatino Linotype"/>
        </w:rPr>
        <w:t>Obligado</w:t>
      </w:r>
      <w:r w:rsidRPr="00190A09">
        <w:rPr>
          <w:rFonts w:ascii="Palatino Linotype" w:eastAsia="Palatino Linotype" w:hAnsi="Palatino Linotype" w:cs="Palatino Linotype"/>
          <w:color w:val="000000"/>
        </w:rPr>
        <w:t xml:space="preserve"> comprendido por la Legislación Local en materia de Transparencia, se encuentra obligado a hacer pública toda aquella información que genere, administre o posea.</w:t>
      </w:r>
    </w:p>
    <w:p w:rsidR="00C65CF8" w:rsidRPr="00190A09" w:rsidRDefault="00C65CF8"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lastRenderedPageBreak/>
        <w:t xml:space="preserve">Ahora bien, por cuanto hace a la </w:t>
      </w:r>
      <w:r w:rsidRPr="00190A09">
        <w:rPr>
          <w:rFonts w:ascii="Palatino Linotype" w:eastAsia="Palatino Linotype" w:hAnsi="Palatino Linotype" w:cs="Palatino Linotype"/>
          <w:b/>
        </w:rPr>
        <w:t>Dirección General de Movilidad Zona I</w:t>
      </w:r>
      <w:r w:rsidR="00EF445F" w:rsidRPr="00190A09">
        <w:rPr>
          <w:rFonts w:ascii="Palatino Linotype" w:eastAsia="Palatino Linotype" w:hAnsi="Palatino Linotype" w:cs="Palatino Linotype"/>
          <w:b/>
        </w:rPr>
        <w:t xml:space="preserve">, </w:t>
      </w:r>
      <w:r w:rsidR="00EF445F" w:rsidRPr="00190A09">
        <w:rPr>
          <w:rFonts w:ascii="Palatino Linotype" w:eastAsia="Palatino Linotype" w:hAnsi="Palatino Linotype" w:cs="Palatino Linotype"/>
        </w:rPr>
        <w:t xml:space="preserve">se debe de analizar que se hizo entrega de la siguiente información. </w:t>
      </w:r>
    </w:p>
    <w:p w:rsidR="00EF445F" w:rsidRPr="00190A09" w:rsidRDefault="00EF445F" w:rsidP="00EF445F">
      <w:pPr>
        <w:ind w:left="1134" w:right="900"/>
        <w:jc w:val="both"/>
        <w:rPr>
          <w:rFonts w:ascii="Palatino Linotype" w:hAnsi="Palatino Linotype"/>
          <w:i/>
        </w:rPr>
      </w:pPr>
      <w:r w:rsidRPr="00190A09">
        <w:rPr>
          <w:rFonts w:ascii="Palatino Linotype" w:hAnsi="Palatino Linotype"/>
          <w:b/>
          <w:i/>
        </w:rPr>
        <w:t xml:space="preserve">24_complemento.pdf: </w:t>
      </w:r>
      <w:r w:rsidRPr="00190A09">
        <w:rPr>
          <w:rFonts w:ascii="Palatino Linotype" w:hAnsi="Palatino Linotype"/>
          <w:i/>
        </w:rPr>
        <w:t>oficios de la Dirección General de Movilidad Zona I, de los cuales del folio 1341 se saltan al 1362, del 1362 al 1397, del 1398 al 1443, del 1452 al 1459, del 1460 al 1523, del año dos mil veinticuatro.</w:t>
      </w:r>
    </w:p>
    <w:p w:rsidR="00EF445F" w:rsidRPr="00190A09" w:rsidRDefault="00EF445F" w:rsidP="00EF445F">
      <w:pPr>
        <w:ind w:left="1134" w:right="900"/>
        <w:jc w:val="both"/>
        <w:rPr>
          <w:rFonts w:ascii="Palatino Linotype" w:hAnsi="Palatino Linotype"/>
          <w:i/>
        </w:rPr>
      </w:pPr>
      <w:r w:rsidRPr="00190A09">
        <w:rPr>
          <w:rFonts w:ascii="Palatino Linotype" w:hAnsi="Palatino Linotype"/>
          <w:b/>
          <w:i/>
        </w:rPr>
        <w:t xml:space="preserve">25_complemento.pdf: </w:t>
      </w:r>
      <w:r w:rsidRPr="00190A09">
        <w:rPr>
          <w:rFonts w:ascii="Palatino Linotype" w:hAnsi="Palatino Linotype"/>
          <w:i/>
        </w:rPr>
        <w:t xml:space="preserve">oficio de la Dirección General de Movilidad Zona I, del mes de enero y febrero de 2025, de los cuales se observa que hacen falta folios, así como la clasificación de datos que no debieron de ser clasificados como lo es la información de las copias que se giran de los oficios en las distintas áreas de la Secretaría de Movilidad. </w:t>
      </w:r>
    </w:p>
    <w:p w:rsidR="00EF445F" w:rsidRPr="00190A09" w:rsidRDefault="00EF445F" w:rsidP="00EF445F">
      <w:pPr>
        <w:ind w:left="1134" w:right="900"/>
        <w:jc w:val="both"/>
        <w:rPr>
          <w:rFonts w:ascii="Palatino Linotype" w:hAnsi="Palatino Linotype"/>
          <w:i/>
        </w:rPr>
      </w:pPr>
      <w:r w:rsidRPr="00190A09">
        <w:rPr>
          <w:rFonts w:ascii="Palatino Linotype" w:hAnsi="Palatino Linotype"/>
          <w:b/>
          <w:i/>
        </w:rPr>
        <w:t xml:space="preserve">Oficios_2025.pdf: </w:t>
      </w:r>
      <w:r w:rsidRPr="00190A09">
        <w:rPr>
          <w:rFonts w:ascii="Palatino Linotype" w:hAnsi="Palatino Linotype"/>
          <w:i/>
        </w:rPr>
        <w:t xml:space="preserve">documento que contiene oficios de la Dirección General de Movilidad Zona I, de enero a febrero de dos mil veinticinco, de los cuales  se observa que hacen falta los folios 64, 66, 67, 68, 76, 77, 78, 79, 97, 107, 124, 125, 134, 146, 147, 148, 149 y del 157 al 180, de manera enunciativa más no limitativa </w:t>
      </w:r>
    </w:p>
    <w:p w:rsidR="00EF445F" w:rsidRPr="00190A09" w:rsidRDefault="00EF445F" w:rsidP="00EF445F">
      <w:pPr>
        <w:ind w:left="1134" w:right="900"/>
        <w:jc w:val="both"/>
        <w:rPr>
          <w:rFonts w:ascii="Palatino Linotype" w:hAnsi="Palatino Linotype"/>
          <w:i/>
        </w:rPr>
      </w:pPr>
      <w:r w:rsidRPr="00190A09">
        <w:rPr>
          <w:rFonts w:ascii="Palatino Linotype" w:hAnsi="Palatino Linotype"/>
          <w:b/>
          <w:i/>
        </w:rPr>
        <w:t xml:space="preserve">Oficios_2024.pdf: </w:t>
      </w:r>
      <w:r w:rsidRPr="00190A09">
        <w:rPr>
          <w:rFonts w:ascii="Palatino Linotype" w:hAnsi="Palatino Linotype"/>
          <w:i/>
        </w:rPr>
        <w:t xml:space="preserve">oficios de la Dirección General de Movilidad Zona I, que inician en el mes de marzo de 2024 con el folio 148, faltando folios de manera enunciativa más no limitativa 209, 220, 223, 224, 225, 226, 228, 230, 245 246, 253. </w:t>
      </w:r>
    </w:p>
    <w:p w:rsidR="00C65CF8" w:rsidRPr="00190A09" w:rsidRDefault="00EF445F" w:rsidP="00EF445F">
      <w:pPr>
        <w:ind w:left="1134" w:right="900"/>
        <w:jc w:val="both"/>
        <w:rPr>
          <w:rFonts w:ascii="Palatino Linotype" w:hAnsi="Palatino Linotype"/>
          <w:i/>
        </w:rPr>
      </w:pPr>
      <w:r w:rsidRPr="00190A09">
        <w:rPr>
          <w:rFonts w:ascii="Palatino Linotype" w:hAnsi="Palatino Linotype"/>
          <w:i/>
        </w:rPr>
        <w:t xml:space="preserve">Del contenido de los oficios de observa que entregan hasta el 19 de diciembre de dos mil veinticuatro. </w:t>
      </w:r>
    </w:p>
    <w:p w:rsidR="00EF445F" w:rsidRDefault="00EF445F" w:rsidP="00EF445F">
      <w:pPr>
        <w:ind w:left="1134" w:right="900"/>
        <w:jc w:val="both"/>
        <w:rPr>
          <w:rFonts w:ascii="Palatino Linotype" w:hAnsi="Palatino Linotype"/>
          <w:i/>
        </w:rPr>
      </w:pPr>
    </w:p>
    <w:p w:rsidR="00190A09" w:rsidRPr="00190A09" w:rsidRDefault="00190A09" w:rsidP="00EF445F">
      <w:pPr>
        <w:ind w:left="1134" w:right="900"/>
        <w:jc w:val="both"/>
        <w:rPr>
          <w:rFonts w:ascii="Palatino Linotype" w:hAnsi="Palatino Linotype"/>
          <w:i/>
        </w:rPr>
      </w:pPr>
    </w:p>
    <w:p w:rsidR="00EF445F" w:rsidRPr="00190A09" w:rsidRDefault="00EF445F"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 la información entregada </w:t>
      </w:r>
      <w:r w:rsidR="002002D2" w:rsidRPr="00190A09">
        <w:rPr>
          <w:rFonts w:ascii="Palatino Linotype" w:eastAsia="Palatino Linotype" w:hAnsi="Palatino Linotype" w:cs="Palatino Linotype"/>
        </w:rPr>
        <w:t xml:space="preserve">se tiene como primer punto que la entrega de los oficios se encuentran incompletos en los folios situación por la cual para colmar el derecho de acceso a la información del </w:t>
      </w:r>
      <w:r w:rsidR="002002D2" w:rsidRPr="00190A09">
        <w:rPr>
          <w:rFonts w:ascii="Palatino Linotype" w:eastAsia="Palatino Linotype" w:hAnsi="Palatino Linotype" w:cs="Palatino Linotype"/>
          <w:b/>
        </w:rPr>
        <w:t xml:space="preserve">RECURRENTE </w:t>
      </w:r>
      <w:r w:rsidR="002002D2" w:rsidRPr="00190A09">
        <w:rPr>
          <w:rFonts w:ascii="Palatino Linotype" w:eastAsia="Palatino Linotype" w:hAnsi="Palatino Linotype" w:cs="Palatino Linotype"/>
        </w:rPr>
        <w:t xml:space="preserve">el </w:t>
      </w:r>
      <w:r w:rsidR="002002D2" w:rsidRPr="00190A09">
        <w:rPr>
          <w:rFonts w:ascii="Palatino Linotype" w:eastAsia="Palatino Linotype" w:hAnsi="Palatino Linotype" w:cs="Palatino Linotype"/>
          <w:b/>
        </w:rPr>
        <w:t xml:space="preserve">SUJETO OBLIGADO </w:t>
      </w:r>
      <w:r w:rsidR="002002D2" w:rsidRPr="00190A09">
        <w:rPr>
          <w:rFonts w:ascii="Palatino Linotype" w:eastAsia="Palatino Linotype" w:hAnsi="Palatino Linotype" w:cs="Palatino Linotype"/>
        </w:rPr>
        <w:t xml:space="preserve">tendrá que hacer entrega de los folios faltantes, sin embargo de ser el caso que dichos folios hubieran sido cancelados bastará con que se haga del conocimiento del </w:t>
      </w:r>
      <w:r w:rsidR="002002D2" w:rsidRPr="00190A09">
        <w:rPr>
          <w:rFonts w:ascii="Palatino Linotype" w:eastAsia="Palatino Linotype" w:hAnsi="Palatino Linotype" w:cs="Palatino Linotype"/>
          <w:b/>
        </w:rPr>
        <w:t xml:space="preserve">RECURRENTE </w:t>
      </w:r>
      <w:r w:rsidR="002002D2" w:rsidRPr="00190A09">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2002D2" w:rsidRPr="00190A09" w:rsidRDefault="002002D2" w:rsidP="002002D2">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2002D2" w:rsidRPr="00190A09" w:rsidRDefault="002002D2"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Ahora bien, respecto del contenido de la entrega de los oficios de la Dirección General Zona, se tiene que se clasificaron datos que no debieron de ser clasificados como a continuación de muestra. </w:t>
      </w:r>
    </w:p>
    <w:p w:rsidR="00A929AE" w:rsidRPr="00190A09" w:rsidRDefault="00A929AE" w:rsidP="00A929AE">
      <w:pPr>
        <w:pStyle w:val="Prrafodelista"/>
        <w:rPr>
          <w:rFonts w:ascii="Palatino Linotype" w:eastAsia="Palatino Linotype" w:hAnsi="Palatino Linotype" w:cs="Palatino Linotype"/>
          <w:b/>
        </w:rPr>
      </w:pPr>
    </w:p>
    <w:p w:rsidR="00A929AE" w:rsidRPr="00190A09" w:rsidRDefault="00190A09" w:rsidP="00A929A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58240" behindDoc="0" locked="0" layoutInCell="1" allowOverlap="1">
            <wp:simplePos x="0" y="0"/>
            <wp:positionH relativeFrom="column">
              <wp:posOffset>71660</wp:posOffset>
            </wp:positionH>
            <wp:positionV relativeFrom="paragraph">
              <wp:posOffset>164022</wp:posOffset>
            </wp:positionV>
            <wp:extent cx="2967990" cy="2766695"/>
            <wp:effectExtent l="152400" t="152400" r="365760" b="3575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7990" cy="27666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90A09">
        <w:rPr>
          <w:rFonts w:ascii="Palatino Linotype" w:eastAsia="Palatino Linotype" w:hAnsi="Palatino Linotype" w:cs="Palatino Linotype"/>
          <w:b/>
          <w:noProof/>
        </w:rPr>
        <w:drawing>
          <wp:anchor distT="0" distB="0" distL="114300" distR="114300" simplePos="0" relativeHeight="251659264" behindDoc="0" locked="0" layoutInCell="1" allowOverlap="1">
            <wp:simplePos x="0" y="0"/>
            <wp:positionH relativeFrom="column">
              <wp:posOffset>3737622</wp:posOffset>
            </wp:positionH>
            <wp:positionV relativeFrom="paragraph">
              <wp:posOffset>156821</wp:posOffset>
            </wp:positionV>
            <wp:extent cx="2565779" cy="2793383"/>
            <wp:effectExtent l="152400" t="152400" r="368300" b="3689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5779" cy="279338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Palatino Linotype" w:eastAsia="Palatino Linotype" w:hAnsi="Palatino Linotype" w:cs="Palatino Linotype"/>
          <w:b/>
          <w:noProof/>
        </w:rPr>
        <w:t xml:space="preserve">    </w:t>
      </w:r>
    </w:p>
    <w:p w:rsidR="002002D2" w:rsidRPr="00190A09" w:rsidRDefault="002002D2" w:rsidP="002002D2">
      <w:pPr>
        <w:pStyle w:val="Prrafodelista"/>
        <w:rPr>
          <w:rFonts w:ascii="Palatino Linotype" w:eastAsia="Palatino Linotype" w:hAnsi="Palatino Linotype" w:cs="Palatino Linotype"/>
          <w:b/>
        </w:rPr>
      </w:pPr>
    </w:p>
    <w:p w:rsidR="002002D2" w:rsidRPr="00190A09" w:rsidRDefault="002002D2" w:rsidP="00A929AE">
      <w:pPr>
        <w:rPr>
          <w:rFonts w:ascii="Palatino Linotype" w:eastAsia="Palatino Linotype" w:hAnsi="Palatino Linotype" w:cs="Palatino Linotype"/>
          <w:b/>
        </w:rPr>
      </w:pPr>
    </w:p>
    <w:p w:rsidR="002002D2" w:rsidRPr="00190A09" w:rsidRDefault="002002D2" w:rsidP="00992F6A">
      <w:pPr>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A929AE" w:rsidRPr="00190A09" w:rsidRDefault="00A929AE" w:rsidP="002002D2">
      <w:pPr>
        <w:pStyle w:val="Prrafodelista"/>
        <w:rPr>
          <w:rFonts w:ascii="Palatino Linotype" w:eastAsia="Palatino Linotype" w:hAnsi="Palatino Linotype" w:cs="Palatino Linotype"/>
          <w:b/>
        </w:rPr>
      </w:pPr>
    </w:p>
    <w:p w:rsidR="002002D2" w:rsidRPr="00190A09" w:rsidRDefault="002002D2" w:rsidP="002002D2">
      <w:pPr>
        <w:pStyle w:val="Prrafodelista"/>
        <w:rPr>
          <w:rFonts w:ascii="Palatino Linotype" w:eastAsia="Palatino Linotype" w:hAnsi="Palatino Linotype" w:cs="Palatino Linotype"/>
          <w:b/>
        </w:rPr>
      </w:pPr>
    </w:p>
    <w:p w:rsidR="00B87BF9" w:rsidRPr="00190A09" w:rsidRDefault="00B87BF9"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esa línea, se tiene que de manera enunciativa más no limitativa se localizó información en oficios que no debió de ser clasificada como confidencial, tal y como es la firma de los servidores públicos en oficios y los datos del archivo minutario, situación por la cual se analiza lo siguiente. </w:t>
      </w:r>
    </w:p>
    <w:p w:rsidR="00B87BF9" w:rsidRPr="00190A09" w:rsidRDefault="00B87BF9" w:rsidP="00B87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3E4BC1" w:rsidRPr="00190A09" w:rsidRDefault="00992F6A" w:rsidP="003E4BC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lang w:eastAsia="es-ES"/>
        </w:rPr>
      </w:pPr>
      <w:r w:rsidRPr="00190A09">
        <w:rPr>
          <w:rFonts w:ascii="Palatino Linotype" w:eastAsia="Calibri" w:hAnsi="Palatino Linotype"/>
          <w:lang w:eastAsia="es-ES"/>
        </w:rPr>
        <w:t>D</w:t>
      </w:r>
      <w:r w:rsidR="003E4BC1" w:rsidRPr="00190A09">
        <w:rPr>
          <w:rFonts w:ascii="Palatino Linotype" w:eastAsia="Calibri" w:hAnsi="Palatino Linotype"/>
          <w:lang w:eastAsia="es-ES"/>
        </w:rPr>
        <w:t>e acuerdo con el siguiente criterio del INAI,</w:t>
      </w:r>
      <w:r w:rsidRPr="00190A09">
        <w:rPr>
          <w:rFonts w:ascii="Palatino Linotype" w:eastAsia="Calibri" w:hAnsi="Palatino Linotype"/>
          <w:lang w:eastAsia="es-ES"/>
        </w:rPr>
        <w:t xml:space="preserve"> utilizado de manera orientadora se analiza que</w:t>
      </w:r>
      <w:r w:rsidR="003E4BC1" w:rsidRPr="00190A09">
        <w:rPr>
          <w:rFonts w:ascii="Palatino Linotype" w:eastAsia="Calibri" w:hAnsi="Palatino Linotype"/>
          <w:lang w:eastAsia="es-ES"/>
        </w:rPr>
        <w:t xml:space="preserve"> la firma de los servidores públicos debe de ser pública. </w:t>
      </w:r>
    </w:p>
    <w:p w:rsidR="003E4BC1" w:rsidRPr="00190A09" w:rsidRDefault="003E4BC1" w:rsidP="003E4BC1">
      <w:pPr>
        <w:tabs>
          <w:tab w:val="left" w:pos="284"/>
        </w:tabs>
        <w:spacing w:before="240" w:after="240"/>
        <w:ind w:left="1134" w:right="900"/>
        <w:contextualSpacing/>
        <w:jc w:val="both"/>
        <w:rPr>
          <w:rFonts w:ascii="Palatino Linotype" w:eastAsia="Calibri" w:hAnsi="Palatino Linotype"/>
          <w:i/>
          <w:lang w:eastAsia="es-ES"/>
        </w:rPr>
      </w:pPr>
      <w:r w:rsidRPr="00190A09">
        <w:rPr>
          <w:rFonts w:ascii="Palatino Linotype" w:eastAsia="Calibri" w:hAnsi="Palatino Linotype"/>
          <w:b/>
          <w:i/>
          <w:lang w:eastAsia="es-ES"/>
        </w:rPr>
        <w:t>02/19</w:t>
      </w:r>
      <w:r w:rsidRPr="00190A09">
        <w:rPr>
          <w:rFonts w:ascii="Palatino Linotype" w:eastAsia="Calibri" w:hAnsi="Palatino Linotype"/>
          <w:i/>
          <w:lang w:eastAsia="es-ES"/>
        </w:rPr>
        <w:t xml:space="preserve"> </w:t>
      </w:r>
    </w:p>
    <w:p w:rsidR="003E4BC1" w:rsidRPr="00190A09" w:rsidRDefault="003E4BC1" w:rsidP="003E4BC1">
      <w:pPr>
        <w:tabs>
          <w:tab w:val="left" w:pos="284"/>
        </w:tabs>
        <w:spacing w:before="240" w:after="240"/>
        <w:ind w:left="1134" w:right="900"/>
        <w:contextualSpacing/>
        <w:jc w:val="both"/>
        <w:rPr>
          <w:rFonts w:ascii="Palatino Linotype" w:eastAsia="Calibri" w:hAnsi="Palatino Linotype"/>
          <w:i/>
          <w:lang w:eastAsia="es-ES"/>
        </w:rPr>
      </w:pPr>
      <w:r w:rsidRPr="00190A09">
        <w:rPr>
          <w:rFonts w:ascii="Palatino Linotype" w:eastAsia="Calibri" w:hAnsi="Palatino Linotype"/>
          <w:b/>
          <w:i/>
          <w:lang w:eastAsia="es-ES"/>
        </w:rPr>
        <w:t>Firma y rúbrica de servidores públicos.</w:t>
      </w:r>
      <w:r w:rsidRPr="00190A09">
        <w:rPr>
          <w:rFonts w:ascii="Palatino Linotype" w:eastAsia="Calibri" w:hAnsi="Palatino Linotype"/>
          <w:i/>
          <w:lang w:eastAsia="es-ES"/>
        </w:rPr>
        <w:t xml:space="preserve"> </w:t>
      </w:r>
    </w:p>
    <w:p w:rsidR="003E4BC1" w:rsidRPr="00190A09" w:rsidRDefault="003E4BC1" w:rsidP="003E4BC1">
      <w:pPr>
        <w:tabs>
          <w:tab w:val="left" w:pos="284"/>
        </w:tabs>
        <w:spacing w:before="240" w:after="240"/>
        <w:ind w:left="1134" w:right="900"/>
        <w:contextualSpacing/>
        <w:jc w:val="both"/>
        <w:rPr>
          <w:rFonts w:ascii="Palatino Linotype" w:eastAsia="Calibri" w:hAnsi="Palatino Linotype"/>
          <w:i/>
          <w:lang w:eastAsia="es-ES"/>
        </w:rPr>
      </w:pPr>
      <w:r w:rsidRPr="00190A09">
        <w:rPr>
          <w:rFonts w:ascii="Palatino Linotype" w:eastAsia="Calibri" w:hAnsi="Palatino Linotype"/>
          <w:i/>
          <w:lang w:eastAsia="es-ES"/>
        </w:rPr>
        <w:lastRenderedPageBreak/>
        <w:t xml:space="preserve">Si bien la firma y la rúbrica son datos confidenciales, cuando un servidor público emite un acto como autoridad, en ejercicio de las funciones que tiene conferidas, la firma o rúbrica mediante la cual se valida dicho acto es pública. </w:t>
      </w:r>
      <w:hyperlink r:id="rId9" w:history="1">
        <w:r w:rsidRPr="00190A09">
          <w:rPr>
            <w:rStyle w:val="Hipervnculo"/>
            <w:rFonts w:ascii="Palatino Linotype" w:eastAsia="Calibri" w:hAnsi="Palatino Linotype"/>
            <w:i/>
            <w:lang w:eastAsia="es-ES"/>
          </w:rPr>
          <w:t>http://criteriosdeinterpretacion.inai.org.mx/Criterios/02-19.docx</w:t>
        </w:r>
      </w:hyperlink>
      <w:r w:rsidRPr="00190A09">
        <w:rPr>
          <w:rFonts w:ascii="Palatino Linotype" w:eastAsia="Calibri" w:hAnsi="Palatino Linotype"/>
          <w:i/>
          <w:lang w:eastAsia="es-ES"/>
        </w:rPr>
        <w:t xml:space="preserve"> </w:t>
      </w:r>
    </w:p>
    <w:p w:rsidR="003E4BC1" w:rsidRPr="00190A09" w:rsidRDefault="003E4BC1" w:rsidP="003E4BC1">
      <w:pPr>
        <w:tabs>
          <w:tab w:val="left" w:pos="284"/>
        </w:tabs>
        <w:spacing w:before="240" w:after="240"/>
        <w:ind w:left="1134" w:right="900"/>
        <w:contextualSpacing/>
        <w:jc w:val="both"/>
        <w:rPr>
          <w:rFonts w:ascii="Palatino Linotype" w:eastAsia="Calibri" w:hAnsi="Palatino Linotype"/>
          <w:i/>
          <w:lang w:eastAsia="es-ES"/>
        </w:rPr>
      </w:pPr>
    </w:p>
    <w:p w:rsidR="003E4BC1" w:rsidRPr="00190A09" w:rsidRDefault="003E4BC1" w:rsidP="003E4BC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lang w:eastAsia="es-ES"/>
        </w:rPr>
      </w:pPr>
      <w:r w:rsidRPr="00190A09">
        <w:rPr>
          <w:rFonts w:ascii="Palatino Linotype" w:eastAsia="Calibri" w:hAnsi="Palatino Linotype"/>
          <w:lang w:eastAsia="es-ES"/>
        </w:rPr>
        <w:t xml:space="preserve">Así las </w:t>
      </w:r>
      <w:r w:rsidRPr="00190A09">
        <w:rPr>
          <w:rFonts w:ascii="Palatino Linotype" w:eastAsia="Palatino Linotype" w:hAnsi="Palatino Linotype" w:cs="Palatino Linotype"/>
        </w:rPr>
        <w:t>cosas</w:t>
      </w:r>
      <w:r w:rsidRPr="00190A09">
        <w:rPr>
          <w:rFonts w:ascii="Palatino Linotype" w:eastAsia="Calibri" w:hAnsi="Palatino Linotype"/>
          <w:lang w:eastAsia="es-ES"/>
        </w:rPr>
        <w:t>, ahora el Pleno del Instituto de Transparencia, Acceso a la Información Pública y Protección de Datos Personales del Estado de México y Municipios, en relación a la firma de servidores públicos, se contempla lo siguiente:</w:t>
      </w:r>
    </w:p>
    <w:p w:rsidR="003E4BC1" w:rsidRPr="00190A09" w:rsidRDefault="003E4BC1" w:rsidP="003E4BC1">
      <w:pPr>
        <w:numPr>
          <w:ilvl w:val="0"/>
          <w:numId w:val="11"/>
        </w:num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val="es-ES_tradnl" w:eastAsia="es-ES"/>
        </w:rPr>
      </w:pPr>
      <w:r w:rsidRPr="00190A09">
        <w:rPr>
          <w:rFonts w:ascii="Palatino Linotype" w:eastAsiaTheme="minorEastAsia" w:hAnsi="Palatino Linotype" w:cs="Arial"/>
          <w:b/>
          <w:bCs/>
          <w:i/>
          <w:iCs/>
          <w:shd w:val="clear" w:color="auto" w:fill="FFFFFF"/>
          <w:lang w:val="es-ES_tradnl" w:eastAsia="es-ES"/>
        </w:rPr>
        <w:t>Firma del titular:</w:t>
      </w:r>
      <w:r w:rsidRPr="00190A09">
        <w:rPr>
          <w:rFonts w:ascii="Palatino Linotype" w:eastAsiaTheme="minorEastAsia" w:hAnsi="Palatino Linotype" w:cs="Arial"/>
          <w:i/>
          <w:iCs/>
          <w:shd w:val="clear" w:color="auto" w:fill="FFFFFF"/>
          <w:lang w:val="es-ES_tradnl" w:eastAsia="es-ES"/>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3E4BC1" w:rsidRPr="00190A09" w:rsidRDefault="003E4BC1" w:rsidP="003E4BC1">
      <w:p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val="es-ES_tradnl" w:eastAsia="es-ES"/>
        </w:rPr>
      </w:pPr>
    </w:p>
    <w:p w:rsidR="003E4BC1" w:rsidRPr="00190A09" w:rsidRDefault="003E4BC1" w:rsidP="003E4BC1">
      <w:pPr>
        <w:tabs>
          <w:tab w:val="center" w:pos="4252"/>
          <w:tab w:val="left" w:pos="7770"/>
          <w:tab w:val="right" w:pos="8504"/>
          <w:tab w:val="right" w:pos="8838"/>
        </w:tabs>
        <w:ind w:left="1134" w:right="900"/>
        <w:jc w:val="both"/>
        <w:rPr>
          <w:rFonts w:ascii="Palatino Linotype" w:eastAsiaTheme="minorEastAsia" w:hAnsi="Palatino Linotype" w:cs="Arial"/>
          <w:b/>
          <w:i/>
          <w:iCs/>
          <w:shd w:val="clear" w:color="auto" w:fill="FFFFFF"/>
          <w:lang w:val="es-ES_tradnl" w:eastAsia="es-ES"/>
        </w:rPr>
      </w:pPr>
      <w:r w:rsidRPr="00190A09">
        <w:rPr>
          <w:rFonts w:ascii="Palatino Linotype" w:eastAsiaTheme="minorEastAsia" w:hAnsi="Palatino Linotype" w:cs="Arial"/>
          <w:b/>
          <w:i/>
          <w:iCs/>
          <w:shd w:val="clear" w:color="auto" w:fill="FFFFFF"/>
          <w:lang w:val="es-ES_tradnl" w:eastAsia="es-ES"/>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rsidR="003E4BC1" w:rsidRPr="00190A09" w:rsidRDefault="003E4BC1" w:rsidP="003E4BC1">
      <w:pPr>
        <w:tabs>
          <w:tab w:val="left" w:pos="7770"/>
          <w:tab w:val="right" w:pos="8838"/>
        </w:tabs>
        <w:ind w:right="901"/>
        <w:jc w:val="both"/>
        <w:rPr>
          <w:rFonts w:ascii="Palatino Linotype" w:eastAsiaTheme="minorEastAsia" w:hAnsi="Palatino Linotype" w:cstheme="minorBidi"/>
          <w:b/>
          <w:bCs/>
          <w:i/>
          <w:iCs/>
          <w:lang w:val="es-ES_tradnl" w:eastAsia="es-ES"/>
        </w:rPr>
      </w:pPr>
    </w:p>
    <w:p w:rsidR="003E4BC1" w:rsidRPr="00190A09" w:rsidRDefault="003E4BC1" w:rsidP="003E4BC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lang w:val="es-ES_tradnl" w:eastAsia="es-ES"/>
        </w:rPr>
      </w:pPr>
      <w:r w:rsidRPr="00190A09">
        <w:rPr>
          <w:rFonts w:ascii="Palatino Linotype" w:eastAsia="Palatino Linotype" w:hAnsi="Palatino Linotype" w:cs="Palatino Linotype"/>
          <w:color w:val="000000"/>
          <w:lang w:val="es-ES_tradnl" w:eastAsia="es-ES"/>
        </w:rPr>
        <w:t>Sirve de apoyo el Criterio 10/10, Primera Época, emitido por el Instituto Federal de Acceso a la Información Pública ahora Instituto Nacional de Transparencia, Acceso a la Información y Protección de Datos Personales, cuyo tenor literal es el siguiente:</w:t>
      </w:r>
    </w:p>
    <w:p w:rsidR="003E4BC1" w:rsidRPr="00190A09" w:rsidRDefault="003E4BC1" w:rsidP="003E4BC1">
      <w:pPr>
        <w:ind w:left="850" w:right="901"/>
        <w:jc w:val="both"/>
        <w:rPr>
          <w:rFonts w:ascii="Palatino Linotype" w:eastAsiaTheme="minorEastAsia" w:hAnsi="Palatino Linotype" w:cs="Calibri"/>
          <w:i/>
          <w:iCs/>
          <w:color w:val="222222"/>
          <w:lang w:val="es-ES_tradnl" w:eastAsia="es-ES"/>
        </w:rPr>
      </w:pPr>
      <w:r w:rsidRPr="00190A09">
        <w:rPr>
          <w:rFonts w:ascii="Palatino Linotype" w:eastAsiaTheme="minorEastAsia" w:hAnsi="Palatino Linotype" w:cs="Calibri"/>
          <w:b/>
          <w:bCs/>
          <w:i/>
          <w:iCs/>
          <w:color w:val="222222"/>
          <w:lang w:val="es-ES_tradnl" w:eastAsia="es-ES"/>
        </w:rPr>
        <w:t>“La firma de los servidores públicos es información de carácter público cuando ésta es utilizada en el ejercicio de las facultades conferidas para el desempeño del servicio público.</w:t>
      </w:r>
      <w:r w:rsidRPr="00190A09">
        <w:rPr>
          <w:rFonts w:ascii="Palatino Linotype" w:eastAsiaTheme="minorEastAsia" w:hAnsi="Palatino Linotype" w:cs="Calibri"/>
          <w:i/>
          <w:iCs/>
          <w:color w:val="222222"/>
          <w:lang w:val="es-ES_tradnl" w:eastAsia="es-ES"/>
        </w:rPr>
        <w:t xml:space="preserve"> Si bien la firma es un dato personal confidencial, en tanto que identifica o hace identificable a su titular, cuando un servidor público emite un acto como autoridad, en ejercicio de las funciones que </w:t>
      </w:r>
      <w:r w:rsidRPr="00190A09">
        <w:rPr>
          <w:rFonts w:ascii="Palatino Linotype" w:eastAsiaTheme="minorEastAsia" w:hAnsi="Palatino Linotype" w:cs="Calibri"/>
          <w:i/>
          <w:iCs/>
          <w:color w:val="222222"/>
          <w:lang w:val="es-ES_tradnl" w:eastAsia="es-ES"/>
        </w:rPr>
        <w:lastRenderedPageBreak/>
        <w:t>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rsidR="003E4BC1" w:rsidRPr="00190A09" w:rsidRDefault="003E4BC1" w:rsidP="003E4BC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3E4BC1" w:rsidRPr="00190A09" w:rsidRDefault="003E4BC1" w:rsidP="003E4BC1">
      <w:pPr>
        <w:pStyle w:val="Prrafodelista"/>
        <w:rPr>
          <w:rFonts w:ascii="Palatino Linotype" w:eastAsia="Palatino Linotype" w:hAnsi="Palatino Linotype" w:cs="Palatino Linotype"/>
        </w:rPr>
      </w:pPr>
    </w:p>
    <w:p w:rsidR="005558D7" w:rsidRPr="00190A09" w:rsidRDefault="00992F6A"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 lo anterior, se tiene que los oficios que contengan firma de servidores públicos por la recepción de los mismos deberán de entregarse en correcta versión pública para colmar el derecho de acceso a la información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toda vez que del dato</w:t>
      </w:r>
      <w:r w:rsidR="005558D7" w:rsidRPr="00190A09">
        <w:rPr>
          <w:rFonts w:ascii="Palatino Linotype" w:eastAsia="Palatino Linotype" w:hAnsi="Palatino Linotype" w:cs="Palatino Linotype"/>
        </w:rPr>
        <w:t xml:space="preserve"> de la firma de servidores públicos por sus funciones y acciones tiene la característica de ser un dato público. </w:t>
      </w:r>
    </w:p>
    <w:p w:rsidR="00992F6A" w:rsidRPr="00190A09" w:rsidRDefault="00992F6A" w:rsidP="005558D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 </w:t>
      </w:r>
    </w:p>
    <w:p w:rsidR="005558D7" w:rsidRPr="00190A09" w:rsidRDefault="005558D7"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Ahora bien, por lo que respecta a los datos que fueron clasificados del minutario archivo se tiene que no es un dato que vulnere la vida privada sino todo lo contrario transparenta a que servidores públicos fue girado el oficio con copias para conocimiento, por lo que para colmar el derecho de acceso a la información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deberá de entregar dicha información en correcta versión pública. </w:t>
      </w:r>
    </w:p>
    <w:p w:rsidR="005558D7" w:rsidRPr="00190A09" w:rsidRDefault="005558D7" w:rsidP="00DD0FC3">
      <w:pPr>
        <w:rPr>
          <w:rFonts w:ascii="Palatino Linotype" w:eastAsia="Palatino Linotype" w:hAnsi="Palatino Linotype" w:cs="Palatino Linotype"/>
        </w:rPr>
      </w:pPr>
    </w:p>
    <w:p w:rsidR="005364AB" w:rsidRPr="00190A09" w:rsidRDefault="005364A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Ahora bien, por lo que respecta a la información remitida por la </w:t>
      </w:r>
      <w:r w:rsidRPr="00190A09">
        <w:rPr>
          <w:rFonts w:ascii="Palatino Linotype" w:eastAsia="Palatino Linotype" w:hAnsi="Palatino Linotype" w:cs="Palatino Linotype"/>
          <w:b/>
        </w:rPr>
        <w:t xml:space="preserve">Dirección General de Movilidad Zona II, </w:t>
      </w:r>
      <w:r w:rsidRPr="00190A09">
        <w:rPr>
          <w:rFonts w:ascii="Palatino Linotype" w:eastAsia="Palatino Linotype" w:hAnsi="Palatino Linotype" w:cs="Palatino Linotype"/>
        </w:rPr>
        <w:t xml:space="preserve">se precisa que se entregó la siguiente información. </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ABRIL A JUN 2024 (V.P).pdf.: </w:t>
      </w:r>
      <w:r w:rsidRPr="00190A09">
        <w:rPr>
          <w:rFonts w:ascii="Palatino Linotype" w:hAnsi="Palatino Linotype"/>
          <w:i/>
        </w:rPr>
        <w:t>Oficios de la Dirección General de Movilidad Zona II, mediante el cual remiten oficios que inician el 28 de junio de dos mil veinticuatro, del contenido del documento de observa que los folios de los oficios se encuentran incompletos, de manera enunciativa más no limitativa del 641 al 644</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lastRenderedPageBreak/>
        <w:t xml:space="preserve">OFICIOS JUL A SEPT 2024 (V.P) .pdf: </w:t>
      </w:r>
      <w:r w:rsidRPr="00190A09">
        <w:rPr>
          <w:rFonts w:ascii="Palatino Linotype" w:hAnsi="Palatino Linotype"/>
          <w:i/>
        </w:rPr>
        <w:t xml:space="preserve">oficios de la Dirección General de Movilidad Zona II, de los cuales se observan que los folios se encuentran incompleto, de manera enunciativa más no limitativa entregan el oficio 699 y posteriormente el oficio 963, también se visualiza que entregan el oficio 601 y se saltan al 595, el documento solo contiene oficios de los meses de abril, junio, julio y septiembre, de los cuales los folios se encuentran incompletos. </w:t>
      </w:r>
    </w:p>
    <w:p w:rsidR="00B727B4" w:rsidRPr="00190A09" w:rsidRDefault="005364AB" w:rsidP="005364AB">
      <w:pPr>
        <w:ind w:left="1134" w:right="900"/>
        <w:jc w:val="both"/>
        <w:rPr>
          <w:rFonts w:ascii="Palatino Linotype" w:hAnsi="Palatino Linotype"/>
          <w:b/>
          <w:i/>
        </w:rPr>
      </w:pPr>
      <w:r w:rsidRPr="00190A09">
        <w:rPr>
          <w:rFonts w:ascii="Palatino Linotype" w:hAnsi="Palatino Linotype"/>
          <w:b/>
          <w:i/>
        </w:rPr>
        <w:t xml:space="preserve">Del contenido de los oficios entregados se tendrán que ordenar en correcta versión pública, toda vez que se testo el nombre de representantes legales de empresas que prestan servicio a autobuses, así como direcciones de fiscalía, nombres de servidores públicos de quien recibe los </w:t>
      </w:r>
      <w:r w:rsidR="00B727B4" w:rsidRPr="00190A09">
        <w:rPr>
          <w:rFonts w:ascii="Palatino Linotype" w:hAnsi="Palatino Linotype"/>
          <w:b/>
          <w:i/>
        </w:rPr>
        <w:t xml:space="preserve">oficios. </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DE ENERO FEBRERO 2025.pdf: </w:t>
      </w:r>
      <w:r w:rsidRPr="00190A09">
        <w:rPr>
          <w:rFonts w:ascii="Palatino Linotype" w:hAnsi="Palatino Linotype"/>
          <w:i/>
        </w:rPr>
        <w:t xml:space="preserve">oficios de la Dirección General de Movilidad Zona II, que inicia el 28 de febrero con el folio 103, de la revisión de los documentos entregan el oficio 98 y luego el 80, haciendo falta de folios, faltando también del 50 al 58, del 24 al 43, del 13 al 17, del 8 al 11 y el dos. </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OCTUBRE 2024 V.P.pdf: </w:t>
      </w:r>
      <w:r w:rsidRPr="00190A09">
        <w:rPr>
          <w:rFonts w:ascii="Palatino Linotype" w:hAnsi="Palatino Linotype"/>
          <w:i/>
        </w:rPr>
        <w:t xml:space="preserve">oficios de la Dirección General de Movilidad Zona II, iniciando con la fecha 22 de octubre, faltando oficios del 850 al 851, del 813 al 838, 805 al 811 y el 802. </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NOVIEMBRE 2024 V.P.pdf: </w:t>
      </w:r>
      <w:r w:rsidRPr="00190A09">
        <w:rPr>
          <w:rFonts w:ascii="Palatino Linotype" w:hAnsi="Palatino Linotype"/>
          <w:i/>
        </w:rPr>
        <w:t>oficio de la Dirección General de Movilidad Zona II, iniciando el cinco de noviembre con el oficio 994, faltando el 993, faltando del 977 al 989, del 940 al 968, del 918 al 930</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MARZ 2024 (V.P).pdf: </w:t>
      </w:r>
      <w:r w:rsidRPr="00190A09">
        <w:rPr>
          <w:rFonts w:ascii="Palatino Linotype" w:hAnsi="Palatino Linotype"/>
          <w:i/>
        </w:rPr>
        <w:t xml:space="preserve">oficio de la Dirección General de Movilidad Zona II, que inicia el veintidós de marzo de dos mil veinticuatro, faltando oficios del 208 al 212, del 203 al 204, 195, 196, del 179 al187. Del 168 al 171.  </w:t>
      </w:r>
    </w:p>
    <w:p w:rsidR="005364AB" w:rsidRPr="00190A09" w:rsidRDefault="005364AB" w:rsidP="005364AB">
      <w:pPr>
        <w:ind w:left="1134" w:right="900"/>
        <w:jc w:val="both"/>
        <w:rPr>
          <w:rFonts w:ascii="Palatino Linotype" w:hAnsi="Palatino Linotype"/>
          <w:i/>
        </w:rPr>
      </w:pPr>
      <w:r w:rsidRPr="00190A09">
        <w:rPr>
          <w:rFonts w:ascii="Palatino Linotype" w:hAnsi="Palatino Linotype"/>
          <w:b/>
          <w:i/>
        </w:rPr>
        <w:t xml:space="preserve">OFICIOS DICIEMBRE 2024 V.P.pdf: </w:t>
      </w:r>
      <w:r w:rsidRPr="00190A09">
        <w:rPr>
          <w:rFonts w:ascii="Palatino Linotype" w:hAnsi="Palatino Linotype"/>
          <w:i/>
        </w:rPr>
        <w:t>oficios de la Dirección General de Movilidad Zona II, que inician el 19 de diciembre de 2024, con el folio 1094, faltando el oficio 1087, del 1078 al 1084, del 1059 al 1074, del 1048 al 1053 y del 1036 al 1041</w:t>
      </w:r>
    </w:p>
    <w:p w:rsidR="005364AB" w:rsidRPr="00190A09" w:rsidRDefault="005364AB" w:rsidP="005364A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9E3D76" w:rsidRPr="00190A09" w:rsidRDefault="009E3D76"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 los oficios entregados se observa que los folios no se encuentran consecutivos y que hacen falta números de oficio, situación por la cual para colmar el derecho de acceso a la información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deberá de entregar los oficios faltantes, sin embargo de ser el caso que el número de folios hubiera sido cancelado, bastará con que se haga de conocimiento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de conformidad con el artículo 19 </w:t>
      </w:r>
      <w:r w:rsidRPr="00190A09">
        <w:rPr>
          <w:rFonts w:ascii="Palatino Linotype" w:eastAsia="Palatino Linotype" w:hAnsi="Palatino Linotype" w:cs="Palatino Linotype"/>
        </w:rPr>
        <w:lastRenderedPageBreak/>
        <w:t xml:space="preserve">párrafo segundo de la Ley de Transparencia y Acceso a la Información Pública del Estado de México y Municipios. </w:t>
      </w:r>
    </w:p>
    <w:p w:rsidR="009E3D76" w:rsidRPr="00190A09" w:rsidRDefault="009E3D76" w:rsidP="009E3D7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9E3D76" w:rsidRPr="00190A09" w:rsidRDefault="009E3D76"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Seguidamente se debe de señalar que la Dirección General de Movilidad Zona II hizo entrega de oficios en versión pública, sin embargo no</w:t>
      </w:r>
      <w:r w:rsidR="007C05A9" w:rsidRPr="00190A09">
        <w:rPr>
          <w:rFonts w:ascii="Palatino Linotype" w:eastAsia="Palatino Linotype" w:hAnsi="Palatino Linotype" w:cs="Palatino Linotype"/>
        </w:rPr>
        <w:t xml:space="preserve"> se tiene la certeza de que la versión pública sea la correcta, toda vez que no se hizo entrega del Acta del Comité de Transparencia</w:t>
      </w:r>
      <w:r w:rsidR="00D17E6A" w:rsidRPr="00190A09">
        <w:rPr>
          <w:rFonts w:ascii="Palatino Linotype" w:eastAsia="Palatino Linotype" w:hAnsi="Palatino Linotype" w:cs="Palatino Linotype"/>
        </w:rPr>
        <w:t xml:space="preserve"> que sustentará la clasificación de la información, situación por la cual se hace el siguiente </w:t>
      </w:r>
      <w:r w:rsidR="005C193B" w:rsidRPr="00190A09">
        <w:rPr>
          <w:rFonts w:ascii="Palatino Linotype" w:eastAsia="Palatino Linotype" w:hAnsi="Palatino Linotype" w:cs="Palatino Linotype"/>
        </w:rPr>
        <w:t>análisis</w:t>
      </w:r>
      <w:r w:rsidR="00D17E6A" w:rsidRPr="00190A09">
        <w:rPr>
          <w:rFonts w:ascii="Palatino Linotype" w:eastAsia="Palatino Linotype" w:hAnsi="Palatino Linotype" w:cs="Palatino Linotype"/>
        </w:rPr>
        <w:t xml:space="preserve">. </w:t>
      </w:r>
    </w:p>
    <w:p w:rsidR="009E3D76" w:rsidRPr="00190A09" w:rsidRDefault="009E3D76" w:rsidP="00D17E6A">
      <w:pPr>
        <w:rPr>
          <w:rFonts w:ascii="Palatino Linotype" w:eastAsia="Palatino Linotype" w:hAnsi="Palatino Linotype" w:cs="Palatino Linotype"/>
        </w:rPr>
      </w:pPr>
    </w:p>
    <w:p w:rsidR="00D17E6A" w:rsidRPr="00190A09" w:rsidRDefault="00D17E6A" w:rsidP="00D17E6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esa línea, de los oficios entregados se observa que se clasificaron datos como la firma de servidores públicos que reciben oficios, números telefónicos de los cuales no se tiene la certeza que sean de particulares, </w:t>
      </w:r>
      <w:r w:rsidR="00056018" w:rsidRPr="00190A09">
        <w:rPr>
          <w:rFonts w:ascii="Palatino Linotype" w:eastAsia="Palatino Linotype" w:hAnsi="Palatino Linotype" w:cs="Palatino Linotype"/>
        </w:rPr>
        <w:t xml:space="preserve">placas de vehículos arrendados </w:t>
      </w:r>
      <w:r w:rsidR="00B727B4" w:rsidRPr="00190A09">
        <w:rPr>
          <w:rFonts w:ascii="Palatino Linotype" w:eastAsia="Palatino Linotype" w:hAnsi="Palatino Linotype" w:cs="Palatino Linotype"/>
        </w:rPr>
        <w:t xml:space="preserve">y nombres de representantes legales, tal y como se muestra a continuación. </w:t>
      </w:r>
    </w:p>
    <w:p w:rsidR="00D17E6A" w:rsidRPr="00190A09" w:rsidRDefault="00190A09"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1312" behindDoc="0" locked="0" layoutInCell="1" allowOverlap="1">
            <wp:simplePos x="0" y="0"/>
            <wp:positionH relativeFrom="column">
              <wp:posOffset>3544414</wp:posOffset>
            </wp:positionH>
            <wp:positionV relativeFrom="paragraph">
              <wp:posOffset>202769</wp:posOffset>
            </wp:positionV>
            <wp:extent cx="2756847" cy="2830891"/>
            <wp:effectExtent l="152400" t="152400" r="367665" b="36957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6847" cy="283089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17E6A" w:rsidRPr="00190A09" w:rsidRDefault="00190A09"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0288" behindDoc="0" locked="0" layoutInCell="1" allowOverlap="1">
            <wp:simplePos x="0" y="0"/>
            <wp:positionH relativeFrom="column">
              <wp:posOffset>59905</wp:posOffset>
            </wp:positionH>
            <wp:positionV relativeFrom="paragraph">
              <wp:posOffset>87858</wp:posOffset>
            </wp:positionV>
            <wp:extent cx="2884213" cy="2811439"/>
            <wp:effectExtent l="152400" t="152400" r="354330" b="3702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4213" cy="281143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 w:val="left" w:pos="6491"/>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rPr>
        <w:tab/>
      </w: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190A09"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lastRenderedPageBreak/>
        <w:drawing>
          <wp:anchor distT="0" distB="0" distL="114300" distR="114300" simplePos="0" relativeHeight="251664384" behindDoc="0" locked="0" layoutInCell="1" allowOverlap="1">
            <wp:simplePos x="0" y="0"/>
            <wp:positionH relativeFrom="column">
              <wp:posOffset>3230377</wp:posOffset>
            </wp:positionH>
            <wp:positionV relativeFrom="paragraph">
              <wp:posOffset>-129145</wp:posOffset>
            </wp:positionV>
            <wp:extent cx="2847983" cy="2982036"/>
            <wp:effectExtent l="152400" t="152400" r="352425" b="37084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7983" cy="298203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90A09">
        <w:rPr>
          <w:rFonts w:ascii="Palatino Linotype" w:eastAsia="Palatino Linotype" w:hAnsi="Palatino Linotype" w:cs="Palatino Linotype"/>
          <w:b/>
          <w:noProof/>
        </w:rPr>
        <w:drawing>
          <wp:anchor distT="0" distB="0" distL="114300" distR="114300" simplePos="0" relativeHeight="251662336" behindDoc="0" locked="0" layoutInCell="1" allowOverlap="1">
            <wp:simplePos x="0" y="0"/>
            <wp:positionH relativeFrom="column">
              <wp:posOffset>-234974</wp:posOffset>
            </wp:positionH>
            <wp:positionV relativeFrom="paragraph">
              <wp:posOffset>-56982</wp:posOffset>
            </wp:positionV>
            <wp:extent cx="2884107" cy="2988859"/>
            <wp:effectExtent l="152400" t="152400" r="354965" b="3644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4107" cy="298885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D17E6A" w:rsidP="00D17E6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190A09" w:rsidRPr="00190A09" w:rsidRDefault="00190A09" w:rsidP="00190A0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D17E6A" w:rsidRPr="00190A09" w:rsidRDefault="00B727B4"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En esa línea, respecto de los oficios que tienen clasificación en la firma de los servidores públicos que reciben oficios se deben de entregar en correcta versión pública, tal y como fue analizado del párrafo 43 al 46 de la presente resolución</w:t>
      </w:r>
      <w:r w:rsidR="00F453A5" w:rsidRPr="00190A09">
        <w:rPr>
          <w:rFonts w:ascii="Palatino Linotype" w:eastAsia="Palatino Linotype" w:hAnsi="Palatino Linotype" w:cs="Palatino Linotype"/>
        </w:rPr>
        <w:t xml:space="preserve">, por ser un dato que transparenta la comunicación de los oficios entre los servidores públicos. </w:t>
      </w:r>
    </w:p>
    <w:p w:rsidR="00F453A5" w:rsidRPr="00190A09" w:rsidRDefault="00F453A5" w:rsidP="00F453A5">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F453A5" w:rsidRPr="00190A09" w:rsidRDefault="00F453A5"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Respecto de los números telefónicos clasificados se debe a analizar que no se tiene la certeza de que sean números particulares, situación por la cual de ser el caso que los números telefónicos pertenezcan a la Secretaría de Movilidad y sean públicos, deberán entregarse. </w:t>
      </w:r>
    </w:p>
    <w:p w:rsidR="00F453A5" w:rsidRPr="00190A09" w:rsidRDefault="00F453A5" w:rsidP="00F453A5">
      <w:pPr>
        <w:pStyle w:val="Prrafodelista"/>
        <w:rPr>
          <w:rFonts w:ascii="Palatino Linotype" w:eastAsia="Palatino Linotype" w:hAnsi="Palatino Linotype" w:cs="Palatino Linotype"/>
          <w:b/>
        </w:rPr>
      </w:pPr>
    </w:p>
    <w:p w:rsidR="00F453A5" w:rsidRPr="00190A09" w:rsidRDefault="00F453A5"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Sin embargo, de ser el caso que los números telefónicos sean particulares se deberán de clasificar como confidenciales de acuerdo con el artículo 143 fracción I de la Ley de Transparencia y Acceso a la Información Pública del Estado de México y Municipios. </w:t>
      </w:r>
    </w:p>
    <w:p w:rsidR="001D5874" w:rsidRPr="00190A09" w:rsidRDefault="001D5874" w:rsidP="001D5874">
      <w:pPr>
        <w:pStyle w:val="Prrafodelista"/>
        <w:rPr>
          <w:rFonts w:ascii="Palatino Linotype" w:eastAsia="Palatino Linotype" w:hAnsi="Palatino Linotype" w:cs="Palatino Linotype"/>
          <w:b/>
        </w:rPr>
      </w:pPr>
    </w:p>
    <w:p w:rsidR="001D5874" w:rsidRPr="00190A09" w:rsidRDefault="001D5874"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Seguidamente, respecto a las placas de vehículos arrendados por la Secretaría de Movilidad para el funcionamiento de la misma, se analiza lo siguiente. </w:t>
      </w:r>
    </w:p>
    <w:p w:rsidR="001D5874" w:rsidRPr="00190A09" w:rsidRDefault="001D5874" w:rsidP="001D5874">
      <w:pPr>
        <w:pStyle w:val="Prrafodelista"/>
        <w:rPr>
          <w:rFonts w:ascii="Palatino Linotype" w:eastAsia="Palatino Linotype" w:hAnsi="Palatino Linotype" w:cs="Palatino Linotype"/>
          <w:b/>
        </w:rPr>
      </w:pPr>
    </w:p>
    <w:p w:rsidR="0072004B" w:rsidRPr="00190A09" w:rsidRDefault="0072004B" w:rsidP="007200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En lo que compete a esto, se tiene que el número de placa se define como el registro alfanumérico que </w:t>
      </w:r>
      <w:r w:rsidRPr="00190A09">
        <w:rPr>
          <w:rFonts w:ascii="Palatino Linotype" w:eastAsia="Palatino Linotype" w:hAnsi="Palatino Linotype" w:cs="Palatino Linotype"/>
        </w:rPr>
        <w:t>usan</w:t>
      </w:r>
      <w:r w:rsidRPr="00190A09">
        <w:rPr>
          <w:rFonts w:ascii="Palatino Linotype" w:eastAsia="Palatino Linotype" w:hAnsi="Palatino Linotype" w:cs="Palatino Linotype"/>
          <w:color w:val="000000"/>
        </w:rPr>
        <w:t xml:space="preserve"> los vehículos automotores para su identificación y circulación legal en todo el territorio mexicano. </w:t>
      </w:r>
    </w:p>
    <w:p w:rsidR="0072004B" w:rsidRPr="00190A09" w:rsidRDefault="0072004B" w:rsidP="0072004B">
      <w:pPr>
        <w:spacing w:line="360" w:lineRule="auto"/>
        <w:jc w:val="both"/>
        <w:rPr>
          <w:rFonts w:ascii="Palatino Linotype" w:eastAsia="Palatino Linotype" w:hAnsi="Palatino Linotype" w:cs="Palatino Linotype"/>
          <w:color w:val="000000"/>
        </w:rPr>
      </w:pPr>
    </w:p>
    <w:p w:rsidR="0072004B" w:rsidRPr="00190A09" w:rsidRDefault="0072004B" w:rsidP="007200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Por otra parte, el NIV es el número conformado por diecisiete caracteres alfanuméricos que identifican a los vehículos de modelos posteriores al año 1998. Se encuentra </w:t>
      </w:r>
      <w:r w:rsidRPr="00190A09">
        <w:rPr>
          <w:rFonts w:ascii="Palatino Linotype" w:eastAsia="Palatino Linotype" w:hAnsi="Palatino Linotype" w:cs="Palatino Linotype"/>
        </w:rPr>
        <w:t>normalmente</w:t>
      </w:r>
      <w:r w:rsidRPr="00190A09">
        <w:rPr>
          <w:rFonts w:ascii="Palatino Linotype" w:eastAsia="Palatino Linotype" w:hAnsi="Palatino Linotype" w:cs="Palatino Linotype"/>
          <w:color w:val="000000"/>
        </w:rPr>
        <w:t xml:space="preserve"> en la parte superior del tablero del vehículo o en el marco de las puertas, generalmente en el lado del conductor. En los modelos anteriores al año 1998 a este número se le conocía como serie y es más común que se encuentre localizado en la puerta izquierda del vehículo. </w:t>
      </w:r>
    </w:p>
    <w:p w:rsidR="0072004B" w:rsidRPr="00190A09" w:rsidRDefault="0072004B" w:rsidP="0072004B">
      <w:pPr>
        <w:spacing w:line="360" w:lineRule="auto"/>
        <w:jc w:val="both"/>
        <w:rPr>
          <w:rFonts w:ascii="Palatino Linotype" w:eastAsia="Palatino Linotype" w:hAnsi="Palatino Linotype" w:cs="Palatino Linotype"/>
          <w:color w:val="000000"/>
        </w:rPr>
      </w:pPr>
    </w:p>
    <w:p w:rsidR="0072004B" w:rsidRPr="00190A09" w:rsidRDefault="0072004B" w:rsidP="007200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En este sentido, respecto a las placas y número de serie, corresponden </w:t>
      </w:r>
      <w:r w:rsidR="00012ED6" w:rsidRPr="00190A09">
        <w:rPr>
          <w:rFonts w:ascii="Palatino Linotype" w:eastAsia="Palatino Linotype" w:hAnsi="Palatino Linotype" w:cs="Palatino Linotype"/>
          <w:color w:val="000000"/>
        </w:rPr>
        <w:t>a vehículos propiedad de la Secretaría del Ayuntamiento</w:t>
      </w:r>
      <w:r w:rsidRPr="00190A09">
        <w:rPr>
          <w:rFonts w:ascii="Palatino Linotype" w:eastAsia="Palatino Linotype" w:hAnsi="Palatino Linotype" w:cs="Palatino Linotype"/>
          <w:color w:val="000000"/>
        </w:rPr>
        <w:t>, lo que permite corroborar que se trata de bienes de dominio público.</w:t>
      </w:r>
    </w:p>
    <w:p w:rsidR="0072004B" w:rsidRPr="00190A09" w:rsidRDefault="0072004B" w:rsidP="0072004B">
      <w:pPr>
        <w:spacing w:line="360" w:lineRule="auto"/>
        <w:jc w:val="both"/>
        <w:rPr>
          <w:rFonts w:ascii="Palatino Linotype" w:eastAsia="Palatino Linotype" w:hAnsi="Palatino Linotype" w:cs="Palatino Linotype"/>
          <w:color w:val="000000"/>
        </w:rPr>
      </w:pPr>
    </w:p>
    <w:p w:rsidR="0072004B" w:rsidRPr="00190A09" w:rsidRDefault="0072004B" w:rsidP="007200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Así entonces, como se desprende las placas, corresponden a vehículo</w:t>
      </w:r>
      <w:r w:rsidR="00012ED6" w:rsidRPr="00190A09">
        <w:rPr>
          <w:rFonts w:ascii="Palatino Linotype" w:eastAsia="Palatino Linotype" w:hAnsi="Palatino Linotype" w:cs="Palatino Linotype"/>
          <w:color w:val="000000"/>
        </w:rPr>
        <w:t>s arrendados por la Secretaría Movilidad</w:t>
      </w:r>
      <w:r w:rsidRPr="00190A09">
        <w:rPr>
          <w:rFonts w:ascii="Palatino Linotype" w:eastAsia="Palatino Linotype" w:hAnsi="Palatino Linotype" w:cs="Palatino Linotype"/>
          <w:color w:val="000000"/>
        </w:rPr>
        <w:t xml:space="preserve">, previamente inventariados, por lo que es importante remitirnos a lo dispuesto </w:t>
      </w:r>
      <w:r w:rsidRPr="00190A09">
        <w:rPr>
          <w:rFonts w:ascii="Palatino Linotype" w:eastAsia="Palatino Linotype" w:hAnsi="Palatino Linotype" w:cs="Palatino Linotype"/>
        </w:rPr>
        <w:t>por</w:t>
      </w:r>
      <w:r w:rsidRPr="00190A09">
        <w:rPr>
          <w:rFonts w:ascii="Palatino Linotype" w:eastAsia="Palatino Linotype" w:hAnsi="Palatino Linotype" w:cs="Palatino Linotype"/>
          <w:color w:val="000000"/>
        </w:rPr>
        <w:t xml:space="preserve"> el artículo 92, fracción XXXVIII de la Ley de Transparencia y Acceso a la Información Pública del Estado de México y Municipios que en su texto y sentido literal establece:</w:t>
      </w:r>
    </w:p>
    <w:p w:rsidR="0072004B" w:rsidRPr="00190A09" w:rsidRDefault="0072004B" w:rsidP="0072004B">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rPr>
      </w:pPr>
    </w:p>
    <w:p w:rsidR="0072004B" w:rsidRPr="00190A09" w:rsidRDefault="0072004B" w:rsidP="0072004B">
      <w:pPr>
        <w:pBdr>
          <w:top w:val="nil"/>
          <w:left w:val="nil"/>
          <w:bottom w:val="nil"/>
          <w:right w:val="nil"/>
          <w:between w:val="nil"/>
        </w:pBdr>
        <w:tabs>
          <w:tab w:val="left" w:pos="426"/>
        </w:tabs>
        <w:ind w:left="1134" w:right="1041"/>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lastRenderedPageBreak/>
        <w:t>"Artículo 92</w:t>
      </w:r>
      <w:r w:rsidRPr="00190A09">
        <w:rPr>
          <w:rFonts w:ascii="Palatino Linotype" w:eastAsia="Palatino Linotype" w:hAnsi="Palatino Linotype" w:cs="Palatino Linotype"/>
          <w:i/>
          <w:color w:val="000000"/>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72004B" w:rsidRPr="00190A09" w:rsidRDefault="0072004B" w:rsidP="0072004B">
      <w:pPr>
        <w:pBdr>
          <w:top w:val="nil"/>
          <w:left w:val="nil"/>
          <w:bottom w:val="nil"/>
          <w:right w:val="nil"/>
          <w:between w:val="nil"/>
        </w:pBdr>
        <w:tabs>
          <w:tab w:val="left" w:pos="426"/>
        </w:tabs>
        <w:ind w:left="1134" w:right="1041"/>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XXXVIII. El inventario de bienes muebles e inmuebles en posesión y propiedad;</w:t>
      </w:r>
    </w:p>
    <w:p w:rsidR="0072004B" w:rsidRPr="00190A09" w:rsidRDefault="0072004B" w:rsidP="0072004B">
      <w:pPr>
        <w:pBdr>
          <w:top w:val="nil"/>
          <w:left w:val="nil"/>
          <w:bottom w:val="nil"/>
          <w:right w:val="nil"/>
          <w:between w:val="nil"/>
        </w:pBdr>
        <w:tabs>
          <w:tab w:val="left" w:pos="426"/>
        </w:tabs>
        <w:spacing w:line="276" w:lineRule="auto"/>
        <w:ind w:left="720" w:right="51"/>
        <w:jc w:val="both"/>
        <w:rPr>
          <w:rFonts w:ascii="Palatino Linotype" w:eastAsia="Palatino Linotype" w:hAnsi="Palatino Linotype" w:cs="Palatino Linotype"/>
          <w:color w:val="000000"/>
        </w:rPr>
      </w:pPr>
    </w:p>
    <w:p w:rsidR="0072004B" w:rsidRPr="00190A09" w:rsidRDefault="0072004B" w:rsidP="007200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Por tanto, el de placas es </w:t>
      </w:r>
      <w:r w:rsidRPr="00190A09">
        <w:rPr>
          <w:rFonts w:ascii="Palatino Linotype" w:eastAsia="Palatino Linotype" w:hAnsi="Palatino Linotype" w:cs="Palatino Linotype"/>
        </w:rPr>
        <w:t>información</w:t>
      </w:r>
      <w:r w:rsidRPr="00190A09">
        <w:rPr>
          <w:rFonts w:ascii="Palatino Linotype" w:eastAsia="Palatino Linotype" w:hAnsi="Palatino Linotype" w:cs="Palatino Linotype"/>
          <w:color w:val="000000"/>
        </w:rPr>
        <w:t xml:space="preserve"> que corresponde a información de acceso público, ya que dar  a conocer esos datos abona a la transparencia y la rendición de cuentas, pues es parte del patrimonio de los Sujeto Obligados y está relacionado con el eje</w:t>
      </w:r>
      <w:r w:rsidR="00012ED6" w:rsidRPr="00190A09">
        <w:rPr>
          <w:rFonts w:ascii="Palatino Linotype" w:eastAsia="Palatino Linotype" w:hAnsi="Palatino Linotype" w:cs="Palatino Linotype"/>
          <w:color w:val="000000"/>
        </w:rPr>
        <w:t xml:space="preserve">rcicio de los recursos públicos, situación por la cual los oficios relacionados con datos de placas de vehículos arrendados o en propiedad deberán de entregarse en correcta versión pública. </w:t>
      </w:r>
    </w:p>
    <w:p w:rsidR="0072004B" w:rsidRPr="00190A09" w:rsidRDefault="0072004B" w:rsidP="0072004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961DB8" w:rsidRPr="00190A09" w:rsidRDefault="00A94ED0" w:rsidP="00B20245">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Ahora bien, por lo que respecta al nombre y firma de representantes legales </w:t>
      </w:r>
      <w:r w:rsidR="00182584" w:rsidRPr="00190A09">
        <w:rPr>
          <w:rFonts w:ascii="Palatino Linotype" w:eastAsia="Palatino Linotype" w:hAnsi="Palatino Linotype" w:cs="Palatino Linotype"/>
        </w:rPr>
        <w:t xml:space="preserve">que fueron clasificados como confidenciales se debe analizar que al ser personas que representan a una empresa o </w:t>
      </w:r>
      <w:r w:rsidR="00B20245" w:rsidRPr="00190A09">
        <w:rPr>
          <w:rFonts w:ascii="Palatino Linotype" w:eastAsia="Palatino Linotype" w:hAnsi="Palatino Linotype" w:cs="Palatino Linotype"/>
        </w:rPr>
        <w:t xml:space="preserve">a un tercero y recibir beneficios públicos por el servicio, sus datos deben de ser públicos, situación por la cual se precisa lo siguiente. </w:t>
      </w:r>
    </w:p>
    <w:p w:rsidR="00A94ED0" w:rsidRPr="00190A09" w:rsidRDefault="00A94ED0" w:rsidP="00A94ED0">
      <w:pPr>
        <w:pStyle w:val="Prrafodelista"/>
        <w:rPr>
          <w:rFonts w:ascii="Palatino Linotype" w:eastAsia="Palatino Linotype" w:hAnsi="Palatino Linotype" w:cs="Palatino Linotype"/>
          <w:b/>
        </w:rPr>
      </w:pPr>
    </w:p>
    <w:p w:rsidR="00B20245" w:rsidRPr="00190A09" w:rsidRDefault="00B20245" w:rsidP="00B20245">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Cobra sustento lo anterior, con el criterio 01/19 reiterado vigente del INAI, utilizado de manera orientadora, que refiere lo siguiente:</w:t>
      </w:r>
    </w:p>
    <w:p w:rsidR="00B20245" w:rsidRPr="00190A09" w:rsidRDefault="00B20245" w:rsidP="00B20245">
      <w:pPr>
        <w:ind w:left="1134" w:right="900"/>
        <w:jc w:val="both"/>
        <w:rPr>
          <w:rFonts w:ascii="Palatino Linotype" w:eastAsia="Palatino Linotype" w:hAnsi="Palatino Linotype" w:cs="Palatino Linotype"/>
          <w:i/>
          <w:iCs/>
        </w:rPr>
      </w:pPr>
      <w:r w:rsidRPr="00190A09">
        <w:rPr>
          <w:rFonts w:ascii="Palatino Linotype" w:eastAsia="Palatino Linotype" w:hAnsi="Palatino Linotype" w:cs="Palatino Linotype"/>
          <w:b/>
          <w:bCs/>
          <w:i/>
          <w:iCs/>
        </w:rPr>
        <w:t>Datos de identificación del representante o apoderado legal.</w:t>
      </w:r>
      <w:r w:rsidRPr="00190A09">
        <w:rPr>
          <w:rFonts w:ascii="Palatino Linotype" w:eastAsia="Palatino Linotype" w:hAnsi="Palatino Linotype" w:cs="Palatino Linotype"/>
          <w:i/>
          <w:iCs/>
        </w:rPr>
        <w:t xml:space="preserve"> </w:t>
      </w:r>
      <w:r w:rsidRPr="00190A09">
        <w:rPr>
          <w:rFonts w:ascii="Palatino Linotype" w:eastAsia="Palatino Linotype" w:hAnsi="Palatino Linotype" w:cs="Palatino Linotype"/>
          <w:b/>
          <w:bCs/>
          <w:i/>
          <w:iCs/>
        </w:rPr>
        <w:t xml:space="preserve">Naturaleza jurídica. </w:t>
      </w:r>
      <w:r w:rsidRPr="00190A09">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B20245" w:rsidRPr="00190A09" w:rsidRDefault="00B20245" w:rsidP="00B20245">
      <w:pPr>
        <w:ind w:left="1134" w:right="900"/>
        <w:jc w:val="both"/>
        <w:rPr>
          <w:rFonts w:ascii="Palatino Linotype" w:eastAsia="Palatino Linotype" w:hAnsi="Palatino Linotype" w:cs="Palatino Linotype"/>
          <w:i/>
          <w:iCs/>
          <w:color w:val="000000"/>
        </w:rPr>
      </w:pPr>
    </w:p>
    <w:p w:rsidR="00B20245" w:rsidRPr="00190A09" w:rsidRDefault="00B20245" w:rsidP="00B20245">
      <w:pPr>
        <w:ind w:left="1134" w:right="900"/>
        <w:jc w:val="both"/>
        <w:rPr>
          <w:rFonts w:ascii="Palatino Linotype" w:eastAsia="Palatino Linotype" w:hAnsi="Palatino Linotype" w:cs="Palatino Linotype"/>
          <w:b/>
          <w:bCs/>
          <w:i/>
          <w:iCs/>
        </w:rPr>
      </w:pPr>
      <w:r w:rsidRPr="00190A09">
        <w:rPr>
          <w:rFonts w:ascii="Palatino Linotype" w:eastAsia="Palatino Linotype" w:hAnsi="Palatino Linotype" w:cs="Palatino Linotype"/>
          <w:b/>
          <w:bCs/>
          <w:i/>
          <w:iCs/>
        </w:rPr>
        <w:t>Precedentes:</w:t>
      </w:r>
    </w:p>
    <w:p w:rsidR="00B20245" w:rsidRPr="00190A09" w:rsidRDefault="00B20245" w:rsidP="00B20245">
      <w:pPr>
        <w:ind w:left="1134" w:right="900"/>
        <w:jc w:val="both"/>
        <w:rPr>
          <w:rFonts w:ascii="Palatino Linotype" w:eastAsia="Palatino Linotype" w:hAnsi="Palatino Linotype" w:cs="Palatino Linotype"/>
          <w:i/>
          <w:iCs/>
        </w:rPr>
      </w:pPr>
      <w:r w:rsidRPr="00190A09">
        <w:rPr>
          <w:rFonts w:ascii="Palatino Linotype" w:eastAsia="Palatino Linotype" w:hAnsi="Palatino Linotype" w:cs="Palatino Linotype"/>
          <w:i/>
          <w:iCs/>
        </w:rPr>
        <w:lastRenderedPageBreak/>
        <w:t>Acceso a la información pública. RRA 3104/16. Sesión del 01 de noviembre del 2016. Votación por unanimidad. Sin votos disidentes o particulares. Secretaría de la Defensa Nacional. Comisionado Ponente Oscar Mauricio Guerra Ford.</w:t>
      </w:r>
    </w:p>
    <w:p w:rsidR="00B20245" w:rsidRPr="00190A09" w:rsidRDefault="00B20245" w:rsidP="00B20245">
      <w:pPr>
        <w:ind w:left="1134" w:right="900"/>
        <w:jc w:val="both"/>
        <w:rPr>
          <w:rFonts w:ascii="Palatino Linotype" w:eastAsia="Palatino Linotype" w:hAnsi="Palatino Linotype" w:cs="Palatino Linotype"/>
          <w:b/>
          <w:bCs/>
          <w:i/>
          <w:iCs/>
        </w:rPr>
      </w:pPr>
      <w:r w:rsidRPr="00190A09">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A94ED0" w:rsidRPr="00190A09" w:rsidRDefault="00B20245" w:rsidP="00B20245">
      <w:pPr>
        <w:tabs>
          <w:tab w:val="left" w:pos="7371"/>
        </w:tabs>
        <w:ind w:left="1134" w:right="900"/>
        <w:jc w:val="both"/>
        <w:rPr>
          <w:rFonts w:ascii="Palatino Linotype" w:eastAsia="Palatino Linotype" w:hAnsi="Palatino Linotype" w:cs="Palatino Linotype"/>
          <w:i/>
          <w:iCs/>
        </w:rPr>
      </w:pPr>
      <w:r w:rsidRPr="00190A09">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5E528C" w:rsidRDefault="005E528C" w:rsidP="005E528C">
      <w:pPr>
        <w:pStyle w:val="Prrafodelista"/>
        <w:rPr>
          <w:rFonts w:ascii="Palatino Linotype" w:eastAsia="Palatino Linotype" w:hAnsi="Palatino Linotype" w:cs="Palatino Linotype"/>
        </w:rPr>
      </w:pPr>
    </w:p>
    <w:p w:rsidR="00190A09" w:rsidRPr="00190A09" w:rsidRDefault="00190A09" w:rsidP="005E528C">
      <w:pPr>
        <w:pStyle w:val="Prrafodelista"/>
        <w:rPr>
          <w:rFonts w:ascii="Palatino Linotype" w:eastAsia="Palatino Linotype" w:hAnsi="Palatino Linotype" w:cs="Palatino Linotype"/>
        </w:rPr>
      </w:pPr>
    </w:p>
    <w:p w:rsidR="008233C0" w:rsidRPr="00190A09" w:rsidRDefault="008233C0"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esa  línea, de los oficios que entrego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y guardan relación con representantes legales que tienen autorizadas concesiones, se deberán de dejar a la vista los datos de identificación de los representantes legales por ser un dato que rinde cuentas y transparenta la información. </w:t>
      </w:r>
    </w:p>
    <w:p w:rsidR="00A929AE" w:rsidRPr="00190A09" w:rsidRDefault="00A929AE" w:rsidP="00A929A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8233C0" w:rsidRPr="00190A09" w:rsidRDefault="008233C0"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Sin embargo, si  hubiera datos se representantes legales que aún no son concesionarios sus datos deberán de ser clasificados como confidenciales de acuerdo con lo regulado por el artículo 143 fracción I de la Ley de Transparencia y Acceso a la Información Pública del Estado de México y Municipios. </w:t>
      </w:r>
    </w:p>
    <w:p w:rsidR="00442209" w:rsidRPr="00190A09" w:rsidRDefault="00442209" w:rsidP="0044220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4F7E98" w:rsidRPr="00190A09" w:rsidRDefault="00234E23"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Ahora bien, respecto de la Dirección General de Movilidad Zona III, se tiene que se entregaron oficios del mes de enero y abril de dos mil veinticinco, sin embargo no se hizo entrega de la información de marzo a diciembre de dos mil veinticuatro y del mes de febrero de dos mil veinticinco, situación por la cual para colmar el derecho de acceso a la información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se deberán de entregar los oficios firmados por el Director General de Movilidad Zona III, de los meses faltantes. </w:t>
      </w:r>
    </w:p>
    <w:p w:rsidR="00234E23" w:rsidRPr="00190A09" w:rsidRDefault="00234E23"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Ahora bien, </w:t>
      </w:r>
      <w:r w:rsidR="00387E80" w:rsidRPr="00190A09">
        <w:rPr>
          <w:rFonts w:ascii="Palatino Linotype" w:eastAsia="Palatino Linotype" w:hAnsi="Palatino Linotype" w:cs="Palatino Linotype"/>
        </w:rPr>
        <w:t>en cuanto a los oficios entregados, se tiene que no se entregó el Acta del Comité de Transparencia, mediante la cual se fundara y motivara la clasificación de los datos testados en los oficios</w:t>
      </w:r>
      <w:r w:rsidR="00CE356E" w:rsidRPr="00190A09">
        <w:rPr>
          <w:rFonts w:ascii="Palatino Linotype" w:eastAsia="Palatino Linotype" w:hAnsi="Palatino Linotype" w:cs="Palatino Linotype"/>
        </w:rPr>
        <w:t xml:space="preserve">, situación por la cual no se puede tener la certeza de que todos los datos debieron de ser clasificados. </w:t>
      </w:r>
    </w:p>
    <w:p w:rsidR="00CE356E" w:rsidRPr="00190A09" w:rsidRDefault="00CE356E" w:rsidP="00CE356E">
      <w:pPr>
        <w:pStyle w:val="Prrafodelista"/>
        <w:rPr>
          <w:rFonts w:ascii="Palatino Linotype" w:eastAsia="Palatino Linotype" w:hAnsi="Palatino Linotype" w:cs="Palatino Linotype"/>
          <w:b/>
        </w:rPr>
      </w:pPr>
    </w:p>
    <w:p w:rsidR="00CE356E" w:rsidRPr="00190A09" w:rsidRDefault="00CE356E"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esa línea, se localizaron oficios que por su contenido los datos no debieron de ser clasificados, siendo los siguientes. </w:t>
      </w:r>
    </w:p>
    <w:p w:rsidR="00CE356E" w:rsidRPr="00190A09" w:rsidRDefault="00190A09" w:rsidP="00CE356E">
      <w:pPr>
        <w:pStyle w:val="Prrafodelista"/>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5408" behindDoc="0" locked="0" layoutInCell="1" allowOverlap="1">
            <wp:simplePos x="0" y="0"/>
            <wp:positionH relativeFrom="column">
              <wp:posOffset>15420</wp:posOffset>
            </wp:positionH>
            <wp:positionV relativeFrom="paragraph">
              <wp:posOffset>161290</wp:posOffset>
            </wp:positionV>
            <wp:extent cx="2475182" cy="3009260"/>
            <wp:effectExtent l="152400" t="152400" r="363855" b="3632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3064" cy="301884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E356E" w:rsidRPr="00190A09" w:rsidRDefault="00190A09"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7456" behindDoc="0" locked="0" layoutInCell="1" allowOverlap="1">
            <wp:simplePos x="0" y="0"/>
            <wp:positionH relativeFrom="page">
              <wp:align>right</wp:align>
            </wp:positionH>
            <wp:positionV relativeFrom="paragraph">
              <wp:posOffset>161757</wp:posOffset>
            </wp:positionV>
            <wp:extent cx="3146577" cy="1682945"/>
            <wp:effectExtent l="152400" t="152400" r="358775" b="35560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146577" cy="16829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190A09"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8480" behindDoc="0" locked="0" layoutInCell="1" allowOverlap="1">
            <wp:simplePos x="0" y="0"/>
            <wp:positionH relativeFrom="column">
              <wp:posOffset>58552</wp:posOffset>
            </wp:positionH>
            <wp:positionV relativeFrom="paragraph">
              <wp:posOffset>166646</wp:posOffset>
            </wp:positionV>
            <wp:extent cx="2432649" cy="2891764"/>
            <wp:effectExtent l="152400" t="152400" r="368300" b="36639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8688" cy="289894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E356E" w:rsidRPr="00190A09" w:rsidRDefault="00190A09"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190A09">
        <w:rPr>
          <w:rFonts w:ascii="Palatino Linotype" w:eastAsia="Palatino Linotype" w:hAnsi="Palatino Linotype" w:cs="Palatino Linotype"/>
          <w:b/>
          <w:noProof/>
        </w:rPr>
        <w:drawing>
          <wp:anchor distT="0" distB="0" distL="114300" distR="114300" simplePos="0" relativeHeight="251669504" behindDoc="0" locked="0" layoutInCell="1" allowOverlap="1">
            <wp:simplePos x="0" y="0"/>
            <wp:positionH relativeFrom="page">
              <wp:posOffset>4287688</wp:posOffset>
            </wp:positionH>
            <wp:positionV relativeFrom="paragraph">
              <wp:posOffset>171522</wp:posOffset>
            </wp:positionV>
            <wp:extent cx="3191986" cy="1759601"/>
            <wp:effectExtent l="152400" t="152400" r="370840" b="35496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191986" cy="175960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E356E" w:rsidRPr="00190A09" w:rsidRDefault="00CE356E" w:rsidP="00CE356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66390C" w:rsidRPr="00190A09" w:rsidRDefault="0066390C"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De los oficios localizados se puede concluir que son turnos internos dentro de la propia Secretaría de Movilidad, al remitir documentos en los cuales solicitan que se acuse de recibido. </w:t>
      </w:r>
    </w:p>
    <w:p w:rsidR="0066390C" w:rsidRPr="00190A09" w:rsidRDefault="0066390C" w:rsidP="0066390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66390C" w:rsidRPr="00190A09" w:rsidRDefault="0066390C"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En ese sentido, se tiene que el nombre de servidores públicos que fue analizado en párrafos anteriores son datos de carácter público, así como el correo electrónico, toda vez que son correos electrónicos institucionales y no personales, situación por la cual dichos oficios deberán de ser entregados en correcta versión pública. </w:t>
      </w:r>
    </w:p>
    <w:p w:rsidR="0066390C" w:rsidRPr="00190A09" w:rsidRDefault="0066390C" w:rsidP="0066390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66390C" w:rsidRPr="00190A09" w:rsidRDefault="0066390C"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b/>
        </w:rPr>
        <w:t xml:space="preserve"> </w:t>
      </w:r>
      <w:r w:rsidRPr="00190A09">
        <w:rPr>
          <w:rFonts w:ascii="Palatino Linotype" w:eastAsia="Palatino Linotype" w:hAnsi="Palatino Linotype" w:cs="Palatino Linotype"/>
        </w:rPr>
        <w:t>Por otro lado, se localizaron oficios de los cuales no se puede deducir si los datos deben de ser clasificados o no, situación por la cual de ser el caso que del contenido de los oficios no tenga relación con datos que deban de ser clasificados de</w:t>
      </w:r>
      <w:r w:rsidR="00941BED" w:rsidRPr="00190A09">
        <w:rPr>
          <w:rFonts w:ascii="Palatino Linotype" w:eastAsia="Palatino Linotype" w:hAnsi="Palatino Linotype" w:cs="Palatino Linotype"/>
        </w:rPr>
        <w:t xml:space="preserve"> conformidad con el artículo 143</w:t>
      </w:r>
      <w:r w:rsidRPr="00190A09">
        <w:rPr>
          <w:rFonts w:ascii="Palatino Linotype" w:eastAsia="Palatino Linotype" w:hAnsi="Palatino Linotype" w:cs="Palatino Linotype"/>
        </w:rPr>
        <w:t xml:space="preserve"> de la Ley de Transparencia y Acceso a la Información Pública del Estado de México y Municipios, deberán de entregarse en correcta versión pública. </w:t>
      </w:r>
    </w:p>
    <w:p w:rsidR="0066390C" w:rsidRPr="00190A09" w:rsidRDefault="0066390C" w:rsidP="0066390C">
      <w:pPr>
        <w:pStyle w:val="Prrafodelista"/>
        <w:rPr>
          <w:rFonts w:ascii="Palatino Linotype" w:eastAsia="Palatino Linotype" w:hAnsi="Palatino Linotype" w:cs="Palatino Linotype"/>
          <w:b/>
        </w:rPr>
      </w:pPr>
    </w:p>
    <w:p w:rsidR="0066390C" w:rsidRPr="00190A09" w:rsidRDefault="0066390C" w:rsidP="0066390C">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Sin embargo, si los datos si deben de ser clasificados como confidenciales se deberá de entregar el Acuerdo del Comité de Transparencia, mediante el cual de manera fundada y motivada se expongan las razones por las cuales dichos datos fueron clasificados como confidenciales. </w:t>
      </w:r>
    </w:p>
    <w:p w:rsidR="0066390C" w:rsidRPr="00190A09" w:rsidRDefault="0066390C" w:rsidP="0066390C">
      <w:pPr>
        <w:pStyle w:val="Prrafodelista"/>
        <w:rPr>
          <w:rFonts w:ascii="Palatino Linotype" w:eastAsia="Palatino Linotype" w:hAnsi="Palatino Linotype" w:cs="Palatino Linotype"/>
        </w:rPr>
      </w:pPr>
    </w:p>
    <w:p w:rsidR="000B5C09" w:rsidRPr="00190A09" w:rsidRDefault="00BC49DE"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Ahora bien, por cuanto hace </w:t>
      </w:r>
      <w:r w:rsidR="00962E5A" w:rsidRPr="00190A09">
        <w:rPr>
          <w:rFonts w:ascii="Palatino Linotype" w:eastAsia="Palatino Linotype" w:hAnsi="Palatino Linotype" w:cs="Palatino Linotype"/>
        </w:rPr>
        <w:t xml:space="preserve">a la respuesta de la </w:t>
      </w:r>
      <w:r w:rsidR="00962E5A" w:rsidRPr="00190A09">
        <w:rPr>
          <w:rFonts w:ascii="Palatino Linotype" w:eastAsia="Palatino Linotype" w:hAnsi="Palatino Linotype" w:cs="Palatino Linotype"/>
          <w:b/>
        </w:rPr>
        <w:t xml:space="preserve">Dirección General del Registro Estatal de Transporte Público, </w:t>
      </w:r>
      <w:r w:rsidR="00962E5A" w:rsidRPr="00190A09">
        <w:rPr>
          <w:rFonts w:ascii="Palatino Linotype" w:eastAsia="Palatino Linotype" w:hAnsi="Palatino Linotype" w:cs="Palatino Linotype"/>
        </w:rPr>
        <w:t>se debe de analizar que refirió que la información no podía ser entregada, toda vez que la misma se encontraba</w:t>
      </w:r>
      <w:r w:rsidR="000B5C09" w:rsidRPr="00190A09">
        <w:rPr>
          <w:rFonts w:ascii="Palatino Linotype" w:eastAsia="Palatino Linotype" w:hAnsi="Palatino Linotype" w:cs="Palatino Linotype"/>
        </w:rPr>
        <w:t xml:space="preserve"> siendo parte de procedimientos administrativos, de la respuesta también se observa que clasifico oficios por contener datos confidenciales, siendo así la falta de entrega de lo solicitado. </w:t>
      </w:r>
    </w:p>
    <w:p w:rsidR="00BC49DE" w:rsidRPr="00190A09" w:rsidRDefault="000B5C09"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lastRenderedPageBreak/>
        <w:t xml:space="preserve">De la respuesta proporcionada de la </w:t>
      </w:r>
      <w:r w:rsidRPr="00190A09">
        <w:rPr>
          <w:rFonts w:ascii="Palatino Linotype" w:eastAsia="Palatino Linotype" w:hAnsi="Palatino Linotype" w:cs="Palatino Linotype"/>
          <w:b/>
        </w:rPr>
        <w:t>Dirección General del Registro Estatal de Transporte Público</w:t>
      </w:r>
      <w:r w:rsidR="006F4D38" w:rsidRPr="00190A09">
        <w:rPr>
          <w:rFonts w:ascii="Palatino Linotype" w:eastAsia="Palatino Linotype" w:hAnsi="Palatino Linotype" w:cs="Palatino Linotype"/>
        </w:rPr>
        <w:t xml:space="preserve">, se debe de precisar que la información de los oficios si se puede entregar, toda vez que son considerados documentos definitivos, situación por la cual se hace el siguiente </w:t>
      </w:r>
      <w:r w:rsidR="005C193B" w:rsidRPr="00190A09">
        <w:rPr>
          <w:rFonts w:ascii="Palatino Linotype" w:eastAsia="Palatino Linotype" w:hAnsi="Palatino Linotype" w:cs="Palatino Linotype"/>
        </w:rPr>
        <w:t>análisis</w:t>
      </w:r>
      <w:r w:rsidR="006F4D38" w:rsidRPr="00190A09">
        <w:rPr>
          <w:rFonts w:ascii="Palatino Linotype" w:eastAsia="Palatino Linotype" w:hAnsi="Palatino Linotype" w:cs="Palatino Linotype"/>
        </w:rPr>
        <w:t xml:space="preserve">. </w:t>
      </w:r>
    </w:p>
    <w:p w:rsidR="006F4D38" w:rsidRPr="00190A09" w:rsidRDefault="006F4D38" w:rsidP="006F4D38">
      <w:pPr>
        <w:pStyle w:val="Prrafodelista"/>
        <w:rPr>
          <w:rFonts w:ascii="Palatino Linotype" w:eastAsia="Palatino Linotype" w:hAnsi="Palatino Linotype" w:cs="Palatino Linotype"/>
          <w:b/>
        </w:rPr>
      </w:pPr>
    </w:p>
    <w:p w:rsidR="00D26F0D" w:rsidRPr="00190A09" w:rsidRDefault="00D26F0D" w:rsidP="00D26F0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mbria" w:hAnsi="Palatino Linotype"/>
          <w:color w:val="000000"/>
          <w:lang w:val="es-ES" w:eastAsia="en-US"/>
        </w:rPr>
      </w:pPr>
      <w:r w:rsidRPr="00190A09">
        <w:rPr>
          <w:rFonts w:ascii="Palatino Linotype" w:eastAsia="Cambria" w:hAnsi="Palatino Linotype"/>
          <w:color w:val="000000"/>
          <w:lang w:val="es-ES" w:eastAsia="en-US"/>
        </w:rPr>
        <w:t xml:space="preserve">De lo anterior, se debe de resaltar que para la entrega de información solicitada por los particulares, es necesario que esta obre en cualquier </w:t>
      </w:r>
      <w:r w:rsidRPr="00190A09">
        <w:rPr>
          <w:rFonts w:ascii="Palatino Linotype" w:hAnsi="Palatino Linotype"/>
          <w:color w:val="000000"/>
        </w:rPr>
        <w:t>documento</w:t>
      </w:r>
      <w:r w:rsidRPr="00190A09">
        <w:rPr>
          <w:rFonts w:ascii="Palatino Linotype" w:eastAsia="Cambria" w:hAnsi="Palatino Linotype"/>
          <w:color w:val="000000"/>
          <w:lang w:val="es-ES" w:eastAsia="en-US"/>
        </w:rPr>
        <w:t xml:space="preserve"> que el Sujeto </w:t>
      </w:r>
      <w:r w:rsidRPr="00190A09">
        <w:rPr>
          <w:rFonts w:ascii="Palatino Linotype" w:eastAsia="Palatino Linotype" w:hAnsi="Palatino Linotype" w:cs="Palatino Linotype"/>
        </w:rPr>
        <w:t>Obligado</w:t>
      </w:r>
      <w:r w:rsidRPr="00190A09">
        <w:rPr>
          <w:rFonts w:ascii="Palatino Linotype" w:eastAsia="Cambria" w:hAnsi="Palatino Linotype"/>
          <w:color w:val="000000"/>
          <w:lang w:val="es-ES" w:eastAsia="en-US"/>
        </w:rPr>
        <w:t xml:space="preserve">, genere, posea o administre, en consecuencia, los documentos como ya ha quedado establecido y como el mismo lo refirió en respuesta obran en sus archivos, lo que significa que ello no implica la generación de un documento sino solo la entrega del que ya obre en su poder y que contenga la información que el Particular desea conocer; por lo que resulta poco garante reservar la información solicitada, pues el Sujeto Obligado cuenta en sus archivos con diversos documentos que son públicos, por lo que solo se dilata la atención del derecho de acceso a la información pública del Recurrente; </w:t>
      </w:r>
      <w:r w:rsidRPr="00190A09">
        <w:rPr>
          <w:rFonts w:ascii="Palatino Linotype" w:eastAsia="Cambria" w:hAnsi="Palatino Linotype"/>
          <w:b/>
          <w:i/>
          <w:color w:val="000000"/>
          <w:u w:val="single"/>
          <w:lang w:val="es-ES" w:eastAsia="en-US"/>
        </w:rPr>
        <w:t>y lo procedente es proporcionar los documentos que no sufren modificación alguna</w:t>
      </w:r>
      <w:r w:rsidRPr="00190A09">
        <w:rPr>
          <w:rFonts w:ascii="Palatino Linotype" w:eastAsia="Cambria" w:hAnsi="Palatino Linotype"/>
          <w:color w:val="000000"/>
          <w:lang w:val="es-ES" w:eastAsia="en-US"/>
        </w:rPr>
        <w:t>, ahora bien, resulta prudente tomar en consideración lo plasmado en el criterio 09/2004 emitido por la Suprema Corte de Justicia de la Nación, e incluso referido por el Particular en sus motivos de inconformidad cuya literalidad es la siguiente:</w:t>
      </w:r>
    </w:p>
    <w:p w:rsidR="00D26F0D" w:rsidRPr="00190A09" w:rsidRDefault="00D26F0D" w:rsidP="00D26F0D">
      <w:pPr>
        <w:pStyle w:val="Prrafodelista"/>
        <w:tabs>
          <w:tab w:val="left" w:pos="4962"/>
        </w:tabs>
        <w:ind w:left="1134" w:right="900"/>
        <w:jc w:val="both"/>
        <w:rPr>
          <w:rFonts w:ascii="Palatino Linotype" w:eastAsia="Calibri" w:hAnsi="Palatino Linotype" w:cs="Tahoma"/>
          <w:i/>
          <w:iCs/>
          <w:lang w:val="es-ES" w:eastAsia="es-ES_tradnl"/>
        </w:rPr>
      </w:pPr>
      <w:r w:rsidRPr="00190A09">
        <w:rPr>
          <w:rFonts w:ascii="Palatino Linotype" w:eastAsia="Calibri" w:hAnsi="Palatino Linotype" w:cs="Tahoma"/>
          <w:i/>
          <w:iCs/>
          <w:lang w:val="es-ES" w:eastAsia="es-ES_tradnl"/>
        </w:rPr>
        <w:t>"</w:t>
      </w:r>
      <w:r w:rsidRPr="00190A09">
        <w:rPr>
          <w:rFonts w:ascii="Palatino Linotype" w:eastAsia="Calibri" w:hAnsi="Palatino Linotype" w:cs="Tahoma"/>
          <w:b/>
          <w:i/>
          <w:iCs/>
          <w:lang w:val="es-ES" w:eastAsia="es-ES_tradnl"/>
        </w:rPr>
        <w:t>INFORMACIÓN SUJETA A REVISIÓN. SI YA CONSTA EN UN DOCUMENTO DEFINITIVO, DEBE PERMITIRSE EL ACCESO A ÉSTE</w:t>
      </w:r>
      <w:r w:rsidRPr="00190A09">
        <w:rPr>
          <w:rFonts w:ascii="Palatino Linotype" w:eastAsia="Calibri" w:hAnsi="Palatino Linotype" w:cs="Tahoma"/>
          <w:i/>
          <w:iCs/>
          <w:lang w:val="es-ES" w:eastAsia="es-ES_tradnl"/>
        </w:rPr>
        <w:t xml:space="preserve">. </w:t>
      </w:r>
    </w:p>
    <w:p w:rsidR="00D26F0D" w:rsidRPr="00190A09" w:rsidRDefault="00D26F0D" w:rsidP="00D26F0D">
      <w:pPr>
        <w:pStyle w:val="Prrafodelista"/>
        <w:tabs>
          <w:tab w:val="left" w:pos="4962"/>
        </w:tabs>
        <w:ind w:left="1134" w:right="900"/>
        <w:jc w:val="both"/>
        <w:rPr>
          <w:rFonts w:ascii="Palatino Linotype" w:eastAsia="Calibri" w:hAnsi="Palatino Linotype" w:cs="Tahoma"/>
          <w:i/>
          <w:iCs/>
          <w:lang w:val="es-ES" w:eastAsia="es-ES_tradnl"/>
        </w:rPr>
      </w:pPr>
      <w:r w:rsidRPr="00190A09">
        <w:rPr>
          <w:rFonts w:ascii="Palatino Linotype" w:eastAsia="Calibri" w:hAnsi="Palatino Linotype" w:cs="Tahoma"/>
          <w:i/>
          <w:iCs/>
          <w:lang w:val="es-ES" w:eastAsia="es-ES_tradnl"/>
        </w:rPr>
        <w:t xml:space="preserve">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w:t>
      </w:r>
      <w:r w:rsidRPr="00190A09">
        <w:rPr>
          <w:rFonts w:ascii="Palatino Linotype" w:eastAsia="Calibri" w:hAnsi="Palatino Linotype" w:cs="Tahoma"/>
          <w:i/>
          <w:iCs/>
          <w:lang w:val="es-ES" w:eastAsia="es-ES_tradnl"/>
        </w:rPr>
        <w:lastRenderedPageBreak/>
        <w:t xml:space="preserve">términos solicitados, en aras de una total y absoluta transparencia de la información bajo el resguardo de este Alto Tribunal, independientemente de que en un futuro se cuente con una presentación distinta </w:t>
      </w:r>
    </w:p>
    <w:p w:rsidR="00D26F0D" w:rsidRPr="00190A09" w:rsidRDefault="00D26F0D" w:rsidP="00D26F0D">
      <w:pPr>
        <w:pStyle w:val="Prrafodelista"/>
        <w:tabs>
          <w:tab w:val="left" w:pos="4962"/>
        </w:tabs>
        <w:ind w:left="1134" w:right="900"/>
        <w:jc w:val="both"/>
        <w:rPr>
          <w:rFonts w:ascii="Palatino Linotype" w:eastAsia="Calibri" w:hAnsi="Palatino Linotype" w:cs="Tahoma"/>
          <w:i/>
          <w:iCs/>
          <w:lang w:val="es-ES" w:eastAsia="es-ES_tradnl"/>
        </w:rPr>
      </w:pPr>
      <w:r w:rsidRPr="00190A09">
        <w:rPr>
          <w:rFonts w:ascii="Palatino Linotype" w:eastAsia="Calibri" w:hAnsi="Palatino Linotype" w:cs="Tahoma"/>
          <w:i/>
          <w:iCs/>
          <w:lang w:val="es-ES" w:eastAsia="es-ES_tradnl"/>
        </w:rPr>
        <w:t>Clasificación de la información 10/2004-J, 19 de mayo de 2004.</w:t>
      </w:r>
    </w:p>
    <w:p w:rsidR="00D26F0D" w:rsidRPr="00190A09" w:rsidRDefault="00D26F0D" w:rsidP="00D26F0D">
      <w:pPr>
        <w:pStyle w:val="Prrafodelista"/>
        <w:tabs>
          <w:tab w:val="left" w:pos="4962"/>
        </w:tabs>
        <w:ind w:left="1134" w:right="900"/>
        <w:jc w:val="both"/>
        <w:rPr>
          <w:rFonts w:ascii="Palatino Linotype" w:eastAsia="Calibri" w:hAnsi="Palatino Linotype" w:cs="Tahoma"/>
          <w:i/>
          <w:iCs/>
          <w:lang w:val="es-ES" w:eastAsia="es-ES_tradnl"/>
        </w:rPr>
      </w:pPr>
      <w:r w:rsidRPr="00190A09">
        <w:rPr>
          <w:rFonts w:ascii="Palatino Linotype" w:eastAsia="Calibri" w:hAnsi="Palatino Linotype" w:cs="Tahoma"/>
          <w:i/>
          <w:iCs/>
          <w:lang w:val="es-ES" w:eastAsia="es-ES_tradnl"/>
        </w:rPr>
        <w:t>Unanimidad de votos"</w:t>
      </w:r>
    </w:p>
    <w:p w:rsidR="00D26F0D" w:rsidRPr="00190A09" w:rsidRDefault="00D26F0D" w:rsidP="00D26F0D">
      <w:pPr>
        <w:pStyle w:val="Prrafodelista"/>
        <w:tabs>
          <w:tab w:val="left" w:pos="4962"/>
        </w:tabs>
        <w:spacing w:line="360" w:lineRule="auto"/>
        <w:ind w:left="644"/>
        <w:jc w:val="both"/>
        <w:rPr>
          <w:rFonts w:ascii="Palatino Linotype" w:eastAsia="Calibri" w:hAnsi="Palatino Linotype" w:cs="Tahoma"/>
          <w:iCs/>
          <w:lang w:val="es-ES" w:eastAsia="es-ES_tradnl"/>
        </w:rPr>
      </w:pPr>
    </w:p>
    <w:p w:rsidR="00D26F0D" w:rsidRPr="00190A09" w:rsidRDefault="00D26F0D" w:rsidP="00D26F0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mbria" w:hAnsi="Palatino Linotype"/>
          <w:color w:val="000000"/>
          <w:lang w:val="es-ES" w:eastAsia="en-US"/>
        </w:rPr>
      </w:pPr>
      <w:r w:rsidRPr="00190A09">
        <w:rPr>
          <w:rFonts w:ascii="Palatino Linotype" w:eastAsia="Cambria" w:hAnsi="Palatino Linotype"/>
          <w:color w:val="000000"/>
          <w:lang w:val="es-ES" w:eastAsia="en-US"/>
        </w:rPr>
        <w:t xml:space="preserve">Del </w:t>
      </w:r>
      <w:r w:rsidRPr="00190A09">
        <w:rPr>
          <w:rFonts w:ascii="Palatino Linotype" w:eastAsia="Palatino Linotype" w:hAnsi="Palatino Linotype" w:cs="Palatino Linotype"/>
        </w:rPr>
        <w:t>anterior</w:t>
      </w:r>
      <w:r w:rsidRPr="00190A09">
        <w:rPr>
          <w:rFonts w:ascii="Palatino Linotype" w:eastAsia="Cambria" w:hAnsi="Palatino Linotype"/>
          <w:color w:val="000000"/>
          <w:lang w:val="es-ES" w:eastAsia="en-US"/>
        </w:rPr>
        <w:t xml:space="preserve"> criterio se puede deducir que para el caso de acceso sobre </w:t>
      </w:r>
      <w:r w:rsidRPr="00190A09">
        <w:rPr>
          <w:rFonts w:ascii="Palatino Linotype" w:hAnsi="Palatino Linotype"/>
          <w:color w:val="000000"/>
        </w:rPr>
        <w:t>documentos</w:t>
      </w:r>
      <w:r w:rsidRPr="00190A09">
        <w:rPr>
          <w:rFonts w:ascii="Palatino Linotype" w:eastAsia="Cambria" w:hAnsi="Palatino Linotype"/>
          <w:color w:val="000000"/>
          <w:lang w:val="es-ES" w:eastAsia="en-US"/>
        </w:rPr>
        <w:t xml:space="preserve"> que se encuentren en un proceso de revisión no debe implicar la falta de los mismos</w:t>
      </w:r>
      <w:r w:rsidRPr="00190A09">
        <w:rPr>
          <w:rFonts w:ascii="Palatino Linotype" w:eastAsia="Cambria" w:hAnsi="Palatino Linotype"/>
          <w:b/>
          <w:i/>
          <w:color w:val="000000"/>
          <w:u w:val="single"/>
          <w:lang w:val="es-ES" w:eastAsia="en-US"/>
        </w:rPr>
        <w:t>, siempre que sean definitivos</w:t>
      </w:r>
      <w:r w:rsidRPr="00190A09">
        <w:rPr>
          <w:rFonts w:ascii="Palatino Linotype" w:eastAsia="Cambria" w:hAnsi="Palatino Linotype"/>
          <w:color w:val="000000"/>
          <w:lang w:val="es-ES" w:eastAsia="en-US"/>
        </w:rPr>
        <w:t xml:space="preserve">, por lo que deberá permitirse el acceso a los mismos, aun cuando de manera posterior se realice un informe final, y no así negar el acceso aludiendo a que no se concluyen las etapas de las acciones de control. </w:t>
      </w:r>
    </w:p>
    <w:p w:rsidR="00D26F0D" w:rsidRPr="00190A09" w:rsidRDefault="00D26F0D" w:rsidP="00D26F0D">
      <w:pPr>
        <w:spacing w:line="360" w:lineRule="auto"/>
        <w:contextualSpacing/>
        <w:jc w:val="both"/>
        <w:rPr>
          <w:rFonts w:ascii="Palatino Linotype" w:eastAsia="Cambria" w:hAnsi="Palatino Linotype"/>
          <w:color w:val="000000"/>
          <w:lang w:val="es-ES" w:eastAsia="en-US"/>
        </w:rPr>
      </w:pPr>
    </w:p>
    <w:p w:rsidR="00D26F0D" w:rsidRPr="00190A09" w:rsidRDefault="00D26F0D" w:rsidP="00D26F0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mbria" w:hAnsi="Palatino Linotype"/>
          <w:color w:val="000000"/>
          <w:lang w:val="es-ES" w:eastAsia="en-US"/>
        </w:rPr>
      </w:pPr>
      <w:r w:rsidRPr="00190A09">
        <w:rPr>
          <w:rFonts w:ascii="Palatino Linotype" w:eastAsia="Cambria" w:hAnsi="Palatino Linotype"/>
          <w:color w:val="000000"/>
          <w:lang w:val="es-ES" w:eastAsia="en-US"/>
        </w:rPr>
        <w:t xml:space="preserve">Por lo anteriormente expuesto, se determina que los oficios, son consideradas  como </w:t>
      </w:r>
      <w:r w:rsidRPr="00190A09">
        <w:rPr>
          <w:rFonts w:ascii="Palatino Linotype" w:eastAsia="Cambria" w:hAnsi="Palatino Linotype"/>
          <w:b/>
          <w:color w:val="000000"/>
          <w:lang w:val="es-ES" w:eastAsia="en-US"/>
        </w:rPr>
        <w:t>un documento definitivo</w:t>
      </w:r>
      <w:r w:rsidRPr="00190A09">
        <w:rPr>
          <w:rFonts w:ascii="Palatino Linotype" w:eastAsia="Cambria" w:hAnsi="Palatino Linotype"/>
          <w:color w:val="000000"/>
          <w:lang w:val="es-ES" w:eastAsia="en-US"/>
        </w:rPr>
        <w:t xml:space="preserve">, situación por la cual el </w:t>
      </w:r>
      <w:r w:rsidRPr="00190A09">
        <w:rPr>
          <w:rFonts w:ascii="Palatino Linotype" w:eastAsia="Cambria" w:hAnsi="Palatino Linotype"/>
          <w:b/>
          <w:color w:val="000000"/>
          <w:lang w:val="es-ES" w:eastAsia="en-US"/>
        </w:rPr>
        <w:t xml:space="preserve">SUJETO OBLIGADO </w:t>
      </w:r>
      <w:r w:rsidRPr="00190A09">
        <w:rPr>
          <w:rFonts w:ascii="Palatino Linotype" w:eastAsia="Cambria" w:hAnsi="Palatino Linotype"/>
          <w:color w:val="000000"/>
          <w:lang w:val="es-ES" w:eastAsia="en-US"/>
        </w:rPr>
        <w:t xml:space="preserve">debe de permitir su acceso a ellos para colmar el derecho de acceso a la información del </w:t>
      </w:r>
      <w:r w:rsidRPr="00190A09">
        <w:rPr>
          <w:rFonts w:ascii="Palatino Linotype" w:eastAsia="Cambria" w:hAnsi="Palatino Linotype"/>
          <w:b/>
          <w:color w:val="000000"/>
          <w:lang w:val="es-ES" w:eastAsia="en-US"/>
        </w:rPr>
        <w:t xml:space="preserve">RECURRENTE, </w:t>
      </w:r>
      <w:r w:rsidRPr="00190A09">
        <w:rPr>
          <w:rFonts w:ascii="Palatino Linotype" w:eastAsia="Cambria" w:hAnsi="Palatino Linotype"/>
          <w:color w:val="000000"/>
          <w:lang w:val="es-ES" w:eastAsia="en-US"/>
        </w:rPr>
        <w:t xml:space="preserve">siempre cuidando proteger los datos personales que contengan los oficios de conformidad con el artículo 143 fracción I de la Ley de Transparencia y Acceso a la Información Pública del Estado de México y Municipios. </w:t>
      </w:r>
    </w:p>
    <w:p w:rsidR="00D26F0D" w:rsidRPr="00190A09" w:rsidRDefault="00D26F0D" w:rsidP="00D26F0D">
      <w:pPr>
        <w:pStyle w:val="Prrafodelista"/>
        <w:rPr>
          <w:rFonts w:ascii="Palatino Linotype" w:eastAsia="Cambria" w:hAnsi="Palatino Linotype"/>
          <w:color w:val="000000"/>
          <w:lang w:val="es-ES" w:eastAsia="en-US"/>
        </w:rPr>
      </w:pPr>
    </w:p>
    <w:p w:rsidR="00D26F0D" w:rsidRPr="00190A09" w:rsidRDefault="00F600EF" w:rsidP="00D26F0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mbria" w:hAnsi="Palatino Linotype"/>
          <w:color w:val="000000"/>
          <w:lang w:val="es-ES" w:eastAsia="en-US"/>
        </w:rPr>
      </w:pPr>
      <w:r w:rsidRPr="00190A09">
        <w:rPr>
          <w:rFonts w:ascii="Palatino Linotype" w:eastAsia="Cambria" w:hAnsi="Palatino Linotype"/>
          <w:color w:val="000000"/>
          <w:lang w:val="es-ES" w:eastAsia="en-US"/>
        </w:rPr>
        <w:t xml:space="preserve">Ahora bien, por cuanto hace a la </w:t>
      </w:r>
      <w:r w:rsidRPr="00190A09">
        <w:rPr>
          <w:rFonts w:ascii="Palatino Linotype" w:eastAsia="Palatino Linotype" w:hAnsi="Palatino Linotype" w:cs="Palatino Linotype"/>
          <w:b/>
        </w:rPr>
        <w:t xml:space="preserve">Dirección General de Vialidad </w:t>
      </w:r>
      <w:r w:rsidRPr="00190A09">
        <w:rPr>
          <w:rFonts w:ascii="Palatino Linotype" w:eastAsia="Palatino Linotype" w:hAnsi="Palatino Linotype" w:cs="Palatino Linotype"/>
        </w:rPr>
        <w:t xml:space="preserve">y a la </w:t>
      </w:r>
      <w:r w:rsidRPr="00190A09">
        <w:rPr>
          <w:rFonts w:ascii="Palatino Linotype" w:eastAsia="Palatino Linotype" w:hAnsi="Palatino Linotype" w:cs="Palatino Linotype"/>
          <w:b/>
        </w:rPr>
        <w:t>Dirección General de Movilidad Zona IV</w:t>
      </w:r>
      <w:r w:rsidRPr="00190A09">
        <w:rPr>
          <w:rFonts w:ascii="Palatino Linotype" w:eastAsia="Cambria" w:hAnsi="Palatino Linotype"/>
          <w:color w:val="000000"/>
          <w:lang w:val="es-ES" w:eastAsia="en-US"/>
        </w:rPr>
        <w:t xml:space="preserve">, se debe de analizar que en respuesta propusieron el cambio de modalidad, situación por la cual se analiza lo siguiente. </w:t>
      </w:r>
    </w:p>
    <w:p w:rsidR="00F600EF" w:rsidRPr="00190A09" w:rsidRDefault="00F600EF" w:rsidP="00F600EF">
      <w:pPr>
        <w:pStyle w:val="Prrafodelista"/>
        <w:rPr>
          <w:rFonts w:ascii="Palatino Linotype" w:eastAsia="Cambria" w:hAnsi="Palatino Linotype"/>
          <w:color w:val="000000"/>
          <w:lang w:val="es-ES" w:eastAsia="en-US"/>
        </w:rPr>
      </w:pPr>
    </w:p>
    <w:tbl>
      <w:tblPr>
        <w:tblStyle w:val="Tablaconcuadrcula"/>
        <w:tblW w:w="0" w:type="auto"/>
        <w:jc w:val="center"/>
        <w:tblLook w:val="04A0" w:firstRow="1" w:lastRow="0" w:firstColumn="1" w:lastColumn="0" w:noHBand="0" w:noVBand="1"/>
      </w:tblPr>
      <w:tblGrid>
        <w:gridCol w:w="4414"/>
        <w:gridCol w:w="4795"/>
      </w:tblGrid>
      <w:tr w:rsidR="00B37783" w:rsidRPr="00190A09" w:rsidTr="00190A09">
        <w:trPr>
          <w:jc w:val="center"/>
        </w:trPr>
        <w:tc>
          <w:tcPr>
            <w:tcW w:w="4414" w:type="dxa"/>
          </w:tcPr>
          <w:p w:rsidR="00B37783" w:rsidRPr="00190A09" w:rsidRDefault="00B37783" w:rsidP="00B37783">
            <w:pPr>
              <w:tabs>
                <w:tab w:val="left" w:pos="0"/>
              </w:tabs>
              <w:ind w:right="49"/>
              <w:jc w:val="both"/>
              <w:rPr>
                <w:rFonts w:ascii="Palatino Linotype" w:eastAsia="Cambria" w:hAnsi="Palatino Linotype"/>
                <w:i/>
                <w:color w:val="000000"/>
                <w:lang w:val="es-ES" w:eastAsia="en-US"/>
              </w:rPr>
            </w:pPr>
            <w:r w:rsidRPr="00190A09">
              <w:rPr>
                <w:rFonts w:ascii="Palatino Linotype" w:eastAsia="Palatino Linotype" w:hAnsi="Palatino Linotype" w:cs="Palatino Linotype"/>
                <w:b/>
                <w:i/>
              </w:rPr>
              <w:t>Dirección General de Vialidad</w:t>
            </w:r>
          </w:p>
        </w:tc>
        <w:tc>
          <w:tcPr>
            <w:tcW w:w="4795" w:type="dxa"/>
          </w:tcPr>
          <w:p w:rsidR="00B37783" w:rsidRPr="00190A09" w:rsidRDefault="00B37783" w:rsidP="00B37783">
            <w:pPr>
              <w:tabs>
                <w:tab w:val="left" w:pos="0"/>
              </w:tabs>
              <w:ind w:right="49"/>
              <w:jc w:val="both"/>
              <w:rPr>
                <w:rFonts w:ascii="Palatino Linotype" w:eastAsia="Cambria" w:hAnsi="Palatino Linotype"/>
                <w:i/>
                <w:color w:val="000000"/>
                <w:lang w:val="es-ES" w:eastAsia="en-US"/>
              </w:rPr>
            </w:pPr>
            <w:r w:rsidRPr="00190A09">
              <w:rPr>
                <w:rFonts w:ascii="Palatino Linotype" w:eastAsia="Palatino Linotype" w:hAnsi="Palatino Linotype" w:cs="Palatino Linotype"/>
                <w:b/>
                <w:i/>
              </w:rPr>
              <w:t>Dirección General de Movilidad Zona IV</w:t>
            </w:r>
          </w:p>
        </w:tc>
      </w:tr>
      <w:tr w:rsidR="00B37783" w:rsidRPr="00190A09" w:rsidTr="00190A09">
        <w:trPr>
          <w:jc w:val="center"/>
        </w:trPr>
        <w:tc>
          <w:tcPr>
            <w:tcW w:w="4414" w:type="dxa"/>
          </w:tcPr>
          <w:p w:rsidR="00B37783" w:rsidRPr="00190A09" w:rsidRDefault="00B37783" w:rsidP="00B37783">
            <w:pPr>
              <w:tabs>
                <w:tab w:val="left" w:pos="0"/>
              </w:tabs>
              <w:ind w:right="49"/>
              <w:jc w:val="both"/>
              <w:rPr>
                <w:rFonts w:ascii="Palatino Linotype" w:eastAsia="Cambria" w:hAnsi="Palatino Linotype"/>
                <w:i/>
                <w:color w:val="000000"/>
                <w:lang w:eastAsia="en-US"/>
              </w:rPr>
            </w:pPr>
            <w:r w:rsidRPr="00190A09">
              <w:rPr>
                <w:rFonts w:ascii="Palatino Linotype" w:eastAsia="Cambria" w:hAnsi="Palatino Linotype"/>
                <w:i/>
                <w:color w:val="000000"/>
                <w:lang w:eastAsia="en-US"/>
              </w:rPr>
              <w:t xml:space="preserve">“Me permito informarle que tomando en consideración que el periodo de búsqueda señalado deriva en un volumen considerable de información, que, sobrepasa </w:t>
            </w:r>
            <w:r w:rsidRPr="00190A09">
              <w:rPr>
                <w:rFonts w:ascii="Palatino Linotype" w:eastAsia="Cambria" w:hAnsi="Palatino Linotype"/>
                <w:i/>
                <w:color w:val="000000"/>
                <w:lang w:eastAsia="en-US"/>
              </w:rPr>
              <w:lastRenderedPageBreak/>
              <w:t xml:space="preserve">las capacidades técnicas, administrativas y humanas de la Unidad Administrativa, pues NO SE CUENTA con herramientas tecnológicas, ni con el capital humano necesario suficiente que este destinado solo a realizar dicha actividad para exclusivamente atender la petición dado su extraordinario volumen, resulta oportuno mencionarle que, de acuerdo con lo establecido en el "Capítulo X" denominado "DE LA CONSULTA DIRECTA”. </w:t>
            </w:r>
          </w:p>
          <w:p w:rsidR="00A9495D" w:rsidRPr="00190A09" w:rsidRDefault="00A9495D" w:rsidP="00A9495D">
            <w:pPr>
              <w:ind w:right="58"/>
              <w:jc w:val="both"/>
              <w:rPr>
                <w:rFonts w:ascii="Palatino Linotype" w:hAnsi="Palatino Linotype"/>
                <w:b/>
                <w:i/>
              </w:rPr>
            </w:pPr>
            <w:r w:rsidRPr="00190A09">
              <w:rPr>
                <w:rFonts w:ascii="Palatino Linotype" w:hAnsi="Palatino Linotype"/>
                <w:b/>
                <w:i/>
              </w:rPr>
              <w:t xml:space="preserve">Acta de la Sexagésima Cuarta Sesión Ordinaria, mediante la cual se aprueba el cambio de modalidad a consulta directa o en las modalidades que se permitan de la información que se encuentra en la Dirección General de Vialidad. </w:t>
            </w:r>
          </w:p>
          <w:p w:rsidR="00B37783" w:rsidRPr="00190A09" w:rsidRDefault="00B37783" w:rsidP="00B37783">
            <w:pPr>
              <w:tabs>
                <w:tab w:val="left" w:pos="0"/>
              </w:tabs>
              <w:ind w:right="49"/>
              <w:jc w:val="both"/>
              <w:rPr>
                <w:rFonts w:ascii="Palatino Linotype" w:eastAsia="Cambria" w:hAnsi="Palatino Linotype"/>
                <w:i/>
                <w:color w:val="000000"/>
                <w:lang w:val="es-ES" w:eastAsia="en-US"/>
              </w:rPr>
            </w:pPr>
          </w:p>
        </w:tc>
        <w:tc>
          <w:tcPr>
            <w:tcW w:w="4795" w:type="dxa"/>
          </w:tcPr>
          <w:p w:rsidR="00B37783" w:rsidRPr="00190A09" w:rsidRDefault="00B37783" w:rsidP="00B37783">
            <w:pPr>
              <w:tabs>
                <w:tab w:val="left" w:pos="0"/>
              </w:tabs>
              <w:ind w:right="49"/>
              <w:jc w:val="both"/>
              <w:rPr>
                <w:rFonts w:ascii="Palatino Linotype" w:eastAsia="Cambria" w:hAnsi="Palatino Linotype"/>
                <w:i/>
                <w:color w:val="000000"/>
                <w:lang w:val="es-ES" w:eastAsia="en-US"/>
              </w:rPr>
            </w:pPr>
            <w:r w:rsidRPr="00190A09">
              <w:rPr>
                <w:rFonts w:ascii="Palatino Linotype" w:eastAsia="Cambria" w:hAnsi="Palatino Linotype"/>
                <w:i/>
                <w:color w:val="000000"/>
                <w:lang w:val="es-ES" w:eastAsia="en-US"/>
              </w:rPr>
              <w:lastRenderedPageBreak/>
              <w:t>En respuesta refirió lo siguiente</w:t>
            </w:r>
          </w:p>
          <w:p w:rsidR="00B37783" w:rsidRPr="00190A09" w:rsidRDefault="00B37783" w:rsidP="00B37783">
            <w:pPr>
              <w:tabs>
                <w:tab w:val="left" w:pos="0"/>
              </w:tabs>
              <w:ind w:right="49"/>
              <w:jc w:val="both"/>
              <w:rPr>
                <w:rFonts w:ascii="Palatino Linotype" w:eastAsia="Cambria" w:hAnsi="Palatino Linotype"/>
                <w:i/>
                <w:color w:val="000000"/>
                <w:lang w:val="es-ES" w:eastAsia="en-US"/>
              </w:rPr>
            </w:pPr>
            <w:r w:rsidRPr="00190A09">
              <w:rPr>
                <w:rFonts w:ascii="Palatino Linotype" w:eastAsia="Cambria" w:hAnsi="Palatino Linotype"/>
                <w:i/>
                <w:color w:val="000000"/>
                <w:lang w:val="es-ES" w:eastAsia="en-US"/>
              </w:rPr>
              <w:t>“</w:t>
            </w:r>
            <w:r w:rsidRPr="00190A09">
              <w:rPr>
                <w:rFonts w:ascii="Palatino Linotype" w:eastAsia="Cambria" w:hAnsi="Palatino Linotype"/>
                <w:i/>
                <w:color w:val="000000"/>
                <w:lang w:eastAsia="en-US"/>
              </w:rPr>
              <w:t xml:space="preserve">Me permito hacer de su conocimiento que derivado de una consulta en los archivos que obran en esta Unidad Administrativa a mi </w:t>
            </w:r>
            <w:r w:rsidRPr="00190A09">
              <w:rPr>
                <w:rFonts w:ascii="Palatino Linotype" w:eastAsia="Cambria" w:hAnsi="Palatino Linotype"/>
                <w:i/>
                <w:color w:val="000000"/>
                <w:lang w:eastAsia="en-US"/>
              </w:rPr>
              <w:lastRenderedPageBreak/>
              <w:t xml:space="preserve">cargo, el periodo comprendido del mes de marzo de 2024 al mes de febrero de 2025, en las Oficinas de la Dirección General de Movilidad de Zona IV se localizaron de manera física 2144 oficios con un total de 2,897 fojas relacionadas con los oficios generados y firmados, ahora bien considerando que el escaneo de cada foja genera un peso aproximado de 144 kb, como se acredita con el archivo en formato PDF el cual se anexa al presente, identificado con el nombre marzo24.pdf, el cual en sus propiedades señala claramente el tamaño de 144 KB (147,563 bytes), por lo que la digitalización de todos los documentos tienen un peso total de 417,168 kb, por lo que el subir al sistema todos los archivos, resulta insuficiente, no obstante con la finalidad de salvaguardar el derecho de acceso a la información que se prevé en el artículo 6 apartado A de la Constitución Política de los Estados Unidos Mexicanos, el cual enfatiza que, todo acto de autoridad (todo acto de gobierno) es de interés general y, por ende, es susceptible de ser conocido por todos, comprendiendo por supuesto solicitar, investigar, difundir, buscar y recibir información, integrada en documentos registrados con motivo del ejercicio de las facultades, funciones, atribuciones y competencias, en este caso de la Dirección General de Movilidad, la Dirección General de Movilidad Zona IV, pone a disposición del peticionario para su consulta digital, debiendo apersonarse en las instalaciones que ocupa esta Unidad Administrativa sita en Avenida Cuauhtémoc Oriente, numero veintinueve, Colonia Centro, Chalco, Estado de México, el </w:t>
            </w:r>
            <w:r w:rsidRPr="00190A09">
              <w:rPr>
                <w:rFonts w:ascii="Palatino Linotype" w:eastAsia="Cambria" w:hAnsi="Palatino Linotype"/>
                <w:i/>
                <w:color w:val="000000"/>
                <w:lang w:eastAsia="en-US"/>
              </w:rPr>
              <w:lastRenderedPageBreak/>
              <w:t>día primero de abril de la presente anualidad a las doce horas, siendo dable precisar que dicha documentación será puesta a disposición del peticionario en su versión publica”</w:t>
            </w:r>
          </w:p>
        </w:tc>
      </w:tr>
    </w:tbl>
    <w:p w:rsidR="00F600EF" w:rsidRPr="00190A09" w:rsidRDefault="00F600EF" w:rsidP="00B37783">
      <w:pPr>
        <w:pBdr>
          <w:top w:val="nil"/>
          <w:left w:val="nil"/>
          <w:bottom w:val="nil"/>
          <w:right w:val="nil"/>
          <w:between w:val="nil"/>
        </w:pBdr>
        <w:tabs>
          <w:tab w:val="left" w:pos="0"/>
        </w:tabs>
        <w:spacing w:line="360" w:lineRule="auto"/>
        <w:ind w:right="49"/>
        <w:jc w:val="both"/>
        <w:rPr>
          <w:rFonts w:ascii="Palatino Linotype" w:eastAsia="Cambria" w:hAnsi="Palatino Linotype"/>
          <w:color w:val="000000"/>
          <w:lang w:val="es-ES" w:eastAsia="en-US"/>
        </w:rPr>
      </w:pPr>
    </w:p>
    <w:p w:rsidR="00A9495D" w:rsidRPr="00190A09" w:rsidRDefault="00A9495D"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 las respuesta proporcionadas se tiene que solo la Dirección General de Vialidad proporciono el Acta del Comité de Transparencia, mediante la cual se aprobaba el cambio de modalidad a consulta directas u otras modalidades que los permitiera. </w:t>
      </w:r>
    </w:p>
    <w:p w:rsidR="00A9495D" w:rsidRPr="00190A09" w:rsidRDefault="00A9495D" w:rsidP="00A9495D">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FF4E1A" w:rsidRPr="00190A09" w:rsidRDefault="00FF4E1A" w:rsidP="00FF4E1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En virtud de los anterior y con la finalidad de allegarse de mayores datos de convicción, el  </w:t>
      </w:r>
      <w:r w:rsidRPr="00190A09">
        <w:rPr>
          <w:rFonts w:ascii="Palatino Linotype" w:eastAsia="Palatino Linotype" w:hAnsi="Palatino Linotype" w:cs="Palatino Linotype"/>
          <w:b/>
          <w:color w:val="000000"/>
        </w:rPr>
        <w:t>treinta de enero de dos mil veintiséis</w:t>
      </w:r>
      <w:r w:rsidRPr="00190A09">
        <w:rPr>
          <w:rFonts w:ascii="Palatino Linotype" w:eastAsia="Palatino Linotype" w:hAnsi="Palatino Linotype" w:cs="Palatino Linotype"/>
          <w:color w:val="000000"/>
        </w:rPr>
        <w:t xml:space="preserve">, se le requirió al </w:t>
      </w:r>
      <w:r w:rsidRPr="00190A09">
        <w:rPr>
          <w:rFonts w:ascii="Palatino Linotype" w:eastAsia="Palatino Linotype" w:hAnsi="Palatino Linotype" w:cs="Palatino Linotype"/>
          <w:b/>
          <w:color w:val="000000"/>
        </w:rPr>
        <w:t>SUJETO OBLIGADO,</w:t>
      </w:r>
      <w:r w:rsidRPr="00190A09">
        <w:rPr>
          <w:rFonts w:ascii="Palatino Linotype" w:eastAsia="Palatino Linotype" w:hAnsi="Palatino Linotype" w:cs="Palatino Linotype"/>
          <w:color w:val="000000"/>
        </w:rPr>
        <w:t xml:space="preserve"> lo siguiente:</w:t>
      </w:r>
    </w:p>
    <w:p w:rsidR="00FF4E1A" w:rsidRDefault="00FF4E1A" w:rsidP="00FF4E1A">
      <w:pPr>
        <w:spacing w:line="360" w:lineRule="auto"/>
        <w:ind w:right="-787"/>
        <w:jc w:val="center"/>
        <w:rPr>
          <w:rFonts w:ascii="Palatino Linotype" w:eastAsia="Palatino Linotype" w:hAnsi="Palatino Linotype" w:cs="Palatino Linotype"/>
          <w:color w:val="000000"/>
        </w:rPr>
      </w:pPr>
      <w:r w:rsidRPr="00190A09">
        <w:rPr>
          <w:rFonts w:ascii="Palatino Linotype" w:eastAsia="Palatino Linotype" w:hAnsi="Palatino Linotype" w:cs="Palatino Linotype"/>
          <w:noProof/>
          <w:color w:val="000000"/>
        </w:rPr>
        <w:lastRenderedPageBreak/>
        <w:drawing>
          <wp:inline distT="0" distB="0" distL="0" distR="0" wp14:anchorId="75A63FBA" wp14:editId="0E861D34">
            <wp:extent cx="3466200" cy="4650537"/>
            <wp:effectExtent l="152400" t="152400" r="363220" b="3600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70727" cy="4656611"/>
                    </a:xfrm>
                    <a:prstGeom prst="rect">
                      <a:avLst/>
                    </a:prstGeom>
                    <a:ln>
                      <a:noFill/>
                    </a:ln>
                    <a:effectLst>
                      <a:outerShdw blurRad="292100" dist="139700" dir="2700000" algn="tl" rotWithShape="0">
                        <a:srgbClr val="333333">
                          <a:alpha val="65000"/>
                        </a:srgbClr>
                      </a:outerShdw>
                    </a:effectLst>
                  </pic:spPr>
                </pic:pic>
              </a:graphicData>
            </a:graphic>
          </wp:inline>
        </w:drawing>
      </w:r>
    </w:p>
    <w:p w:rsidR="00190A09" w:rsidRDefault="00190A09" w:rsidP="00FF4E1A">
      <w:pPr>
        <w:spacing w:line="360" w:lineRule="auto"/>
        <w:ind w:right="-787"/>
        <w:jc w:val="center"/>
        <w:rPr>
          <w:rFonts w:ascii="Palatino Linotype" w:eastAsia="Palatino Linotype" w:hAnsi="Palatino Linotype" w:cs="Palatino Linotype"/>
          <w:color w:val="000000"/>
        </w:rPr>
      </w:pPr>
    </w:p>
    <w:p w:rsidR="00190A09" w:rsidRPr="00190A09" w:rsidRDefault="00190A09" w:rsidP="00FF4E1A">
      <w:pPr>
        <w:spacing w:line="360" w:lineRule="auto"/>
        <w:ind w:right="-787"/>
        <w:jc w:val="center"/>
        <w:rPr>
          <w:rFonts w:ascii="Palatino Linotype" w:eastAsia="Palatino Linotype" w:hAnsi="Palatino Linotype" w:cs="Palatino Linotype"/>
          <w:color w:val="000000"/>
        </w:rPr>
      </w:pPr>
    </w:p>
    <w:p w:rsidR="00FF4E1A" w:rsidRPr="00190A09" w:rsidRDefault="00FF4E1A" w:rsidP="00FF4E1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90A09">
        <w:rPr>
          <w:rFonts w:ascii="Palatino Linotype" w:eastAsia="Palatino Linotype" w:hAnsi="Palatino Linotype" w:cs="Palatino Linotype"/>
        </w:rPr>
        <w:t xml:space="preserve">Del requerimiento de información adicional el </w:t>
      </w:r>
      <w:r w:rsidRPr="00190A09">
        <w:rPr>
          <w:rFonts w:ascii="Palatino Linotype" w:eastAsia="Palatino Linotype" w:hAnsi="Palatino Linotype" w:cs="Palatino Linotype"/>
          <w:b/>
        </w:rPr>
        <w:t xml:space="preserve">cinco de febrero de dos mil veintiséis, </w:t>
      </w:r>
      <w:r w:rsidRPr="00190A09">
        <w:rPr>
          <w:rFonts w:ascii="Palatino Linotype" w:eastAsia="Palatino Linotype" w:hAnsi="Palatino Linotype" w:cs="Palatino Linotype"/>
        </w:rPr>
        <w:t xml:space="preserve">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atendió al requerimiento, entregando dos archivos electrónicos en formato pdf, cuyo contenido grosso modo es el siguiente. </w:t>
      </w:r>
    </w:p>
    <w:p w:rsidR="0083561B" w:rsidRPr="00190A09" w:rsidRDefault="00FF4E1A" w:rsidP="00FF4E1A">
      <w:pPr>
        <w:spacing w:line="360" w:lineRule="auto"/>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b/>
          <w:i/>
        </w:rPr>
        <w:t xml:space="preserve">Respuesta a Requerimiento.pdf: </w:t>
      </w:r>
      <w:r w:rsidRPr="00190A09">
        <w:rPr>
          <w:rFonts w:ascii="Palatino Linotype" w:eastAsia="Palatino Linotype" w:hAnsi="Palatino Linotype" w:cs="Palatino Linotype"/>
          <w:i/>
        </w:rPr>
        <w:t xml:space="preserve">documento que contiene el oficio de la Dirección General de Movilidad Zona IV, mediante el cual informa que </w:t>
      </w:r>
      <w:r w:rsidR="0083561B" w:rsidRPr="00190A09">
        <w:rPr>
          <w:rFonts w:ascii="Palatino Linotype" w:eastAsia="Palatino Linotype" w:hAnsi="Palatino Linotype" w:cs="Palatino Linotype"/>
          <w:i/>
        </w:rPr>
        <w:t xml:space="preserve">con el </w:t>
      </w:r>
      <w:r w:rsidR="0083561B" w:rsidRPr="00190A09">
        <w:rPr>
          <w:rFonts w:ascii="Palatino Linotype" w:eastAsia="Palatino Linotype" w:hAnsi="Palatino Linotype" w:cs="Palatino Linotype"/>
          <w:i/>
        </w:rPr>
        <w:lastRenderedPageBreak/>
        <w:t>fin de privilegiar y facilitar el acceso a la información pública;</w:t>
      </w:r>
      <w:r w:rsidR="00051657" w:rsidRPr="00190A09">
        <w:rPr>
          <w:rFonts w:ascii="Palatino Linotype" w:eastAsia="Palatino Linotype" w:hAnsi="Palatino Linotype" w:cs="Palatino Linotype"/>
          <w:i/>
        </w:rPr>
        <w:t xml:space="preserve"> hará entrega </w:t>
      </w:r>
      <w:r w:rsidR="0083561B" w:rsidRPr="00190A09">
        <w:rPr>
          <w:rFonts w:ascii="Palatino Linotype" w:eastAsia="Palatino Linotype" w:hAnsi="Palatino Linotype" w:cs="Palatino Linotype"/>
          <w:i/>
        </w:rPr>
        <w:t xml:space="preserve">de la información pública solicitada en los términos requeridos </w:t>
      </w:r>
      <w:r w:rsidR="0083561B" w:rsidRPr="00190A09">
        <w:rPr>
          <w:rFonts w:ascii="Palatino Linotype" w:eastAsia="Palatino Linotype" w:hAnsi="Palatino Linotype" w:cs="Palatino Linotype"/>
          <w:b/>
          <w:i/>
        </w:rPr>
        <w:t>a través del Sistema de Acceso a la Información Mexiquense.</w:t>
      </w:r>
    </w:p>
    <w:p w:rsidR="00FF4E1A" w:rsidRPr="00190A09" w:rsidRDefault="00FF4E1A" w:rsidP="00FF4E1A">
      <w:pPr>
        <w:spacing w:line="360" w:lineRule="auto"/>
        <w:ind w:left="1134" w:right="900"/>
        <w:jc w:val="both"/>
        <w:rPr>
          <w:rFonts w:ascii="Palatino Linotype" w:eastAsia="Palatino Linotype" w:hAnsi="Palatino Linotype" w:cs="Palatino Linotype"/>
          <w:b/>
          <w:i/>
        </w:rPr>
      </w:pPr>
      <w:r w:rsidRPr="00190A09">
        <w:rPr>
          <w:rFonts w:ascii="Palatino Linotype" w:eastAsia="Palatino Linotype" w:hAnsi="Palatino Linotype" w:cs="Palatino Linotype"/>
          <w:i/>
        </w:rPr>
        <w:t xml:space="preserve">El documento también contiene de la Dirección General de Vialidad, mediante el cual informa que la información consta de seis mil ciento treinta y tres hojas y 3.68gb, </w:t>
      </w:r>
      <w:r w:rsidRPr="00190A09">
        <w:rPr>
          <w:rFonts w:ascii="Palatino Linotype" w:eastAsia="Palatino Linotype" w:hAnsi="Palatino Linotype" w:cs="Palatino Linotype"/>
          <w:b/>
          <w:i/>
        </w:rPr>
        <w:t>de lo cual se anexa el registro del reporte de incidencia de la Direcc</w:t>
      </w:r>
      <w:r w:rsidR="006674D3" w:rsidRPr="00190A09">
        <w:rPr>
          <w:rFonts w:ascii="Palatino Linotype" w:eastAsia="Palatino Linotype" w:hAnsi="Palatino Linotype" w:cs="Palatino Linotype"/>
          <w:b/>
          <w:i/>
        </w:rPr>
        <w:t>ión General de Vialidad</w:t>
      </w:r>
      <w:r w:rsidR="0083561B" w:rsidRPr="00190A09">
        <w:rPr>
          <w:rFonts w:ascii="Palatino Linotype" w:eastAsia="Palatino Linotype" w:hAnsi="Palatino Linotype" w:cs="Palatino Linotype"/>
          <w:b/>
          <w:i/>
        </w:rPr>
        <w:t xml:space="preserve">. </w:t>
      </w:r>
    </w:p>
    <w:p w:rsidR="00115712" w:rsidRPr="00190A09" w:rsidRDefault="00115712" w:rsidP="00115712">
      <w:pPr>
        <w:ind w:left="1134" w:right="900"/>
        <w:jc w:val="both"/>
        <w:rPr>
          <w:rFonts w:ascii="Palatino Linotype" w:hAnsi="Palatino Linotype"/>
          <w:i/>
        </w:rPr>
      </w:pPr>
      <w:r w:rsidRPr="00190A09">
        <w:rPr>
          <w:rFonts w:ascii="Palatino Linotype" w:eastAsia="Palatino Linotype" w:hAnsi="Palatino Linotype" w:cs="Palatino Linotype"/>
          <w:b/>
          <w:i/>
        </w:rPr>
        <w:t xml:space="preserve">Acta 64 Ext 2025.pdf: </w:t>
      </w:r>
      <w:r w:rsidRPr="00190A09">
        <w:rPr>
          <w:rFonts w:ascii="Palatino Linotype" w:hAnsi="Palatino Linotype"/>
          <w:i/>
        </w:rPr>
        <w:t xml:space="preserve">Acta de la Sexagésima Cuarta Sesión Ordinaria, mediante la cual se aprueba el cambio de modalidad a consulta directa de la información que se encuentra en la Dirección General de Vialidad. </w:t>
      </w:r>
    </w:p>
    <w:p w:rsidR="0083561B" w:rsidRPr="00190A09" w:rsidRDefault="0083561B" w:rsidP="00115712">
      <w:pPr>
        <w:spacing w:line="360" w:lineRule="auto"/>
        <w:ind w:right="900"/>
        <w:jc w:val="both"/>
        <w:rPr>
          <w:rFonts w:ascii="Palatino Linotype" w:eastAsia="Palatino Linotype" w:hAnsi="Palatino Linotype" w:cs="Palatino Linotype"/>
          <w:b/>
        </w:rPr>
      </w:pPr>
    </w:p>
    <w:p w:rsidR="00051657" w:rsidRPr="00190A09" w:rsidRDefault="00051657" w:rsidP="00FF4E1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De la información remitida, se tiene que la Dirección General de Movilidad Zona IV, informo que hará entrega de la información vía Sistema de Acceso a la Información, situación por la cual se tiene que el </w:t>
      </w:r>
      <w:r w:rsidRPr="00190A09">
        <w:rPr>
          <w:rFonts w:ascii="Palatino Linotype" w:eastAsia="Palatino Linotype" w:hAnsi="Palatino Linotype" w:cs="Palatino Linotype"/>
          <w:b/>
          <w:color w:val="000000"/>
        </w:rPr>
        <w:t xml:space="preserve">SUJETO OBLIGADO </w:t>
      </w:r>
      <w:r w:rsidRPr="00190A09">
        <w:rPr>
          <w:rFonts w:ascii="Palatino Linotype" w:eastAsia="Palatino Linotype" w:hAnsi="Palatino Linotype" w:cs="Palatino Linotype"/>
          <w:color w:val="000000"/>
        </w:rPr>
        <w:t xml:space="preserve">entregará la información en la modalidad elegida por el </w:t>
      </w:r>
      <w:r w:rsidRPr="00190A09">
        <w:rPr>
          <w:rFonts w:ascii="Palatino Linotype" w:eastAsia="Palatino Linotype" w:hAnsi="Palatino Linotype" w:cs="Palatino Linotype"/>
          <w:b/>
          <w:color w:val="000000"/>
        </w:rPr>
        <w:t xml:space="preserve">RECURRENTE. </w:t>
      </w:r>
    </w:p>
    <w:p w:rsidR="00051657" w:rsidRPr="00190A09" w:rsidRDefault="00051657" w:rsidP="0005165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442020" w:rsidRPr="00190A09" w:rsidRDefault="00051657" w:rsidP="00051657">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Respecto a la Dirección General de Vialidad, se tiene que por medio del requerimiento entrego</w:t>
      </w:r>
      <w:r w:rsidR="00442020" w:rsidRPr="00190A09">
        <w:rPr>
          <w:rFonts w:ascii="Palatino Linotype" w:eastAsia="Palatino Linotype" w:hAnsi="Palatino Linotype" w:cs="Palatino Linotype"/>
          <w:color w:val="000000"/>
        </w:rPr>
        <w:t xml:space="preserve"> información de la cual en la incidencia técnica solo refiere el peso sin embargo dicho documento no hace referencia al número de hojas. </w:t>
      </w:r>
    </w:p>
    <w:p w:rsidR="00442020" w:rsidRPr="00190A09" w:rsidRDefault="00442020" w:rsidP="00442020">
      <w:pPr>
        <w:pStyle w:val="Prrafodelista"/>
        <w:rPr>
          <w:rFonts w:ascii="Palatino Linotype" w:eastAsia="Palatino Linotype" w:hAnsi="Palatino Linotype" w:cs="Palatino Linotype"/>
          <w:color w:val="000000"/>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De lo anterior</w:t>
      </w:r>
      <w:r w:rsidRPr="00190A09">
        <w:rPr>
          <w:rFonts w:ascii="Palatino Linotype" w:hAnsi="Palatino Linotype"/>
        </w:rPr>
        <w:t>, es indispensable traer a colación lo contenido en los artículos 158 y 164 de la Ley de Transparencia y Acceso a la Información Pública del Estado de México y Municipios, los cuales señalan que:</w:t>
      </w:r>
    </w:p>
    <w:p w:rsidR="00A929AE" w:rsidRPr="00190A09" w:rsidRDefault="00A929AE" w:rsidP="00A929AE">
      <w:pPr>
        <w:pStyle w:val="Prrafodelista"/>
        <w:tabs>
          <w:tab w:val="left" w:pos="426"/>
        </w:tabs>
        <w:spacing w:before="240" w:after="240" w:line="360" w:lineRule="auto"/>
        <w:ind w:left="0" w:right="51"/>
        <w:jc w:val="both"/>
        <w:rPr>
          <w:rFonts w:ascii="Palatino Linotype" w:hAnsi="Palatino Linotype"/>
          <w:color w:val="000000" w:themeColor="text1"/>
        </w:rPr>
      </w:pPr>
    </w:p>
    <w:p w:rsidR="00A929AE" w:rsidRPr="00190A09" w:rsidRDefault="00A929AE" w:rsidP="00A929AE">
      <w:pPr>
        <w:pStyle w:val="Prrafodelista"/>
        <w:tabs>
          <w:tab w:val="left" w:pos="1276"/>
        </w:tabs>
        <w:spacing w:before="240" w:after="240"/>
        <w:ind w:left="1134" w:right="900"/>
        <w:jc w:val="both"/>
        <w:rPr>
          <w:rFonts w:ascii="Palatino Linotype" w:hAnsi="Palatino Linotype"/>
          <w:i/>
          <w:iCs/>
        </w:rPr>
      </w:pPr>
      <w:r w:rsidRPr="00190A09">
        <w:rPr>
          <w:rFonts w:ascii="Palatino Linotype" w:hAnsi="Palatino Linotype"/>
          <w:i/>
          <w:iCs/>
        </w:rPr>
        <w:lastRenderedPageBreak/>
        <w:t>“</w:t>
      </w:r>
      <w:r w:rsidRPr="00190A09">
        <w:rPr>
          <w:rFonts w:ascii="Palatino Linotype" w:hAnsi="Palatino Linotype"/>
          <w:b/>
          <w:bCs/>
          <w:i/>
          <w:iCs/>
        </w:rPr>
        <w:t>Artículo 158.</w:t>
      </w:r>
      <w:r w:rsidRPr="00190A09">
        <w:rPr>
          <w:rFonts w:ascii="Palatino Linotype" w:hAnsi="Palatino Linotype"/>
          <w:i/>
          <w:iCs/>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A929AE" w:rsidRPr="00190A09" w:rsidRDefault="00A929AE" w:rsidP="00A929AE">
      <w:pPr>
        <w:pStyle w:val="Prrafodelista"/>
        <w:tabs>
          <w:tab w:val="left" w:pos="1276"/>
        </w:tabs>
        <w:spacing w:before="240" w:after="240"/>
        <w:ind w:left="1134" w:right="900"/>
        <w:jc w:val="both"/>
        <w:rPr>
          <w:rFonts w:ascii="Palatino Linotype" w:hAnsi="Palatino Linotype"/>
          <w:i/>
          <w:iCs/>
        </w:rPr>
      </w:pPr>
    </w:p>
    <w:p w:rsidR="00A929AE" w:rsidRPr="00190A09" w:rsidRDefault="00A929AE" w:rsidP="00A929AE">
      <w:pPr>
        <w:pStyle w:val="Prrafodelista"/>
        <w:tabs>
          <w:tab w:val="left" w:pos="1276"/>
        </w:tabs>
        <w:spacing w:before="240" w:after="240"/>
        <w:ind w:left="1134" w:right="900"/>
        <w:jc w:val="both"/>
        <w:rPr>
          <w:rFonts w:ascii="Palatino Linotype" w:hAnsi="Palatino Linotype"/>
          <w:i/>
          <w:iCs/>
        </w:rPr>
      </w:pPr>
      <w:r w:rsidRPr="00190A09">
        <w:rPr>
          <w:rFonts w:ascii="Palatino Linotype" w:hAnsi="Palatino Linotype"/>
          <w:i/>
          <w:iCs/>
        </w:rPr>
        <w:t>“</w:t>
      </w:r>
      <w:r w:rsidRPr="00190A09">
        <w:rPr>
          <w:rFonts w:ascii="Palatino Linotype" w:hAnsi="Palatino Linotype"/>
          <w:b/>
          <w:bCs/>
          <w:i/>
          <w:iCs/>
        </w:rPr>
        <w:t>Artículo 164.</w:t>
      </w:r>
      <w:r w:rsidRPr="00190A09">
        <w:rPr>
          <w:rFonts w:ascii="Palatino Linotype" w:hAnsi="Palatino Linotype"/>
          <w:i/>
          <w:iCs/>
        </w:rPr>
        <w:t xml:space="preserve"> El acceso se dará en la modalidad de entrega y, en su caso, de envío elegidos por el solicitante. Cuando la información no pueda entregarse o enviarse en la modalidad solicitada, el sujeto obligado deberá ofrecer otra u otras modalidades de entrega. En cualquier caso, se deberá fundar y motivar la necesidad de ofrecer otras modalidades.”</w:t>
      </w:r>
    </w:p>
    <w:p w:rsidR="001B06EF" w:rsidRPr="00190A09" w:rsidRDefault="001B06EF" w:rsidP="00A929AE">
      <w:pPr>
        <w:pStyle w:val="Prrafodelista"/>
        <w:tabs>
          <w:tab w:val="left" w:pos="1276"/>
        </w:tabs>
        <w:spacing w:before="240" w:after="240"/>
        <w:ind w:left="1134" w:right="900"/>
        <w:jc w:val="both"/>
        <w:rPr>
          <w:rFonts w:ascii="Palatino Linotype" w:hAnsi="Palatino Linotype"/>
          <w:i/>
          <w:iCs/>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Del </w:t>
      </w:r>
      <w:r w:rsidRPr="00190A09">
        <w:rPr>
          <w:rFonts w:ascii="Palatino Linotype" w:hAnsi="Palatino Linotype"/>
        </w:rPr>
        <w:t xml:space="preserve">artículo 158 transcrito, se tiene que, excepcionalmente, en el caso de que la </w:t>
      </w:r>
      <w:r w:rsidRPr="00190A09">
        <w:rPr>
          <w:rFonts w:ascii="Palatino Linotype" w:eastAsia="Palatino Linotype" w:hAnsi="Palatino Linotype" w:cs="Palatino Linotype"/>
          <w:color w:val="000000"/>
        </w:rPr>
        <w:t>información</w:t>
      </w:r>
      <w:r w:rsidRPr="00190A09">
        <w:rPr>
          <w:rFonts w:ascii="Palatino Linotype" w:hAnsi="Palatino Linotype"/>
        </w:rPr>
        <w:t xml:space="preserve"> solicitada implique un análisis, estudio o procesamiento de documentos, cuya entrega o reproducción sobrepase las capacidades técnicas administrativas y humanas del </w:t>
      </w:r>
      <w:r w:rsidRPr="00190A09">
        <w:rPr>
          <w:rFonts w:ascii="Palatino Linotype" w:hAnsi="Palatino Linotype"/>
          <w:b/>
          <w:bCs/>
        </w:rPr>
        <w:t>SUJETO OBLIGADO</w:t>
      </w:r>
      <w:r w:rsidRPr="00190A09">
        <w:rPr>
          <w:rFonts w:ascii="Palatino Linotype" w:hAnsi="Palatino Linotype"/>
        </w:rPr>
        <w:t>, éste podrá poner a disposición los documentos vía In Situ o Consulta Directa, siempre y cuando se funden y motiven las razones que justifiquen la imposibilidad de entregar la información en la modalidad originalmente solicitada.</w:t>
      </w:r>
    </w:p>
    <w:p w:rsidR="00A929AE" w:rsidRPr="00190A09" w:rsidRDefault="00A929AE" w:rsidP="00A929AE">
      <w:pPr>
        <w:pBdr>
          <w:top w:val="nil"/>
          <w:left w:val="nil"/>
          <w:bottom w:val="nil"/>
          <w:right w:val="nil"/>
          <w:between w:val="nil"/>
        </w:pBdr>
        <w:tabs>
          <w:tab w:val="left" w:pos="0"/>
        </w:tabs>
        <w:spacing w:line="360" w:lineRule="auto"/>
        <w:ind w:right="49"/>
        <w:jc w:val="both"/>
        <w:rPr>
          <w:rFonts w:ascii="Palatino Linotype" w:hAnsi="Palatino Linotype"/>
          <w:color w:val="000000" w:themeColor="text1"/>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Es </w:t>
      </w:r>
      <w:r w:rsidRPr="00190A09">
        <w:rPr>
          <w:rFonts w:ascii="Palatino Linotype" w:eastAsia="Palatino Linotype" w:hAnsi="Palatino Linotype" w:cs="Palatino Linotype"/>
          <w:color w:val="000000"/>
        </w:rPr>
        <w:t>decir</w:t>
      </w:r>
      <w:r w:rsidRPr="00190A09">
        <w:rPr>
          <w:rFonts w:ascii="Palatino Linotype" w:hAnsi="Palatino Linotype"/>
        </w:rPr>
        <w:t xml:space="preserve">, del artículo anterior, se derivan tres hipótesis que en conjunto, y de manera fundada y motivada, validan el cambio de modalidad de entrega de la información y las cuales son, que las documentales a proporcionar sobrepasen las capacidades técnicas, administrativas y humanas del </w:t>
      </w:r>
      <w:r w:rsidRPr="00190A09">
        <w:rPr>
          <w:rFonts w:ascii="Palatino Linotype" w:hAnsi="Palatino Linotype"/>
          <w:b/>
          <w:bCs/>
        </w:rPr>
        <w:t>SUJETO OBLIGADO.</w:t>
      </w:r>
    </w:p>
    <w:p w:rsidR="00A929AE" w:rsidRPr="00190A09" w:rsidRDefault="00A929AE" w:rsidP="00A929AE">
      <w:pPr>
        <w:pBdr>
          <w:top w:val="nil"/>
          <w:left w:val="nil"/>
          <w:bottom w:val="nil"/>
          <w:right w:val="nil"/>
          <w:between w:val="nil"/>
        </w:pBdr>
        <w:tabs>
          <w:tab w:val="left" w:pos="0"/>
        </w:tabs>
        <w:spacing w:line="360" w:lineRule="auto"/>
        <w:ind w:right="49"/>
        <w:jc w:val="both"/>
        <w:rPr>
          <w:rFonts w:ascii="Palatino Linotype" w:hAnsi="Palatino Linotype"/>
          <w:color w:val="000000" w:themeColor="text1"/>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Para </w:t>
      </w:r>
      <w:r w:rsidRPr="00190A09">
        <w:rPr>
          <w:rFonts w:ascii="Palatino Linotype" w:hAnsi="Palatino Linotype"/>
        </w:rPr>
        <w:t xml:space="preserve">ello, cabe mencionar lo que se entiende por </w:t>
      </w:r>
      <w:r w:rsidRPr="00190A09">
        <w:rPr>
          <w:rFonts w:ascii="Palatino Linotype" w:hAnsi="Palatino Linotype"/>
          <w:b/>
          <w:bCs/>
        </w:rPr>
        <w:t>“capacidad”;</w:t>
      </w:r>
      <w:r w:rsidRPr="00190A09">
        <w:rPr>
          <w:rFonts w:ascii="Palatino Linotype" w:hAnsi="Palatino Linotype"/>
        </w:rPr>
        <w:t xml:space="preserve"> que, de manera general, puede ser interpretado como la circunstancia o conjunto de condiciones, </w:t>
      </w:r>
      <w:r w:rsidRPr="00190A09">
        <w:rPr>
          <w:rFonts w:ascii="Palatino Linotype" w:eastAsia="Palatino Linotype" w:hAnsi="Palatino Linotype" w:cs="Palatino Linotype"/>
          <w:color w:val="000000"/>
        </w:rPr>
        <w:lastRenderedPageBreak/>
        <w:t>cualidades</w:t>
      </w:r>
      <w:r w:rsidRPr="00190A09">
        <w:rPr>
          <w:rFonts w:ascii="Palatino Linotype" w:hAnsi="Palatino Linotype"/>
        </w:rPr>
        <w:t xml:space="preserve"> o aptitudes que permiten el desarrollo o el cumplimiento de una función o desempeño de un cargo.</w:t>
      </w:r>
    </w:p>
    <w:p w:rsidR="00A929AE" w:rsidRPr="00190A09" w:rsidRDefault="00A929AE" w:rsidP="00A929AE">
      <w:pPr>
        <w:rPr>
          <w:rFonts w:ascii="Palatino Linotype" w:hAnsi="Palatino Linotype"/>
          <w:color w:val="000000" w:themeColor="text1"/>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Respecto </w:t>
      </w:r>
      <w:r w:rsidRPr="00190A09">
        <w:rPr>
          <w:rFonts w:ascii="Palatino Linotype" w:hAnsi="Palatino Linotype"/>
        </w:rPr>
        <w:t xml:space="preserve">a las </w:t>
      </w:r>
      <w:r w:rsidRPr="00190A09">
        <w:rPr>
          <w:rFonts w:ascii="Palatino Linotype" w:hAnsi="Palatino Linotype"/>
          <w:b/>
          <w:bCs/>
        </w:rPr>
        <w:t>capacidades técnicas</w:t>
      </w:r>
      <w:r w:rsidRPr="00190A09">
        <w:rPr>
          <w:rFonts w:ascii="Palatino Linotype" w:hAnsi="Palatino Linotype"/>
        </w:rPr>
        <w:t xml:space="preserve">, el Sistema de Acceso a la Información Mexiquense (SAIMEX), es el medio electrónico a través del cual se formulan las </w:t>
      </w:r>
      <w:r w:rsidRPr="00190A09">
        <w:rPr>
          <w:rFonts w:ascii="Palatino Linotype" w:eastAsia="Palatino Linotype" w:hAnsi="Palatino Linotype" w:cs="Palatino Linotype"/>
          <w:color w:val="000000"/>
        </w:rPr>
        <w:t>solicitudes</w:t>
      </w:r>
      <w:r w:rsidRPr="00190A09">
        <w:rPr>
          <w:rFonts w:ascii="Palatino Linotype" w:hAnsi="Palatino Linotype"/>
        </w:rPr>
        <w:t xml:space="preserve"> de información pública y se interponen los recursos de revisión. De esta manera, tras registrar una cuenta en el sistema electrónico y realizar una solicitud de información, es posible darle seguimiento a la presentación, respuesta, inconformidad y resolución de la misma.</w:t>
      </w:r>
    </w:p>
    <w:p w:rsidR="00A929AE" w:rsidRPr="00190A09" w:rsidRDefault="00A929AE" w:rsidP="00A929AE">
      <w:pPr>
        <w:pStyle w:val="Prrafodelista"/>
        <w:rPr>
          <w:rFonts w:ascii="Palatino Linotype" w:hAnsi="Palatino Linotype"/>
          <w:color w:val="000000" w:themeColor="text1"/>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Ahora </w:t>
      </w:r>
      <w:r w:rsidRPr="00190A09">
        <w:rPr>
          <w:rFonts w:ascii="Palatino Linotype" w:hAnsi="Palatino Linotype"/>
        </w:rPr>
        <w:t xml:space="preserve">bien, en relación con el peso máximo de archivos que soporta el sistema para </w:t>
      </w:r>
      <w:r w:rsidRPr="00190A09">
        <w:rPr>
          <w:rFonts w:ascii="Palatino Linotype" w:eastAsia="Palatino Linotype" w:hAnsi="Palatino Linotype" w:cs="Palatino Linotype"/>
          <w:color w:val="000000"/>
        </w:rPr>
        <w:t>adjuntar</w:t>
      </w:r>
      <w:r w:rsidRPr="00190A09">
        <w:rPr>
          <w:rFonts w:ascii="Palatino Linotype" w:hAnsi="Palatino Linotype"/>
        </w:rPr>
        <w:t xml:space="preserve"> como respuesta a las solicitudes de información, el citado sistema, tiene el soporte tecnológico para que se puedan adjuntar archivos con un peso aproximado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A929AE" w:rsidRPr="00190A09" w:rsidRDefault="00A929AE" w:rsidP="00A929AE">
      <w:pPr>
        <w:pStyle w:val="Prrafodelista"/>
        <w:rPr>
          <w:rFonts w:ascii="Palatino Linotype" w:hAnsi="Palatino Linotype"/>
          <w:color w:val="000000" w:themeColor="text1"/>
        </w:rPr>
      </w:pPr>
    </w:p>
    <w:p w:rsidR="00A929AE" w:rsidRPr="00190A09" w:rsidRDefault="00A929AE" w:rsidP="00A929AE">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t xml:space="preserve">En esa línea, se tiene que el número total de hojas que reporta la </w:t>
      </w:r>
      <w:r w:rsidRPr="00190A09">
        <w:rPr>
          <w:rFonts w:ascii="Palatino Linotype" w:hAnsi="Palatino Linotype"/>
          <w:b/>
          <w:color w:val="000000" w:themeColor="text1"/>
        </w:rPr>
        <w:t xml:space="preserve">Dirección General de Vialidad, </w:t>
      </w:r>
      <w:r w:rsidRPr="00190A09">
        <w:rPr>
          <w:rFonts w:ascii="Palatino Linotype" w:hAnsi="Palatino Linotype"/>
          <w:color w:val="000000" w:themeColor="text1"/>
        </w:rPr>
        <w:t>es de</w:t>
      </w:r>
      <w:r w:rsidRPr="00190A09">
        <w:rPr>
          <w:rFonts w:ascii="Palatino Linotype" w:hAnsi="Palatino Linotype"/>
          <w:b/>
          <w:color w:val="000000" w:themeColor="text1"/>
        </w:rPr>
        <w:t xml:space="preserve"> </w:t>
      </w:r>
      <w:r w:rsidRPr="00190A09">
        <w:rPr>
          <w:rFonts w:ascii="Palatino Linotype" w:eastAsia="Palatino Linotype" w:hAnsi="Palatino Linotype" w:cs="Palatino Linotype"/>
          <w:b/>
        </w:rPr>
        <w:t xml:space="preserve">seis mil ciento treinta y tres hojas, </w:t>
      </w:r>
      <w:r w:rsidRPr="00190A09">
        <w:rPr>
          <w:rFonts w:ascii="Palatino Linotype" w:eastAsia="Palatino Linotype" w:hAnsi="Palatino Linotype" w:cs="Palatino Linotype"/>
        </w:rPr>
        <w:t xml:space="preserve">situación por la cual en la cantidad de hojas no se sobrepasa la capacidad del sistema </w:t>
      </w:r>
      <w:r w:rsidRPr="00190A09">
        <w:rPr>
          <w:rFonts w:ascii="Palatino Linotype" w:eastAsia="Palatino Linotype" w:hAnsi="Palatino Linotype" w:cs="Palatino Linotype"/>
          <w:b/>
        </w:rPr>
        <w:t xml:space="preserve">SAIMEX, </w:t>
      </w:r>
      <w:r w:rsidRPr="00190A09">
        <w:rPr>
          <w:rFonts w:ascii="Palatino Linotype" w:eastAsia="Palatino Linotype" w:hAnsi="Palatino Linotype" w:cs="Palatino Linotype"/>
        </w:rPr>
        <w:t xml:space="preserve"> por lo que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deberá de verificar la resolución de escaneo para que se soporte el peso de la información, situación por la cual no se puede tener por validado el cambio de modalidad a consulta directa u otras. </w:t>
      </w:r>
    </w:p>
    <w:p w:rsidR="00A929AE" w:rsidRPr="00190A09" w:rsidRDefault="00A929AE" w:rsidP="00A929AE">
      <w:pPr>
        <w:pStyle w:val="Prrafodelista"/>
        <w:rPr>
          <w:rFonts w:ascii="Palatino Linotype" w:hAnsi="Palatino Linotype"/>
          <w:color w:val="000000" w:themeColor="text1"/>
        </w:rPr>
      </w:pPr>
    </w:p>
    <w:p w:rsidR="00A929AE" w:rsidRPr="00190A09" w:rsidRDefault="00A929AE" w:rsidP="001B06E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themeColor="text1"/>
        </w:rPr>
      </w:pPr>
      <w:r w:rsidRPr="00190A09">
        <w:rPr>
          <w:rFonts w:ascii="Palatino Linotype" w:hAnsi="Palatino Linotype"/>
          <w:color w:val="000000" w:themeColor="text1"/>
        </w:rPr>
        <w:lastRenderedPageBreak/>
        <w:t xml:space="preserve">En esa línea y de conformidad con lo regulado por el artículo 164 de la Ley de Transparencia y Acceso a la Información Pública del Estado de México y Municipios, que refiere que la entrega de la información deberá de realzarse en la modalidad elegida por el solicitante y toda vez que </w:t>
      </w:r>
      <w:r w:rsidR="001B06EF" w:rsidRPr="00190A09">
        <w:rPr>
          <w:rFonts w:ascii="Palatino Linotype" w:hAnsi="Palatino Linotype"/>
          <w:color w:val="000000" w:themeColor="text1"/>
        </w:rPr>
        <w:t xml:space="preserve">el </w:t>
      </w:r>
      <w:r w:rsidR="001B06EF" w:rsidRPr="00190A09">
        <w:rPr>
          <w:rFonts w:ascii="Palatino Linotype" w:hAnsi="Palatino Linotype"/>
          <w:b/>
          <w:color w:val="000000" w:themeColor="text1"/>
        </w:rPr>
        <w:t xml:space="preserve">SUJETO OBLIGADO </w:t>
      </w:r>
      <w:r w:rsidR="001B06EF" w:rsidRPr="00190A09">
        <w:rPr>
          <w:rFonts w:ascii="Palatino Linotype" w:hAnsi="Palatino Linotype"/>
          <w:color w:val="000000" w:themeColor="text1"/>
        </w:rPr>
        <w:t xml:space="preserve">no justificó el impedimento para atender la solicitud de información, ya que si bien, refirió a través del reporte de incidencias el peso de la información, no mencionó o describió el tipo de soporte documental donde consta lo requerido por el Particular, es que no se puede tener por validado el cambio de modalidad propuesto por la </w:t>
      </w:r>
      <w:r w:rsidR="001B06EF" w:rsidRPr="00190A09">
        <w:rPr>
          <w:rFonts w:ascii="Palatino Linotype" w:hAnsi="Palatino Linotype"/>
          <w:b/>
          <w:color w:val="000000" w:themeColor="text1"/>
        </w:rPr>
        <w:t xml:space="preserve">Dirección General de Vialidad, por lo que la entrega  de los oficios deberá de realizarse vía SAIMEX. </w:t>
      </w:r>
    </w:p>
    <w:p w:rsidR="00A929AE" w:rsidRPr="00190A09" w:rsidRDefault="00A929AE" w:rsidP="00A929AE">
      <w:pPr>
        <w:pStyle w:val="Prrafodelista"/>
        <w:rPr>
          <w:rFonts w:ascii="Palatino Linotype" w:eastAsia="Palatino Linotype" w:hAnsi="Palatino Linotype" w:cs="Palatino Linotype"/>
          <w:color w:val="000000"/>
          <w:highlight w:val="yellow"/>
        </w:rPr>
      </w:pPr>
    </w:p>
    <w:p w:rsidR="00A9495D" w:rsidRPr="00190A09" w:rsidRDefault="00A9495D" w:rsidP="00442020">
      <w:pPr>
        <w:rPr>
          <w:rFonts w:ascii="Palatino Linotype" w:eastAsia="Palatino Linotype" w:hAnsi="Palatino Linotype" w:cs="Palatino Linotype"/>
        </w:rPr>
      </w:pPr>
    </w:p>
    <w:p w:rsidR="00FF05FC" w:rsidRPr="00190A09" w:rsidRDefault="000172F5" w:rsidP="00FF05FC">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Seguidamente, se debe de señalar que 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entrego Actas del Comité de Transparencia, como lo es de la Dirección General de Movilidad Zona I, misma que carece de las formalidades, toda vez que se encuentra firmada por los miembros del Comité de Transparencia. </w:t>
      </w:r>
    </w:p>
    <w:p w:rsidR="00FF05FC" w:rsidRPr="00190A09" w:rsidRDefault="00FF05FC" w:rsidP="00FF05FC">
      <w:pPr>
        <w:pStyle w:val="Prrafodelista"/>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i/>
        </w:rPr>
      </w:pPr>
      <w:r w:rsidRPr="00190A09">
        <w:rPr>
          <w:rFonts w:ascii="Palatino Linotype" w:eastAsia="Palatino Linotype" w:hAnsi="Palatino Linotype" w:cs="Palatino Linotype"/>
        </w:rPr>
        <w:t xml:space="preserve">Ahora bien, se tiene que de la información que entregue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deberá de analizarla y de ser el caso clasificar como confidencial los datos que se encuentren en la misma, los cuales de manera enunciativa más no limitativa son los siguientes. </w:t>
      </w:r>
    </w:p>
    <w:p w:rsidR="00C073EB" w:rsidRPr="00190A09" w:rsidRDefault="00C073EB" w:rsidP="00C073E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i/>
        </w:rPr>
      </w:pP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b/>
          <w:color w:val="000000"/>
        </w:rPr>
        <w:t>Registro Federal de Contribuyentes</w:t>
      </w:r>
      <w:r w:rsidRPr="00190A09">
        <w:rPr>
          <w:rFonts w:ascii="Palatino Linotype" w:eastAsia="Palatino Linotype" w:hAnsi="Palatino Linotype" w:cs="Palatino Linotype"/>
          <w:color w:val="000000"/>
        </w:rPr>
        <w:t xml:space="preserve"> (RFC)</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w:t>
      </w:r>
      <w:r w:rsidRPr="00190A09">
        <w:rPr>
          <w:rFonts w:ascii="Palatino Linotype" w:eastAsia="Palatino Linotype" w:hAnsi="Palatino Linotype" w:cs="Palatino Linotype"/>
          <w:color w:val="000000"/>
        </w:rPr>
        <w:lastRenderedPageBreak/>
        <w:t>asigna este órgano desconcentrado de la Secretaría de Hacienda y Crédito Público, de acuerdo con el artículo 27 del Código Fiscal de la Federación.</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C073EB" w:rsidRPr="00190A09" w:rsidRDefault="00C073EB" w:rsidP="00C073EB">
      <w:pP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i/>
          <w:color w:val="000000"/>
        </w:rPr>
        <w:t>“</w:t>
      </w:r>
      <w:r w:rsidRPr="00190A09">
        <w:rPr>
          <w:rFonts w:ascii="Palatino Linotype" w:eastAsia="Palatino Linotype" w:hAnsi="Palatino Linotype" w:cs="Palatino Linotype"/>
          <w:b/>
          <w:i/>
          <w:color w:val="000000"/>
        </w:rPr>
        <w:t>Registro Federal de Contribuyentes (RFC) de personas físicas</w:t>
      </w:r>
      <w:r w:rsidRPr="00190A09">
        <w:rPr>
          <w:rFonts w:ascii="Palatino Linotype" w:eastAsia="Palatino Linotype" w:hAnsi="Palatino Linotype" w:cs="Palatino Linotype"/>
          <w:i/>
          <w:color w:val="000000"/>
        </w:rPr>
        <w:t>. El RFC es una clave de carácter fiscal, única e irrepetible, que permite identificar al titular, su edad y fecha de nacimiento, por lo que es un dato personal de carácter confidencial.”</w:t>
      </w:r>
    </w:p>
    <w:p w:rsidR="00C073EB" w:rsidRDefault="00C073EB" w:rsidP="00C073EB">
      <w:pPr>
        <w:ind w:left="1134" w:right="900"/>
        <w:jc w:val="both"/>
        <w:rPr>
          <w:rFonts w:ascii="Palatino Linotype" w:eastAsia="Palatino Linotype" w:hAnsi="Palatino Linotype" w:cs="Palatino Linotype"/>
          <w:color w:val="000000"/>
        </w:rPr>
      </w:pPr>
    </w:p>
    <w:p w:rsidR="00190A09" w:rsidRPr="00190A09" w:rsidRDefault="00190A09" w:rsidP="00C073EB">
      <w:pPr>
        <w:ind w:left="1134" w:right="900"/>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spacing w:line="360" w:lineRule="auto"/>
        <w:jc w:val="both"/>
        <w:rPr>
          <w:rFonts w:ascii="Palatino Linotype" w:eastAsia="Palatino Linotype" w:hAnsi="Palatino Linotype" w:cs="Palatino Linotype"/>
          <w:b/>
          <w:color w:val="000000"/>
        </w:rPr>
      </w:pPr>
      <w:r w:rsidRPr="00190A09">
        <w:rPr>
          <w:rFonts w:ascii="Palatino Linotype" w:eastAsia="Palatino Linotype" w:hAnsi="Palatino Linotype" w:cs="Palatino Linotype"/>
          <w:b/>
          <w:color w:val="000000"/>
        </w:rPr>
        <w:t>Clave única de Registro de Población –CURP-.</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Registro Nacional de Población e Identificación Personal tiene la atribución de asignar y depurar la Clave Única </w:t>
      </w:r>
      <w:r w:rsidRPr="00190A09">
        <w:rPr>
          <w:rFonts w:ascii="Palatino Linotype" w:eastAsia="Palatino Linotype" w:hAnsi="Palatino Linotype" w:cs="Palatino Linotype"/>
          <w:color w:val="000000"/>
        </w:rPr>
        <w:lastRenderedPageBreak/>
        <w:t>de Registro de Población a todas las personas residentes en el país, así como a los mexicanos que residan en el extranjero.</w:t>
      </w:r>
    </w:p>
    <w:p w:rsidR="00C073EB" w:rsidRPr="00190A09" w:rsidRDefault="00C073EB" w:rsidP="00C073EB">
      <w:pPr>
        <w:spacing w:line="360" w:lineRule="auto"/>
        <w:jc w:val="both"/>
        <w:rPr>
          <w:rFonts w:ascii="Palatino Linotype" w:eastAsia="Palatino Linotype" w:hAnsi="Palatino Linotype" w:cs="Palatino Linotype"/>
          <w:b/>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De conformidad con lo precisado por la propia Secretaría de Gobernación en la dirección </w:t>
      </w:r>
      <w:hyperlink r:id="rId19">
        <w:r w:rsidRPr="00190A09">
          <w:rPr>
            <w:rFonts w:ascii="Palatino Linotype" w:eastAsia="Palatino Linotype" w:hAnsi="Palatino Linotype" w:cs="Palatino Linotype"/>
            <w:color w:val="0563C1"/>
            <w:u w:val="single"/>
          </w:rPr>
          <w:t>https://consultas.curp.gob.mx/CurpSP/html/informacionecurpPS.html</w:t>
        </w:r>
      </w:hyperlink>
      <w:r w:rsidRPr="00190A09">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190A09">
        <w:rPr>
          <w:rFonts w:ascii="Palatino Linotype" w:eastAsia="Palatino Linotype" w:hAnsi="Palatino Linotype" w:cs="Palatino Linotype"/>
          <w:b/>
          <w:color w:val="000000"/>
        </w:rPr>
        <w:t xml:space="preserve">se generan a partir de los datos contenidos en el documento probatorio de la identidad del interesado </w:t>
      </w:r>
      <w:r w:rsidRPr="00190A09">
        <w:rPr>
          <w:rFonts w:ascii="Palatino Linotype" w:eastAsia="Palatino Linotype" w:hAnsi="Palatino Linotype" w:cs="Palatino Linotype"/>
          <w:color w:val="000000"/>
        </w:rPr>
        <w:t>(acta de nacimiento, carta de naturalización o documento migratorio) de la siguiente forma:</w:t>
      </w: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 • El primero y segundo apellidos, así como al nombre de pila.</w:t>
      </w: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 • La fecha de nacimiento.</w:t>
      </w: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 • El sexo.</w:t>
      </w: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 • La entidad federativa de nacimiento.</w:t>
      </w:r>
    </w:p>
    <w:p w:rsidR="00C073EB" w:rsidRPr="00190A09" w:rsidRDefault="00C073EB" w:rsidP="00C073EB">
      <w:pPr>
        <w:spacing w:line="360" w:lineRule="auto"/>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Los dos últimos elementos de la CURP evitan la duplicidad de la Clave y garantizan su correcta integración.</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lastRenderedPageBreak/>
        <w:t>Resulta aplicable en la especie, como argumento orientador, el Criterio 3/10, emitido por el INAI.</w:t>
      </w:r>
    </w:p>
    <w:p w:rsidR="00C073EB" w:rsidRPr="00190A09" w:rsidRDefault="00C073EB" w:rsidP="00C073EB">
      <w:pPr>
        <w:ind w:left="1134" w:right="900"/>
        <w:jc w:val="both"/>
        <w:rPr>
          <w:rFonts w:ascii="Palatino Linotype" w:eastAsia="Palatino Linotype" w:hAnsi="Palatino Linotype" w:cs="Palatino Linotype"/>
          <w:i/>
          <w:color w:val="000000"/>
        </w:rPr>
      </w:pPr>
      <w:r w:rsidRPr="00190A09">
        <w:rPr>
          <w:rFonts w:ascii="Palatino Linotype" w:eastAsia="Palatino Linotype" w:hAnsi="Palatino Linotype" w:cs="Palatino Linotype"/>
          <w:b/>
          <w:i/>
          <w:color w:val="000000"/>
        </w:rPr>
        <w:t xml:space="preserve">Clave Única de Registro de Población (CURP) es un dato personal confidencial. </w:t>
      </w:r>
      <w:r w:rsidRPr="00190A09">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C073EB" w:rsidRPr="00190A09" w:rsidRDefault="00C073EB" w:rsidP="00C073EB">
      <w:pPr>
        <w:ind w:left="1134" w:right="900"/>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spacing w:line="360" w:lineRule="auto"/>
        <w:jc w:val="both"/>
        <w:rPr>
          <w:rFonts w:ascii="Palatino Linotype" w:eastAsia="Palatino Linotype" w:hAnsi="Palatino Linotype" w:cs="Palatino Linotype"/>
          <w:b/>
          <w:color w:val="000000"/>
        </w:rPr>
      </w:pPr>
      <w:r w:rsidRPr="00190A09">
        <w:rPr>
          <w:rFonts w:ascii="Palatino Linotype" w:eastAsia="Palatino Linotype" w:hAnsi="Palatino Linotype" w:cs="Palatino Linotype"/>
          <w:b/>
          <w:color w:val="000000"/>
        </w:rPr>
        <w:t>Nombre de persona física, Domicilio</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190A09">
        <w:rPr>
          <w:rFonts w:ascii="Palatino Linotype" w:eastAsia="Palatino Linotype" w:hAnsi="Palatino Linotype" w:cs="Palatino Linotype"/>
          <w:i/>
          <w:color w:val="000000"/>
        </w:rPr>
        <w:t>perse</w:t>
      </w:r>
      <w:r w:rsidRPr="00190A09">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C073EB" w:rsidRPr="00190A09" w:rsidRDefault="00C073EB" w:rsidP="00C073EB">
      <w:pPr>
        <w:spacing w:line="360" w:lineRule="auto"/>
        <w:jc w:val="both"/>
        <w:rPr>
          <w:rFonts w:ascii="Palatino Linotype" w:eastAsia="Palatino Linotype" w:hAnsi="Palatino Linotype" w:cs="Palatino Linotype"/>
          <w:b/>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w:t>
      </w:r>
      <w:r w:rsidRPr="00190A09">
        <w:rPr>
          <w:rFonts w:ascii="Palatino Linotype" w:eastAsia="Palatino Linotype" w:hAnsi="Palatino Linotype" w:cs="Palatino Linotype"/>
          <w:color w:val="000000"/>
        </w:rPr>
        <w:lastRenderedPageBreak/>
        <w:t xml:space="preserve">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190A09">
        <w:rPr>
          <w:rFonts w:ascii="Palatino Linotype" w:eastAsia="Palatino Linotype" w:hAnsi="Palatino Linotype" w:cs="Palatino Linotype"/>
          <w:b/>
          <w:color w:val="000000"/>
        </w:rPr>
        <w:t>el domicilio particular</w:t>
      </w:r>
      <w:r w:rsidRPr="00190A09">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C073EB" w:rsidRPr="00190A09" w:rsidRDefault="00C073EB" w:rsidP="00C073EB">
      <w:pPr>
        <w:spacing w:line="360" w:lineRule="auto"/>
        <w:jc w:val="both"/>
        <w:rPr>
          <w:rFonts w:ascii="Palatino Linotype" w:eastAsia="Palatino Linotype" w:hAnsi="Palatino Linotype" w:cs="Palatino Linotype"/>
          <w:color w:val="000000"/>
        </w:rPr>
      </w:pPr>
    </w:p>
    <w:p w:rsidR="00C073EB" w:rsidRPr="00190A09" w:rsidRDefault="00C073EB" w:rsidP="00C073EB">
      <w:pPr>
        <w:spacing w:line="360" w:lineRule="auto"/>
        <w:jc w:val="both"/>
        <w:rPr>
          <w:rFonts w:ascii="Palatino Linotype" w:eastAsia="Palatino Linotype" w:hAnsi="Palatino Linotype" w:cs="Palatino Linotype"/>
          <w:b/>
        </w:rPr>
      </w:pPr>
      <w:r w:rsidRPr="00190A09">
        <w:rPr>
          <w:rFonts w:ascii="Palatino Linotype" w:eastAsia="Palatino Linotype" w:hAnsi="Palatino Linotype" w:cs="Palatino Linotype"/>
          <w:b/>
        </w:rPr>
        <w:t>Estado civil.</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190A09" w:rsidRPr="00190A09" w:rsidRDefault="00190A09" w:rsidP="00C073EB">
      <w:pPr>
        <w:pBdr>
          <w:top w:val="nil"/>
          <w:left w:val="nil"/>
          <w:bottom w:val="nil"/>
          <w:right w:val="nil"/>
          <w:between w:val="nil"/>
        </w:pBdr>
        <w:ind w:left="720"/>
        <w:rPr>
          <w:rFonts w:ascii="Palatino Linotype" w:eastAsia="Palatino Linotype" w:hAnsi="Palatino Linotype" w:cs="Palatino Linotype"/>
          <w:color w:val="000000"/>
        </w:rPr>
      </w:pPr>
    </w:p>
    <w:p w:rsidR="00190A09" w:rsidRDefault="00190A09" w:rsidP="00C073EB">
      <w:pPr>
        <w:spacing w:line="360" w:lineRule="auto"/>
        <w:jc w:val="both"/>
        <w:rPr>
          <w:rFonts w:ascii="Palatino Linotype" w:eastAsia="Palatino Linotype" w:hAnsi="Palatino Linotype" w:cs="Palatino Linotype"/>
          <w:b/>
        </w:rPr>
      </w:pPr>
    </w:p>
    <w:p w:rsidR="00190A09" w:rsidRDefault="00190A09" w:rsidP="00C073EB">
      <w:pPr>
        <w:spacing w:line="360" w:lineRule="auto"/>
        <w:jc w:val="both"/>
        <w:rPr>
          <w:rFonts w:ascii="Palatino Linotype" w:eastAsia="Palatino Linotype" w:hAnsi="Palatino Linotype" w:cs="Palatino Linotype"/>
          <w:b/>
        </w:rPr>
      </w:pPr>
    </w:p>
    <w:p w:rsidR="00190A09" w:rsidRDefault="00190A09" w:rsidP="00C073EB">
      <w:pPr>
        <w:spacing w:line="360" w:lineRule="auto"/>
        <w:jc w:val="both"/>
        <w:rPr>
          <w:rFonts w:ascii="Palatino Linotype" w:eastAsia="Palatino Linotype" w:hAnsi="Palatino Linotype" w:cs="Palatino Linotype"/>
          <w:b/>
        </w:rPr>
      </w:pPr>
    </w:p>
    <w:p w:rsidR="00C073EB" w:rsidRPr="00190A09" w:rsidRDefault="00C073EB" w:rsidP="00C073EB">
      <w:pPr>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b/>
        </w:rPr>
        <w:lastRenderedPageBreak/>
        <w:t>Teléfono y celular particular.</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C073EB" w:rsidRPr="00190A09" w:rsidRDefault="00C073EB" w:rsidP="00C073EB">
      <w:pPr>
        <w:pBdr>
          <w:top w:val="nil"/>
          <w:left w:val="nil"/>
          <w:bottom w:val="nil"/>
          <w:right w:val="nil"/>
          <w:between w:val="nil"/>
        </w:pBdr>
        <w:rPr>
          <w:rFonts w:ascii="Palatino Linotype" w:eastAsia="Palatino Linotype" w:hAnsi="Palatino Linotype" w:cs="Palatino Linotype"/>
          <w:color w:val="000000"/>
        </w:rPr>
      </w:pPr>
    </w:p>
    <w:p w:rsidR="00C073EB" w:rsidRPr="00190A09" w:rsidRDefault="00C073EB" w:rsidP="00C073EB">
      <w:pPr>
        <w:pBdr>
          <w:top w:val="nil"/>
          <w:left w:val="nil"/>
          <w:bottom w:val="nil"/>
          <w:right w:val="nil"/>
          <w:between w:val="nil"/>
        </w:pBdr>
        <w:ind w:left="720"/>
        <w:rPr>
          <w:rFonts w:ascii="Palatino Linotype" w:eastAsia="Palatino Linotype" w:hAnsi="Palatino Linotype" w:cs="Palatino Linotype"/>
          <w:color w:val="000000"/>
        </w:rPr>
      </w:pPr>
    </w:p>
    <w:p w:rsidR="00C073EB" w:rsidRPr="00190A09" w:rsidRDefault="00C073EB" w:rsidP="00190A09">
      <w:pPr>
        <w:spacing w:line="360" w:lineRule="auto"/>
        <w:jc w:val="both"/>
        <w:rPr>
          <w:rFonts w:ascii="Palatino Linotype" w:hAnsi="Palatino Linotype" w:cs="Tahoma"/>
        </w:rPr>
      </w:pPr>
      <w:r w:rsidRPr="00190A09">
        <w:rPr>
          <w:rFonts w:ascii="Palatino Linotype" w:hAnsi="Palatino Linotype" w:cs="Tahoma"/>
          <w:b/>
        </w:rPr>
        <w:t>Correo electrónico particular.</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Calibri" w:hAnsi="Palatino Linotype" w:cs="Tahoma"/>
          <w:bCs/>
          <w:lang w:eastAsia="en-US"/>
        </w:rPr>
      </w:pPr>
      <w:r w:rsidRPr="00190A09">
        <w:rPr>
          <w:rFonts w:ascii="Palatino Linotype" w:eastAsia="Calibri" w:hAnsi="Palatino Linotype" w:cs="Tahoma"/>
          <w:bCs/>
          <w:lang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 por lo que, corresponde a un dato personal que actualiza la causal de clasificación establecida en el artículo 143, fracción I de la Ley de Transparencia y Acceso a la Información Pública del Estado de México y Municipios.</w:t>
      </w:r>
    </w:p>
    <w:p w:rsidR="00C073EB" w:rsidRPr="00190A09" w:rsidRDefault="00C073EB" w:rsidP="00C073EB">
      <w:pPr>
        <w:rPr>
          <w:rFonts w:ascii="Palatino Linotype" w:eastAsia="Palatino Linotype" w:hAnsi="Palatino Linotype" w:cs="Palatino Linotype"/>
        </w:rPr>
      </w:pPr>
    </w:p>
    <w:p w:rsidR="00C073EB" w:rsidRPr="00190A09" w:rsidRDefault="00C073EB" w:rsidP="00C073EB">
      <w:pPr>
        <w:spacing w:line="360" w:lineRule="auto"/>
        <w:contextualSpacing/>
        <w:jc w:val="both"/>
        <w:rPr>
          <w:rFonts w:ascii="Palatino Linotype" w:eastAsiaTheme="minorHAnsi" w:hAnsi="Palatino Linotype" w:cs="Tahoma"/>
          <w:b/>
          <w:bCs/>
          <w:iCs/>
          <w:lang w:eastAsia="en-US"/>
        </w:rPr>
      </w:pPr>
      <w:r w:rsidRPr="00190A09">
        <w:rPr>
          <w:rFonts w:ascii="Palatino Linotype" w:eastAsiaTheme="minorHAnsi" w:hAnsi="Palatino Linotype" w:cs="Tahoma"/>
          <w:b/>
          <w:iCs/>
          <w:color w:val="000000" w:themeColor="text1"/>
          <w:lang w:val="es-ES" w:eastAsia="en-US"/>
        </w:rPr>
        <w:t xml:space="preserve">QUINTO. </w:t>
      </w:r>
      <w:r w:rsidRPr="00190A09">
        <w:rPr>
          <w:rFonts w:ascii="Palatino Linotype" w:eastAsiaTheme="minorHAnsi" w:hAnsi="Palatino Linotype" w:cs="Tahoma"/>
          <w:b/>
          <w:bCs/>
          <w:iCs/>
          <w:color w:val="000000" w:themeColor="text1"/>
          <w:lang w:eastAsia="en-US"/>
        </w:rPr>
        <w:t>Vista a la Dirección General de Protección de Datos Personales.</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Theme="minorHAnsi" w:hAnsi="Palatino Linotype" w:cs="Tahoma"/>
          <w:bCs/>
          <w:iCs/>
          <w:color w:val="000000" w:themeColor="text1"/>
          <w:lang w:val="es-ES" w:eastAsia="en-US"/>
        </w:rPr>
      </w:pPr>
      <w:r w:rsidRPr="00190A09">
        <w:rPr>
          <w:rFonts w:ascii="Palatino Linotype" w:eastAsia="Palatino Linotype" w:hAnsi="Palatino Linotype" w:cs="Palatino Linotype"/>
        </w:rPr>
        <w:t>Ahora</w:t>
      </w:r>
      <w:r w:rsidRPr="00190A09">
        <w:rPr>
          <w:rFonts w:ascii="Palatino Linotype" w:eastAsiaTheme="minorHAnsi" w:hAnsi="Palatino Linotype" w:cs="Tahoma"/>
          <w:bCs/>
          <w:iCs/>
          <w:color w:val="000000" w:themeColor="text1"/>
          <w:lang w:val="es-ES" w:eastAsia="en-US"/>
        </w:rPr>
        <w:t xml:space="preserve"> bien, de la revisión de las constancias que obran en el expediente, se logra advertir que el Sujeto Obligado </w:t>
      </w:r>
      <w:r w:rsidR="00FF05FC" w:rsidRPr="00190A09">
        <w:rPr>
          <w:rFonts w:ascii="Palatino Linotype" w:eastAsiaTheme="minorHAnsi" w:hAnsi="Palatino Linotype" w:cs="Tahoma"/>
          <w:b/>
          <w:bCs/>
          <w:iCs/>
          <w:color w:val="000000" w:themeColor="text1"/>
          <w:lang w:val="es-ES" w:eastAsia="en-US"/>
        </w:rPr>
        <w:t xml:space="preserve">en su entrega de información no clasifico bien la información, toda vez que de los datos testados se puede obtener información de los </w:t>
      </w:r>
      <w:r w:rsidR="00FF05FC" w:rsidRPr="00190A09">
        <w:rPr>
          <w:rFonts w:ascii="Palatino Linotype" w:eastAsiaTheme="minorHAnsi" w:hAnsi="Palatino Linotype" w:cs="Tahoma"/>
          <w:b/>
          <w:bCs/>
          <w:iCs/>
          <w:color w:val="000000" w:themeColor="text1"/>
          <w:lang w:val="es-ES" w:eastAsia="en-US"/>
        </w:rPr>
        <w:lastRenderedPageBreak/>
        <w:t>particulares</w:t>
      </w:r>
      <w:r w:rsidRPr="00190A09">
        <w:rPr>
          <w:rFonts w:ascii="Palatino Linotype" w:eastAsiaTheme="minorHAnsi" w:hAnsi="Palatino Linotype" w:cs="Tahoma"/>
          <w:b/>
          <w:bCs/>
          <w:iCs/>
          <w:color w:val="000000" w:themeColor="text1"/>
          <w:lang w:val="es-ES" w:eastAsia="en-US"/>
        </w:rPr>
        <w:t xml:space="preserve">, </w:t>
      </w:r>
      <w:r w:rsidRPr="00190A09">
        <w:rPr>
          <w:rFonts w:ascii="Palatino Linotype" w:eastAsiaTheme="minorHAnsi" w:hAnsi="Palatino Linotype" w:cs="Tahoma"/>
          <w:color w:val="000000" w:themeColor="text1"/>
          <w:lang w:eastAsia="en-US"/>
        </w:rPr>
        <w:t>l</w:t>
      </w:r>
      <w:r w:rsidRPr="00190A09">
        <w:rPr>
          <w:rFonts w:ascii="Palatino Linotype" w:eastAsiaTheme="minorHAnsi" w:hAnsi="Palatino Linotype" w:cs="Tahoma"/>
          <w:bCs/>
          <w:iCs/>
          <w:color w:val="000000" w:themeColor="text1"/>
          <w:lang w:val="es-ES" w:eastAsia="en-US"/>
        </w:rPr>
        <w:t>o cual transgrede lo establecido en el artículo 143, fracción I, de la Ley de Transparencia y Acceso a la Información Pública del Estado de México y Municipios.</w:t>
      </w:r>
    </w:p>
    <w:p w:rsidR="00C073EB" w:rsidRPr="00190A09" w:rsidRDefault="00C073EB" w:rsidP="00C073EB">
      <w:pPr>
        <w:spacing w:line="360" w:lineRule="auto"/>
        <w:contextualSpacing/>
        <w:jc w:val="both"/>
        <w:rPr>
          <w:rFonts w:ascii="Palatino Linotype" w:eastAsiaTheme="minorHAnsi" w:hAnsi="Palatino Linotype" w:cs="Tahoma"/>
          <w:bCs/>
          <w:iCs/>
          <w:color w:val="000000" w:themeColor="text1"/>
          <w:lang w:val="es-ES" w:eastAsia="en-US"/>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Theme="minorHAnsi" w:hAnsi="Palatino Linotype" w:cs="Tahoma"/>
          <w:bCs/>
          <w:iCs/>
          <w:color w:val="000000" w:themeColor="text1"/>
          <w:lang w:val="es-ES" w:eastAsia="en-US"/>
        </w:rPr>
      </w:pPr>
      <w:r w:rsidRPr="00190A09">
        <w:rPr>
          <w:rFonts w:ascii="Palatino Linotype" w:eastAsiaTheme="minorHAnsi" w:hAnsi="Palatino Linotype" w:cs="Tahoma"/>
          <w:bCs/>
          <w:iCs/>
          <w:color w:val="000000" w:themeColor="text1"/>
          <w:lang w:val="es-ES" w:eastAsia="en-US"/>
        </w:rPr>
        <w:t xml:space="preserve">Sobre el particular, si bien, la presente resolución no tiene por objetivo investigar y determinar posibles violaciones al derecho de acceso a la información, toda vez que este Organismo Autónomo, advirtió la posible publicación de información susceptible de clasificarse como confidencial, se considera procedente dar vista a la Dirección General de Protección de Datos Personales de este Instituto. </w:t>
      </w:r>
      <w:bookmarkStart w:id="13" w:name="_Hlk102054176"/>
    </w:p>
    <w:p w:rsidR="00C073EB" w:rsidRPr="00190A09" w:rsidRDefault="00C073EB" w:rsidP="00C073EB">
      <w:pPr>
        <w:spacing w:line="360" w:lineRule="auto"/>
        <w:jc w:val="both"/>
        <w:rPr>
          <w:rFonts w:ascii="Palatino Linotype" w:eastAsiaTheme="minorHAnsi" w:hAnsi="Palatino Linotype" w:cs="Tahoma"/>
          <w:bCs/>
          <w:iCs/>
          <w:color w:val="000000" w:themeColor="text1"/>
          <w:lang w:val="es-ES" w:eastAsia="en-US"/>
        </w:rPr>
      </w:pPr>
    </w:p>
    <w:bookmarkEnd w:id="13"/>
    <w:p w:rsidR="00C073EB" w:rsidRPr="00190A09" w:rsidRDefault="00C073EB" w:rsidP="006705BA">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Theme="minorHAnsi" w:hAnsi="Palatino Linotype" w:cs="Tahoma"/>
          <w:bCs/>
          <w:iCs/>
          <w:color w:val="000000" w:themeColor="text1"/>
          <w:lang w:val="es-ES" w:eastAsia="en-US"/>
        </w:rPr>
      </w:pPr>
      <w:r w:rsidRPr="00190A09">
        <w:rPr>
          <w:rFonts w:ascii="Palatino Linotype" w:eastAsiaTheme="minorHAnsi" w:hAnsi="Palatino Linotype" w:cs="Tahoma"/>
          <w:bCs/>
          <w:iCs/>
          <w:color w:val="000000" w:themeColor="text1"/>
          <w:lang w:val="es-ES" w:eastAsia="en-US"/>
        </w:rPr>
        <w:t xml:space="preserve">En ese sentido, de conformidad con lo previsto en el artículo 222, fracción V, de dicho </w:t>
      </w:r>
      <w:r w:rsidRPr="00190A09">
        <w:rPr>
          <w:rFonts w:ascii="Palatino Linotype" w:eastAsia="Palatino Linotype" w:hAnsi="Palatino Linotype" w:cs="Palatino Linotype"/>
        </w:rPr>
        <w:t>ordenamiento</w:t>
      </w:r>
      <w:r w:rsidRPr="00190A09">
        <w:rPr>
          <w:rFonts w:ascii="Palatino Linotype" w:eastAsiaTheme="minorHAnsi" w:hAnsi="Palatino Linotype" w:cs="Tahoma"/>
          <w:bCs/>
          <w:iCs/>
          <w:color w:val="000000" w:themeColor="text1"/>
          <w:lang w:val="es-ES" w:eastAsia="en-US"/>
        </w:rPr>
        <w:t>, son causas de responsabilidad administrativa,</w:t>
      </w:r>
      <w:r w:rsidRPr="00190A09">
        <w:rPr>
          <w:rFonts w:ascii="Palatino Linotype" w:eastAsiaTheme="minorHAnsi" w:hAnsi="Palatino Linotype" w:cs="Tahoma"/>
          <w:bCs/>
          <w:iCs/>
          <w:color w:val="000000" w:themeColor="text1"/>
          <w:lang w:eastAsia="en-US"/>
        </w:rPr>
        <w:t xml:space="preserve"> entregar información clasificada como confidencial, por lo que, de conformidad con lo previsto en el artículo 14, fracción XXVI del Reglamento Interior del Instituto de Transparencia, Acceso a la Información Pública y  Protección de Datos Personales del Estado de México y Municipios, procede que el área competente investigue la posible comisión incumplimiento a la Ley, toda vez que</w:t>
      </w:r>
      <w:r w:rsidRPr="00190A09">
        <w:rPr>
          <w:rFonts w:ascii="Palatino Linotype" w:eastAsiaTheme="minorHAnsi" w:hAnsi="Palatino Linotype" w:cs="Tahoma"/>
          <w:bCs/>
          <w:iCs/>
          <w:color w:val="000000" w:themeColor="text1"/>
          <w:lang w:val="es-ES" w:eastAsia="en-US"/>
        </w:rPr>
        <w:t>, el artículo 223 de la Ley de Transparencia y Acceso a la Información Pública del Estado de México y Municipios, prevé que este Instituto deberá dar vista a la Contraloría Interna, con el fin de que determine el grado de responsabilidad de los servidores públicos que incumplan con las obligaciones establecidas en la Ley.</w:t>
      </w:r>
    </w:p>
    <w:p w:rsidR="00C073EB" w:rsidRPr="00190A09" w:rsidRDefault="00C073EB" w:rsidP="00C073EB">
      <w:pPr>
        <w:pBdr>
          <w:top w:val="nil"/>
          <w:left w:val="nil"/>
          <w:bottom w:val="nil"/>
          <w:right w:val="nil"/>
          <w:between w:val="nil"/>
        </w:pBdr>
        <w:tabs>
          <w:tab w:val="left" w:pos="0"/>
        </w:tabs>
        <w:spacing w:line="360" w:lineRule="auto"/>
        <w:ind w:right="49"/>
        <w:jc w:val="both"/>
      </w:pPr>
    </w:p>
    <w:p w:rsidR="00C073EB" w:rsidRPr="00190A09" w:rsidRDefault="00C073EB" w:rsidP="00C073EB">
      <w:pPr>
        <w:spacing w:line="360" w:lineRule="auto"/>
        <w:jc w:val="both"/>
        <w:rPr>
          <w:rFonts w:ascii="Palatino Linotype" w:eastAsia="Palatino Linotype" w:hAnsi="Palatino Linotype" w:cs="Palatino Linotype"/>
        </w:rPr>
      </w:pPr>
      <w:bookmarkStart w:id="14" w:name="_heading=h.f4o79wh9njh3" w:colFirst="0" w:colLast="0"/>
      <w:bookmarkEnd w:id="14"/>
      <w:r w:rsidRPr="00190A09">
        <w:rPr>
          <w:rFonts w:ascii="Palatino Linotype" w:eastAsia="Palatino Linotype" w:hAnsi="Palatino Linotype" w:cs="Palatino Linotype"/>
          <w:b/>
        </w:rPr>
        <w:t>SEXTO. De la versión pública.</w:t>
      </w:r>
    </w:p>
    <w:p w:rsidR="00C073EB" w:rsidRPr="00190A09" w:rsidRDefault="00C073EB" w:rsidP="00C073EB">
      <w:pPr>
        <w:pStyle w:val="Ttulo1"/>
        <w:numPr>
          <w:ilvl w:val="0"/>
          <w:numId w:val="4"/>
        </w:numPr>
        <w:tabs>
          <w:tab w:val="left" w:pos="284"/>
        </w:tabs>
        <w:spacing w:before="0" w:after="0" w:line="360" w:lineRule="auto"/>
        <w:ind w:left="0" w:firstLine="0"/>
        <w:rPr>
          <w:rFonts w:ascii="Palatino Linotype" w:eastAsia="Palatino Linotype" w:hAnsi="Palatino Linotype" w:cs="Palatino Linotype"/>
          <w:b/>
          <w:color w:val="000000"/>
          <w:sz w:val="24"/>
          <w:szCs w:val="24"/>
        </w:rPr>
      </w:pPr>
      <w:bookmarkStart w:id="15" w:name="_heading=h.e6ira7nf24me" w:colFirst="0" w:colLast="0"/>
      <w:bookmarkEnd w:id="15"/>
      <w:r w:rsidRPr="00190A09">
        <w:rPr>
          <w:rFonts w:ascii="Palatino Linotype" w:eastAsia="Palatino Linotype" w:hAnsi="Palatino Linotype" w:cs="Palatino Linotype"/>
          <w:b/>
          <w:color w:val="000000"/>
          <w:sz w:val="24"/>
          <w:szCs w:val="24"/>
        </w:rPr>
        <w:t xml:space="preserve">Nociones generales. </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rPr>
        <w:t>Debe destacarse que, debido a la naturaleza de la información solicitada,</w:t>
      </w:r>
      <w:r w:rsidRPr="00190A09">
        <w:rPr>
          <w:rFonts w:ascii="Palatino Linotype" w:eastAsia="Palatino Linotype" w:hAnsi="Palatino Linotype" w:cs="Palatino Linotype"/>
          <w:b/>
          <w:color w:val="000000"/>
        </w:rPr>
        <w:t xml:space="preserve"> </w:t>
      </w:r>
      <w:r w:rsidRPr="00190A09">
        <w:rPr>
          <w:rFonts w:ascii="Palatino Linotype" w:eastAsia="Palatino Linotype" w:hAnsi="Palatino Linotype" w:cs="Palatino Linotype"/>
          <w:color w:val="000000"/>
        </w:rPr>
        <w:t xml:space="preserve">eventualmente pudiera obrar datos personales susceptibles de protegerse, así como </w:t>
      </w:r>
      <w:r w:rsidRPr="00190A09">
        <w:rPr>
          <w:rFonts w:ascii="Palatino Linotype" w:eastAsia="Palatino Linotype" w:hAnsi="Palatino Linotype" w:cs="Palatino Linotype"/>
          <w:color w:val="000000"/>
        </w:rPr>
        <w:lastRenderedPageBreak/>
        <w:t xml:space="preserve">información susceptible de clasificarse como reservada, el </w:t>
      </w:r>
      <w:r w:rsidRPr="00190A09">
        <w:rPr>
          <w:rFonts w:ascii="Palatino Linotype" w:eastAsia="Palatino Linotype" w:hAnsi="Palatino Linotype" w:cs="Palatino Linotype"/>
          <w:b/>
          <w:color w:val="000000"/>
        </w:rPr>
        <w:t xml:space="preserve">Sujeto Obligado </w:t>
      </w:r>
      <w:r w:rsidRPr="00190A09">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C073EB" w:rsidRPr="00190A09" w:rsidRDefault="00C073EB" w:rsidP="00C073EB">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No pasa desapercibido para este Órgano Garante que los </w:t>
      </w:r>
      <w:r w:rsidRPr="00190A09">
        <w:rPr>
          <w:rFonts w:ascii="Palatino Linotype" w:eastAsia="Palatino Linotype" w:hAnsi="Palatino Linotype" w:cs="Palatino Linotype"/>
          <w:b/>
          <w:color w:val="000000"/>
        </w:rPr>
        <w:t xml:space="preserve">Sujetos Obligados </w:t>
      </w:r>
      <w:r w:rsidRPr="00190A0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C073EB" w:rsidRPr="00190A09" w:rsidRDefault="00C073EB" w:rsidP="00C073EB">
      <w:pPr>
        <w:tabs>
          <w:tab w:val="left" w:pos="284"/>
        </w:tabs>
        <w:spacing w:line="360" w:lineRule="auto"/>
        <w:ind w:right="49"/>
        <w:jc w:val="both"/>
        <w:rPr>
          <w:rFonts w:ascii="Palatino Linotype" w:eastAsia="Palatino Linotype" w:hAnsi="Palatino Linotype" w:cs="Palatino Linotype"/>
          <w:color w:val="000000"/>
        </w:rPr>
      </w:pPr>
    </w:p>
    <w:tbl>
      <w:tblPr>
        <w:tblW w:w="9497"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3"/>
        <w:gridCol w:w="6804"/>
      </w:tblGrid>
      <w:tr w:rsidR="00C073EB" w:rsidRPr="00190A09" w:rsidTr="00190A09">
        <w:tc>
          <w:tcPr>
            <w:tcW w:w="2693"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rPr>
                <w:rFonts w:ascii="Palatino Linotype" w:eastAsia="Palatino Linotype" w:hAnsi="Palatino Linotype" w:cs="Palatino Linotype"/>
              </w:rPr>
            </w:pPr>
            <w:r w:rsidRPr="00190A09">
              <w:rPr>
                <w:rFonts w:ascii="Palatino Linotype" w:eastAsia="Palatino Linotype" w:hAnsi="Palatino Linotype" w:cs="Palatino Linotype"/>
              </w:rPr>
              <w:t>a) Requisitos previos.</w:t>
            </w:r>
          </w:p>
        </w:tc>
        <w:tc>
          <w:tcPr>
            <w:tcW w:w="6804"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C073EB" w:rsidRPr="00190A09" w:rsidRDefault="00C073EB" w:rsidP="002C3C62">
            <w:pPr>
              <w:tabs>
                <w:tab w:val="left" w:pos="284"/>
              </w:tabs>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color w:val="000000"/>
              </w:rPr>
              <w:t xml:space="preserve">El último de estos requisitos previos consiste en que no se pueden emitir acuerdos de carácter general ni particular, esto </w:t>
            </w:r>
            <w:r w:rsidRPr="00190A09">
              <w:rPr>
                <w:rFonts w:ascii="Palatino Linotype" w:eastAsia="Palatino Linotype" w:hAnsi="Palatino Linotype" w:cs="Palatino Linotype"/>
                <w:color w:val="000000"/>
              </w:rPr>
              <w:lastRenderedPageBreak/>
              <w:t xml:space="preserve">es, </w:t>
            </w:r>
            <w:r w:rsidRPr="00190A0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90A0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C073EB" w:rsidRPr="00190A09" w:rsidTr="00190A09">
        <w:tc>
          <w:tcPr>
            <w:tcW w:w="2693"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rPr>
                <w:rFonts w:ascii="Palatino Linotype" w:eastAsia="Palatino Linotype" w:hAnsi="Palatino Linotype" w:cs="Palatino Linotype"/>
              </w:rPr>
            </w:pPr>
            <w:r w:rsidRPr="00190A09">
              <w:rPr>
                <w:rFonts w:ascii="Palatino Linotype" w:eastAsia="Palatino Linotype" w:hAnsi="Palatino Linotype" w:cs="Palatino Linotype"/>
              </w:rPr>
              <w:lastRenderedPageBreak/>
              <w:t>b) Supuestos de clasificación.</w:t>
            </w:r>
          </w:p>
        </w:tc>
        <w:tc>
          <w:tcPr>
            <w:tcW w:w="6804"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C073EB" w:rsidRPr="00190A09" w:rsidRDefault="00C073EB" w:rsidP="002C3C62">
            <w:pPr>
              <w:tabs>
                <w:tab w:val="left" w:pos="284"/>
              </w:tabs>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color w:val="000000"/>
              </w:rPr>
              <w:t xml:space="preserve">El </w:t>
            </w:r>
            <w:r w:rsidRPr="00190A09">
              <w:rPr>
                <w:rFonts w:ascii="Palatino Linotype" w:eastAsia="Palatino Linotype" w:hAnsi="Palatino Linotype" w:cs="Palatino Linotype"/>
                <w:b/>
                <w:color w:val="000000"/>
              </w:rPr>
              <w:t>Sujeto Obligado</w:t>
            </w:r>
            <w:r w:rsidRPr="00190A0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073EB" w:rsidRPr="00190A09" w:rsidTr="00190A09">
        <w:tc>
          <w:tcPr>
            <w:tcW w:w="2693"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rPr>
                <w:rFonts w:ascii="Palatino Linotype" w:eastAsia="Palatino Linotype" w:hAnsi="Palatino Linotype" w:cs="Palatino Linotype"/>
              </w:rPr>
            </w:pPr>
            <w:r w:rsidRPr="00190A09">
              <w:rPr>
                <w:rFonts w:ascii="Palatino Linotype" w:eastAsia="Palatino Linotype" w:hAnsi="Palatino Linotype" w:cs="Palatino Linotype"/>
              </w:rPr>
              <w:lastRenderedPageBreak/>
              <w:t>c) Formalidades para emitir el acuerdo de clasificación.</w:t>
            </w:r>
          </w:p>
        </w:tc>
        <w:tc>
          <w:tcPr>
            <w:tcW w:w="6804"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Es necesario que </w:t>
            </w:r>
            <w:r w:rsidRPr="00190A09">
              <w:rPr>
                <w:rFonts w:ascii="Palatino Linotype" w:eastAsia="Palatino Linotype" w:hAnsi="Palatino Linotype" w:cs="Palatino Linotype"/>
                <w:b/>
                <w:color w:val="000000"/>
                <w:u w:val="single"/>
              </w:rPr>
              <w:t>el acto reúna con los requisitos elementales</w:t>
            </w:r>
            <w:r w:rsidRPr="00190A09">
              <w:rPr>
                <w:rFonts w:ascii="Palatino Linotype" w:eastAsia="Palatino Linotype" w:hAnsi="Palatino Linotype" w:cs="Palatino Linotype"/>
                <w:color w:val="000000"/>
              </w:rPr>
              <w:t>, entre ellos, que la autoridad que va a emitir el acto de autoridad sea la legalmente facultada para ello.</w:t>
            </w:r>
          </w:p>
          <w:p w:rsidR="00C073EB" w:rsidRPr="00190A09" w:rsidRDefault="00C073EB" w:rsidP="002C3C62">
            <w:pPr>
              <w:tabs>
                <w:tab w:val="left" w:pos="284"/>
              </w:tabs>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073EB" w:rsidRPr="00190A09" w:rsidTr="00190A09">
        <w:tc>
          <w:tcPr>
            <w:tcW w:w="2693"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rPr>
                <w:rFonts w:ascii="Palatino Linotype" w:eastAsia="Palatino Linotype" w:hAnsi="Palatino Linotype" w:cs="Palatino Linotype"/>
              </w:rPr>
            </w:pPr>
          </w:p>
          <w:p w:rsidR="00C073EB" w:rsidRPr="00190A09" w:rsidRDefault="00C073EB" w:rsidP="002C3C62">
            <w:pPr>
              <w:tabs>
                <w:tab w:val="left" w:pos="284"/>
              </w:tabs>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color w:val="000000"/>
              </w:rPr>
              <w:t xml:space="preserve">d) Requisitos de fondo del acuerdo de clasificación. </w:t>
            </w:r>
          </w:p>
        </w:tc>
        <w:tc>
          <w:tcPr>
            <w:tcW w:w="6804"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90A09">
              <w:rPr>
                <w:rFonts w:ascii="Palatino Linotype" w:eastAsia="Palatino Linotype" w:hAnsi="Palatino Linotype" w:cs="Palatino Linotype"/>
                <w:b/>
                <w:color w:val="000000"/>
              </w:rPr>
              <w:t>Sujetos Obligados</w:t>
            </w:r>
            <w:r w:rsidRPr="00190A09">
              <w:rPr>
                <w:rFonts w:ascii="Palatino Linotype" w:eastAsia="Palatino Linotype" w:hAnsi="Palatino Linotype" w:cs="Palatino Linotype"/>
                <w:color w:val="000000"/>
              </w:rPr>
              <w:t xml:space="preserve">, por lo que deberán fundar y motivar debidamente la clasificación. </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lastRenderedPageBreak/>
              <w:t xml:space="preserve">De lo anterior, se desprende que para una correcta </w:t>
            </w:r>
            <w:r w:rsidRPr="00190A09">
              <w:rPr>
                <w:rFonts w:ascii="Palatino Linotype" w:eastAsia="Palatino Linotype" w:hAnsi="Palatino Linotype" w:cs="Palatino Linotype"/>
                <w:b/>
                <w:color w:val="000000"/>
              </w:rPr>
              <w:t>clasificación total o parcial</w:t>
            </w:r>
            <w:r w:rsidRPr="00190A0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Ahora bien, </w:t>
            </w:r>
            <w:r w:rsidRPr="00190A09">
              <w:rPr>
                <w:rFonts w:ascii="Palatino Linotype" w:eastAsia="Palatino Linotype" w:hAnsi="Palatino Linotype" w:cs="Palatino Linotype"/>
                <w:b/>
                <w:color w:val="000000"/>
                <w:u w:val="single"/>
              </w:rPr>
              <w:t>para cada caso además de fundar y motivar</w:t>
            </w:r>
            <w:r w:rsidRPr="00190A09">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w:t>
            </w:r>
            <w:r w:rsidRPr="00190A09">
              <w:rPr>
                <w:rFonts w:ascii="Palatino Linotype" w:eastAsia="Palatino Linotype" w:hAnsi="Palatino Linotype" w:cs="Palatino Linotype"/>
                <w:color w:val="000000"/>
              </w:rPr>
              <w:lastRenderedPageBreak/>
              <w:t>Registro Federal de Contribuyentes (R.F.C.), claves de seguros, préstamos o descuentos personales, secretos bancario, fiduciario, industrial, comercial, fiscal, bursátil y postal, cuya titularidad corresponda a particulares, entre otros.</w:t>
            </w:r>
          </w:p>
        </w:tc>
      </w:tr>
      <w:tr w:rsidR="00C073EB" w:rsidRPr="00190A09" w:rsidTr="00190A09">
        <w:tc>
          <w:tcPr>
            <w:tcW w:w="2693"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rPr>
            </w:pPr>
            <w:r w:rsidRPr="00190A09">
              <w:rPr>
                <w:rFonts w:ascii="Palatino Linotype" w:eastAsia="Palatino Linotype" w:hAnsi="Palatino Linotype" w:cs="Palatino Linotype"/>
              </w:rPr>
              <w:lastRenderedPageBreak/>
              <w:t xml:space="preserve">e) Condiciones especiales de la clasificación de la información como confidencial. </w:t>
            </w:r>
          </w:p>
        </w:tc>
        <w:tc>
          <w:tcPr>
            <w:tcW w:w="6804" w:type="dxa"/>
            <w:tcBorders>
              <w:top w:val="single" w:sz="4" w:space="0" w:color="BFBFBF"/>
              <w:left w:val="single" w:sz="4" w:space="0" w:color="BFBFBF"/>
              <w:bottom w:val="single" w:sz="4" w:space="0" w:color="BFBFBF"/>
              <w:right w:val="single" w:sz="4" w:space="0" w:color="BFBFBF"/>
            </w:tcBorders>
          </w:tcPr>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C073EB" w:rsidRPr="00190A09" w:rsidRDefault="00C073EB" w:rsidP="002C3C62">
            <w:pPr>
              <w:tabs>
                <w:tab w:val="left" w:pos="284"/>
              </w:tabs>
              <w:spacing w:line="360" w:lineRule="auto"/>
              <w:ind w:right="49"/>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C073EB" w:rsidRPr="00190A09" w:rsidRDefault="00C073EB" w:rsidP="002C3C62">
            <w:pPr>
              <w:tabs>
                <w:tab w:val="left" w:pos="284"/>
              </w:tabs>
              <w:spacing w:line="360" w:lineRule="auto"/>
              <w:rPr>
                <w:rFonts w:ascii="Palatino Linotype" w:eastAsia="Palatino Linotype" w:hAnsi="Palatino Linotype" w:cs="Palatino Linotype"/>
              </w:rPr>
            </w:pPr>
            <w:r w:rsidRPr="00190A0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C073EB" w:rsidRPr="00190A09" w:rsidRDefault="00C073EB" w:rsidP="00C073EB">
      <w:pPr>
        <w:pBdr>
          <w:top w:val="nil"/>
          <w:left w:val="nil"/>
          <w:bottom w:val="nil"/>
          <w:right w:val="nil"/>
          <w:between w:val="nil"/>
        </w:pBdr>
        <w:tabs>
          <w:tab w:val="left" w:pos="284"/>
        </w:tabs>
        <w:rPr>
          <w:rFonts w:ascii="Palatino Linotype" w:eastAsia="Palatino Linotype" w:hAnsi="Palatino Linotype" w:cs="Palatino Linotype"/>
          <w:color w:val="000000"/>
        </w:rPr>
      </w:pP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90A09">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lastRenderedPageBreak/>
        <w:t xml:space="preserve">Por lo tanto, en consecuencia y en mérito de lo expuesto en líneas anteriores, resultan fundadas las razones o motivos de inconformidad hechos valer por 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dentro del recurso de revisión </w:t>
      </w:r>
      <w:r w:rsidRPr="00190A09">
        <w:rPr>
          <w:rFonts w:ascii="Palatino Linotype" w:eastAsia="Palatino Linotype" w:hAnsi="Palatino Linotype" w:cs="Palatino Linotype"/>
          <w:b/>
        </w:rPr>
        <w:t>05238/INFOEM/IP/RR/2025</w:t>
      </w:r>
      <w:r w:rsidRPr="00190A09">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sidRPr="00190A09">
        <w:rPr>
          <w:rFonts w:ascii="Palatino Linotype" w:eastAsia="Palatino Linotype" w:hAnsi="Palatino Linotype" w:cs="Palatino Linotype"/>
          <w:b/>
        </w:rPr>
        <w:t xml:space="preserve">MODIFICA </w:t>
      </w:r>
      <w:r w:rsidRPr="00190A09">
        <w:rPr>
          <w:rFonts w:ascii="Palatino Linotype" w:eastAsia="Palatino Linotype" w:hAnsi="Palatino Linotype" w:cs="Palatino Linotype"/>
        </w:rPr>
        <w:t>la respuesta a la solicitud de información</w:t>
      </w:r>
      <w:r w:rsidRPr="00190A09">
        <w:rPr>
          <w:rFonts w:ascii="Palatino Linotype" w:eastAsia="Palatino Linotype" w:hAnsi="Palatino Linotype" w:cs="Palatino Linotype"/>
          <w:b/>
        </w:rPr>
        <w:t xml:space="preserve"> </w:t>
      </w:r>
      <w:r w:rsidR="002C3C62" w:rsidRPr="00190A09">
        <w:rPr>
          <w:rFonts w:ascii="Palatino Linotype" w:eastAsia="Palatino Linotype" w:hAnsi="Palatino Linotype" w:cs="Palatino Linotype"/>
          <w:b/>
        </w:rPr>
        <w:t>00179/SMOV/IP/2025</w:t>
      </w:r>
      <w:r w:rsidRPr="00190A09">
        <w:rPr>
          <w:rFonts w:ascii="Palatino Linotype" w:eastAsia="Palatino Linotype" w:hAnsi="Palatino Linotype" w:cs="Palatino Linotype"/>
        </w:rPr>
        <w:t>.</w:t>
      </w:r>
    </w:p>
    <w:p w:rsidR="00C073EB" w:rsidRPr="00190A09" w:rsidRDefault="00C073EB" w:rsidP="00C073EB">
      <w:pPr>
        <w:pBdr>
          <w:top w:val="nil"/>
          <w:left w:val="nil"/>
          <w:bottom w:val="nil"/>
          <w:right w:val="nil"/>
          <w:between w:val="nil"/>
        </w:pBdr>
        <w:ind w:left="720"/>
        <w:rPr>
          <w:rFonts w:ascii="Palatino Linotype" w:eastAsia="Palatino Linotype" w:hAnsi="Palatino Linotype" w:cs="Palatino Linotype"/>
          <w:color w:val="000000"/>
        </w:rPr>
      </w:pPr>
      <w:bookmarkStart w:id="16" w:name="_heading=h.lnxbz9" w:colFirst="0" w:colLast="0"/>
      <w:bookmarkEnd w:id="16"/>
    </w:p>
    <w:p w:rsidR="00C073EB" w:rsidRPr="00190A09" w:rsidRDefault="00C073EB" w:rsidP="00C073E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Por lo anteriormente expuesto y fundado, este </w:t>
      </w:r>
      <w:r w:rsidRPr="00190A09">
        <w:rPr>
          <w:rFonts w:ascii="Palatino Linotype" w:eastAsia="Palatino Linotype" w:hAnsi="Palatino Linotype" w:cs="Palatino Linotype"/>
          <w:b/>
        </w:rPr>
        <w:t>ÓRGANO GARANTE</w:t>
      </w:r>
      <w:r w:rsidRPr="00190A09">
        <w:rPr>
          <w:rFonts w:ascii="Palatino Linotype" w:eastAsia="Palatino Linotype" w:hAnsi="Palatino Linotype" w:cs="Palatino Linotype"/>
        </w:rPr>
        <w:t xml:space="preserve"> emite los siguientes:</w:t>
      </w:r>
    </w:p>
    <w:p w:rsidR="00C073EB" w:rsidRPr="00190A09" w:rsidRDefault="00C073EB" w:rsidP="00C073EB">
      <w:pPr>
        <w:pBdr>
          <w:top w:val="nil"/>
          <w:left w:val="nil"/>
          <w:bottom w:val="nil"/>
          <w:right w:val="nil"/>
          <w:between w:val="nil"/>
        </w:pBdr>
        <w:ind w:left="720"/>
        <w:rPr>
          <w:rFonts w:ascii="Palatino Linotype" w:eastAsia="Palatino Linotype" w:hAnsi="Palatino Linotype" w:cs="Palatino Linotype"/>
          <w:color w:val="000000"/>
        </w:rPr>
      </w:pPr>
    </w:p>
    <w:p w:rsidR="00C073EB" w:rsidRPr="00190A09" w:rsidRDefault="00C073EB" w:rsidP="00C073EB">
      <w:pPr>
        <w:pStyle w:val="Ttulo1"/>
        <w:spacing w:before="0" w:line="360" w:lineRule="auto"/>
        <w:jc w:val="center"/>
        <w:rPr>
          <w:rFonts w:ascii="Palatino Linotype" w:eastAsia="Palatino Linotype" w:hAnsi="Palatino Linotype" w:cs="Palatino Linotype"/>
          <w:b/>
          <w:color w:val="000000"/>
          <w:sz w:val="24"/>
          <w:szCs w:val="24"/>
        </w:rPr>
      </w:pPr>
      <w:r w:rsidRPr="00190A09">
        <w:rPr>
          <w:rFonts w:ascii="Palatino Linotype" w:eastAsia="Palatino Linotype" w:hAnsi="Palatino Linotype" w:cs="Palatino Linotype"/>
          <w:b/>
          <w:color w:val="000000"/>
          <w:sz w:val="24"/>
          <w:szCs w:val="24"/>
        </w:rPr>
        <w:t>R E S O L U T I V O S</w:t>
      </w: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b/>
        </w:rPr>
        <w:t>PRIMERO</w:t>
      </w:r>
      <w:r w:rsidRPr="00190A09">
        <w:rPr>
          <w:rFonts w:ascii="Palatino Linotype" w:eastAsia="Palatino Linotype" w:hAnsi="Palatino Linotype" w:cs="Palatino Linotype"/>
        </w:rPr>
        <w:t xml:space="preserve">. Resultan fundadas las razones o motivos de inconformidad hechos valer en el Recurso de Revisión </w:t>
      </w:r>
      <w:r w:rsidRPr="00190A09">
        <w:rPr>
          <w:rFonts w:ascii="Palatino Linotype" w:eastAsia="Palatino Linotype" w:hAnsi="Palatino Linotype" w:cs="Palatino Linotype"/>
          <w:b/>
        </w:rPr>
        <w:t xml:space="preserve">05238/INFOEM/IP/RR/2025, </w:t>
      </w:r>
      <w:r w:rsidRPr="00190A09">
        <w:rPr>
          <w:rFonts w:ascii="Palatino Linotype" w:eastAsia="Palatino Linotype" w:hAnsi="Palatino Linotype" w:cs="Palatino Linotype"/>
        </w:rPr>
        <w:t xml:space="preserve">en términos de los Considerandos </w:t>
      </w:r>
      <w:r w:rsidRPr="00190A09">
        <w:rPr>
          <w:rFonts w:ascii="Palatino Linotype" w:eastAsia="Palatino Linotype" w:hAnsi="Palatino Linotype" w:cs="Palatino Linotype"/>
          <w:b/>
        </w:rPr>
        <w:t xml:space="preserve">Cuarto y Sexto </w:t>
      </w:r>
      <w:r w:rsidRPr="00190A09">
        <w:rPr>
          <w:rFonts w:ascii="Palatino Linotype" w:eastAsia="Palatino Linotype" w:hAnsi="Palatino Linotype" w:cs="Palatino Linotype"/>
        </w:rPr>
        <w:t xml:space="preserve">de la presente resolución. </w:t>
      </w:r>
    </w:p>
    <w:p w:rsidR="00C073EB" w:rsidRPr="00190A09" w:rsidRDefault="00C073EB" w:rsidP="00C073EB">
      <w:pPr>
        <w:spacing w:line="360" w:lineRule="auto"/>
        <w:jc w:val="both"/>
        <w:rPr>
          <w:rFonts w:ascii="Palatino Linotype" w:eastAsia="Palatino Linotype" w:hAnsi="Palatino Linotype" w:cs="Palatino Linotype"/>
        </w:rPr>
      </w:pPr>
    </w:p>
    <w:p w:rsidR="00D704CC" w:rsidRPr="00190A09" w:rsidRDefault="00C073EB" w:rsidP="00D704CC">
      <w:pPr>
        <w:spacing w:line="360" w:lineRule="auto"/>
        <w:jc w:val="both"/>
        <w:rPr>
          <w:rFonts w:ascii="Palatino Linotype" w:eastAsia="Palatino Linotype" w:hAnsi="Palatino Linotype" w:cs="Palatino Linotype"/>
          <w:b/>
          <w:color w:val="000000"/>
        </w:rPr>
      </w:pPr>
      <w:bookmarkStart w:id="17" w:name="_heading=h.35nkun2" w:colFirst="0" w:colLast="0"/>
      <w:bookmarkEnd w:id="17"/>
      <w:r w:rsidRPr="00190A09">
        <w:rPr>
          <w:rFonts w:ascii="Palatino Linotype" w:eastAsia="Palatino Linotype" w:hAnsi="Palatino Linotype" w:cs="Palatino Linotype"/>
          <w:b/>
        </w:rPr>
        <w:t xml:space="preserve">SEGUNDO. </w:t>
      </w:r>
      <w:r w:rsidRPr="00190A09">
        <w:rPr>
          <w:rFonts w:ascii="Palatino Linotype" w:eastAsia="Palatino Linotype" w:hAnsi="Palatino Linotype" w:cs="Palatino Linotype"/>
          <w:color w:val="000000"/>
        </w:rPr>
        <w:t xml:space="preserve">Se </w:t>
      </w:r>
      <w:r w:rsidRPr="00190A09">
        <w:rPr>
          <w:rFonts w:ascii="Palatino Linotype" w:eastAsia="Palatino Linotype" w:hAnsi="Palatino Linotype" w:cs="Palatino Linotype"/>
          <w:b/>
          <w:color w:val="000000"/>
        </w:rPr>
        <w:t xml:space="preserve">MODIFICA </w:t>
      </w:r>
      <w:r w:rsidR="00496BBE" w:rsidRPr="00190A09">
        <w:rPr>
          <w:rFonts w:ascii="Palatino Linotype" w:eastAsia="Palatino Linotype" w:hAnsi="Palatino Linotype" w:cs="Palatino Linotype"/>
          <w:color w:val="000000"/>
        </w:rPr>
        <w:t>la respuesta emitida por la</w:t>
      </w:r>
      <w:r w:rsidRPr="00190A09">
        <w:rPr>
          <w:rFonts w:ascii="Palatino Linotype" w:eastAsia="Palatino Linotype" w:hAnsi="Palatino Linotype" w:cs="Palatino Linotype"/>
          <w:color w:val="000000"/>
        </w:rPr>
        <w:t xml:space="preserve"> </w:t>
      </w:r>
      <w:r w:rsidRPr="00190A09">
        <w:rPr>
          <w:rFonts w:ascii="Palatino Linotype" w:eastAsia="Palatino Linotype" w:hAnsi="Palatino Linotype" w:cs="Palatino Linotype"/>
          <w:b/>
          <w:color w:val="000000"/>
        </w:rPr>
        <w:t xml:space="preserve">Secretaría de Movilidad </w:t>
      </w:r>
      <w:r w:rsidR="00D704CC" w:rsidRPr="00190A09">
        <w:rPr>
          <w:rFonts w:ascii="Palatino Linotype" w:eastAsia="Palatino Linotype" w:hAnsi="Palatino Linotype" w:cs="Palatino Linotype"/>
          <w:color w:val="000000"/>
        </w:rPr>
        <w:t xml:space="preserve">y se </w:t>
      </w:r>
      <w:r w:rsidR="00D704CC" w:rsidRPr="00190A09">
        <w:rPr>
          <w:rFonts w:ascii="Palatino Linotype" w:eastAsia="Palatino Linotype" w:hAnsi="Palatino Linotype" w:cs="Palatino Linotype"/>
          <w:b/>
          <w:color w:val="000000"/>
        </w:rPr>
        <w:t>ORDENA</w:t>
      </w:r>
      <w:r w:rsidR="00D704CC" w:rsidRPr="00190A09">
        <w:rPr>
          <w:rFonts w:ascii="Palatino Linotype" w:eastAsia="Palatino Linotype" w:hAnsi="Palatino Linotype" w:cs="Palatino Linotype"/>
          <w:color w:val="000000"/>
        </w:rPr>
        <w:t xml:space="preserve"> entregar vía Sistema de Acceso a la Información Mexiquense </w:t>
      </w:r>
      <w:r w:rsidR="00D704CC" w:rsidRPr="00190A09">
        <w:rPr>
          <w:rFonts w:ascii="Palatino Linotype" w:eastAsia="Palatino Linotype" w:hAnsi="Palatino Linotype" w:cs="Palatino Linotype"/>
          <w:b/>
          <w:color w:val="000000"/>
        </w:rPr>
        <w:t>(SAIMEX)</w:t>
      </w:r>
      <w:r w:rsidR="00D704CC" w:rsidRPr="00190A09">
        <w:rPr>
          <w:rFonts w:ascii="Palatino Linotype" w:eastAsia="Palatino Linotype" w:hAnsi="Palatino Linotype" w:cs="Palatino Linotype"/>
          <w:color w:val="000000"/>
        </w:rPr>
        <w:t>, la siguiente información, en versión pública</w:t>
      </w:r>
      <w:r w:rsidR="00D704CC" w:rsidRPr="00190A09">
        <w:rPr>
          <w:rFonts w:ascii="Palatino Linotype" w:eastAsia="Palatino Linotype" w:hAnsi="Palatino Linotype" w:cs="Palatino Linotype"/>
        </w:rPr>
        <w:t>.</w:t>
      </w:r>
    </w:p>
    <w:p w:rsidR="00C073EB" w:rsidRPr="00190A09" w:rsidRDefault="00C073EB" w:rsidP="00D704CC">
      <w:pPr>
        <w:spacing w:line="360" w:lineRule="auto"/>
        <w:jc w:val="both"/>
        <w:rPr>
          <w:rFonts w:ascii="Palatino Linotype" w:eastAsia="Palatino Linotype" w:hAnsi="Palatino Linotype" w:cs="Palatino Linotype"/>
          <w:b/>
          <w:color w:val="000000"/>
        </w:rPr>
      </w:pPr>
    </w:p>
    <w:p w:rsidR="00C073EB" w:rsidRPr="00190A09" w:rsidRDefault="000147CB" w:rsidP="00C073EB">
      <w:pPr>
        <w:numPr>
          <w:ilvl w:val="0"/>
          <w:numId w:val="7"/>
        </w:numPr>
        <w:pBdr>
          <w:top w:val="nil"/>
          <w:left w:val="nil"/>
          <w:bottom w:val="nil"/>
          <w:right w:val="nil"/>
          <w:between w:val="nil"/>
        </w:pBdr>
        <w:spacing w:line="360" w:lineRule="auto"/>
        <w:ind w:left="1134" w:right="333" w:firstLine="0"/>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Oficios de la Dirección General del Registro Estatal de Transporte Público, de la Dirección de Movilidad Zona IV, de la Dirección General de Vialidad  y de la Dirección General de Transporte Público mexiquense de marzo dos mil veinticuatro a febrero de dos mil veinticinco; </w:t>
      </w:r>
    </w:p>
    <w:p w:rsidR="000147CB" w:rsidRPr="00190A09" w:rsidRDefault="000147CB" w:rsidP="000147CB">
      <w:pPr>
        <w:pBdr>
          <w:top w:val="nil"/>
          <w:left w:val="nil"/>
          <w:bottom w:val="nil"/>
          <w:right w:val="nil"/>
          <w:between w:val="nil"/>
        </w:pBdr>
        <w:spacing w:line="360" w:lineRule="auto"/>
        <w:ind w:left="1134" w:right="333"/>
        <w:jc w:val="both"/>
        <w:rPr>
          <w:rFonts w:ascii="Palatino Linotype" w:eastAsia="Palatino Linotype" w:hAnsi="Palatino Linotype" w:cs="Palatino Linotype"/>
          <w:b/>
          <w:i/>
          <w:color w:val="000000"/>
        </w:rPr>
      </w:pPr>
    </w:p>
    <w:p w:rsidR="000147CB" w:rsidRPr="00190A09" w:rsidRDefault="000147CB" w:rsidP="00C073EB">
      <w:pPr>
        <w:numPr>
          <w:ilvl w:val="0"/>
          <w:numId w:val="7"/>
        </w:numPr>
        <w:pBdr>
          <w:top w:val="nil"/>
          <w:left w:val="nil"/>
          <w:bottom w:val="nil"/>
          <w:right w:val="nil"/>
          <w:between w:val="nil"/>
        </w:pBdr>
        <w:spacing w:line="360" w:lineRule="auto"/>
        <w:ind w:left="1134" w:right="333" w:firstLine="0"/>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lastRenderedPageBreak/>
        <w:t>Oficios remitidos en respuesta a la solicitud de información</w:t>
      </w:r>
      <w:r w:rsidR="003F1763" w:rsidRPr="00190A09">
        <w:rPr>
          <w:rFonts w:ascii="Palatino Linotype" w:eastAsia="Palatino Linotype" w:hAnsi="Palatino Linotype" w:cs="Palatino Linotype"/>
          <w:b/>
          <w:i/>
          <w:color w:val="000000"/>
        </w:rPr>
        <w:t xml:space="preserve"> </w:t>
      </w:r>
      <w:r w:rsidR="003F1763" w:rsidRPr="00190A09">
        <w:rPr>
          <w:rFonts w:ascii="Palatino Linotype" w:eastAsia="Palatino Linotype" w:hAnsi="Palatino Linotype" w:cs="Palatino Linotype"/>
          <w:b/>
          <w:bCs/>
          <w:i/>
          <w:color w:val="000000"/>
        </w:rPr>
        <w:t xml:space="preserve">00179/SMOV/IP/2025 por la Dirección General de Movilidad Zona I, II y III; </w:t>
      </w:r>
      <w:r w:rsidR="00533C45" w:rsidRPr="00190A09">
        <w:rPr>
          <w:rFonts w:ascii="Palatino Linotype" w:eastAsia="Palatino Linotype" w:hAnsi="Palatino Linotype" w:cs="Palatino Linotype"/>
          <w:b/>
          <w:bCs/>
          <w:i/>
          <w:color w:val="000000"/>
        </w:rPr>
        <w:t xml:space="preserve">en correcta versión pública; </w:t>
      </w:r>
    </w:p>
    <w:p w:rsidR="003F1763" w:rsidRPr="00190A09" w:rsidRDefault="003F1763" w:rsidP="003F1763">
      <w:pPr>
        <w:pStyle w:val="Prrafodelista"/>
        <w:rPr>
          <w:rFonts w:ascii="Palatino Linotype" w:eastAsia="Palatino Linotype" w:hAnsi="Palatino Linotype" w:cs="Palatino Linotype"/>
          <w:b/>
          <w:i/>
          <w:color w:val="000000"/>
        </w:rPr>
      </w:pPr>
    </w:p>
    <w:p w:rsidR="003F1763" w:rsidRPr="00190A09" w:rsidRDefault="00104943" w:rsidP="00C073EB">
      <w:pPr>
        <w:numPr>
          <w:ilvl w:val="0"/>
          <w:numId w:val="7"/>
        </w:numPr>
        <w:pBdr>
          <w:top w:val="nil"/>
          <w:left w:val="nil"/>
          <w:bottom w:val="nil"/>
          <w:right w:val="nil"/>
          <w:between w:val="nil"/>
        </w:pBdr>
        <w:spacing w:line="360" w:lineRule="auto"/>
        <w:ind w:left="1134" w:right="333" w:firstLine="0"/>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Oficios faltantes de la Dirección General de Movilidad Zona I y II, al veintiocho de febrero de dos mil veinticinco; </w:t>
      </w:r>
    </w:p>
    <w:p w:rsidR="00104943" w:rsidRPr="00190A09" w:rsidRDefault="00104943" w:rsidP="00104943">
      <w:pPr>
        <w:pStyle w:val="Prrafodelista"/>
        <w:rPr>
          <w:rFonts w:ascii="Palatino Linotype" w:eastAsia="Palatino Linotype" w:hAnsi="Palatino Linotype" w:cs="Palatino Linotype"/>
          <w:b/>
          <w:i/>
          <w:color w:val="000000"/>
        </w:rPr>
      </w:pPr>
    </w:p>
    <w:p w:rsidR="00104943" w:rsidRPr="00190A09" w:rsidRDefault="00104943" w:rsidP="00C073EB">
      <w:pPr>
        <w:numPr>
          <w:ilvl w:val="0"/>
          <w:numId w:val="7"/>
        </w:numPr>
        <w:pBdr>
          <w:top w:val="nil"/>
          <w:left w:val="nil"/>
          <w:bottom w:val="nil"/>
          <w:right w:val="nil"/>
          <w:between w:val="nil"/>
        </w:pBdr>
        <w:spacing w:line="360" w:lineRule="auto"/>
        <w:ind w:left="1134" w:right="333" w:firstLine="0"/>
        <w:jc w:val="both"/>
        <w:rPr>
          <w:rFonts w:ascii="Palatino Linotype" w:eastAsia="Palatino Linotype" w:hAnsi="Palatino Linotype" w:cs="Palatino Linotype"/>
          <w:b/>
          <w:i/>
          <w:color w:val="000000"/>
        </w:rPr>
      </w:pPr>
      <w:r w:rsidRPr="00190A09">
        <w:rPr>
          <w:rFonts w:ascii="Palatino Linotype" w:eastAsia="Palatino Linotype" w:hAnsi="Palatino Linotype" w:cs="Palatino Linotype"/>
          <w:b/>
          <w:i/>
          <w:color w:val="000000"/>
        </w:rPr>
        <w:t xml:space="preserve">Oficios faltantes de la Dirección General de Movilidad Zona III de marzo a diciembre de dos mil veinticuatro y de febrero dos mil veinticinco. </w:t>
      </w:r>
    </w:p>
    <w:p w:rsidR="00C073EB" w:rsidRPr="00190A09" w:rsidRDefault="00C073EB" w:rsidP="00C073EB">
      <w:pPr>
        <w:pBdr>
          <w:top w:val="nil"/>
          <w:left w:val="nil"/>
          <w:bottom w:val="nil"/>
          <w:right w:val="nil"/>
          <w:between w:val="nil"/>
        </w:pBdr>
        <w:spacing w:line="360" w:lineRule="auto"/>
        <w:jc w:val="both"/>
        <w:rPr>
          <w:rFonts w:ascii="Palatino Linotype" w:eastAsia="Palatino Linotype" w:hAnsi="Palatino Linotype" w:cs="Palatino Linotype"/>
          <w:b/>
        </w:rPr>
      </w:pP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190A09">
        <w:rPr>
          <w:rFonts w:ascii="Palatino Linotype" w:eastAsia="Palatino Linotype" w:hAnsi="Palatino Linotype" w:cs="Palatino Linotype"/>
          <w:b/>
        </w:rPr>
        <w:t>RECURRENTE</w:t>
      </w:r>
      <w:r w:rsidRPr="00190A09">
        <w:rPr>
          <w:rFonts w:ascii="Palatino Linotype" w:eastAsia="Palatino Linotype" w:hAnsi="Palatino Linotype" w:cs="Palatino Linotype"/>
        </w:rPr>
        <w:t>.</w:t>
      </w: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r w:rsidRPr="00190A09">
        <w:rPr>
          <w:rFonts w:ascii="Palatino Linotype" w:eastAsia="Palatino Linotype" w:hAnsi="Palatino Linotype" w:cs="Palatino Linotype"/>
        </w:rPr>
        <w:t xml:space="preserve">De ser el caso que de los oficios faltantes no se hubieran generado o cancelado folios el </w:t>
      </w:r>
      <w:r w:rsidRPr="00190A09">
        <w:rPr>
          <w:rFonts w:ascii="Palatino Linotype" w:eastAsia="Palatino Linotype" w:hAnsi="Palatino Linotype" w:cs="Palatino Linotype"/>
          <w:b/>
        </w:rPr>
        <w:t xml:space="preserve">SUJETO OBLIGADO </w:t>
      </w:r>
      <w:r w:rsidRPr="00190A09">
        <w:rPr>
          <w:rFonts w:ascii="Palatino Linotype" w:eastAsia="Palatino Linotype" w:hAnsi="Palatino Linotype" w:cs="Palatino Linotype"/>
        </w:rPr>
        <w:t xml:space="preserve">deberá de hacerlo del conocimiento del </w:t>
      </w:r>
      <w:r w:rsidRPr="00190A09">
        <w:rPr>
          <w:rFonts w:ascii="Palatino Linotype" w:eastAsia="Palatino Linotype" w:hAnsi="Palatino Linotype" w:cs="Palatino Linotype"/>
          <w:b/>
        </w:rPr>
        <w:t xml:space="preserve">RECURRENTE </w:t>
      </w:r>
      <w:r w:rsidRPr="00190A09">
        <w:rPr>
          <w:rFonts w:ascii="Palatino Linotype" w:eastAsia="Palatino Linotype" w:hAnsi="Palatino Linotype" w:cs="Palatino Linotype"/>
        </w:rPr>
        <w:t xml:space="preserve">de acuerdo con el artículo 19 párrafo segundo de la Ley de Transparencia y Acceso a la Información Pública del Estado de México y Municipios. </w:t>
      </w: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bookmarkStart w:id="18" w:name="_heading=h.fksdwvm9d641" w:colFirst="0" w:colLast="0"/>
      <w:bookmarkStart w:id="19" w:name="_heading=h.44sinio" w:colFirst="0" w:colLast="0"/>
      <w:bookmarkEnd w:id="18"/>
      <w:bookmarkEnd w:id="19"/>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r w:rsidRPr="00190A09">
        <w:rPr>
          <w:rFonts w:ascii="Palatino Linotype" w:eastAsia="Palatino Linotype" w:hAnsi="Palatino Linotype" w:cs="Palatino Linotype"/>
          <w:b/>
        </w:rPr>
        <w:t xml:space="preserve">TERCERO. </w:t>
      </w:r>
      <w:r w:rsidRPr="00190A09">
        <w:rPr>
          <w:rFonts w:ascii="Palatino Linotype" w:eastAsia="Palatino Linotype" w:hAnsi="Palatino Linotype" w:cs="Palatino Linotype"/>
          <w:b/>
          <w:color w:val="222222"/>
        </w:rPr>
        <w:t>NOTIFÍQUESE</w:t>
      </w:r>
      <w:r w:rsidRPr="00190A09">
        <w:rPr>
          <w:rFonts w:ascii="Palatino Linotype" w:eastAsia="Palatino Linotype" w:hAnsi="Palatino Linotype" w:cs="Palatino Linotype"/>
          <w:color w:val="222222"/>
        </w:rPr>
        <w:t xml:space="preserve"> </w:t>
      </w:r>
      <w:r w:rsidRPr="00190A09">
        <w:rPr>
          <w:rFonts w:ascii="Palatino Linotype" w:eastAsia="Palatino Linotype" w:hAnsi="Palatino Linotype" w:cs="Palatino Linotype"/>
          <w:b/>
          <w:color w:val="222222"/>
        </w:rPr>
        <w:t>vía SAIMEX</w:t>
      </w:r>
      <w:r w:rsidRPr="00190A09">
        <w:rPr>
          <w:rFonts w:ascii="Palatino Linotype" w:eastAsia="Palatino Linotype" w:hAnsi="Palatino Linotype" w:cs="Palatino Linotype"/>
          <w:color w:val="222222"/>
        </w:rPr>
        <w:t xml:space="preserve"> la presente resolución al Titular de la Unidad de Transparencia del Sujeto Obligado, para que conforme al artículo 186 último párrafo, 189 segundo párrafo y 194 de la Ley de Transparencia y Acceso a la Información Pública del </w:t>
      </w:r>
      <w:r w:rsidRPr="00190A09">
        <w:rPr>
          <w:rFonts w:ascii="Palatino Linotype" w:eastAsia="Palatino Linotype" w:hAnsi="Palatino Linotype" w:cs="Palatino Linotype"/>
          <w:color w:val="222222"/>
        </w:rPr>
        <w:lastRenderedPageBreak/>
        <w:t xml:space="preserve">Estado de México y Municipios; </w:t>
      </w:r>
      <w:r w:rsidRPr="00190A09">
        <w:rPr>
          <w:rFonts w:ascii="Palatino Linotype" w:eastAsia="Palatino Linotype" w:hAnsi="Palatino Linotype" w:cs="Palatino Linotype"/>
          <w:b/>
          <w:color w:val="222222"/>
        </w:rPr>
        <w:t>dé cumplimiento a lo ordenado dentro del plazo de diez días hábiles</w:t>
      </w:r>
      <w:r w:rsidRPr="00190A09">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190A09">
        <w:rPr>
          <w:rFonts w:ascii="Palatino Linotype" w:eastAsia="Palatino Linotype" w:hAnsi="Palatino Linotype" w:cs="Palatino Linotype"/>
        </w:rPr>
        <w:t>.</w:t>
      </w: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b/>
        </w:rPr>
        <w:t xml:space="preserve">CUARTO. </w:t>
      </w:r>
      <w:r w:rsidRPr="00190A0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190A09">
        <w:rPr>
          <w:rFonts w:ascii="Palatino Linotype" w:eastAsia="Palatino Linotype" w:hAnsi="Palatino Linotype" w:cs="Palatino Linotype"/>
          <w:b/>
        </w:rPr>
        <w:t>SUJETO OBLIGADO</w:t>
      </w:r>
      <w:r w:rsidRPr="00190A09">
        <w:rPr>
          <w:rFonts w:ascii="Palatino Linotype" w:eastAsia="Palatino Linotype" w:hAnsi="Palatino Linotype" w:cs="Palatino Linotype"/>
        </w:rPr>
        <w:t xml:space="preserve"> de manera fundada y motivada, podrá solicitar una ampliación de plazo para el cumplimiento de la presente resolución.</w:t>
      </w: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bookmarkStart w:id="20" w:name="_heading=h.2jxsxqh" w:colFirst="0" w:colLast="0"/>
      <w:bookmarkEnd w:id="20"/>
      <w:r w:rsidRPr="00190A09">
        <w:rPr>
          <w:rFonts w:ascii="Palatino Linotype" w:eastAsia="Palatino Linotype" w:hAnsi="Palatino Linotype" w:cs="Palatino Linotype"/>
          <w:b/>
        </w:rPr>
        <w:t xml:space="preserve">QUINTO. </w:t>
      </w:r>
      <w:r w:rsidRPr="00190A09">
        <w:rPr>
          <w:rFonts w:ascii="Palatino Linotype" w:eastAsia="Palatino Linotype" w:hAnsi="Palatino Linotype" w:cs="Palatino Linotype"/>
        </w:rPr>
        <w:t xml:space="preserve">Notifíquese a </w:t>
      </w:r>
      <w:r w:rsidRPr="00190A09">
        <w:rPr>
          <w:rFonts w:ascii="Palatino Linotype" w:eastAsia="Palatino Linotype" w:hAnsi="Palatino Linotype" w:cs="Palatino Linotype"/>
          <w:b/>
        </w:rPr>
        <w:t>EL RECURRENTE</w:t>
      </w:r>
      <w:r w:rsidRPr="00190A09">
        <w:rPr>
          <w:rFonts w:ascii="Palatino Linotype" w:eastAsia="Palatino Linotype" w:hAnsi="Palatino Linotype" w:cs="Palatino Linotype"/>
        </w:rPr>
        <w:t xml:space="preserve"> la presente resolución, vía SAIMEX.</w:t>
      </w:r>
    </w:p>
    <w:p w:rsidR="00C073EB" w:rsidRPr="00190A09" w:rsidRDefault="00C073EB" w:rsidP="00C073EB">
      <w:pPr>
        <w:tabs>
          <w:tab w:val="left" w:pos="8080"/>
        </w:tabs>
        <w:spacing w:line="360" w:lineRule="auto"/>
        <w:ind w:right="49"/>
        <w:jc w:val="both"/>
        <w:rPr>
          <w:rFonts w:ascii="Palatino Linotype" w:eastAsia="Palatino Linotype" w:hAnsi="Palatino Linotype" w:cs="Palatino Linotype"/>
        </w:rPr>
      </w:pPr>
    </w:p>
    <w:p w:rsidR="00C073EB" w:rsidRPr="00190A09" w:rsidRDefault="00C073EB" w:rsidP="00C073EB">
      <w:pPr>
        <w:shd w:val="clear" w:color="auto" w:fill="FFFFFF"/>
        <w:spacing w:line="360" w:lineRule="auto"/>
        <w:jc w:val="both"/>
        <w:rPr>
          <w:rFonts w:ascii="Palatino Linotype" w:eastAsia="Palatino Linotype" w:hAnsi="Palatino Linotype" w:cs="Palatino Linotype"/>
        </w:rPr>
      </w:pPr>
      <w:r w:rsidRPr="00190A09">
        <w:rPr>
          <w:rFonts w:ascii="Palatino Linotype" w:eastAsia="Palatino Linotype" w:hAnsi="Palatino Linotype" w:cs="Palatino Linotype"/>
          <w:b/>
        </w:rPr>
        <w:t xml:space="preserve">SEXTO. </w:t>
      </w:r>
      <w:r w:rsidRPr="00190A09">
        <w:rPr>
          <w:rFonts w:ascii="Palatino Linotype" w:eastAsia="Palatino Linotype" w:hAnsi="Palatino Linotype" w:cs="Palatino Linotype"/>
        </w:rPr>
        <w:t xml:space="preserve">Se hace del conocimiento de </w:t>
      </w:r>
      <w:r w:rsidRPr="00190A09">
        <w:rPr>
          <w:rFonts w:ascii="Palatino Linotype" w:eastAsia="Palatino Linotype" w:hAnsi="Palatino Linotype" w:cs="Palatino Linotype"/>
          <w:b/>
        </w:rPr>
        <w:t>EL RECURRENTE</w:t>
      </w:r>
      <w:r w:rsidRPr="00190A0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C073EB" w:rsidRPr="00190A09" w:rsidRDefault="00C073EB" w:rsidP="00C073EB">
      <w:pPr>
        <w:spacing w:line="360" w:lineRule="auto"/>
        <w:ind w:right="-787"/>
        <w:jc w:val="both"/>
        <w:rPr>
          <w:rFonts w:ascii="Palatino Linotype" w:eastAsia="Palatino Linotype" w:hAnsi="Palatino Linotype" w:cs="Palatino Linotype"/>
        </w:rPr>
      </w:pPr>
    </w:p>
    <w:p w:rsidR="00C073EB" w:rsidRPr="00190A09" w:rsidRDefault="00C073EB" w:rsidP="00C073EB">
      <w:pPr>
        <w:shd w:val="clear" w:color="auto" w:fill="FFFFFF"/>
        <w:spacing w:line="360" w:lineRule="auto"/>
        <w:jc w:val="both"/>
        <w:rPr>
          <w:rFonts w:ascii="Palatino Linotype" w:hAnsi="Palatino Linotype" w:cs="Tahoma"/>
          <w:bCs/>
        </w:rPr>
      </w:pPr>
      <w:r w:rsidRPr="00190A09">
        <w:rPr>
          <w:rFonts w:ascii="Palatino Linotype" w:eastAsiaTheme="minorHAnsi" w:hAnsi="Palatino Linotype" w:cs="Tahoma"/>
          <w:b/>
          <w:bCs/>
          <w:iCs/>
          <w:color w:val="000000" w:themeColor="text1"/>
          <w:lang w:val="es-ES" w:eastAsia="en-US"/>
        </w:rPr>
        <w:t>SÉPTIMO.</w:t>
      </w:r>
      <w:r w:rsidRPr="00190A09">
        <w:rPr>
          <w:rFonts w:ascii="Palatino Linotype" w:eastAsiaTheme="minorHAnsi" w:hAnsi="Palatino Linotype" w:cs="Tahoma"/>
          <w:bCs/>
          <w:iCs/>
          <w:color w:val="000000" w:themeColor="text1"/>
          <w:lang w:val="es-ES" w:eastAsia="en-US"/>
        </w:rPr>
        <w:t xml:space="preserve"> </w:t>
      </w:r>
      <w:r w:rsidRPr="00190A09">
        <w:rPr>
          <w:rFonts w:ascii="Palatino Linotype" w:hAnsi="Palatino Linotype" w:cs="Tahoma"/>
          <w:bCs/>
        </w:rPr>
        <w:t xml:space="preserve">Con </w:t>
      </w:r>
      <w:r w:rsidRPr="00190A09">
        <w:rPr>
          <w:rFonts w:ascii="Palatino Linotype" w:eastAsia="Palatino Linotype" w:hAnsi="Palatino Linotype" w:cs="Palatino Linotype"/>
        </w:rPr>
        <w:t>fundamento</w:t>
      </w:r>
      <w:r w:rsidRPr="00190A09">
        <w:rPr>
          <w:rFonts w:ascii="Palatino Linotype" w:hAnsi="Palatino Linotype" w:cs="Tahoma"/>
          <w:bCs/>
        </w:rPr>
        <w:t xml:space="preserve"> en lo dispuesto en los artículos 14, fracción XXVI y 24, fracciones XI, XII y XIII del Reglamento Interior del Instituto de Transparencia, Acceso a la Información Pública y Protección de Datos Personales del Estado de México y Municipios, </w:t>
      </w:r>
      <w:r w:rsidRPr="00190A09">
        <w:rPr>
          <w:rFonts w:ascii="Palatino Linotype" w:hAnsi="Palatino Linotype" w:cs="Tahoma"/>
          <w:bCs/>
        </w:rPr>
        <w:lastRenderedPageBreak/>
        <w:t xml:space="preserve">gírese oficio a la Dirección General de Protección de Datos Personales de este Instituto, en términos de lo dispuesto en el Considerando </w:t>
      </w:r>
      <w:r w:rsidRPr="00190A09">
        <w:rPr>
          <w:rFonts w:ascii="Palatino Linotype" w:hAnsi="Palatino Linotype" w:cs="Tahoma"/>
          <w:b/>
          <w:bCs/>
        </w:rPr>
        <w:t xml:space="preserve">QUINTO </w:t>
      </w:r>
      <w:r w:rsidRPr="00190A09">
        <w:rPr>
          <w:rFonts w:ascii="Palatino Linotype" w:hAnsi="Palatino Linotype" w:cs="Tahoma"/>
          <w:bCs/>
        </w:rPr>
        <w:t>de la presente Resolución.</w:t>
      </w:r>
    </w:p>
    <w:p w:rsidR="00C073EB" w:rsidRPr="00190A09" w:rsidRDefault="00C073EB" w:rsidP="00C073EB">
      <w:pPr>
        <w:shd w:val="clear" w:color="auto" w:fill="FFFFFF"/>
        <w:spacing w:line="360" w:lineRule="auto"/>
        <w:jc w:val="both"/>
        <w:rPr>
          <w:rFonts w:ascii="Palatino Linotype" w:eastAsia="Palatino Linotype" w:hAnsi="Palatino Linotype" w:cs="Palatino Linotype"/>
        </w:rPr>
      </w:pPr>
    </w:p>
    <w:p w:rsidR="00496BBE" w:rsidRPr="00190A09" w:rsidRDefault="00496BBE" w:rsidP="00496BBE">
      <w:pPr>
        <w:spacing w:before="240" w:after="240" w:line="360" w:lineRule="auto"/>
        <w:ind w:firstLine="1"/>
        <w:jc w:val="both"/>
        <w:rPr>
          <w:rFonts w:ascii="Palatino Linotype" w:hAnsi="Palatino Linotype"/>
        </w:rPr>
      </w:pPr>
      <w:bookmarkStart w:id="21" w:name="_Hlk99014733"/>
      <w:r w:rsidRPr="00190A0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90A09">
        <w:rPr>
          <w:rFonts w:ascii="Palatino Linotype" w:hAnsi="Palatino Linotype" w:cs="Palatino Linotype"/>
          <w:color w:val="000000" w:themeColor="text1"/>
        </w:rPr>
        <w:t>ALEXIS TAPIA RAMÍREZ.</w:t>
      </w:r>
    </w:p>
    <w:bookmarkEnd w:id="21"/>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spacing w:line="360" w:lineRule="auto"/>
        <w:jc w:val="both"/>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r w:rsidRPr="00190A09">
        <w:rPr>
          <w:rFonts w:ascii="Palatino Linotype" w:eastAsia="Palatino Linotype" w:hAnsi="Palatino Linotype" w:cs="Palatino Linotype"/>
        </w:rPr>
        <w:tab/>
      </w: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tabs>
          <w:tab w:val="left" w:pos="3374"/>
        </w:tabs>
        <w:spacing w:line="360" w:lineRule="auto"/>
        <w:rPr>
          <w:rFonts w:ascii="Palatino Linotype" w:eastAsia="Palatino Linotype" w:hAnsi="Palatino Linotype" w:cs="Palatino Linotype"/>
        </w:rPr>
      </w:pPr>
    </w:p>
    <w:p w:rsidR="00C073EB" w:rsidRPr="00190A09" w:rsidRDefault="00C073EB" w:rsidP="00C073EB">
      <w:pPr>
        <w:rPr>
          <w:rFonts w:ascii="Palatino Linotype" w:hAnsi="Palatino Linotype"/>
        </w:rPr>
      </w:pPr>
    </w:p>
    <w:p w:rsidR="00C073EB" w:rsidRPr="00190A09" w:rsidRDefault="00C073EB" w:rsidP="00C073EB">
      <w:pPr>
        <w:rPr>
          <w:rFonts w:ascii="Palatino Linotype" w:hAnsi="Palatino Linotype"/>
        </w:rPr>
      </w:pPr>
      <w:r w:rsidRPr="00190A09">
        <w:rPr>
          <w:rFonts w:ascii="Palatino Linotype" w:hAnsi="Palatino Linotype"/>
        </w:rPr>
        <w:t xml:space="preserve">  </w:t>
      </w:r>
    </w:p>
    <w:p w:rsidR="00C073EB" w:rsidRPr="00190A09" w:rsidRDefault="00C073EB" w:rsidP="00C073EB">
      <w:pPr>
        <w:rPr>
          <w:rFonts w:ascii="Palatino Linotype" w:hAnsi="Palatino Linotype"/>
        </w:rPr>
      </w:pPr>
    </w:p>
    <w:p w:rsidR="00C073EB" w:rsidRPr="00190A09" w:rsidRDefault="00C073EB" w:rsidP="00C073EB">
      <w:pPr>
        <w:rPr>
          <w:rFonts w:ascii="Palatino Linotype" w:hAnsi="Palatino Linotype"/>
        </w:rPr>
      </w:pPr>
    </w:p>
    <w:p w:rsidR="00C073EB" w:rsidRPr="00190A09" w:rsidRDefault="00C073EB" w:rsidP="00C073EB"/>
    <w:p w:rsidR="00C073EB" w:rsidRPr="00190A09" w:rsidRDefault="00C073EB" w:rsidP="00C073EB"/>
    <w:p w:rsidR="002601EA" w:rsidRPr="00190A09" w:rsidRDefault="002601EA"/>
    <w:p w:rsidR="00A45CC2" w:rsidRPr="00190A09" w:rsidRDefault="00A45CC2"/>
    <w:sectPr w:rsidR="00A45CC2" w:rsidRPr="00190A09" w:rsidSect="00190A09">
      <w:headerReference w:type="even" r:id="rId20"/>
      <w:headerReference w:type="default" r:id="rId21"/>
      <w:footerReference w:type="default" r:id="rId22"/>
      <w:headerReference w:type="first" r:id="rId23"/>
      <w:footerReference w:type="first" r:id="rId24"/>
      <w:pgSz w:w="12240" w:h="15840"/>
      <w:pgMar w:top="2268"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2E4" w:rsidRDefault="00CF72E4" w:rsidP="00C073EB">
      <w:r>
        <w:separator/>
      </w:r>
    </w:p>
  </w:endnote>
  <w:endnote w:type="continuationSeparator" w:id="0">
    <w:p w:rsidR="00CF72E4" w:rsidRDefault="00CF72E4" w:rsidP="00C0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AE" w:rsidRPr="00190A09" w:rsidRDefault="00A929AE">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90A09">
      <w:rPr>
        <w:rFonts w:ascii="Palatino Linotype" w:eastAsia="Palatino Linotype" w:hAnsi="Palatino Linotype" w:cs="Palatino Linotype"/>
        <w:b/>
        <w:color w:val="000000"/>
        <w:sz w:val="22"/>
        <w:szCs w:val="20"/>
      </w:rPr>
      <w:t xml:space="preserve">Página </w:t>
    </w:r>
    <w:r w:rsidRPr="00190A09">
      <w:rPr>
        <w:rFonts w:ascii="Palatino Linotype" w:eastAsia="Palatino Linotype" w:hAnsi="Palatino Linotype" w:cs="Palatino Linotype"/>
        <w:b/>
        <w:color w:val="000000"/>
        <w:sz w:val="22"/>
        <w:szCs w:val="20"/>
      </w:rPr>
      <w:fldChar w:fldCharType="begin"/>
    </w:r>
    <w:r w:rsidRPr="00190A09">
      <w:rPr>
        <w:rFonts w:ascii="Palatino Linotype" w:eastAsia="Palatino Linotype" w:hAnsi="Palatino Linotype" w:cs="Palatino Linotype"/>
        <w:b/>
        <w:color w:val="000000"/>
        <w:sz w:val="22"/>
        <w:szCs w:val="20"/>
      </w:rPr>
      <w:instrText>PAGE</w:instrText>
    </w:r>
    <w:r w:rsidRPr="00190A09">
      <w:rPr>
        <w:rFonts w:ascii="Palatino Linotype" w:eastAsia="Palatino Linotype" w:hAnsi="Palatino Linotype" w:cs="Palatino Linotype"/>
        <w:b/>
        <w:color w:val="000000"/>
        <w:sz w:val="22"/>
        <w:szCs w:val="20"/>
      </w:rPr>
      <w:fldChar w:fldCharType="separate"/>
    </w:r>
    <w:r w:rsidR="00190A09">
      <w:rPr>
        <w:rFonts w:ascii="Palatino Linotype" w:eastAsia="Palatino Linotype" w:hAnsi="Palatino Linotype" w:cs="Palatino Linotype"/>
        <w:b/>
        <w:noProof/>
        <w:color w:val="000000"/>
        <w:sz w:val="22"/>
        <w:szCs w:val="20"/>
      </w:rPr>
      <w:t>21</w:t>
    </w:r>
    <w:r w:rsidRPr="00190A09">
      <w:rPr>
        <w:rFonts w:ascii="Palatino Linotype" w:eastAsia="Palatino Linotype" w:hAnsi="Palatino Linotype" w:cs="Palatino Linotype"/>
        <w:b/>
        <w:color w:val="000000"/>
        <w:sz w:val="22"/>
        <w:szCs w:val="20"/>
      </w:rPr>
      <w:fldChar w:fldCharType="end"/>
    </w:r>
    <w:r w:rsidRPr="00190A09">
      <w:rPr>
        <w:rFonts w:ascii="Palatino Linotype" w:eastAsia="Palatino Linotype" w:hAnsi="Palatino Linotype" w:cs="Palatino Linotype"/>
        <w:b/>
        <w:color w:val="000000"/>
        <w:sz w:val="22"/>
        <w:szCs w:val="20"/>
      </w:rPr>
      <w:t xml:space="preserve"> de </w:t>
    </w:r>
    <w:r w:rsidRPr="00190A09">
      <w:rPr>
        <w:rFonts w:ascii="Palatino Linotype" w:eastAsia="Palatino Linotype" w:hAnsi="Palatino Linotype" w:cs="Palatino Linotype"/>
        <w:b/>
        <w:color w:val="000000"/>
        <w:sz w:val="22"/>
        <w:szCs w:val="20"/>
      </w:rPr>
      <w:fldChar w:fldCharType="begin"/>
    </w:r>
    <w:r w:rsidRPr="00190A09">
      <w:rPr>
        <w:rFonts w:ascii="Palatino Linotype" w:eastAsia="Palatino Linotype" w:hAnsi="Palatino Linotype" w:cs="Palatino Linotype"/>
        <w:b/>
        <w:color w:val="000000"/>
        <w:sz w:val="22"/>
        <w:szCs w:val="20"/>
      </w:rPr>
      <w:instrText>NUMPAGES</w:instrText>
    </w:r>
    <w:r w:rsidRPr="00190A09">
      <w:rPr>
        <w:rFonts w:ascii="Palatino Linotype" w:eastAsia="Palatino Linotype" w:hAnsi="Palatino Linotype" w:cs="Palatino Linotype"/>
        <w:b/>
        <w:color w:val="000000"/>
        <w:sz w:val="22"/>
        <w:szCs w:val="20"/>
      </w:rPr>
      <w:fldChar w:fldCharType="separate"/>
    </w:r>
    <w:r w:rsidR="00190A09">
      <w:rPr>
        <w:rFonts w:ascii="Palatino Linotype" w:eastAsia="Palatino Linotype" w:hAnsi="Palatino Linotype" w:cs="Palatino Linotype"/>
        <w:b/>
        <w:noProof/>
        <w:color w:val="000000"/>
        <w:sz w:val="22"/>
        <w:szCs w:val="20"/>
      </w:rPr>
      <w:t>70</w:t>
    </w:r>
    <w:r w:rsidRPr="00190A09">
      <w:rPr>
        <w:rFonts w:ascii="Palatino Linotype" w:eastAsia="Palatino Linotype" w:hAnsi="Palatino Linotype" w:cs="Palatino Linotype"/>
        <w:b/>
        <w:color w:val="000000"/>
        <w:sz w:val="22"/>
        <w:szCs w:val="20"/>
      </w:rPr>
      <w:fldChar w:fldCharType="end"/>
    </w:r>
  </w:p>
  <w:p w:rsidR="00A929AE" w:rsidRDefault="00A929A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AE" w:rsidRPr="00190A09" w:rsidRDefault="00A929AE">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90A09">
      <w:rPr>
        <w:rFonts w:ascii="Palatino Linotype" w:eastAsia="Palatino Linotype" w:hAnsi="Palatino Linotype" w:cs="Palatino Linotype"/>
        <w:b/>
        <w:color w:val="000000"/>
        <w:sz w:val="22"/>
        <w:szCs w:val="20"/>
      </w:rPr>
      <w:t xml:space="preserve">Página </w:t>
    </w:r>
    <w:r w:rsidRPr="00190A09">
      <w:rPr>
        <w:rFonts w:ascii="Palatino Linotype" w:eastAsia="Palatino Linotype" w:hAnsi="Palatino Linotype" w:cs="Palatino Linotype"/>
        <w:b/>
        <w:color w:val="000000"/>
        <w:sz w:val="22"/>
        <w:szCs w:val="20"/>
      </w:rPr>
      <w:fldChar w:fldCharType="begin"/>
    </w:r>
    <w:r w:rsidRPr="00190A09">
      <w:rPr>
        <w:rFonts w:ascii="Palatino Linotype" w:eastAsia="Palatino Linotype" w:hAnsi="Palatino Linotype" w:cs="Palatino Linotype"/>
        <w:b/>
        <w:color w:val="000000"/>
        <w:sz w:val="22"/>
        <w:szCs w:val="20"/>
      </w:rPr>
      <w:instrText>PAGE</w:instrText>
    </w:r>
    <w:r w:rsidRPr="00190A09">
      <w:rPr>
        <w:rFonts w:ascii="Palatino Linotype" w:eastAsia="Palatino Linotype" w:hAnsi="Palatino Linotype" w:cs="Palatino Linotype"/>
        <w:b/>
        <w:color w:val="000000"/>
        <w:sz w:val="22"/>
        <w:szCs w:val="20"/>
      </w:rPr>
      <w:fldChar w:fldCharType="separate"/>
    </w:r>
    <w:r w:rsidR="00190A09">
      <w:rPr>
        <w:rFonts w:ascii="Palatino Linotype" w:eastAsia="Palatino Linotype" w:hAnsi="Palatino Linotype" w:cs="Palatino Linotype"/>
        <w:b/>
        <w:noProof/>
        <w:color w:val="000000"/>
        <w:sz w:val="22"/>
        <w:szCs w:val="20"/>
      </w:rPr>
      <w:t>1</w:t>
    </w:r>
    <w:r w:rsidRPr="00190A09">
      <w:rPr>
        <w:rFonts w:ascii="Palatino Linotype" w:eastAsia="Palatino Linotype" w:hAnsi="Palatino Linotype" w:cs="Palatino Linotype"/>
        <w:b/>
        <w:color w:val="000000"/>
        <w:sz w:val="22"/>
        <w:szCs w:val="20"/>
      </w:rPr>
      <w:fldChar w:fldCharType="end"/>
    </w:r>
    <w:r w:rsidRPr="00190A09">
      <w:rPr>
        <w:rFonts w:ascii="Palatino Linotype" w:eastAsia="Palatino Linotype" w:hAnsi="Palatino Linotype" w:cs="Palatino Linotype"/>
        <w:b/>
        <w:color w:val="000000"/>
        <w:sz w:val="22"/>
        <w:szCs w:val="20"/>
      </w:rPr>
      <w:t xml:space="preserve"> de </w:t>
    </w:r>
    <w:r w:rsidRPr="00190A09">
      <w:rPr>
        <w:rFonts w:ascii="Palatino Linotype" w:eastAsia="Palatino Linotype" w:hAnsi="Palatino Linotype" w:cs="Palatino Linotype"/>
        <w:b/>
        <w:color w:val="000000"/>
        <w:sz w:val="22"/>
        <w:szCs w:val="20"/>
      </w:rPr>
      <w:fldChar w:fldCharType="begin"/>
    </w:r>
    <w:r w:rsidRPr="00190A09">
      <w:rPr>
        <w:rFonts w:ascii="Palatino Linotype" w:eastAsia="Palatino Linotype" w:hAnsi="Palatino Linotype" w:cs="Palatino Linotype"/>
        <w:b/>
        <w:color w:val="000000"/>
        <w:sz w:val="22"/>
        <w:szCs w:val="20"/>
      </w:rPr>
      <w:instrText>NUMPAGES</w:instrText>
    </w:r>
    <w:r w:rsidRPr="00190A09">
      <w:rPr>
        <w:rFonts w:ascii="Palatino Linotype" w:eastAsia="Palatino Linotype" w:hAnsi="Palatino Linotype" w:cs="Palatino Linotype"/>
        <w:b/>
        <w:color w:val="000000"/>
        <w:sz w:val="22"/>
        <w:szCs w:val="20"/>
      </w:rPr>
      <w:fldChar w:fldCharType="separate"/>
    </w:r>
    <w:r w:rsidR="00190A09">
      <w:rPr>
        <w:rFonts w:ascii="Palatino Linotype" w:eastAsia="Palatino Linotype" w:hAnsi="Palatino Linotype" w:cs="Palatino Linotype"/>
        <w:b/>
        <w:noProof/>
        <w:color w:val="000000"/>
        <w:sz w:val="22"/>
        <w:szCs w:val="20"/>
      </w:rPr>
      <w:t>70</w:t>
    </w:r>
    <w:r w:rsidRPr="00190A09">
      <w:rPr>
        <w:rFonts w:ascii="Palatino Linotype" w:eastAsia="Palatino Linotype" w:hAnsi="Palatino Linotype" w:cs="Palatino Linotype"/>
        <w:b/>
        <w:color w:val="000000"/>
        <w:sz w:val="22"/>
        <w:szCs w:val="20"/>
      </w:rPr>
      <w:fldChar w:fldCharType="end"/>
    </w:r>
  </w:p>
  <w:p w:rsidR="00A929AE" w:rsidRDefault="00A929A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2E4" w:rsidRDefault="00CF72E4" w:rsidP="00C073EB">
      <w:r>
        <w:separator/>
      </w:r>
    </w:p>
  </w:footnote>
  <w:footnote w:type="continuationSeparator" w:id="0">
    <w:p w:rsidR="00CF72E4" w:rsidRDefault="00CF72E4" w:rsidP="00C073EB">
      <w:r>
        <w:continuationSeparator/>
      </w:r>
    </w:p>
  </w:footnote>
  <w:footnote w:id="1">
    <w:p w:rsidR="00A929AE" w:rsidRDefault="00A929AE" w:rsidP="00C073E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A929AE" w:rsidRDefault="00A929AE" w:rsidP="00C073E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A929AE" w:rsidRDefault="00A929AE" w:rsidP="00C073E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A929AE" w:rsidRDefault="00A929AE" w:rsidP="00C073E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9AE" w:rsidRDefault="00CF72E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5" w:type="dxa"/>
      <w:tblInd w:w="3261" w:type="dxa"/>
      <w:tblLayout w:type="fixed"/>
      <w:tblLook w:val="0400" w:firstRow="0" w:lastRow="0" w:firstColumn="0" w:lastColumn="0" w:noHBand="0" w:noVBand="1"/>
    </w:tblPr>
    <w:tblGrid>
      <w:gridCol w:w="2976"/>
      <w:gridCol w:w="3969"/>
    </w:tblGrid>
    <w:tr w:rsidR="00A929AE" w:rsidTr="00190A09">
      <w:trPr>
        <w:trHeight w:val="227"/>
      </w:trPr>
      <w:tc>
        <w:tcPr>
          <w:tcW w:w="2976" w:type="dxa"/>
          <w:vAlign w:val="center"/>
        </w:tcPr>
        <w:p w:rsidR="00A929AE" w:rsidRPr="00190A09" w:rsidRDefault="00A929AE">
          <w:pPr>
            <w:ind w:right="34"/>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Recurso de Revisión:</w:t>
          </w:r>
        </w:p>
      </w:tc>
      <w:tc>
        <w:tcPr>
          <w:tcW w:w="3969" w:type="dxa"/>
          <w:vAlign w:val="center"/>
        </w:tcPr>
        <w:p w:rsidR="00A929AE" w:rsidRPr="00190A09" w:rsidRDefault="00A929A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90A09">
            <w:rPr>
              <w:rFonts w:ascii="Palatino Linotype" w:eastAsia="Palatino Linotype" w:hAnsi="Palatino Linotype" w:cs="Palatino Linotype"/>
              <w:color w:val="000000"/>
              <w:szCs w:val="22"/>
            </w:rPr>
            <w:t>05238/INFOEM/IP/RR/2025</w:t>
          </w:r>
        </w:p>
      </w:tc>
    </w:tr>
    <w:tr w:rsidR="00A929AE" w:rsidTr="00190A09">
      <w:trPr>
        <w:trHeight w:val="242"/>
      </w:trPr>
      <w:tc>
        <w:tcPr>
          <w:tcW w:w="2976" w:type="dxa"/>
          <w:vAlign w:val="center"/>
        </w:tcPr>
        <w:p w:rsidR="00A929AE" w:rsidRPr="00190A09" w:rsidRDefault="00A929AE">
          <w:pPr>
            <w:ind w:right="34"/>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Sujeto Obligado:</w:t>
          </w:r>
        </w:p>
      </w:tc>
      <w:tc>
        <w:tcPr>
          <w:tcW w:w="3969" w:type="dxa"/>
          <w:vAlign w:val="center"/>
        </w:tcPr>
        <w:p w:rsidR="00A929AE" w:rsidRPr="00190A09" w:rsidRDefault="00A929AE">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190A09">
            <w:rPr>
              <w:rFonts w:ascii="Palatino Linotype" w:eastAsia="Palatino Linotype" w:hAnsi="Palatino Linotype" w:cs="Palatino Linotype"/>
              <w:color w:val="000000"/>
              <w:szCs w:val="22"/>
            </w:rPr>
            <w:t>Secretaría de Movilidad</w:t>
          </w:r>
        </w:p>
      </w:tc>
    </w:tr>
    <w:tr w:rsidR="00A929AE" w:rsidTr="00190A09">
      <w:trPr>
        <w:trHeight w:val="342"/>
      </w:trPr>
      <w:tc>
        <w:tcPr>
          <w:tcW w:w="2976" w:type="dxa"/>
          <w:vAlign w:val="center"/>
        </w:tcPr>
        <w:p w:rsidR="00A929AE" w:rsidRPr="00190A09" w:rsidRDefault="00A929AE">
          <w:pPr>
            <w:ind w:right="34"/>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Comisionada Ponente:</w:t>
          </w:r>
        </w:p>
      </w:tc>
      <w:tc>
        <w:tcPr>
          <w:tcW w:w="3969" w:type="dxa"/>
          <w:vAlign w:val="center"/>
        </w:tcPr>
        <w:p w:rsidR="00A929AE" w:rsidRPr="00190A09" w:rsidRDefault="00A929A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90A09">
            <w:rPr>
              <w:rFonts w:ascii="Palatino Linotype" w:eastAsia="Palatino Linotype" w:hAnsi="Palatino Linotype" w:cs="Palatino Linotype"/>
              <w:color w:val="000000"/>
              <w:szCs w:val="22"/>
            </w:rPr>
            <w:t>María del Rosario Mejía Ayala</w:t>
          </w:r>
        </w:p>
      </w:tc>
    </w:tr>
  </w:tbl>
  <w:p w:rsidR="00A929AE" w:rsidRDefault="00CF72E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0.1pt;margin-top:-129.1pt;width:609.4pt;height:793.75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0" w:type="dxa"/>
      <w:tblInd w:w="3261" w:type="dxa"/>
      <w:tblLayout w:type="fixed"/>
      <w:tblLook w:val="0400" w:firstRow="0" w:lastRow="0" w:firstColumn="0" w:lastColumn="0" w:noHBand="0" w:noVBand="1"/>
    </w:tblPr>
    <w:tblGrid>
      <w:gridCol w:w="2977"/>
      <w:gridCol w:w="3683"/>
    </w:tblGrid>
    <w:tr w:rsidR="00A929AE" w:rsidTr="00190A09">
      <w:trPr>
        <w:trHeight w:val="227"/>
      </w:trPr>
      <w:tc>
        <w:tcPr>
          <w:tcW w:w="2977" w:type="dxa"/>
          <w:vAlign w:val="center"/>
        </w:tcPr>
        <w:p w:rsidR="00A929AE" w:rsidRPr="00190A09" w:rsidRDefault="00A929AE">
          <w:pPr>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Recurso de Revisión:</w:t>
          </w:r>
        </w:p>
      </w:tc>
      <w:tc>
        <w:tcPr>
          <w:tcW w:w="3683" w:type="dxa"/>
          <w:vAlign w:val="center"/>
        </w:tcPr>
        <w:p w:rsidR="00A929AE" w:rsidRPr="00190A09" w:rsidRDefault="00A929A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90A09">
            <w:rPr>
              <w:rFonts w:ascii="Palatino Linotype" w:eastAsia="Palatino Linotype" w:hAnsi="Palatino Linotype" w:cs="Palatino Linotype"/>
              <w:color w:val="000000"/>
              <w:szCs w:val="22"/>
            </w:rPr>
            <w:t>05238/INFOEM/IP/RR/2025</w:t>
          </w:r>
        </w:p>
      </w:tc>
    </w:tr>
    <w:tr w:rsidR="00A929AE" w:rsidTr="00190A09">
      <w:trPr>
        <w:trHeight w:val="242"/>
      </w:trPr>
      <w:tc>
        <w:tcPr>
          <w:tcW w:w="2977" w:type="dxa"/>
          <w:vAlign w:val="center"/>
        </w:tcPr>
        <w:p w:rsidR="00A929AE" w:rsidRPr="00190A09" w:rsidRDefault="00A929AE">
          <w:pPr>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Recurrente:</w:t>
          </w:r>
        </w:p>
      </w:tc>
      <w:tc>
        <w:tcPr>
          <w:tcW w:w="3683" w:type="dxa"/>
        </w:tcPr>
        <w:p w:rsidR="00A929AE" w:rsidRPr="00190A09" w:rsidRDefault="00A929AE" w:rsidP="002C3C62">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A929AE" w:rsidTr="00190A09">
      <w:trPr>
        <w:trHeight w:val="342"/>
      </w:trPr>
      <w:tc>
        <w:tcPr>
          <w:tcW w:w="2977" w:type="dxa"/>
          <w:vAlign w:val="center"/>
        </w:tcPr>
        <w:p w:rsidR="00A929AE" w:rsidRPr="00190A09" w:rsidRDefault="00A929AE">
          <w:pPr>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Sujeto Obligado:</w:t>
          </w:r>
        </w:p>
      </w:tc>
      <w:tc>
        <w:tcPr>
          <w:tcW w:w="3683" w:type="dxa"/>
          <w:vAlign w:val="center"/>
        </w:tcPr>
        <w:p w:rsidR="00A929AE" w:rsidRPr="00190A09" w:rsidRDefault="00A929AE">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190A09">
            <w:rPr>
              <w:rFonts w:ascii="Palatino Linotype" w:eastAsia="Palatino Linotype" w:hAnsi="Palatino Linotype" w:cs="Palatino Linotype"/>
              <w:color w:val="000000"/>
              <w:szCs w:val="22"/>
            </w:rPr>
            <w:t>Secretaría de Movilidad</w:t>
          </w:r>
        </w:p>
      </w:tc>
    </w:tr>
    <w:tr w:rsidR="00A929AE" w:rsidTr="00190A09">
      <w:trPr>
        <w:trHeight w:val="342"/>
      </w:trPr>
      <w:tc>
        <w:tcPr>
          <w:tcW w:w="2977" w:type="dxa"/>
          <w:vAlign w:val="center"/>
        </w:tcPr>
        <w:p w:rsidR="00A929AE" w:rsidRPr="00190A09" w:rsidRDefault="00A929AE">
          <w:pPr>
            <w:jc w:val="right"/>
            <w:rPr>
              <w:rFonts w:ascii="Palatino Linotype" w:eastAsia="Palatino Linotype" w:hAnsi="Palatino Linotype" w:cs="Palatino Linotype"/>
              <w:b/>
              <w:szCs w:val="22"/>
            </w:rPr>
          </w:pPr>
          <w:r w:rsidRPr="00190A09">
            <w:rPr>
              <w:rFonts w:ascii="Palatino Linotype" w:eastAsia="Palatino Linotype" w:hAnsi="Palatino Linotype" w:cs="Palatino Linotype"/>
              <w:b/>
              <w:szCs w:val="22"/>
            </w:rPr>
            <w:t>Comisionada Ponente:</w:t>
          </w:r>
        </w:p>
      </w:tc>
      <w:tc>
        <w:tcPr>
          <w:tcW w:w="3683" w:type="dxa"/>
          <w:vAlign w:val="center"/>
        </w:tcPr>
        <w:p w:rsidR="00A929AE" w:rsidRPr="00190A09" w:rsidRDefault="00A929A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90A09">
            <w:rPr>
              <w:rFonts w:ascii="Palatino Linotype" w:eastAsia="Palatino Linotype" w:hAnsi="Palatino Linotype" w:cs="Palatino Linotype"/>
              <w:color w:val="000000"/>
              <w:szCs w:val="22"/>
            </w:rPr>
            <w:t>María del Rosario Mejía Ayala</w:t>
          </w:r>
        </w:p>
      </w:tc>
    </w:tr>
  </w:tbl>
  <w:p w:rsidR="00A929AE" w:rsidRDefault="00CF72E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4.55pt;margin-top:-122.7pt;width:609.4pt;height:793.75pt;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237C"/>
    <w:multiLevelType w:val="multilevel"/>
    <w:tmpl w:val="EBD6126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04A2605C"/>
    <w:multiLevelType w:val="hybridMultilevel"/>
    <w:tmpl w:val="5344BC14"/>
    <w:lvl w:ilvl="0" w:tplc="290C15CA">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304E5D"/>
    <w:multiLevelType w:val="multilevel"/>
    <w:tmpl w:val="F476FF8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122E32"/>
    <w:multiLevelType w:val="multilevel"/>
    <w:tmpl w:val="EBA6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CB09A3"/>
    <w:multiLevelType w:val="multilevel"/>
    <w:tmpl w:val="AA90F5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D73014"/>
    <w:multiLevelType w:val="multilevel"/>
    <w:tmpl w:val="57B2D00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34317490"/>
    <w:multiLevelType w:val="hybridMultilevel"/>
    <w:tmpl w:val="BC66450E"/>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50AF7DB9"/>
    <w:multiLevelType w:val="multilevel"/>
    <w:tmpl w:val="EB744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560839D1"/>
    <w:multiLevelType w:val="hybridMultilevel"/>
    <w:tmpl w:val="3990CCB2"/>
    <w:lvl w:ilvl="0" w:tplc="C302A056">
      <w:start w:val="1"/>
      <w:numFmt w:val="decimal"/>
      <w:lvlText w:val="%1."/>
      <w:lvlJc w:val="left"/>
      <w:pPr>
        <w:ind w:left="644" w:hanging="360"/>
      </w:pPr>
      <w:rPr>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CC258B"/>
    <w:multiLevelType w:val="multilevel"/>
    <w:tmpl w:val="20B872F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165093"/>
    <w:multiLevelType w:val="multilevel"/>
    <w:tmpl w:val="C37C0E4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D256874"/>
    <w:multiLevelType w:val="multilevel"/>
    <w:tmpl w:val="CD98EE5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8D34C3"/>
    <w:multiLevelType w:val="multilevel"/>
    <w:tmpl w:val="CC127A5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7" w15:restartNumberingAfterBreak="0">
    <w:nsid w:val="7F844CC7"/>
    <w:multiLevelType w:val="multilevel"/>
    <w:tmpl w:val="7638E5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6"/>
  </w:num>
  <w:num w:numId="3">
    <w:abstractNumId w:val="12"/>
  </w:num>
  <w:num w:numId="4">
    <w:abstractNumId w:val="17"/>
  </w:num>
  <w:num w:numId="5">
    <w:abstractNumId w:val="0"/>
  </w:num>
  <w:num w:numId="6">
    <w:abstractNumId w:val="6"/>
  </w:num>
  <w:num w:numId="7">
    <w:abstractNumId w:val="1"/>
  </w:num>
  <w:num w:numId="8">
    <w:abstractNumId w:val="2"/>
  </w:num>
  <w:num w:numId="9">
    <w:abstractNumId w:val="13"/>
  </w:num>
  <w:num w:numId="10">
    <w:abstractNumId w:val="11"/>
  </w:num>
  <w:num w:numId="11">
    <w:abstractNumId w:val="9"/>
  </w:num>
  <w:num w:numId="12">
    <w:abstractNumId w:val="5"/>
  </w:num>
  <w:num w:numId="13">
    <w:abstractNumId w:val="15"/>
  </w:num>
  <w:num w:numId="14">
    <w:abstractNumId w:val="8"/>
  </w:num>
  <w:num w:numId="15">
    <w:abstractNumId w:val="4"/>
  </w:num>
  <w:num w:numId="16">
    <w:abstractNumId w:val="3"/>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3EB"/>
    <w:rsid w:val="00011B2E"/>
    <w:rsid w:val="00012ED6"/>
    <w:rsid w:val="000147CB"/>
    <w:rsid w:val="000172F5"/>
    <w:rsid w:val="00051657"/>
    <w:rsid w:val="00056018"/>
    <w:rsid w:val="000661C8"/>
    <w:rsid w:val="000B5C09"/>
    <w:rsid w:val="00104943"/>
    <w:rsid w:val="00115712"/>
    <w:rsid w:val="00147D88"/>
    <w:rsid w:val="00182584"/>
    <w:rsid w:val="0018466C"/>
    <w:rsid w:val="00190A09"/>
    <w:rsid w:val="001B06EF"/>
    <w:rsid w:val="001D5874"/>
    <w:rsid w:val="002002D2"/>
    <w:rsid w:val="002046C1"/>
    <w:rsid w:val="00234E23"/>
    <w:rsid w:val="002601EA"/>
    <w:rsid w:val="002C3C62"/>
    <w:rsid w:val="0032302E"/>
    <w:rsid w:val="00323FFE"/>
    <w:rsid w:val="00355AAF"/>
    <w:rsid w:val="003845BF"/>
    <w:rsid w:val="00387E80"/>
    <w:rsid w:val="00390584"/>
    <w:rsid w:val="003E4BC1"/>
    <w:rsid w:val="003F1763"/>
    <w:rsid w:val="00442020"/>
    <w:rsid w:val="00442209"/>
    <w:rsid w:val="00496BBE"/>
    <w:rsid w:val="004C09B1"/>
    <w:rsid w:val="004F7E98"/>
    <w:rsid w:val="00533C45"/>
    <w:rsid w:val="005364AB"/>
    <w:rsid w:val="005558D7"/>
    <w:rsid w:val="00555EC7"/>
    <w:rsid w:val="0056384C"/>
    <w:rsid w:val="00585BAE"/>
    <w:rsid w:val="005B4A04"/>
    <w:rsid w:val="005C193B"/>
    <w:rsid w:val="005E528C"/>
    <w:rsid w:val="00602135"/>
    <w:rsid w:val="0066390C"/>
    <w:rsid w:val="006674D3"/>
    <w:rsid w:val="006705BA"/>
    <w:rsid w:val="006F4D38"/>
    <w:rsid w:val="006F7323"/>
    <w:rsid w:val="0072004B"/>
    <w:rsid w:val="00730151"/>
    <w:rsid w:val="00733DC2"/>
    <w:rsid w:val="00737EBF"/>
    <w:rsid w:val="00793D14"/>
    <w:rsid w:val="007C05A9"/>
    <w:rsid w:val="008233C0"/>
    <w:rsid w:val="0083561B"/>
    <w:rsid w:val="008E28B1"/>
    <w:rsid w:val="008F3867"/>
    <w:rsid w:val="00941BED"/>
    <w:rsid w:val="00961DB8"/>
    <w:rsid w:val="00962E5A"/>
    <w:rsid w:val="00977B0B"/>
    <w:rsid w:val="00992F6A"/>
    <w:rsid w:val="009B6695"/>
    <w:rsid w:val="009D110C"/>
    <w:rsid w:val="009E3D76"/>
    <w:rsid w:val="009F6947"/>
    <w:rsid w:val="00A13759"/>
    <w:rsid w:val="00A45CC2"/>
    <w:rsid w:val="00A65A2E"/>
    <w:rsid w:val="00A929AE"/>
    <w:rsid w:val="00A9495D"/>
    <w:rsid w:val="00A94ED0"/>
    <w:rsid w:val="00AF1E20"/>
    <w:rsid w:val="00B042BC"/>
    <w:rsid w:val="00B20245"/>
    <w:rsid w:val="00B37783"/>
    <w:rsid w:val="00B52E67"/>
    <w:rsid w:val="00B64614"/>
    <w:rsid w:val="00B727B4"/>
    <w:rsid w:val="00B87BF9"/>
    <w:rsid w:val="00BA645A"/>
    <w:rsid w:val="00BC49DE"/>
    <w:rsid w:val="00BD1348"/>
    <w:rsid w:val="00C00C0C"/>
    <w:rsid w:val="00C073EB"/>
    <w:rsid w:val="00C65CF8"/>
    <w:rsid w:val="00C74E23"/>
    <w:rsid w:val="00C86E3C"/>
    <w:rsid w:val="00CC1E36"/>
    <w:rsid w:val="00CE356E"/>
    <w:rsid w:val="00CF72E4"/>
    <w:rsid w:val="00D17E6A"/>
    <w:rsid w:val="00D26F0D"/>
    <w:rsid w:val="00D704CC"/>
    <w:rsid w:val="00DD0FC3"/>
    <w:rsid w:val="00E620AA"/>
    <w:rsid w:val="00EB643B"/>
    <w:rsid w:val="00EF445F"/>
    <w:rsid w:val="00F453A5"/>
    <w:rsid w:val="00F600EF"/>
    <w:rsid w:val="00F9075E"/>
    <w:rsid w:val="00FC0482"/>
    <w:rsid w:val="00FF05FC"/>
    <w:rsid w:val="00FF4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41E3C8E-E12E-4B38-8572-887BDA1B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3EB"/>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C073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C073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3EB"/>
    <w:rPr>
      <w:rFonts w:asciiTheme="majorHAnsi" w:eastAsiaTheme="majorEastAsia" w:hAnsiTheme="majorHAnsi" w:cstheme="majorBidi"/>
      <w:color w:val="2E74B5" w:themeColor="accent1" w:themeShade="BF"/>
      <w:sz w:val="40"/>
      <w:szCs w:val="40"/>
      <w:lang w:eastAsia="es-MX"/>
    </w:rPr>
  </w:style>
  <w:style w:type="character" w:customStyle="1" w:styleId="Ttulo2Car">
    <w:name w:val="Título 2 Car"/>
    <w:basedOn w:val="Fuentedeprrafopredeter"/>
    <w:link w:val="Ttulo2"/>
    <w:uiPriority w:val="9"/>
    <w:rsid w:val="00C073EB"/>
    <w:rPr>
      <w:rFonts w:asciiTheme="majorHAnsi" w:eastAsiaTheme="majorEastAsia" w:hAnsiTheme="majorHAnsi" w:cstheme="majorBidi"/>
      <w:color w:val="2E74B5" w:themeColor="accent1" w:themeShade="BF"/>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073E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073E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073EB"/>
    <w:pPr>
      <w:tabs>
        <w:tab w:val="center" w:pos="4419"/>
        <w:tab w:val="right" w:pos="8838"/>
      </w:tabs>
    </w:pPr>
  </w:style>
  <w:style w:type="character" w:customStyle="1" w:styleId="PiedepginaCar">
    <w:name w:val="Pie de página Car"/>
    <w:basedOn w:val="Fuentedeprrafopredeter"/>
    <w:link w:val="Piedepgina"/>
    <w:uiPriority w:val="99"/>
    <w:rsid w:val="00C073E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8F3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E4B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consultas.curp.gob.mx/CurpSP/html/informacionecurpPS.html" TargetMode="External"/><Relationship Id="rId4" Type="http://schemas.openxmlformats.org/officeDocument/2006/relationships/webSettings" Target="webSettings.xml"/><Relationship Id="rId9" Type="http://schemas.openxmlformats.org/officeDocument/2006/relationships/hyperlink" Target="http://criteriosdeinterpretacion.inai.org.mx/Criterios/02-19.docx" TargetMode="External"/><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70</Pages>
  <Words>15755</Words>
  <Characters>86655</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18</cp:revision>
  <cp:lastPrinted>2026-02-20T15:56:00Z</cp:lastPrinted>
  <dcterms:created xsi:type="dcterms:W3CDTF">2026-02-11T20:14:00Z</dcterms:created>
  <dcterms:modified xsi:type="dcterms:W3CDTF">2026-02-24T23:15:00Z</dcterms:modified>
</cp:coreProperties>
</file>