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D6D6B" w14:textId="57930EFF" w:rsidR="008D40CA" w:rsidRPr="00AE67C6" w:rsidRDefault="005D216E" w:rsidP="00D46F14">
      <w:pPr>
        <w:shd w:val="clear" w:color="auto" w:fill="FFFFFF"/>
        <w:spacing w:line="360" w:lineRule="auto"/>
        <w:jc w:val="both"/>
        <w:rPr>
          <w:rFonts w:ascii="Palatino Linotype" w:eastAsia="Palatino Linotype" w:hAnsi="Palatino Linotype" w:cs="Palatino Linotype"/>
          <w:color w:val="000000"/>
        </w:rPr>
      </w:pPr>
      <w:r w:rsidRPr="00AE67C6">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w:t>
      </w:r>
      <w:r w:rsidR="00B451BA" w:rsidRPr="00AE67C6">
        <w:rPr>
          <w:rFonts w:ascii="Palatino Linotype" w:eastAsia="Palatino Linotype" w:hAnsi="Palatino Linotype" w:cs="Palatino Linotype"/>
          <w:color w:val="000000"/>
        </w:rPr>
        <w:t xml:space="preserve"> de México, a </w:t>
      </w:r>
      <w:r w:rsidR="00585B82" w:rsidRPr="00AE67C6">
        <w:rPr>
          <w:rFonts w:ascii="Palatino Linotype" w:eastAsia="Palatino Linotype" w:hAnsi="Palatino Linotype" w:cs="Palatino Linotype"/>
          <w:color w:val="000000"/>
        </w:rPr>
        <w:t>veintiuno</w:t>
      </w:r>
      <w:r w:rsidR="005D53F8" w:rsidRPr="00AE67C6">
        <w:rPr>
          <w:rFonts w:ascii="Palatino Linotype" w:eastAsia="Palatino Linotype" w:hAnsi="Palatino Linotype" w:cs="Palatino Linotype"/>
          <w:color w:val="000000"/>
        </w:rPr>
        <w:t xml:space="preserve"> de enero</w:t>
      </w:r>
      <w:r w:rsidR="00F51907" w:rsidRPr="00AE67C6">
        <w:rPr>
          <w:rFonts w:ascii="Palatino Linotype" w:eastAsia="Palatino Linotype" w:hAnsi="Palatino Linotype" w:cs="Palatino Linotype"/>
          <w:color w:val="000000"/>
        </w:rPr>
        <w:t xml:space="preserve"> </w:t>
      </w:r>
      <w:r w:rsidR="00A15154" w:rsidRPr="00AE67C6">
        <w:rPr>
          <w:rFonts w:ascii="Palatino Linotype" w:eastAsia="Palatino Linotype" w:hAnsi="Palatino Linotype" w:cs="Palatino Linotype"/>
          <w:color w:val="000000"/>
        </w:rPr>
        <w:t>de dos mil veinti</w:t>
      </w:r>
      <w:r w:rsidR="005D53F8" w:rsidRPr="00AE67C6">
        <w:rPr>
          <w:rFonts w:ascii="Palatino Linotype" w:eastAsia="Palatino Linotype" w:hAnsi="Palatino Linotype" w:cs="Palatino Linotype"/>
          <w:color w:val="000000"/>
        </w:rPr>
        <w:t>séis</w:t>
      </w:r>
      <w:r w:rsidRPr="00AE67C6">
        <w:rPr>
          <w:rFonts w:ascii="Palatino Linotype" w:eastAsia="Palatino Linotype" w:hAnsi="Palatino Linotype" w:cs="Palatino Linotype"/>
          <w:color w:val="000000"/>
        </w:rPr>
        <w:t>.</w:t>
      </w:r>
    </w:p>
    <w:p w14:paraId="7F03D00B" w14:textId="77777777" w:rsidR="00D46F14" w:rsidRPr="00AE67C6" w:rsidRDefault="00D46F14" w:rsidP="00D46F14">
      <w:pPr>
        <w:shd w:val="clear" w:color="auto" w:fill="FFFFFF"/>
        <w:spacing w:line="360" w:lineRule="auto"/>
        <w:jc w:val="both"/>
        <w:rPr>
          <w:rFonts w:ascii="Palatino Linotype" w:eastAsia="Palatino Linotype" w:hAnsi="Palatino Linotype" w:cs="Palatino Linotype"/>
          <w:color w:val="000000"/>
        </w:rPr>
      </w:pPr>
    </w:p>
    <w:p w14:paraId="467EE154" w14:textId="6CF0EAD2" w:rsidR="00785E98" w:rsidRPr="00AE67C6" w:rsidRDefault="00A15154" w:rsidP="00600C80">
      <w:pPr>
        <w:shd w:val="clear" w:color="auto" w:fill="FFFFFF"/>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b/>
        </w:rPr>
        <w:t>VISTO</w:t>
      </w:r>
      <w:r w:rsidR="005D216E" w:rsidRPr="00AE67C6">
        <w:rPr>
          <w:rFonts w:ascii="Palatino Linotype" w:eastAsia="Palatino Linotype" w:hAnsi="Palatino Linotype" w:cs="Palatino Linotype"/>
        </w:rPr>
        <w:t xml:space="preserve"> </w:t>
      </w:r>
      <w:r w:rsidRPr="00AE67C6">
        <w:rPr>
          <w:rFonts w:ascii="Palatino Linotype" w:eastAsia="Palatino Linotype" w:hAnsi="Palatino Linotype" w:cs="Palatino Linotype"/>
        </w:rPr>
        <w:t>el expediente electrónico formado con motivo del recurso</w:t>
      </w:r>
      <w:r w:rsidR="005D216E" w:rsidRPr="00AE67C6">
        <w:rPr>
          <w:rFonts w:ascii="Palatino Linotype" w:eastAsia="Palatino Linotype" w:hAnsi="Palatino Linotype" w:cs="Palatino Linotype"/>
        </w:rPr>
        <w:t xml:space="preserve"> de revisión número</w:t>
      </w:r>
      <w:r w:rsidR="00776D47" w:rsidRPr="00AE67C6">
        <w:rPr>
          <w:rFonts w:ascii="Palatino Linotype" w:eastAsia="Palatino Linotype" w:hAnsi="Palatino Linotype" w:cs="Palatino Linotype"/>
          <w:b/>
          <w:sz w:val="23"/>
          <w:szCs w:val="23"/>
        </w:rPr>
        <w:t xml:space="preserve"> </w:t>
      </w:r>
      <w:bookmarkStart w:id="0" w:name="_GoBack"/>
      <w:r w:rsidR="00776D47" w:rsidRPr="00AE67C6">
        <w:rPr>
          <w:rFonts w:ascii="Palatino Linotype" w:eastAsia="Palatino Linotype" w:hAnsi="Palatino Linotype" w:cs="Palatino Linotype"/>
          <w:b/>
          <w:sz w:val="23"/>
          <w:szCs w:val="23"/>
        </w:rPr>
        <w:t>1</w:t>
      </w:r>
      <w:r w:rsidR="0086738F" w:rsidRPr="00AE67C6">
        <w:rPr>
          <w:rFonts w:ascii="Palatino Linotype" w:eastAsia="Palatino Linotype" w:hAnsi="Palatino Linotype" w:cs="Palatino Linotype"/>
          <w:b/>
          <w:sz w:val="23"/>
          <w:szCs w:val="23"/>
        </w:rPr>
        <w:t>3</w:t>
      </w:r>
      <w:r w:rsidR="00E17070" w:rsidRPr="00AE67C6">
        <w:rPr>
          <w:rFonts w:ascii="Palatino Linotype" w:eastAsia="Palatino Linotype" w:hAnsi="Palatino Linotype" w:cs="Palatino Linotype"/>
          <w:b/>
          <w:sz w:val="23"/>
          <w:szCs w:val="23"/>
        </w:rPr>
        <w:t>70</w:t>
      </w:r>
      <w:r w:rsidR="009F1671" w:rsidRPr="00AE67C6">
        <w:rPr>
          <w:rFonts w:ascii="Palatino Linotype" w:eastAsia="Palatino Linotype" w:hAnsi="Palatino Linotype" w:cs="Palatino Linotype"/>
          <w:b/>
          <w:sz w:val="23"/>
          <w:szCs w:val="23"/>
        </w:rPr>
        <w:t>5</w:t>
      </w:r>
      <w:r w:rsidRPr="00AE67C6">
        <w:rPr>
          <w:rFonts w:ascii="Palatino Linotype" w:eastAsia="Palatino Linotype" w:hAnsi="Palatino Linotype" w:cs="Palatino Linotype"/>
          <w:b/>
          <w:sz w:val="23"/>
          <w:szCs w:val="23"/>
        </w:rPr>
        <w:t>/INFOEM/IP/RR/202</w:t>
      </w:r>
      <w:r w:rsidR="00CA47DE" w:rsidRPr="00AE67C6">
        <w:rPr>
          <w:rFonts w:ascii="Palatino Linotype" w:eastAsia="Palatino Linotype" w:hAnsi="Palatino Linotype" w:cs="Palatino Linotype"/>
          <w:b/>
          <w:sz w:val="23"/>
          <w:szCs w:val="23"/>
        </w:rPr>
        <w:t>5</w:t>
      </w:r>
      <w:bookmarkEnd w:id="0"/>
      <w:r w:rsidRPr="00AE67C6">
        <w:rPr>
          <w:rFonts w:ascii="Palatino Linotype" w:eastAsia="Palatino Linotype" w:hAnsi="Palatino Linotype" w:cs="Palatino Linotype"/>
        </w:rPr>
        <w:t xml:space="preserve">, </w:t>
      </w:r>
      <w:r w:rsidR="00C1300D" w:rsidRPr="00AE67C6">
        <w:rPr>
          <w:rFonts w:ascii="Palatino Linotype" w:eastAsia="Palatino Linotype" w:hAnsi="Palatino Linotype" w:cs="Palatino Linotype"/>
        </w:rPr>
        <w:t xml:space="preserve">interpuesto </w:t>
      </w:r>
      <w:r w:rsidR="009A6EC3" w:rsidRPr="00AE67C6">
        <w:rPr>
          <w:rFonts w:ascii="Palatino Linotype" w:hAnsi="Palatino Linotype" w:cs="Arial"/>
          <w:lang w:eastAsia="es-ES"/>
        </w:rPr>
        <w:t xml:space="preserve">por </w:t>
      </w:r>
      <w:r w:rsidR="0086738F" w:rsidRPr="00AE67C6">
        <w:rPr>
          <w:rFonts w:ascii="Palatino Linotype" w:hAnsi="Palatino Linotype" w:cs="Arial"/>
          <w:lang w:eastAsia="es-ES"/>
        </w:rPr>
        <w:t xml:space="preserve">la </w:t>
      </w:r>
      <w:r w:rsidR="0086738F" w:rsidRPr="00AE67C6">
        <w:rPr>
          <w:rFonts w:ascii="Palatino Linotype" w:hAnsi="Palatino Linotype" w:cs="Arial"/>
          <w:b/>
          <w:bCs/>
          <w:lang w:eastAsia="es-ES"/>
        </w:rPr>
        <w:t xml:space="preserve">C. </w:t>
      </w:r>
      <w:proofErr w:type="spellStart"/>
      <w:r w:rsidR="00E66668">
        <w:rPr>
          <w:rFonts w:ascii="Palatino Linotype" w:hAnsi="Palatino Linotype" w:cs="Arial"/>
          <w:b/>
          <w:bCs/>
          <w:lang w:eastAsia="es-ES"/>
        </w:rPr>
        <w:t>xxxxxxxxxxxxxxxxxxxxxxxxxx</w:t>
      </w:r>
      <w:proofErr w:type="spellEnd"/>
      <w:r w:rsidR="009A6EC3" w:rsidRPr="00AE67C6">
        <w:rPr>
          <w:rFonts w:ascii="Palatino Linotype" w:hAnsi="Palatino Linotype" w:cs="Arial"/>
          <w:lang w:eastAsia="es-ES"/>
        </w:rPr>
        <w:t>,</w:t>
      </w:r>
      <w:r w:rsidR="009A6EC3" w:rsidRPr="00AE67C6">
        <w:rPr>
          <w:rFonts w:ascii="Palatino Linotype" w:hAnsi="Palatino Linotype" w:cs="Arial"/>
          <w:b/>
          <w:lang w:eastAsia="es-ES"/>
        </w:rPr>
        <w:t xml:space="preserve"> </w:t>
      </w:r>
      <w:r w:rsidR="009A6EC3" w:rsidRPr="00AE67C6">
        <w:rPr>
          <w:rFonts w:ascii="Palatino Linotype" w:hAnsi="Palatino Linotype" w:cs="Arial"/>
          <w:lang w:eastAsia="es-ES"/>
        </w:rPr>
        <w:t xml:space="preserve">en lo sucesivo la parte </w:t>
      </w:r>
      <w:r w:rsidR="009A6EC3" w:rsidRPr="00AE67C6">
        <w:rPr>
          <w:rFonts w:ascii="Palatino Linotype" w:hAnsi="Palatino Linotype" w:cs="Arial"/>
          <w:b/>
          <w:lang w:eastAsia="es-ES"/>
        </w:rPr>
        <w:t>Recurrente</w:t>
      </w:r>
      <w:r w:rsidR="005D216E" w:rsidRPr="00AE67C6">
        <w:rPr>
          <w:rFonts w:ascii="Palatino Linotype" w:eastAsia="Palatino Linotype" w:hAnsi="Palatino Linotype" w:cs="Palatino Linotype"/>
        </w:rPr>
        <w:t>, en cont</w:t>
      </w:r>
      <w:r w:rsidR="00693587" w:rsidRPr="00AE67C6">
        <w:rPr>
          <w:rFonts w:ascii="Palatino Linotype" w:eastAsia="Palatino Linotype" w:hAnsi="Palatino Linotype" w:cs="Palatino Linotype"/>
        </w:rPr>
        <w:t xml:space="preserve">ra de la falta de respuesta del </w:t>
      </w:r>
      <w:r w:rsidR="00600C80" w:rsidRPr="00AE67C6">
        <w:rPr>
          <w:rFonts w:ascii="Palatino Linotype" w:eastAsia="Palatino Linotype" w:hAnsi="Palatino Linotype" w:cs="Palatino Linotype"/>
          <w:b/>
        </w:rPr>
        <w:t>Ayuntamiento de Tepotzotlán</w:t>
      </w:r>
      <w:r w:rsidR="00B60045" w:rsidRPr="00AE67C6">
        <w:rPr>
          <w:rFonts w:ascii="Palatino Linotype" w:eastAsia="Palatino Linotype" w:hAnsi="Palatino Linotype" w:cs="Palatino Linotype"/>
          <w:bCs/>
        </w:rPr>
        <w:t>,</w:t>
      </w:r>
      <w:r w:rsidR="00B60045" w:rsidRPr="00AE67C6">
        <w:rPr>
          <w:rFonts w:ascii="Palatino Linotype" w:eastAsia="Palatino Linotype" w:hAnsi="Palatino Linotype" w:cs="Palatino Linotype"/>
          <w:b/>
        </w:rPr>
        <w:t xml:space="preserve"> </w:t>
      </w:r>
      <w:r w:rsidR="005D216E" w:rsidRPr="00AE67C6">
        <w:rPr>
          <w:rFonts w:ascii="Palatino Linotype" w:eastAsia="Palatino Linotype" w:hAnsi="Palatino Linotype" w:cs="Palatino Linotype"/>
        </w:rPr>
        <w:t>en lo subsecuente</w:t>
      </w:r>
      <w:r w:rsidR="00CA47DE" w:rsidRPr="00AE67C6">
        <w:rPr>
          <w:rFonts w:ascii="Palatino Linotype" w:eastAsia="Palatino Linotype" w:hAnsi="Palatino Linotype" w:cs="Palatino Linotype"/>
        </w:rPr>
        <w:t xml:space="preserve"> el </w:t>
      </w:r>
      <w:r w:rsidR="005D216E" w:rsidRPr="00AE67C6">
        <w:rPr>
          <w:rFonts w:ascii="Palatino Linotype" w:eastAsia="Palatino Linotype" w:hAnsi="Palatino Linotype" w:cs="Palatino Linotype"/>
          <w:b/>
        </w:rPr>
        <w:t xml:space="preserve">Sujeto Obligado, </w:t>
      </w:r>
      <w:r w:rsidR="005D216E" w:rsidRPr="00AE67C6">
        <w:rPr>
          <w:rFonts w:ascii="Palatino Linotype" w:eastAsia="Palatino Linotype" w:hAnsi="Palatino Linotype" w:cs="Palatino Linotype"/>
        </w:rPr>
        <w:t>se procede a dictar la presente resolución.</w:t>
      </w:r>
    </w:p>
    <w:p w14:paraId="3D564A8F" w14:textId="77777777" w:rsidR="00600C80" w:rsidRPr="00AE67C6" w:rsidRDefault="00600C80" w:rsidP="00585B82">
      <w:pPr>
        <w:pStyle w:val="Sinespaciado"/>
        <w:rPr>
          <w:rFonts w:eastAsia="Palatino Linotype"/>
        </w:rPr>
      </w:pPr>
    </w:p>
    <w:p w14:paraId="0C972857" w14:textId="77777777" w:rsidR="00785E98" w:rsidRPr="00AE67C6" w:rsidRDefault="005D216E">
      <w:pPr>
        <w:spacing w:line="360" w:lineRule="auto"/>
        <w:jc w:val="center"/>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A N T E C E D E N T E S   D E L   A S U N T O</w:t>
      </w:r>
    </w:p>
    <w:p w14:paraId="1DF33666" w14:textId="77777777" w:rsidR="00785E98" w:rsidRPr="00AE67C6" w:rsidRDefault="00785E98" w:rsidP="008D40CA">
      <w:pPr>
        <w:pStyle w:val="Sinespaciado"/>
      </w:pPr>
    </w:p>
    <w:p w14:paraId="167AA1A7"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t>PRIMERO.</w:t>
      </w:r>
      <w:r w:rsidRPr="00AE67C6">
        <w:rPr>
          <w:rFonts w:ascii="Palatino Linotype" w:eastAsia="Palatino Linotype" w:hAnsi="Palatino Linotype" w:cs="Palatino Linotype"/>
        </w:rPr>
        <w:t xml:space="preserve"> </w:t>
      </w:r>
      <w:r w:rsidR="00693587" w:rsidRPr="00AE67C6">
        <w:rPr>
          <w:rFonts w:ascii="Palatino Linotype" w:eastAsia="Palatino Linotype" w:hAnsi="Palatino Linotype" w:cs="Palatino Linotype"/>
          <w:b/>
          <w:sz w:val="28"/>
          <w:szCs w:val="28"/>
        </w:rPr>
        <w:t>De la</w:t>
      </w:r>
      <w:r w:rsidRPr="00AE67C6">
        <w:rPr>
          <w:rFonts w:ascii="Palatino Linotype" w:eastAsia="Palatino Linotype" w:hAnsi="Palatino Linotype" w:cs="Palatino Linotype"/>
          <w:b/>
          <w:sz w:val="28"/>
          <w:szCs w:val="28"/>
        </w:rPr>
        <w:t xml:space="preserve"> Solic</w:t>
      </w:r>
      <w:r w:rsidR="00693587" w:rsidRPr="00AE67C6">
        <w:rPr>
          <w:rFonts w:ascii="Palatino Linotype" w:eastAsia="Palatino Linotype" w:hAnsi="Palatino Linotype" w:cs="Palatino Linotype"/>
          <w:b/>
          <w:sz w:val="28"/>
          <w:szCs w:val="28"/>
        </w:rPr>
        <w:t>itud</w:t>
      </w:r>
      <w:r w:rsidRPr="00AE67C6">
        <w:rPr>
          <w:rFonts w:ascii="Palatino Linotype" w:eastAsia="Palatino Linotype" w:hAnsi="Palatino Linotype" w:cs="Palatino Linotype"/>
          <w:b/>
          <w:sz w:val="28"/>
          <w:szCs w:val="28"/>
        </w:rPr>
        <w:t xml:space="preserve"> de Información.</w:t>
      </w:r>
    </w:p>
    <w:p w14:paraId="4E334A80" w14:textId="01DC1055" w:rsidR="000170E4" w:rsidRPr="00AE67C6" w:rsidRDefault="005D216E" w:rsidP="009F1671">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Con fecha </w:t>
      </w:r>
      <w:r w:rsidR="0086738F" w:rsidRPr="00AE67C6">
        <w:rPr>
          <w:rFonts w:ascii="Palatino Linotype" w:eastAsia="Palatino Linotype" w:hAnsi="Palatino Linotype" w:cs="Palatino Linotype"/>
        </w:rPr>
        <w:t>diez de noviembre</w:t>
      </w:r>
      <w:r w:rsidR="006B41E2" w:rsidRPr="00AE67C6">
        <w:rPr>
          <w:rFonts w:ascii="Palatino Linotype" w:eastAsia="Palatino Linotype" w:hAnsi="Palatino Linotype" w:cs="Palatino Linotype"/>
        </w:rPr>
        <w:t xml:space="preserve"> de dos mil veinticinco</w:t>
      </w:r>
      <w:r w:rsidRPr="00AE67C6">
        <w:rPr>
          <w:rFonts w:ascii="Palatino Linotype" w:eastAsia="Palatino Linotype" w:hAnsi="Palatino Linotype" w:cs="Palatino Linotype"/>
        </w:rPr>
        <w:t>,</w:t>
      </w:r>
      <w:r w:rsidR="00693587" w:rsidRPr="00AE67C6">
        <w:rPr>
          <w:rFonts w:ascii="Palatino Linotype" w:eastAsia="Palatino Linotype" w:hAnsi="Palatino Linotype" w:cs="Palatino Linotype"/>
        </w:rPr>
        <w:t xml:space="preserve"> la parte </w:t>
      </w:r>
      <w:r w:rsidRPr="00AE67C6">
        <w:rPr>
          <w:rFonts w:ascii="Palatino Linotype" w:eastAsia="Palatino Linotype" w:hAnsi="Palatino Linotype" w:cs="Palatino Linotype"/>
          <w:b/>
        </w:rPr>
        <w:t xml:space="preserve">Recurrente, </w:t>
      </w:r>
      <w:r w:rsidRPr="00AE67C6">
        <w:rPr>
          <w:rFonts w:ascii="Palatino Linotype" w:eastAsia="Palatino Linotype" w:hAnsi="Palatino Linotype" w:cs="Palatino Linotype"/>
        </w:rPr>
        <w:t xml:space="preserve">presentó a través del Sistema de Acceso a la Información Mexiquense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 ante</w:t>
      </w:r>
      <w:r w:rsidR="00693587" w:rsidRPr="00AE67C6">
        <w:rPr>
          <w:rFonts w:ascii="Palatino Linotype" w:eastAsia="Palatino Linotype" w:hAnsi="Palatino Linotype" w:cs="Palatino Linotype"/>
        </w:rPr>
        <w:t xml:space="preserve"> el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xml:space="preserve">, </w:t>
      </w:r>
      <w:r w:rsidR="00693587" w:rsidRPr="00AE67C6">
        <w:rPr>
          <w:rFonts w:ascii="Palatino Linotype" w:eastAsia="Palatino Linotype" w:hAnsi="Palatino Linotype" w:cs="Palatino Linotype"/>
        </w:rPr>
        <w:t xml:space="preserve">la </w:t>
      </w:r>
      <w:r w:rsidRPr="00AE67C6">
        <w:rPr>
          <w:rFonts w:ascii="Palatino Linotype" w:eastAsia="Palatino Linotype" w:hAnsi="Palatino Linotype" w:cs="Palatino Linotype"/>
        </w:rPr>
        <w:t xml:space="preserve">solicitud de acceso a la información pública, registrada bajo </w:t>
      </w:r>
      <w:r w:rsidR="00693587" w:rsidRPr="00AE67C6">
        <w:rPr>
          <w:rFonts w:ascii="Palatino Linotype" w:eastAsia="Palatino Linotype" w:hAnsi="Palatino Linotype" w:cs="Palatino Linotype"/>
        </w:rPr>
        <w:t>el número de expediente</w:t>
      </w:r>
      <w:r w:rsidRPr="00AE67C6">
        <w:rPr>
          <w:rFonts w:ascii="Palatino Linotype" w:eastAsia="Palatino Linotype" w:hAnsi="Palatino Linotype" w:cs="Palatino Linotype"/>
        </w:rPr>
        <w:t xml:space="preserve"> </w:t>
      </w:r>
      <w:r w:rsidR="009F1671" w:rsidRPr="00AE67C6">
        <w:rPr>
          <w:rFonts w:ascii="Palatino Linotype" w:eastAsia="Palatino Linotype" w:hAnsi="Palatino Linotype" w:cs="Palatino Linotype"/>
          <w:b/>
        </w:rPr>
        <w:t>00931/TEPOTZOT/IP/2025</w:t>
      </w:r>
      <w:r w:rsidRPr="00AE67C6">
        <w:rPr>
          <w:rFonts w:ascii="Palatino Linotype" w:eastAsia="Palatino Linotype" w:hAnsi="Palatino Linotype" w:cs="Palatino Linotype"/>
        </w:rPr>
        <w:t>,</w:t>
      </w:r>
      <w:r w:rsidRPr="00AE67C6">
        <w:rPr>
          <w:rFonts w:ascii="Palatino Linotype" w:eastAsia="Palatino Linotype" w:hAnsi="Palatino Linotype" w:cs="Palatino Linotype"/>
          <w:b/>
        </w:rPr>
        <w:t xml:space="preserve"> </w:t>
      </w:r>
      <w:r w:rsidR="00693587" w:rsidRPr="00AE67C6">
        <w:rPr>
          <w:rFonts w:ascii="Palatino Linotype" w:eastAsia="Palatino Linotype" w:hAnsi="Palatino Linotype" w:cs="Palatino Linotype"/>
        </w:rPr>
        <w:t>mediante la cual</w:t>
      </w:r>
      <w:r w:rsidRPr="00AE67C6">
        <w:rPr>
          <w:rFonts w:ascii="Palatino Linotype" w:eastAsia="Palatino Linotype" w:hAnsi="Palatino Linotype" w:cs="Palatino Linotype"/>
        </w:rPr>
        <w:t xml:space="preserve"> solicitó lo siguiente: </w:t>
      </w:r>
    </w:p>
    <w:p w14:paraId="19B89BE8" w14:textId="77777777" w:rsidR="009F1671" w:rsidRPr="00AE67C6" w:rsidRDefault="009F1671" w:rsidP="009F1671">
      <w:pPr>
        <w:spacing w:line="360" w:lineRule="auto"/>
        <w:jc w:val="both"/>
        <w:rPr>
          <w:rFonts w:ascii="Palatino Linotype" w:eastAsia="Palatino Linotype" w:hAnsi="Palatino Linotype" w:cs="Palatino Linotype"/>
        </w:rPr>
      </w:pPr>
    </w:p>
    <w:p w14:paraId="2D15BBA4" w14:textId="1E919103" w:rsidR="0086738F" w:rsidRPr="00AE67C6" w:rsidRDefault="00693587" w:rsidP="00585B82">
      <w:pPr>
        <w:ind w:left="567" w:right="474"/>
        <w:jc w:val="both"/>
        <w:rPr>
          <w:rFonts w:ascii="Palatino Linotype" w:eastAsia="Palatino Linotype" w:hAnsi="Palatino Linotype" w:cs="Palatino Linotype"/>
          <w:i/>
        </w:rPr>
      </w:pPr>
      <w:r w:rsidRPr="00AE67C6">
        <w:rPr>
          <w:rFonts w:ascii="Palatino Linotype" w:eastAsia="Palatino Linotype" w:hAnsi="Palatino Linotype" w:cs="Palatino Linotype"/>
          <w:i/>
        </w:rPr>
        <w:t>“</w:t>
      </w:r>
      <w:r w:rsidR="009F1671" w:rsidRPr="00AE67C6">
        <w:rPr>
          <w:rFonts w:ascii="Palatino Linotype" w:eastAsia="Palatino Linotype" w:hAnsi="Palatino Linotype" w:cs="Palatino Linotype"/>
          <w:i/>
        </w:rPr>
        <w:t>Solicito se me informe por qué motivo el Ayuntamiento de Tepotzotlán colocó un sello de suspensión o aseguramiento en una barda ubicada en [2da Cada Jazmin sin número Santa Cruz Tepotzotlán, alegando que en dicho punto existe una vía pública. Asimismo, solicito: 1. Se me proporcione copia del documento, plano catastral o decreto que acredite que el área donde se encuentra dicha barda forma parte de una vía pública municipal. 2. Se me indique qué autoridad o área municipal emitió la orden para colocar el sello. 3. En su caso, se me proporcione el número de expediente o procedimiento administrativo iniciado respecto a esa construcción.</w:t>
      </w:r>
      <w:r w:rsidRPr="00AE67C6">
        <w:rPr>
          <w:rFonts w:ascii="Palatino Linotype" w:eastAsia="Palatino Linotype" w:hAnsi="Palatino Linotype" w:cs="Palatino Linotype"/>
          <w:i/>
        </w:rPr>
        <w:t xml:space="preserve">” (Sic). </w:t>
      </w:r>
    </w:p>
    <w:p w14:paraId="0986579E" w14:textId="77777777" w:rsidR="009F1671" w:rsidRPr="00AE67C6" w:rsidRDefault="009F1671" w:rsidP="006D7939">
      <w:pPr>
        <w:pStyle w:val="Sinespaciado"/>
        <w:rPr>
          <w:rFonts w:eastAsia="Palatino Linotype"/>
        </w:rPr>
      </w:pPr>
    </w:p>
    <w:p w14:paraId="7FE5847A" w14:textId="738C05EE" w:rsidR="000170E4" w:rsidRPr="00AE67C6" w:rsidRDefault="005D216E" w:rsidP="0086738F">
      <w:pPr>
        <w:spacing w:line="360" w:lineRule="auto"/>
        <w:ind w:right="850"/>
        <w:jc w:val="both"/>
        <w:rPr>
          <w:rFonts w:ascii="Palatino Linotype" w:eastAsia="Palatino Linotype" w:hAnsi="Palatino Linotype" w:cs="Palatino Linotype"/>
        </w:rPr>
      </w:pPr>
      <w:r w:rsidRPr="00AE67C6">
        <w:rPr>
          <w:rFonts w:ascii="Palatino Linotype" w:eastAsia="Palatino Linotype" w:hAnsi="Palatino Linotype" w:cs="Palatino Linotype"/>
          <w:b/>
        </w:rPr>
        <w:t>MODALIDAD DE ENTREGA:</w:t>
      </w:r>
      <w:r w:rsidRPr="00AE67C6">
        <w:rPr>
          <w:rFonts w:ascii="Palatino Linotype" w:eastAsia="Palatino Linotype" w:hAnsi="Palatino Linotype" w:cs="Palatino Linotype"/>
        </w:rPr>
        <w:t xml:space="preserve"> A través del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 xml:space="preserve">. </w:t>
      </w:r>
    </w:p>
    <w:p w14:paraId="269AF998" w14:textId="26250C88" w:rsidR="009F1671" w:rsidRPr="00AE67C6" w:rsidRDefault="009F1671">
      <w:pPr>
        <w:spacing w:line="360" w:lineRule="auto"/>
        <w:jc w:val="both"/>
        <w:rPr>
          <w:rFonts w:ascii="Palatino Linotype" w:eastAsia="Palatino Linotype" w:hAnsi="Palatino Linotype" w:cs="Palatino Linotype"/>
          <w:bCs/>
        </w:rPr>
      </w:pPr>
      <w:r w:rsidRPr="00AE67C6">
        <w:rPr>
          <w:rFonts w:ascii="Palatino Linotype" w:eastAsia="Palatino Linotype" w:hAnsi="Palatino Linotype" w:cs="Palatino Linotype"/>
          <w:bCs/>
        </w:rPr>
        <w:lastRenderedPageBreak/>
        <w:t xml:space="preserve">El particular al momento de ingresar su solicitud de información, adjuntó los archivos electrónicos denominados </w:t>
      </w:r>
      <w:r w:rsidRPr="00AE67C6">
        <w:rPr>
          <w:rFonts w:ascii="Palatino Linotype" w:eastAsia="Palatino Linotype" w:hAnsi="Palatino Linotype" w:cs="Palatino Linotype"/>
          <w:bCs/>
          <w:i/>
          <w:iCs/>
        </w:rPr>
        <w:t>“IMG_20250709_165650450_HDR.jpg”</w:t>
      </w:r>
      <w:r w:rsidRPr="00AE67C6">
        <w:rPr>
          <w:rFonts w:ascii="Palatino Linotype" w:eastAsia="Palatino Linotype" w:hAnsi="Palatino Linotype" w:cs="Palatino Linotype"/>
          <w:bCs/>
        </w:rPr>
        <w:t xml:space="preserve"> y </w:t>
      </w:r>
      <w:r w:rsidRPr="00AE67C6">
        <w:rPr>
          <w:rFonts w:ascii="Palatino Linotype" w:eastAsia="Palatino Linotype" w:hAnsi="Palatino Linotype" w:cs="Palatino Linotype"/>
          <w:bCs/>
          <w:i/>
          <w:iCs/>
        </w:rPr>
        <w:t>“IMG_20250709_190336912_HDR.jpg”</w:t>
      </w:r>
      <w:r w:rsidRPr="00AE67C6">
        <w:rPr>
          <w:rFonts w:ascii="Palatino Linotype" w:eastAsia="Palatino Linotype" w:hAnsi="Palatino Linotype" w:cs="Palatino Linotype"/>
          <w:bCs/>
        </w:rPr>
        <w:t>; mismos que versan en lo siguiente:</w:t>
      </w:r>
    </w:p>
    <w:p w14:paraId="476A1073" w14:textId="77777777" w:rsidR="009F1671" w:rsidRPr="00AE67C6" w:rsidRDefault="009F1671">
      <w:pPr>
        <w:spacing w:line="360" w:lineRule="auto"/>
        <w:jc w:val="both"/>
        <w:rPr>
          <w:rFonts w:ascii="Palatino Linotype" w:eastAsia="Palatino Linotype" w:hAnsi="Palatino Linotype" w:cs="Palatino Linotype"/>
          <w:bCs/>
        </w:rPr>
      </w:pPr>
    </w:p>
    <w:tbl>
      <w:tblPr>
        <w:tblStyle w:val="Tablaconcuadrcula"/>
        <w:tblW w:w="0" w:type="auto"/>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551"/>
        <w:gridCol w:w="4564"/>
      </w:tblGrid>
      <w:tr w:rsidR="009F1671" w:rsidRPr="00AE67C6" w14:paraId="177600CE" w14:textId="77777777" w:rsidTr="009F1671">
        <w:trPr>
          <w:tblCellSpacing w:w="20" w:type="dxa"/>
        </w:trPr>
        <w:tc>
          <w:tcPr>
            <w:tcW w:w="4555" w:type="dxa"/>
            <w:vAlign w:val="center"/>
          </w:tcPr>
          <w:p w14:paraId="6EDBF1C9" w14:textId="4CBC617B" w:rsidR="009F1671" w:rsidRPr="00AE67C6" w:rsidRDefault="009F1671" w:rsidP="009F1671">
            <w:pPr>
              <w:spacing w:line="360" w:lineRule="auto"/>
              <w:jc w:val="center"/>
              <w:rPr>
                <w:rFonts w:ascii="Palatino Linotype" w:eastAsia="Palatino Linotype" w:hAnsi="Palatino Linotype" w:cs="Palatino Linotype"/>
                <w:bCs/>
              </w:rPr>
            </w:pPr>
            <w:r w:rsidRPr="00AE67C6">
              <w:rPr>
                <w:rFonts w:ascii="Palatino Linotype" w:eastAsia="Palatino Linotype" w:hAnsi="Palatino Linotype" w:cs="Palatino Linotype"/>
                <w:bCs/>
                <w:noProof/>
                <w:lang w:val="es-MX"/>
              </w:rPr>
              <w:drawing>
                <wp:inline distT="0" distB="0" distL="0" distR="0" wp14:anchorId="71F48CF0" wp14:editId="574633AA">
                  <wp:extent cx="2512920" cy="3359108"/>
                  <wp:effectExtent l="0" t="0" r="1905" b="0"/>
                  <wp:docPr id="391317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17353" name=""/>
                          <pic:cNvPicPr/>
                        </pic:nvPicPr>
                        <pic:blipFill>
                          <a:blip r:embed="rId7"/>
                          <a:stretch>
                            <a:fillRect/>
                          </a:stretch>
                        </pic:blipFill>
                        <pic:spPr>
                          <a:xfrm>
                            <a:off x="0" y="0"/>
                            <a:ext cx="2521947" cy="3371174"/>
                          </a:xfrm>
                          <a:prstGeom prst="rect">
                            <a:avLst/>
                          </a:prstGeom>
                        </pic:spPr>
                      </pic:pic>
                    </a:graphicData>
                  </a:graphic>
                </wp:inline>
              </w:drawing>
            </w:r>
          </w:p>
        </w:tc>
        <w:tc>
          <w:tcPr>
            <w:tcW w:w="4556" w:type="dxa"/>
            <w:vAlign w:val="center"/>
          </w:tcPr>
          <w:p w14:paraId="06D794D9" w14:textId="2E125080" w:rsidR="009F1671" w:rsidRPr="00AE67C6" w:rsidRDefault="009F1671" w:rsidP="009F1671">
            <w:pPr>
              <w:spacing w:line="360" w:lineRule="auto"/>
              <w:jc w:val="center"/>
              <w:rPr>
                <w:rFonts w:ascii="Palatino Linotype" w:eastAsia="Palatino Linotype" w:hAnsi="Palatino Linotype" w:cs="Palatino Linotype"/>
                <w:bCs/>
              </w:rPr>
            </w:pPr>
            <w:r w:rsidRPr="00AE67C6">
              <w:rPr>
                <w:rFonts w:ascii="Palatino Linotype" w:eastAsia="Palatino Linotype" w:hAnsi="Palatino Linotype" w:cs="Palatino Linotype"/>
                <w:bCs/>
                <w:noProof/>
                <w:lang w:val="es-MX"/>
              </w:rPr>
              <w:drawing>
                <wp:inline distT="0" distB="0" distL="0" distR="0" wp14:anchorId="0FA718A4" wp14:editId="60E5B526">
                  <wp:extent cx="2559058" cy="3401611"/>
                  <wp:effectExtent l="0" t="0" r="0" b="8890"/>
                  <wp:docPr id="243466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66420" name=""/>
                          <pic:cNvPicPr/>
                        </pic:nvPicPr>
                        <pic:blipFill>
                          <a:blip r:embed="rId8"/>
                          <a:stretch>
                            <a:fillRect/>
                          </a:stretch>
                        </pic:blipFill>
                        <pic:spPr>
                          <a:xfrm>
                            <a:off x="0" y="0"/>
                            <a:ext cx="2568025" cy="3413531"/>
                          </a:xfrm>
                          <a:prstGeom prst="rect">
                            <a:avLst/>
                          </a:prstGeom>
                        </pic:spPr>
                      </pic:pic>
                    </a:graphicData>
                  </a:graphic>
                </wp:inline>
              </w:drawing>
            </w:r>
          </w:p>
        </w:tc>
      </w:tr>
    </w:tbl>
    <w:p w14:paraId="6CAD4BFE" w14:textId="77777777" w:rsidR="009F1671" w:rsidRPr="00AE67C6" w:rsidRDefault="009F1671">
      <w:pPr>
        <w:spacing w:line="360" w:lineRule="auto"/>
        <w:jc w:val="both"/>
        <w:rPr>
          <w:rFonts w:ascii="Palatino Linotype" w:eastAsia="Palatino Linotype" w:hAnsi="Palatino Linotype" w:cs="Palatino Linotype"/>
          <w:b/>
          <w:sz w:val="28"/>
          <w:szCs w:val="28"/>
        </w:rPr>
      </w:pPr>
    </w:p>
    <w:p w14:paraId="6E7FFE41" w14:textId="67636F2F" w:rsidR="00785E98" w:rsidRPr="00AE67C6" w:rsidRDefault="00B60045">
      <w:pPr>
        <w:spacing w:line="360" w:lineRule="auto"/>
        <w:jc w:val="both"/>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SEGUND</w:t>
      </w:r>
      <w:r w:rsidR="005D216E" w:rsidRPr="00AE67C6">
        <w:rPr>
          <w:rFonts w:ascii="Palatino Linotype" w:eastAsia="Palatino Linotype" w:hAnsi="Palatino Linotype" w:cs="Palatino Linotype"/>
          <w:b/>
          <w:sz w:val="28"/>
          <w:szCs w:val="28"/>
        </w:rPr>
        <w:t>O. De la respuesta del Sujeto Obligado.</w:t>
      </w:r>
    </w:p>
    <w:p w14:paraId="71B8763A" w14:textId="77777777" w:rsidR="009F1671" w:rsidRPr="00AE67C6" w:rsidRDefault="005D216E">
      <w:pPr>
        <w:spacing w:line="360" w:lineRule="auto"/>
        <w:jc w:val="both"/>
        <w:rPr>
          <w:rFonts w:ascii="Palatino Linotype" w:eastAsia="Palatino Linotype" w:hAnsi="Palatino Linotype" w:cs="Palatino Linotype"/>
          <w:b/>
        </w:rPr>
      </w:pPr>
      <w:r w:rsidRPr="00AE67C6">
        <w:rPr>
          <w:rFonts w:ascii="Palatino Linotype" w:eastAsia="Palatino Linotype" w:hAnsi="Palatino Linotype" w:cs="Palatino Linotype"/>
        </w:rPr>
        <w:t xml:space="preserve">En el expediente electrónico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 se aprecia que</w:t>
      </w:r>
      <w:r w:rsidR="00693587" w:rsidRPr="00AE67C6">
        <w:rPr>
          <w:rFonts w:ascii="Palatino Linotype" w:eastAsia="Palatino Linotype" w:hAnsi="Palatino Linotype" w:cs="Palatino Linotype"/>
        </w:rPr>
        <w:t xml:space="preserve"> el </w:t>
      </w:r>
      <w:r w:rsidRPr="00AE67C6">
        <w:rPr>
          <w:rFonts w:ascii="Palatino Linotype" w:eastAsia="Palatino Linotype" w:hAnsi="Palatino Linotype" w:cs="Palatino Linotype"/>
          <w:b/>
        </w:rPr>
        <w:t xml:space="preserve">Sujeto Obligado </w:t>
      </w:r>
      <w:r w:rsidR="00693587" w:rsidRPr="00AE67C6">
        <w:rPr>
          <w:rFonts w:ascii="Palatino Linotype" w:eastAsia="Palatino Linotype" w:hAnsi="Palatino Linotype" w:cs="Palatino Linotype"/>
        </w:rPr>
        <w:t>fue omiso en dar respuesta a la solicitud de información presentada</w:t>
      </w:r>
      <w:r w:rsidRPr="00AE67C6">
        <w:rPr>
          <w:rFonts w:ascii="Palatino Linotype" w:eastAsia="Palatino Linotype" w:hAnsi="Palatino Linotype" w:cs="Palatino Linotype"/>
        </w:rPr>
        <w:t xml:space="preserve"> por</w:t>
      </w:r>
      <w:r w:rsidR="00693587" w:rsidRPr="00AE67C6">
        <w:rPr>
          <w:rFonts w:ascii="Palatino Linotype" w:eastAsia="Palatino Linotype" w:hAnsi="Palatino Linotype" w:cs="Palatino Linotype"/>
        </w:rPr>
        <w:t xml:space="preserve"> el</w:t>
      </w:r>
      <w:r w:rsidR="00CA19C9" w:rsidRPr="00AE67C6">
        <w:rPr>
          <w:rFonts w:ascii="Palatino Linotype" w:eastAsia="Palatino Linotype" w:hAnsi="Palatino Linotype" w:cs="Palatino Linotype"/>
        </w:rPr>
        <w:t xml:space="preserve"> particular</w:t>
      </w:r>
      <w:r w:rsidRPr="00AE67C6">
        <w:rPr>
          <w:rFonts w:ascii="Palatino Linotype" w:eastAsia="Palatino Linotype" w:hAnsi="Palatino Linotype" w:cs="Palatino Linotype"/>
        </w:rPr>
        <w:t>.</w:t>
      </w:r>
      <w:r w:rsidRPr="00AE67C6">
        <w:rPr>
          <w:rFonts w:ascii="Palatino Linotype" w:eastAsia="Palatino Linotype" w:hAnsi="Palatino Linotype" w:cs="Palatino Linotype"/>
          <w:b/>
        </w:rPr>
        <w:t xml:space="preserve"> </w:t>
      </w:r>
    </w:p>
    <w:p w14:paraId="2BEF50AA" w14:textId="77777777" w:rsidR="009F1671" w:rsidRPr="00AE67C6" w:rsidRDefault="009F1671">
      <w:pPr>
        <w:spacing w:line="360" w:lineRule="auto"/>
        <w:jc w:val="both"/>
        <w:rPr>
          <w:rFonts w:ascii="Palatino Linotype" w:eastAsia="Palatino Linotype" w:hAnsi="Palatino Linotype" w:cs="Palatino Linotype"/>
          <w:b/>
        </w:rPr>
      </w:pPr>
    </w:p>
    <w:p w14:paraId="3F49FAC0" w14:textId="4C9C86E1"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Derivado de lo anterior, se constituye la figura de la </w:t>
      </w:r>
      <w:r w:rsidRPr="00AE67C6">
        <w:rPr>
          <w:rFonts w:ascii="Palatino Linotype" w:eastAsia="Palatino Linotype" w:hAnsi="Palatino Linotype" w:cs="Palatino Linotype"/>
          <w:b/>
          <w:i/>
        </w:rPr>
        <w:t>Negativa Ficta</w:t>
      </w:r>
      <w:r w:rsidRPr="00AE67C6">
        <w:rPr>
          <w:rFonts w:ascii="Palatino Linotype" w:eastAsia="Palatino Linotype" w:hAnsi="Palatino Linotype" w:cs="Palatino Linotype"/>
        </w:rPr>
        <w:t xml:space="preserve">, cuya esencia consiste en atribuir un efecto negativo de la autoridad administrativa frente a las instancias y solicitudes que hagan los particulares. </w:t>
      </w:r>
    </w:p>
    <w:p w14:paraId="3A6C6569" w14:textId="77777777" w:rsidR="009F1671" w:rsidRPr="00AE67C6" w:rsidRDefault="009F1671">
      <w:pPr>
        <w:spacing w:line="360" w:lineRule="auto"/>
        <w:jc w:val="both"/>
        <w:rPr>
          <w:rFonts w:ascii="Palatino Linotype" w:eastAsia="Palatino Linotype" w:hAnsi="Palatino Linotype" w:cs="Palatino Linotype"/>
        </w:rPr>
      </w:pPr>
    </w:p>
    <w:p w14:paraId="7A6F8BF0" w14:textId="1E5465BD" w:rsidR="00785E98" w:rsidRPr="00AE67C6" w:rsidRDefault="00B60045">
      <w:pPr>
        <w:spacing w:line="360" w:lineRule="auto"/>
        <w:jc w:val="both"/>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lastRenderedPageBreak/>
        <w:t>TERCER</w:t>
      </w:r>
      <w:r w:rsidR="005D216E" w:rsidRPr="00AE67C6">
        <w:rPr>
          <w:rFonts w:ascii="Palatino Linotype" w:eastAsia="Palatino Linotype" w:hAnsi="Palatino Linotype" w:cs="Palatino Linotype"/>
          <w:b/>
          <w:sz w:val="28"/>
          <w:szCs w:val="28"/>
        </w:rPr>
        <w:t>O. Del recurso de revisión.</w:t>
      </w:r>
    </w:p>
    <w:p w14:paraId="727D5828" w14:textId="00C00B27" w:rsidR="00785E98" w:rsidRPr="00AE67C6" w:rsidRDefault="005D216E" w:rsidP="00E94B1F">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Inconforme con la falta de respuesta por </w:t>
      </w:r>
      <w:r w:rsidR="00CA19C9" w:rsidRPr="00AE67C6">
        <w:rPr>
          <w:rFonts w:ascii="Palatino Linotype" w:eastAsia="Palatino Linotype" w:hAnsi="Palatino Linotype" w:cs="Palatino Linotype"/>
        </w:rPr>
        <w:t>parte d</w:t>
      </w:r>
      <w:r w:rsidR="00693587" w:rsidRPr="00AE67C6">
        <w:rPr>
          <w:rFonts w:ascii="Palatino Linotype" w:eastAsia="Palatino Linotype" w:hAnsi="Palatino Linotype" w:cs="Palatino Linotype"/>
        </w:rPr>
        <w:t>el</w:t>
      </w:r>
      <w:r w:rsidRPr="00AE67C6">
        <w:rPr>
          <w:rFonts w:ascii="Palatino Linotype" w:eastAsia="Palatino Linotype" w:hAnsi="Palatino Linotype" w:cs="Palatino Linotype"/>
          <w:b/>
        </w:rPr>
        <w:t xml:space="preserve"> Sujeto Obligado</w:t>
      </w:r>
      <w:r w:rsidRPr="00AE67C6">
        <w:rPr>
          <w:rFonts w:ascii="Palatino Linotype" w:eastAsia="Palatino Linotype" w:hAnsi="Palatino Linotype" w:cs="Palatino Linotype"/>
        </w:rPr>
        <w:t>,</w:t>
      </w:r>
      <w:r w:rsidRPr="00AE67C6">
        <w:rPr>
          <w:rFonts w:ascii="Palatino Linotype" w:eastAsia="Palatino Linotype" w:hAnsi="Palatino Linotype" w:cs="Palatino Linotype"/>
          <w:b/>
        </w:rPr>
        <w:t xml:space="preserve"> </w:t>
      </w:r>
      <w:r w:rsidR="00693587" w:rsidRPr="00AE67C6">
        <w:rPr>
          <w:rFonts w:ascii="Palatino Linotype" w:eastAsia="Palatino Linotype" w:hAnsi="Palatino Linotype" w:cs="Palatino Linotype"/>
        </w:rPr>
        <w:t>el</w:t>
      </w:r>
      <w:r w:rsidR="00CA19C9" w:rsidRPr="00AE67C6">
        <w:rPr>
          <w:rFonts w:ascii="Palatino Linotype" w:eastAsia="Palatino Linotype" w:hAnsi="Palatino Linotype" w:cs="Palatino Linotype"/>
        </w:rPr>
        <w:t xml:space="preserve"> ahora</w:t>
      </w:r>
      <w:r w:rsidR="00693587" w:rsidRPr="00AE67C6">
        <w:rPr>
          <w:rFonts w:ascii="Palatino Linotype" w:eastAsia="Palatino Linotype" w:hAnsi="Palatino Linotype" w:cs="Palatino Linotype"/>
        </w:rPr>
        <w:t xml:space="preserve"> </w:t>
      </w:r>
      <w:r w:rsidRPr="00AE67C6">
        <w:rPr>
          <w:rFonts w:ascii="Palatino Linotype" w:eastAsia="Palatino Linotype" w:hAnsi="Palatino Linotype" w:cs="Palatino Linotype"/>
          <w:b/>
        </w:rPr>
        <w:t xml:space="preserve">Recurrente </w:t>
      </w:r>
      <w:r w:rsidRPr="00AE67C6">
        <w:rPr>
          <w:rFonts w:ascii="Palatino Linotype" w:eastAsia="Palatino Linotype" w:hAnsi="Palatino Linotype" w:cs="Palatino Linotype"/>
        </w:rPr>
        <w:t xml:space="preserve">interpuso </w:t>
      </w:r>
      <w:r w:rsidR="00693587" w:rsidRPr="00AE67C6">
        <w:rPr>
          <w:rFonts w:ascii="Palatino Linotype" w:eastAsia="Palatino Linotype" w:hAnsi="Palatino Linotype" w:cs="Palatino Linotype"/>
        </w:rPr>
        <w:t>el presente recurso</w:t>
      </w:r>
      <w:r w:rsidRPr="00AE67C6">
        <w:rPr>
          <w:rFonts w:ascii="Palatino Linotype" w:eastAsia="Palatino Linotype" w:hAnsi="Palatino Linotype" w:cs="Palatino Linotype"/>
        </w:rPr>
        <w:t xml:space="preserve"> de revisión, en fecha </w:t>
      </w:r>
      <w:r w:rsidR="006D7939" w:rsidRPr="00AE67C6">
        <w:rPr>
          <w:rFonts w:ascii="Palatino Linotype" w:eastAsia="Palatino Linotype" w:hAnsi="Palatino Linotype" w:cs="Palatino Linotype"/>
        </w:rPr>
        <w:t>cuatro</w:t>
      </w:r>
      <w:r w:rsidR="0086738F" w:rsidRPr="00AE67C6">
        <w:rPr>
          <w:rFonts w:ascii="Palatino Linotype" w:eastAsia="Palatino Linotype" w:hAnsi="Palatino Linotype" w:cs="Palatino Linotype"/>
        </w:rPr>
        <w:t xml:space="preserve"> de diciembre</w:t>
      </w:r>
      <w:r w:rsidRPr="00AE67C6">
        <w:rPr>
          <w:rFonts w:ascii="Palatino Linotype" w:eastAsia="Palatino Linotype" w:hAnsi="Palatino Linotype" w:cs="Palatino Linotype"/>
        </w:rPr>
        <w:t xml:space="preserve"> de dos mil veintic</w:t>
      </w:r>
      <w:r w:rsidR="00CA47DE" w:rsidRPr="00AE67C6">
        <w:rPr>
          <w:rFonts w:ascii="Palatino Linotype" w:eastAsia="Palatino Linotype" w:hAnsi="Palatino Linotype" w:cs="Palatino Linotype"/>
        </w:rPr>
        <w:t>inco</w:t>
      </w:r>
      <w:r w:rsidRPr="00AE67C6">
        <w:rPr>
          <w:rFonts w:ascii="Palatino Linotype" w:eastAsia="Palatino Linotype" w:hAnsi="Palatino Linotype" w:cs="Palatino Linotype"/>
        </w:rPr>
        <w:t xml:space="preserve">, </w:t>
      </w:r>
      <w:r w:rsidR="00693587" w:rsidRPr="00AE67C6">
        <w:rPr>
          <w:rFonts w:ascii="Palatino Linotype" w:eastAsia="Palatino Linotype" w:hAnsi="Palatino Linotype" w:cs="Palatino Linotype"/>
        </w:rPr>
        <w:t>el cual fue registrado</w:t>
      </w:r>
      <w:r w:rsidRPr="00AE67C6">
        <w:rPr>
          <w:rFonts w:ascii="Palatino Linotype" w:eastAsia="Palatino Linotype" w:hAnsi="Palatino Linotype" w:cs="Palatino Linotype"/>
        </w:rPr>
        <w:t xml:space="preserve"> con </w:t>
      </w:r>
      <w:r w:rsidR="00693587" w:rsidRPr="00AE67C6">
        <w:rPr>
          <w:rFonts w:ascii="Palatino Linotype" w:eastAsia="Palatino Linotype" w:hAnsi="Palatino Linotype" w:cs="Palatino Linotype"/>
        </w:rPr>
        <w:t>el expediente</w:t>
      </w:r>
      <w:r w:rsidRPr="00AE67C6">
        <w:rPr>
          <w:rFonts w:ascii="Palatino Linotype" w:eastAsia="Palatino Linotype" w:hAnsi="Palatino Linotype" w:cs="Palatino Linotype"/>
        </w:rPr>
        <w:t xml:space="preserve"> número </w:t>
      </w:r>
      <w:r w:rsidR="005B253E" w:rsidRPr="00AE67C6">
        <w:rPr>
          <w:rFonts w:ascii="Palatino Linotype" w:eastAsia="Palatino Linotype" w:hAnsi="Palatino Linotype" w:cs="Palatino Linotype"/>
          <w:b/>
          <w:sz w:val="23"/>
          <w:szCs w:val="23"/>
        </w:rPr>
        <w:t>1</w:t>
      </w:r>
      <w:r w:rsidR="0086738F" w:rsidRPr="00AE67C6">
        <w:rPr>
          <w:rFonts w:ascii="Palatino Linotype" w:eastAsia="Palatino Linotype" w:hAnsi="Palatino Linotype" w:cs="Palatino Linotype"/>
          <w:b/>
          <w:sz w:val="23"/>
          <w:szCs w:val="23"/>
        </w:rPr>
        <w:t>3</w:t>
      </w:r>
      <w:r w:rsidR="00E17070" w:rsidRPr="00AE67C6">
        <w:rPr>
          <w:rFonts w:ascii="Palatino Linotype" w:eastAsia="Palatino Linotype" w:hAnsi="Palatino Linotype" w:cs="Palatino Linotype"/>
          <w:b/>
          <w:sz w:val="23"/>
          <w:szCs w:val="23"/>
        </w:rPr>
        <w:t>70</w:t>
      </w:r>
      <w:r w:rsidR="009F1671" w:rsidRPr="00AE67C6">
        <w:rPr>
          <w:rFonts w:ascii="Palatino Linotype" w:eastAsia="Palatino Linotype" w:hAnsi="Palatino Linotype" w:cs="Palatino Linotype"/>
          <w:b/>
          <w:sz w:val="23"/>
          <w:szCs w:val="23"/>
        </w:rPr>
        <w:t>5</w:t>
      </w:r>
      <w:r w:rsidRPr="00AE67C6">
        <w:rPr>
          <w:rFonts w:ascii="Palatino Linotype" w:eastAsia="Palatino Linotype" w:hAnsi="Palatino Linotype" w:cs="Palatino Linotype"/>
          <w:b/>
          <w:sz w:val="23"/>
          <w:szCs w:val="23"/>
        </w:rPr>
        <w:t>/INFOEM/IP/RR/202</w:t>
      </w:r>
      <w:r w:rsidR="00CA47DE" w:rsidRPr="00AE67C6">
        <w:rPr>
          <w:rFonts w:ascii="Palatino Linotype" w:eastAsia="Palatino Linotype" w:hAnsi="Palatino Linotype" w:cs="Palatino Linotype"/>
          <w:b/>
          <w:sz w:val="23"/>
          <w:szCs w:val="23"/>
        </w:rPr>
        <w:t>5</w:t>
      </w:r>
      <w:r w:rsidRPr="00AE67C6">
        <w:rPr>
          <w:rFonts w:ascii="Palatino Linotype" w:eastAsia="Palatino Linotype" w:hAnsi="Palatino Linotype" w:cs="Palatino Linotype"/>
        </w:rPr>
        <w:t>,</w:t>
      </w:r>
      <w:r w:rsidRPr="00AE67C6">
        <w:rPr>
          <w:rFonts w:ascii="Palatino Linotype" w:eastAsia="Palatino Linotype" w:hAnsi="Palatino Linotype" w:cs="Palatino Linotype"/>
          <w:b/>
        </w:rPr>
        <w:t xml:space="preserve"> </w:t>
      </w:r>
      <w:r w:rsidRPr="00AE67C6">
        <w:rPr>
          <w:rFonts w:ascii="Palatino Linotype" w:eastAsia="Palatino Linotype" w:hAnsi="Palatino Linotype" w:cs="Palatino Linotype"/>
        </w:rPr>
        <w:t xml:space="preserve">en el cual arguye, las siguientes manifestaciones: </w:t>
      </w:r>
    </w:p>
    <w:p w14:paraId="0B590D79" w14:textId="77777777" w:rsidR="00E94B1F" w:rsidRPr="00AE67C6" w:rsidRDefault="00E94B1F" w:rsidP="005D13A2">
      <w:pPr>
        <w:pStyle w:val="Sinespaciado"/>
        <w:rPr>
          <w:rFonts w:eastAsia="Palatino Linotype"/>
        </w:rPr>
      </w:pPr>
    </w:p>
    <w:p w14:paraId="4DABE86C" w14:textId="76E1C57B" w:rsidR="00785E98" w:rsidRPr="00AE67C6" w:rsidRDefault="00693587" w:rsidP="009A6EC3">
      <w:pPr>
        <w:pStyle w:val="Prrafodelista"/>
        <w:numPr>
          <w:ilvl w:val="0"/>
          <w:numId w:val="2"/>
        </w:numPr>
        <w:pBdr>
          <w:top w:val="nil"/>
          <w:left w:val="nil"/>
          <w:bottom w:val="nil"/>
          <w:right w:val="nil"/>
          <w:between w:val="nil"/>
        </w:pBdr>
        <w:jc w:val="both"/>
        <w:rPr>
          <w:rFonts w:ascii="Palatino Linotype" w:eastAsia="Palatino Linotype" w:hAnsi="Palatino Linotype" w:cs="Palatino Linotype"/>
          <w:i/>
          <w:color w:val="000000"/>
        </w:rPr>
      </w:pPr>
      <w:r w:rsidRPr="00AE67C6">
        <w:rPr>
          <w:rFonts w:ascii="Palatino Linotype" w:eastAsia="Palatino Linotype" w:hAnsi="Palatino Linotype" w:cs="Palatino Linotype"/>
          <w:b/>
          <w:color w:val="000000"/>
        </w:rPr>
        <w:t>Acto impugnado:</w:t>
      </w:r>
      <w:r w:rsidRPr="00AE67C6">
        <w:rPr>
          <w:rFonts w:ascii="Palatino Linotype" w:eastAsia="Palatino Linotype" w:hAnsi="Palatino Linotype" w:cs="Palatino Linotype"/>
          <w:color w:val="000000"/>
        </w:rPr>
        <w:t xml:space="preserve"> </w:t>
      </w:r>
      <w:r w:rsidR="00E23D1E" w:rsidRPr="00AE67C6">
        <w:rPr>
          <w:rFonts w:ascii="Palatino Linotype" w:eastAsia="Palatino Linotype" w:hAnsi="Palatino Linotype" w:cs="Palatino Linotype"/>
          <w:color w:val="000000"/>
          <w:sz w:val="23"/>
          <w:szCs w:val="23"/>
        </w:rPr>
        <w:t>“</w:t>
      </w:r>
      <w:r w:rsidR="009F1671" w:rsidRPr="00AE67C6">
        <w:rPr>
          <w:rFonts w:ascii="Palatino Linotype" w:eastAsia="Palatino Linotype" w:hAnsi="Palatino Linotype" w:cs="Palatino Linotype"/>
          <w:i/>
          <w:color w:val="000000"/>
          <w:sz w:val="23"/>
          <w:szCs w:val="23"/>
        </w:rPr>
        <w:t>Solicito se me informe por qué motivo el Ayuntamiento de Tepotzotlán colocó un sello de suspensión o aseguramiento en una barda ubicada en [2da Cada Jazmin sin número Santa Cruz Tepotzotlán, alegando que en dicho punto existe una vía pública. Asimismo, solicito: 1. Se me proporcione copia del documento, plano catastral o decreto que acredite que el área donde se encuentra dicha barda forma parte de una vía pública municipal. 2. Se me indique qué autoridad o área municipal emitió la orden para colocar el sello. 3. En su caso, se me proporcione el número de expediente o procedimiento administrativo iniciado respecto a esa construcción.</w:t>
      </w:r>
      <w:r w:rsidRPr="00AE67C6">
        <w:rPr>
          <w:rFonts w:ascii="Palatino Linotype" w:eastAsia="Palatino Linotype" w:hAnsi="Palatino Linotype" w:cs="Palatino Linotype"/>
          <w:i/>
          <w:color w:val="000000"/>
          <w:sz w:val="23"/>
          <w:szCs w:val="23"/>
        </w:rPr>
        <w:t>”</w:t>
      </w:r>
      <w:r w:rsidRPr="00AE67C6">
        <w:rPr>
          <w:rFonts w:ascii="Palatino Linotype" w:eastAsia="Palatino Linotype" w:hAnsi="Palatino Linotype" w:cs="Palatino Linotype"/>
          <w:i/>
          <w:color w:val="000000"/>
        </w:rPr>
        <w:t xml:space="preserve"> (Sic).</w:t>
      </w:r>
    </w:p>
    <w:p w14:paraId="570054AB" w14:textId="77777777" w:rsidR="00693587" w:rsidRPr="00AE67C6" w:rsidRDefault="00693587" w:rsidP="00096011">
      <w:pPr>
        <w:pStyle w:val="Prrafodelista"/>
        <w:pBdr>
          <w:top w:val="nil"/>
          <w:left w:val="nil"/>
          <w:bottom w:val="nil"/>
          <w:right w:val="nil"/>
          <w:between w:val="nil"/>
        </w:pBdr>
        <w:jc w:val="both"/>
        <w:rPr>
          <w:rFonts w:ascii="Palatino Linotype" w:eastAsia="Palatino Linotype" w:hAnsi="Palatino Linotype" w:cs="Palatino Linotype"/>
          <w:color w:val="000000"/>
        </w:rPr>
      </w:pPr>
    </w:p>
    <w:p w14:paraId="35830456" w14:textId="7DCF7D6C" w:rsidR="005D13A2" w:rsidRPr="00AE67C6" w:rsidRDefault="00693587" w:rsidP="006D7939">
      <w:pPr>
        <w:pStyle w:val="Prrafodelista"/>
        <w:numPr>
          <w:ilvl w:val="0"/>
          <w:numId w:val="2"/>
        </w:numPr>
        <w:pBdr>
          <w:top w:val="nil"/>
          <w:left w:val="nil"/>
          <w:bottom w:val="nil"/>
          <w:right w:val="nil"/>
          <w:between w:val="nil"/>
        </w:pBdr>
        <w:jc w:val="both"/>
        <w:rPr>
          <w:rFonts w:ascii="Palatino Linotype" w:eastAsia="Palatino Linotype" w:hAnsi="Palatino Linotype" w:cs="Palatino Linotype"/>
          <w:i/>
          <w:color w:val="000000"/>
        </w:rPr>
      </w:pPr>
      <w:r w:rsidRPr="00AE67C6">
        <w:rPr>
          <w:rFonts w:ascii="Palatino Linotype" w:eastAsia="Palatino Linotype" w:hAnsi="Palatino Linotype" w:cs="Palatino Linotype"/>
          <w:b/>
          <w:color w:val="000000"/>
        </w:rPr>
        <w:t>Razones o motivos de la inconformidad:</w:t>
      </w:r>
      <w:r w:rsidRPr="00AE67C6">
        <w:rPr>
          <w:rFonts w:ascii="Palatino Linotype" w:eastAsia="Palatino Linotype" w:hAnsi="Palatino Linotype" w:cs="Palatino Linotype"/>
          <w:color w:val="000000"/>
        </w:rPr>
        <w:t xml:space="preserve"> </w:t>
      </w:r>
      <w:r w:rsidRPr="00AE67C6">
        <w:rPr>
          <w:rFonts w:ascii="Palatino Linotype" w:eastAsia="Palatino Linotype" w:hAnsi="Palatino Linotype" w:cs="Palatino Linotype"/>
          <w:i/>
          <w:color w:val="000000"/>
        </w:rPr>
        <w:t>“</w:t>
      </w:r>
      <w:r w:rsidR="009F1671" w:rsidRPr="00AE67C6">
        <w:rPr>
          <w:rFonts w:ascii="Palatino Linotype" w:eastAsia="Palatino Linotype" w:hAnsi="Palatino Linotype" w:cs="Palatino Linotype"/>
          <w:i/>
          <w:color w:val="000000"/>
          <w:sz w:val="23"/>
          <w:szCs w:val="23"/>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009F1671" w:rsidRPr="00AE67C6">
        <w:rPr>
          <w:rFonts w:ascii="Palatino Linotype" w:eastAsia="Palatino Linotype" w:hAnsi="Palatino Linotype" w:cs="Palatino Linotype"/>
          <w:i/>
          <w:color w:val="000000"/>
          <w:sz w:val="23"/>
          <w:szCs w:val="23"/>
        </w:rPr>
        <w:t>articulo</w:t>
      </w:r>
      <w:proofErr w:type="spellEnd"/>
      <w:r w:rsidR="009F1671" w:rsidRPr="00AE67C6">
        <w:rPr>
          <w:rFonts w:ascii="Palatino Linotype" w:eastAsia="Palatino Linotype" w:hAnsi="Palatino Linotype" w:cs="Palatino Linotype"/>
          <w:i/>
          <w:color w:val="000000"/>
          <w:sz w:val="23"/>
          <w:szCs w:val="23"/>
        </w:rPr>
        <w:t xml:space="preserve"> 6 y 8 constitucional tengo derecho a realizar mi petición y tener acceso a la información pública, así mismo de conformidad al </w:t>
      </w:r>
      <w:proofErr w:type="spellStart"/>
      <w:r w:rsidR="009F1671" w:rsidRPr="00AE67C6">
        <w:rPr>
          <w:rFonts w:ascii="Palatino Linotype" w:eastAsia="Palatino Linotype" w:hAnsi="Palatino Linotype" w:cs="Palatino Linotype"/>
          <w:i/>
          <w:color w:val="000000"/>
          <w:sz w:val="23"/>
          <w:szCs w:val="23"/>
        </w:rPr>
        <w:t>articulo</w:t>
      </w:r>
      <w:proofErr w:type="spellEnd"/>
      <w:r w:rsidR="009F1671" w:rsidRPr="00AE67C6">
        <w:rPr>
          <w:rFonts w:ascii="Palatino Linotype" w:eastAsia="Palatino Linotype" w:hAnsi="Palatino Linotype" w:cs="Palatino Linotype"/>
          <w:i/>
          <w:color w:val="000000"/>
          <w:sz w:val="23"/>
          <w:szCs w:val="23"/>
        </w:rPr>
        <w:t xml:space="preserve"> 4, 11, 15, 92, 111, 112, 150, 151, 152, 160, 162, 176, 177, 178, 179, 180, de la Ley de Transparencia y Acceso a la Información </w:t>
      </w:r>
      <w:proofErr w:type="spellStart"/>
      <w:r w:rsidR="009F1671" w:rsidRPr="00AE67C6">
        <w:rPr>
          <w:rFonts w:ascii="Palatino Linotype" w:eastAsia="Palatino Linotype" w:hAnsi="Palatino Linotype" w:cs="Palatino Linotype"/>
          <w:i/>
          <w:color w:val="000000"/>
          <w:sz w:val="23"/>
          <w:szCs w:val="23"/>
        </w:rPr>
        <w:t>Publica</w:t>
      </w:r>
      <w:proofErr w:type="spellEnd"/>
      <w:r w:rsidR="009F1671" w:rsidRPr="00AE67C6">
        <w:rPr>
          <w:rFonts w:ascii="Palatino Linotype" w:eastAsia="Palatino Linotype" w:hAnsi="Palatino Linotype" w:cs="Palatino Linotype"/>
          <w:i/>
          <w:color w:val="000000"/>
          <w:sz w:val="23"/>
          <w:szCs w:val="23"/>
        </w:rPr>
        <w:t xml:space="preserve"> del Estado de México y Municipios se hace de su conocimiento que transcurrido el plazo para darme una respuesta el ayuntamiento hizo caso omiso y nunca contesto mi solicitud de información </w:t>
      </w:r>
      <w:proofErr w:type="spellStart"/>
      <w:r w:rsidR="009F1671" w:rsidRPr="00AE67C6">
        <w:rPr>
          <w:rFonts w:ascii="Palatino Linotype" w:eastAsia="Palatino Linotype" w:hAnsi="Palatino Linotype" w:cs="Palatino Linotype"/>
          <w:i/>
          <w:color w:val="000000"/>
          <w:sz w:val="23"/>
          <w:szCs w:val="23"/>
        </w:rPr>
        <w:t>publica</w:t>
      </w:r>
      <w:proofErr w:type="spellEnd"/>
      <w:r w:rsidR="009F1671" w:rsidRPr="00AE67C6">
        <w:rPr>
          <w:rFonts w:ascii="Palatino Linotype" w:eastAsia="Palatino Linotype" w:hAnsi="Palatino Linotype" w:cs="Palatino Linotype"/>
          <w:i/>
          <w:color w:val="000000"/>
          <w:sz w:val="23"/>
          <w:szCs w:val="23"/>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w:t>
      </w:r>
      <w:r w:rsidR="009F1671" w:rsidRPr="00AE67C6">
        <w:rPr>
          <w:rFonts w:ascii="Palatino Linotype" w:eastAsia="Palatino Linotype" w:hAnsi="Palatino Linotype" w:cs="Palatino Linotype"/>
          <w:i/>
          <w:color w:val="000000"/>
          <w:sz w:val="23"/>
          <w:szCs w:val="23"/>
        </w:rPr>
        <w:lastRenderedPageBreak/>
        <w:t>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w:t>
      </w:r>
      <w:r w:rsidRPr="00AE67C6">
        <w:rPr>
          <w:rFonts w:ascii="Palatino Linotype" w:eastAsia="Palatino Linotype" w:hAnsi="Palatino Linotype" w:cs="Palatino Linotype"/>
          <w:i/>
          <w:color w:val="000000"/>
          <w:sz w:val="23"/>
          <w:szCs w:val="23"/>
        </w:rPr>
        <w:t>” (Sic).</w:t>
      </w:r>
      <w:r w:rsidRPr="00AE67C6">
        <w:rPr>
          <w:rFonts w:ascii="Palatino Linotype" w:eastAsia="Palatino Linotype" w:hAnsi="Palatino Linotype" w:cs="Palatino Linotype"/>
          <w:i/>
          <w:color w:val="000000"/>
        </w:rPr>
        <w:t xml:space="preserve"> </w:t>
      </w:r>
    </w:p>
    <w:p w14:paraId="65167DB4" w14:textId="77777777" w:rsidR="006F4FBC" w:rsidRPr="00AE67C6" w:rsidRDefault="006F4FBC">
      <w:pPr>
        <w:spacing w:line="360" w:lineRule="auto"/>
        <w:jc w:val="both"/>
        <w:rPr>
          <w:rFonts w:ascii="Palatino Linotype" w:eastAsia="Palatino Linotype" w:hAnsi="Palatino Linotype" w:cs="Palatino Linotype"/>
          <w:b/>
          <w:sz w:val="28"/>
          <w:szCs w:val="28"/>
        </w:rPr>
      </w:pPr>
    </w:p>
    <w:p w14:paraId="1D7DB2B5" w14:textId="7028B78D" w:rsidR="00785E98" w:rsidRPr="00AE67C6" w:rsidRDefault="00B60045">
      <w:pPr>
        <w:spacing w:line="360" w:lineRule="auto"/>
        <w:jc w:val="both"/>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CUAR</w:t>
      </w:r>
      <w:r w:rsidR="000E459C" w:rsidRPr="00AE67C6">
        <w:rPr>
          <w:rFonts w:ascii="Palatino Linotype" w:eastAsia="Palatino Linotype" w:hAnsi="Palatino Linotype" w:cs="Palatino Linotype"/>
          <w:b/>
          <w:sz w:val="28"/>
          <w:szCs w:val="28"/>
        </w:rPr>
        <w:t>T</w:t>
      </w:r>
      <w:r w:rsidR="005D216E" w:rsidRPr="00AE67C6">
        <w:rPr>
          <w:rFonts w:ascii="Palatino Linotype" w:eastAsia="Palatino Linotype" w:hAnsi="Palatino Linotype" w:cs="Palatino Linotype"/>
          <w:b/>
          <w:sz w:val="28"/>
          <w:szCs w:val="28"/>
        </w:rPr>
        <w:t>O</w:t>
      </w:r>
      <w:r w:rsidR="005D216E" w:rsidRPr="00AE67C6">
        <w:rPr>
          <w:rFonts w:ascii="Palatino Linotype" w:eastAsia="Palatino Linotype" w:hAnsi="Palatino Linotype" w:cs="Palatino Linotype"/>
          <w:b/>
        </w:rPr>
        <w:t xml:space="preserve">. </w:t>
      </w:r>
      <w:r w:rsidR="005D216E" w:rsidRPr="00AE67C6">
        <w:rPr>
          <w:rFonts w:ascii="Palatino Linotype" w:eastAsia="Palatino Linotype" w:hAnsi="Palatino Linotype" w:cs="Palatino Linotype"/>
          <w:b/>
          <w:sz w:val="28"/>
          <w:szCs w:val="28"/>
        </w:rPr>
        <w:t>Del turno del recurso de revisión.</w:t>
      </w:r>
    </w:p>
    <w:p w14:paraId="4F3A1DC8" w14:textId="6F5BF9AC" w:rsidR="005B253E" w:rsidRPr="00AE67C6" w:rsidRDefault="00CA19C9">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Medio de impugnación que le fue turnado al Comisionado Presidente</w:t>
      </w:r>
      <w:r w:rsidR="005D216E" w:rsidRPr="00AE67C6">
        <w:rPr>
          <w:rFonts w:ascii="Palatino Linotype" w:eastAsia="Palatino Linotype" w:hAnsi="Palatino Linotype" w:cs="Palatino Linotype"/>
        </w:rPr>
        <w:t xml:space="preserve"> </w:t>
      </w:r>
      <w:r w:rsidR="005D216E" w:rsidRPr="00AE67C6">
        <w:rPr>
          <w:rFonts w:ascii="Palatino Linotype" w:eastAsia="Palatino Linotype" w:hAnsi="Palatino Linotype" w:cs="Palatino Linotype"/>
          <w:b/>
        </w:rPr>
        <w:t>José Martínez Vilchis</w:t>
      </w:r>
      <w:r w:rsidR="005D216E" w:rsidRPr="00AE67C6">
        <w:rPr>
          <w:rFonts w:ascii="Palatino Linotype" w:eastAsia="Palatino Linotype" w:hAnsi="Palatino Linotype" w:cs="Palatino Linotype"/>
        </w:rPr>
        <w:t>, por medio del sistema electrónico en términos del arábigo 185, fracción I, de la Ley de Transparencia y Acceso a la información Pública del Es</w:t>
      </w:r>
      <w:r w:rsidRPr="00AE67C6">
        <w:rPr>
          <w:rFonts w:ascii="Palatino Linotype" w:eastAsia="Palatino Linotype" w:hAnsi="Palatino Linotype" w:cs="Palatino Linotype"/>
        </w:rPr>
        <w:t>tado de México y Municipios, del cual recayó acuerdo</w:t>
      </w:r>
      <w:r w:rsidR="005D216E" w:rsidRPr="00AE67C6">
        <w:rPr>
          <w:rFonts w:ascii="Palatino Linotype" w:eastAsia="Palatino Linotype" w:hAnsi="Palatino Linotype" w:cs="Palatino Linotype"/>
        </w:rPr>
        <w:t xml:space="preserve"> de admisión en fecha </w:t>
      </w:r>
      <w:r w:rsidR="00585B82" w:rsidRPr="00AE67C6">
        <w:rPr>
          <w:rFonts w:ascii="Palatino Linotype" w:eastAsia="Palatino Linotype" w:hAnsi="Palatino Linotype" w:cs="Palatino Linotype"/>
        </w:rPr>
        <w:t>cinco</w:t>
      </w:r>
      <w:r w:rsidR="0086738F" w:rsidRPr="00AE67C6">
        <w:rPr>
          <w:rFonts w:ascii="Palatino Linotype" w:eastAsia="Palatino Linotype" w:hAnsi="Palatino Linotype" w:cs="Palatino Linotype"/>
        </w:rPr>
        <w:t xml:space="preserve"> de diciembre</w:t>
      </w:r>
      <w:r w:rsidRPr="00AE67C6">
        <w:rPr>
          <w:rFonts w:ascii="Palatino Linotype" w:eastAsia="Palatino Linotype" w:hAnsi="Palatino Linotype" w:cs="Palatino Linotype"/>
        </w:rPr>
        <w:t xml:space="preserve"> </w:t>
      </w:r>
      <w:r w:rsidR="005D216E" w:rsidRPr="00AE67C6">
        <w:rPr>
          <w:rFonts w:ascii="Palatino Linotype" w:eastAsia="Palatino Linotype" w:hAnsi="Palatino Linotype" w:cs="Palatino Linotype"/>
        </w:rPr>
        <w:t>de dos mil veint</w:t>
      </w:r>
      <w:r w:rsidRPr="00AE67C6">
        <w:rPr>
          <w:rFonts w:ascii="Palatino Linotype" w:eastAsia="Palatino Linotype" w:hAnsi="Palatino Linotype" w:cs="Palatino Linotype"/>
        </w:rPr>
        <w:t>ic</w:t>
      </w:r>
      <w:r w:rsidR="00E94B1F" w:rsidRPr="00AE67C6">
        <w:rPr>
          <w:rFonts w:ascii="Palatino Linotype" w:eastAsia="Palatino Linotype" w:hAnsi="Palatino Linotype" w:cs="Palatino Linotype"/>
        </w:rPr>
        <w:t>inco</w:t>
      </w:r>
      <w:r w:rsidRPr="00AE67C6">
        <w:rPr>
          <w:rFonts w:ascii="Palatino Linotype" w:eastAsia="Palatino Linotype" w:hAnsi="Palatino Linotype" w:cs="Palatino Linotype"/>
        </w:rPr>
        <w:t>, determinándose en él</w:t>
      </w:r>
      <w:r w:rsidR="005D216E" w:rsidRPr="00AE67C6">
        <w:rPr>
          <w:rFonts w:ascii="Palatino Linotype" w:eastAsia="Palatino Linotype" w:hAnsi="Palatino Linotype" w:cs="Palatino Linotype"/>
        </w:rPr>
        <w:t>, un plazo de siete días para que las partes manifestaran lo que a su derecho corresponda en términos del numeral ya citado.</w:t>
      </w:r>
    </w:p>
    <w:p w14:paraId="0B4F3247" w14:textId="77777777" w:rsidR="0086738F" w:rsidRPr="00AE67C6" w:rsidRDefault="0086738F">
      <w:pPr>
        <w:spacing w:line="360" w:lineRule="auto"/>
        <w:jc w:val="both"/>
        <w:rPr>
          <w:rFonts w:ascii="Palatino Linotype" w:eastAsia="Palatino Linotype" w:hAnsi="Palatino Linotype" w:cs="Palatino Linotype"/>
        </w:rPr>
      </w:pPr>
    </w:p>
    <w:p w14:paraId="2547831B" w14:textId="3538499C" w:rsidR="00785E98" w:rsidRPr="00AE67C6" w:rsidRDefault="00B60045">
      <w:pPr>
        <w:spacing w:line="360" w:lineRule="auto"/>
        <w:jc w:val="both"/>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QUINT</w:t>
      </w:r>
      <w:r w:rsidR="005D216E" w:rsidRPr="00AE67C6">
        <w:rPr>
          <w:rFonts w:ascii="Palatino Linotype" w:eastAsia="Palatino Linotype" w:hAnsi="Palatino Linotype" w:cs="Palatino Linotype"/>
          <w:b/>
          <w:sz w:val="28"/>
          <w:szCs w:val="28"/>
        </w:rPr>
        <w:t>O</w:t>
      </w:r>
      <w:r w:rsidR="005D216E" w:rsidRPr="00AE67C6">
        <w:rPr>
          <w:rFonts w:ascii="Palatino Linotype" w:eastAsia="Palatino Linotype" w:hAnsi="Palatino Linotype" w:cs="Palatino Linotype"/>
          <w:b/>
        </w:rPr>
        <w:t xml:space="preserve">. </w:t>
      </w:r>
      <w:r w:rsidR="005D216E" w:rsidRPr="00AE67C6">
        <w:rPr>
          <w:rFonts w:ascii="Palatino Linotype" w:eastAsia="Palatino Linotype" w:hAnsi="Palatino Linotype" w:cs="Palatino Linotype"/>
          <w:b/>
          <w:sz w:val="28"/>
          <w:szCs w:val="28"/>
        </w:rPr>
        <w:t>De la etapa de instrucción.</w:t>
      </w:r>
    </w:p>
    <w:p w14:paraId="48F63D35" w14:textId="2996E82E" w:rsidR="0086738F"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Así, una vez transcurrido el término legal referido,</w:t>
      </w:r>
      <w:r w:rsidR="00CA19C9" w:rsidRPr="00AE67C6">
        <w:rPr>
          <w:rFonts w:ascii="Palatino Linotype" w:eastAsia="Palatino Linotype" w:hAnsi="Palatino Linotype" w:cs="Palatino Linotype"/>
        </w:rPr>
        <w:t xml:space="preserve"> el </w:t>
      </w:r>
      <w:r w:rsidRPr="00AE67C6">
        <w:rPr>
          <w:rFonts w:ascii="Palatino Linotype" w:eastAsia="Palatino Linotype" w:hAnsi="Palatino Linotype" w:cs="Palatino Linotype"/>
          <w:b/>
        </w:rPr>
        <w:t xml:space="preserve">Sujeto Obligado </w:t>
      </w:r>
      <w:r w:rsidRPr="00AE67C6">
        <w:rPr>
          <w:rFonts w:ascii="Palatino Linotype" w:eastAsia="Palatino Linotype" w:hAnsi="Palatino Linotype" w:cs="Palatino Linotype"/>
        </w:rPr>
        <w:t xml:space="preserve">fue omiso en remitir su informe justificado; asimismo, se aprecia que la parte </w:t>
      </w:r>
      <w:r w:rsidRPr="00AE67C6">
        <w:rPr>
          <w:rFonts w:ascii="Palatino Linotype" w:eastAsia="Palatino Linotype" w:hAnsi="Palatino Linotype" w:cs="Palatino Linotype"/>
          <w:b/>
        </w:rPr>
        <w:t>Recurrente</w:t>
      </w:r>
      <w:r w:rsidRPr="00AE67C6">
        <w:rPr>
          <w:rFonts w:ascii="Palatino Linotype" w:eastAsia="Palatino Linotype" w:hAnsi="Palatino Linotype" w:cs="Palatino Linotype"/>
        </w:rPr>
        <w:t>,</w:t>
      </w:r>
      <w:r w:rsidR="00CA19C9" w:rsidRPr="00AE67C6">
        <w:rPr>
          <w:rFonts w:ascii="Palatino Linotype" w:eastAsia="Palatino Linotype" w:hAnsi="Palatino Linotype" w:cs="Palatino Linotype"/>
        </w:rPr>
        <w:t xml:space="preserve"> tampoco rindió manifestaciones</w:t>
      </w:r>
      <w:r w:rsidR="000E459C" w:rsidRPr="00AE67C6">
        <w:rPr>
          <w:rFonts w:ascii="Palatino Linotype" w:eastAsia="Palatino Linotype" w:hAnsi="Palatino Linotype" w:cs="Palatino Linotype"/>
        </w:rPr>
        <w:t>, lo anterior de conformidad con la siguiente captura de pantalla:</w:t>
      </w:r>
    </w:p>
    <w:p w14:paraId="07BC271B" w14:textId="77777777" w:rsidR="0086738F" w:rsidRPr="00AE67C6" w:rsidRDefault="0086738F" w:rsidP="0086738F">
      <w:pPr>
        <w:pStyle w:val="Sinespaciado"/>
        <w:rPr>
          <w:rFonts w:eastAsia="Palatino Linotype"/>
          <w:sz w:val="2"/>
          <w:szCs w:val="2"/>
        </w:rPr>
      </w:pPr>
    </w:p>
    <w:p w14:paraId="73ECCF38" w14:textId="2437DE1F" w:rsidR="00D46F14" w:rsidRPr="00AE67C6" w:rsidRDefault="009F1671" w:rsidP="000170E4">
      <w:pPr>
        <w:spacing w:line="360" w:lineRule="auto"/>
        <w:jc w:val="center"/>
        <w:rPr>
          <w:rFonts w:ascii="Palatino Linotype" w:eastAsia="Palatino Linotype" w:hAnsi="Palatino Linotype" w:cs="Palatino Linotype"/>
        </w:rPr>
      </w:pPr>
      <w:r w:rsidRPr="00AE67C6">
        <w:rPr>
          <w:rFonts w:ascii="Palatino Linotype" w:eastAsia="Palatino Linotype" w:hAnsi="Palatino Linotype" w:cs="Palatino Linotype"/>
          <w:noProof/>
          <w:lang w:val="es-MX"/>
        </w:rPr>
        <w:lastRenderedPageBreak/>
        <w:drawing>
          <wp:inline distT="0" distB="0" distL="0" distR="0" wp14:anchorId="0E510735" wp14:editId="5085BB15">
            <wp:extent cx="5791835" cy="1422400"/>
            <wp:effectExtent l="152400" t="152400" r="361315" b="368300"/>
            <wp:docPr id="1834552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2876" name=""/>
                    <pic:cNvPicPr/>
                  </pic:nvPicPr>
                  <pic:blipFill>
                    <a:blip r:embed="rId9"/>
                    <a:stretch>
                      <a:fillRect/>
                    </a:stretch>
                  </pic:blipFill>
                  <pic:spPr>
                    <a:xfrm>
                      <a:off x="0" y="0"/>
                      <a:ext cx="5791835" cy="1422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38B373" w14:textId="54AC6007" w:rsidR="00785E98" w:rsidRPr="00AE67C6" w:rsidRDefault="00B60045">
      <w:pPr>
        <w:spacing w:line="360" w:lineRule="auto"/>
        <w:jc w:val="both"/>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SEXT</w:t>
      </w:r>
      <w:r w:rsidR="005D216E" w:rsidRPr="00AE67C6">
        <w:rPr>
          <w:rFonts w:ascii="Palatino Linotype" w:eastAsia="Palatino Linotype" w:hAnsi="Palatino Linotype" w:cs="Palatino Linotype"/>
          <w:b/>
          <w:sz w:val="28"/>
          <w:szCs w:val="28"/>
        </w:rPr>
        <w:t>O</w:t>
      </w:r>
      <w:r w:rsidR="005D216E" w:rsidRPr="00AE67C6">
        <w:rPr>
          <w:rFonts w:ascii="Palatino Linotype" w:eastAsia="Palatino Linotype" w:hAnsi="Palatino Linotype" w:cs="Palatino Linotype"/>
          <w:b/>
        </w:rPr>
        <w:t xml:space="preserve">. </w:t>
      </w:r>
      <w:r w:rsidR="005D216E" w:rsidRPr="00AE67C6">
        <w:rPr>
          <w:rFonts w:ascii="Palatino Linotype" w:eastAsia="Palatino Linotype" w:hAnsi="Palatino Linotype" w:cs="Palatino Linotype"/>
          <w:b/>
          <w:sz w:val="28"/>
          <w:szCs w:val="28"/>
        </w:rPr>
        <w:t>Del Cierre de la Etapa de Instrucción.</w:t>
      </w:r>
    </w:p>
    <w:p w14:paraId="63EDA880" w14:textId="7CA73A80" w:rsidR="00E23D1E"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En fecha </w:t>
      </w:r>
      <w:r w:rsidR="0086738F" w:rsidRPr="00AE67C6">
        <w:rPr>
          <w:rFonts w:ascii="Palatino Linotype" w:eastAsia="Palatino Linotype" w:hAnsi="Palatino Linotype" w:cs="Palatino Linotype"/>
        </w:rPr>
        <w:t>dieci</w:t>
      </w:r>
      <w:r w:rsidR="00585B82" w:rsidRPr="00AE67C6">
        <w:rPr>
          <w:rFonts w:ascii="Palatino Linotype" w:eastAsia="Palatino Linotype" w:hAnsi="Palatino Linotype" w:cs="Palatino Linotype"/>
        </w:rPr>
        <w:t>ocho</w:t>
      </w:r>
      <w:r w:rsidR="0086738F" w:rsidRPr="00AE67C6">
        <w:rPr>
          <w:rFonts w:ascii="Palatino Linotype" w:eastAsia="Palatino Linotype" w:hAnsi="Palatino Linotype" w:cs="Palatino Linotype"/>
        </w:rPr>
        <w:t xml:space="preserve"> de diciembre</w:t>
      </w:r>
      <w:r w:rsidR="00CA19C9" w:rsidRPr="00AE67C6">
        <w:rPr>
          <w:rFonts w:ascii="Palatino Linotype" w:eastAsia="Palatino Linotype" w:hAnsi="Palatino Linotype" w:cs="Palatino Linotype"/>
        </w:rPr>
        <w:t xml:space="preserve"> de dos mil veinticinco</w:t>
      </w:r>
      <w:r w:rsidRPr="00AE67C6">
        <w:rPr>
          <w:rFonts w:ascii="Palatino Linotype" w:eastAsia="Palatino Linotype" w:hAnsi="Palatino Linotype" w:cs="Palatino Linotype"/>
        </w:rPr>
        <w:t>, en términos del artículo 185, fracción VI, de la Ley de Transparencia y Acceso a la Información Pública del Estado de México y Municipios, se decretó el cierre de instrucción, iniciando el término legal para dictar resolución definitiva del asunto.</w:t>
      </w:r>
    </w:p>
    <w:p w14:paraId="14B7757B" w14:textId="77777777" w:rsidR="006F4FBC" w:rsidRPr="00AE67C6" w:rsidRDefault="006F4FBC">
      <w:pPr>
        <w:spacing w:line="360" w:lineRule="auto"/>
        <w:jc w:val="both"/>
        <w:rPr>
          <w:rFonts w:ascii="Palatino Linotype" w:eastAsia="Palatino Linotype" w:hAnsi="Palatino Linotype" w:cs="Palatino Linotype"/>
        </w:rPr>
      </w:pPr>
    </w:p>
    <w:p w14:paraId="7F078923" w14:textId="77777777" w:rsidR="00785E98" w:rsidRPr="00AE67C6" w:rsidRDefault="005D216E">
      <w:pPr>
        <w:spacing w:line="360" w:lineRule="auto"/>
        <w:jc w:val="center"/>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 xml:space="preserve">C O N S I D E R A N D O </w:t>
      </w:r>
    </w:p>
    <w:p w14:paraId="5F24EF89" w14:textId="77777777" w:rsidR="00785E98" w:rsidRPr="00AE67C6" w:rsidRDefault="00785E98" w:rsidP="0086738F">
      <w:pPr>
        <w:pStyle w:val="Sinespaciado"/>
        <w:rPr>
          <w:rFonts w:eastAsia="Palatino Linotype"/>
        </w:rPr>
      </w:pPr>
    </w:p>
    <w:p w14:paraId="2706434C"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t>PRIMERO.</w:t>
      </w:r>
      <w:r w:rsidRPr="00AE67C6">
        <w:rPr>
          <w:rFonts w:ascii="Palatino Linotype" w:eastAsia="Palatino Linotype" w:hAnsi="Palatino Linotype" w:cs="Palatino Linotype"/>
          <w:b/>
        </w:rPr>
        <w:t xml:space="preserve"> </w:t>
      </w:r>
      <w:r w:rsidRPr="00AE67C6">
        <w:rPr>
          <w:rFonts w:ascii="Palatino Linotype" w:eastAsia="Palatino Linotype" w:hAnsi="Palatino Linotype" w:cs="Palatino Linotype"/>
          <w:b/>
          <w:sz w:val="28"/>
          <w:szCs w:val="28"/>
        </w:rPr>
        <w:t>De la competencia</w:t>
      </w:r>
      <w:r w:rsidRPr="00AE67C6">
        <w:rPr>
          <w:rFonts w:ascii="Palatino Linotype" w:eastAsia="Palatino Linotype" w:hAnsi="Palatino Linotype" w:cs="Palatino Linotype"/>
          <w:sz w:val="28"/>
          <w:szCs w:val="28"/>
        </w:rPr>
        <w:t>.</w:t>
      </w:r>
    </w:p>
    <w:p w14:paraId="5625D16D" w14:textId="7E736E3E" w:rsidR="00F70064" w:rsidRPr="00AE67C6" w:rsidRDefault="008D40CA" w:rsidP="00B60045">
      <w:pPr>
        <w:spacing w:line="360" w:lineRule="auto"/>
        <w:jc w:val="both"/>
        <w:rPr>
          <w:rFonts w:ascii="Palatino Linotype" w:eastAsia="Calibri" w:hAnsi="Palatino Linotype"/>
          <w:kern w:val="2"/>
          <w:lang w:val="es-MX" w:eastAsia="en-US"/>
          <w14:ligatures w14:val="standardContextual"/>
        </w:rPr>
      </w:pPr>
      <w:bookmarkStart w:id="1" w:name="_Hlk194325801"/>
      <w:r w:rsidRPr="00AE67C6">
        <w:rPr>
          <w:rFonts w:ascii="Palatino Linotype" w:eastAsia="Calibri" w:hAnsi="Palatino Linotype"/>
          <w:kern w:val="2"/>
          <w:lang w:val="es-MX" w:eastAsia="en-US"/>
          <w14:ligatures w14:val="standardContextual"/>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AE67C6">
        <w:rPr>
          <w:rFonts w:ascii="Palatino Linotype" w:eastAsia="Calibri" w:hAnsi="Palatino Linotype"/>
          <w:kern w:val="2"/>
          <w:lang w:val="es-MX" w:eastAsia="en-US"/>
          <w14:ligatures w14:val="standardContextual"/>
        </w:rPr>
        <w:lastRenderedPageBreak/>
        <w:t>Transparencia, Acceso a la Información Pública y Protección de Datos Personales del Estado de México y Municipios.</w:t>
      </w:r>
    </w:p>
    <w:p w14:paraId="514091E8" w14:textId="77777777" w:rsidR="008D40CA" w:rsidRPr="00AE67C6" w:rsidRDefault="008D40CA" w:rsidP="00B60045">
      <w:pPr>
        <w:spacing w:line="360" w:lineRule="auto"/>
        <w:jc w:val="both"/>
        <w:rPr>
          <w:rFonts w:ascii="Palatino Linotype" w:eastAsia="Calibri" w:hAnsi="Palatino Linotype"/>
          <w:kern w:val="2"/>
          <w:lang w:val="es-MX" w:eastAsia="en-US"/>
          <w14:ligatures w14:val="standardContextual"/>
        </w:rPr>
      </w:pPr>
    </w:p>
    <w:bookmarkEnd w:id="1"/>
    <w:p w14:paraId="25678A64" w14:textId="77777777" w:rsidR="00785E98" w:rsidRPr="00AE67C6" w:rsidRDefault="005D216E" w:rsidP="00B6004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E67C6">
        <w:rPr>
          <w:rFonts w:ascii="Palatino Linotype" w:eastAsia="Palatino Linotype" w:hAnsi="Palatino Linotype" w:cs="Palatino Linotype"/>
          <w:b/>
          <w:color w:val="000000"/>
          <w:sz w:val="28"/>
          <w:szCs w:val="28"/>
        </w:rPr>
        <w:t>SEGUNDO</w:t>
      </w:r>
      <w:r w:rsidRPr="00AE67C6">
        <w:rPr>
          <w:rFonts w:ascii="Palatino Linotype" w:eastAsia="Palatino Linotype" w:hAnsi="Palatino Linotype" w:cs="Palatino Linotype"/>
          <w:b/>
          <w:color w:val="000000"/>
        </w:rPr>
        <w:t xml:space="preserve">. </w:t>
      </w:r>
      <w:r w:rsidRPr="00AE67C6">
        <w:rPr>
          <w:rFonts w:ascii="Palatino Linotype" w:eastAsia="Palatino Linotype" w:hAnsi="Palatino Linotype" w:cs="Palatino Linotype"/>
          <w:b/>
          <w:color w:val="000000"/>
          <w:sz w:val="28"/>
          <w:szCs w:val="28"/>
        </w:rPr>
        <w:t>Sobre los alcances del recurso de revisión.</w:t>
      </w:r>
      <w:r w:rsidRPr="00AE67C6">
        <w:rPr>
          <w:rFonts w:ascii="Palatino Linotype" w:eastAsia="Palatino Linotype" w:hAnsi="Palatino Linotype" w:cs="Palatino Linotype"/>
          <w:b/>
          <w:color w:val="000000"/>
        </w:rPr>
        <w:t xml:space="preserve"> </w:t>
      </w:r>
    </w:p>
    <w:p w14:paraId="1034EA62" w14:textId="77777777" w:rsidR="00785E98" w:rsidRPr="00AE67C6" w:rsidRDefault="005D21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E67C6">
        <w:rPr>
          <w:rFonts w:ascii="Palatino Linotype" w:eastAsia="Palatino Linotype" w:hAnsi="Palatino Linotype" w:cs="Palatino Linotype"/>
          <w:color w:val="000000"/>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9107316" w14:textId="77777777" w:rsidR="00785E98" w:rsidRPr="00AE67C6" w:rsidRDefault="00785E98">
      <w:pPr>
        <w:spacing w:line="360" w:lineRule="auto"/>
        <w:jc w:val="both"/>
        <w:rPr>
          <w:rFonts w:ascii="Palatino Linotype" w:eastAsia="Palatino Linotype" w:hAnsi="Palatino Linotype" w:cs="Palatino Linotype"/>
        </w:rPr>
      </w:pPr>
    </w:p>
    <w:p w14:paraId="671C09C0"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Es de precisar que la Ley de Transparencia y Acceso a la Información Pública del Estado de México y Municipios, describe el mecanismo de procedencia de los recursos de revisión, en ese sentido en su artículo 163, se indica lo siguiente:</w:t>
      </w:r>
    </w:p>
    <w:p w14:paraId="39AF0722" w14:textId="77777777" w:rsidR="00785E98" w:rsidRPr="00AE67C6" w:rsidRDefault="00785E98">
      <w:pPr>
        <w:pBdr>
          <w:top w:val="nil"/>
          <w:left w:val="nil"/>
          <w:bottom w:val="nil"/>
          <w:right w:val="nil"/>
          <w:between w:val="nil"/>
        </w:pBdr>
        <w:rPr>
          <w:rFonts w:ascii="Palatino Linotype" w:eastAsia="Palatino Linotype" w:hAnsi="Palatino Linotype" w:cs="Palatino Linotype"/>
          <w:color w:val="000000"/>
        </w:rPr>
      </w:pPr>
    </w:p>
    <w:p w14:paraId="0AB16AE9" w14:textId="77777777" w:rsidR="00785E98" w:rsidRPr="00AE67C6"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w:t>
      </w:r>
      <w:r w:rsidRPr="00AE67C6">
        <w:rPr>
          <w:rFonts w:ascii="Palatino Linotype" w:eastAsia="Palatino Linotype" w:hAnsi="Palatino Linotype" w:cs="Palatino Linotype"/>
          <w:b/>
          <w:i/>
          <w:color w:val="000000"/>
          <w:sz w:val="22"/>
          <w:szCs w:val="22"/>
        </w:rPr>
        <w:t>Artículo 163.</w:t>
      </w:r>
      <w:r w:rsidRPr="00AE67C6">
        <w:rPr>
          <w:rFonts w:ascii="Palatino Linotype" w:eastAsia="Palatino Linotype" w:hAnsi="Palatino Linotype" w:cs="Palatino Linotype"/>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535F3207" w14:textId="77777777" w:rsidR="00785E98" w:rsidRPr="00AE67C6" w:rsidRDefault="00785E98">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060F1807" w14:textId="77777777" w:rsidR="00785E98" w:rsidRPr="00AE67C6"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C198416" w14:textId="77777777" w:rsidR="00785E98" w:rsidRPr="00AE67C6" w:rsidRDefault="005D216E">
      <w:pPr>
        <w:pBdr>
          <w:top w:val="nil"/>
          <w:left w:val="nil"/>
          <w:bottom w:val="nil"/>
          <w:right w:val="nil"/>
          <w:between w:val="nil"/>
        </w:pBdr>
        <w:ind w:left="567" w:right="567"/>
        <w:jc w:val="right"/>
        <w:rPr>
          <w:rFonts w:ascii="Palatino Linotype" w:eastAsia="Palatino Linotype" w:hAnsi="Palatino Linotype" w:cs="Palatino Linotype"/>
          <w:i/>
          <w:color w:val="000000"/>
          <w:sz w:val="20"/>
          <w:szCs w:val="20"/>
        </w:rPr>
      </w:pPr>
      <w:r w:rsidRPr="00AE67C6">
        <w:rPr>
          <w:rFonts w:ascii="Palatino Linotype" w:eastAsia="Palatino Linotype" w:hAnsi="Palatino Linotype" w:cs="Palatino Linotype"/>
          <w:i/>
          <w:color w:val="000000"/>
          <w:sz w:val="20"/>
          <w:szCs w:val="20"/>
        </w:rPr>
        <w:t>(Énfasis añadido)</w:t>
      </w:r>
    </w:p>
    <w:p w14:paraId="3A3DCD3C" w14:textId="77777777" w:rsidR="005B253E" w:rsidRPr="00AE67C6" w:rsidRDefault="005B253E">
      <w:pPr>
        <w:spacing w:line="360" w:lineRule="auto"/>
        <w:jc w:val="both"/>
        <w:rPr>
          <w:rFonts w:ascii="Palatino Linotype" w:eastAsia="Palatino Linotype" w:hAnsi="Palatino Linotype" w:cs="Palatino Linotype"/>
        </w:rPr>
      </w:pPr>
    </w:p>
    <w:p w14:paraId="22731233"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lastRenderedPageBreak/>
        <w:t>De la interpretación al precepto legal inserto, se advierte que el plazo que les asiste a los Sujetos Obligados para notificar la respuesta a una solicitud de información pública, es de quince días hábiles posteriores a la presentación de ésta.</w:t>
      </w:r>
    </w:p>
    <w:p w14:paraId="475139B6" w14:textId="77777777" w:rsidR="000E459C" w:rsidRPr="00AE67C6" w:rsidRDefault="000E459C">
      <w:pPr>
        <w:spacing w:line="360" w:lineRule="auto"/>
        <w:jc w:val="both"/>
        <w:rPr>
          <w:rFonts w:ascii="Palatino Linotype" w:eastAsia="Palatino Linotype" w:hAnsi="Palatino Linotype" w:cs="Palatino Linotype"/>
        </w:rPr>
      </w:pPr>
    </w:p>
    <w:p w14:paraId="790A80F2" w14:textId="77777777" w:rsidR="00600C80" w:rsidRPr="00AE67C6" w:rsidRDefault="005D216E" w:rsidP="00664FBF">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w:t>
      </w:r>
    </w:p>
    <w:p w14:paraId="12A2E91E" w14:textId="77777777" w:rsidR="00600C80" w:rsidRPr="00AE67C6" w:rsidRDefault="00600C80" w:rsidP="00664FBF">
      <w:pPr>
        <w:spacing w:line="360" w:lineRule="auto"/>
        <w:jc w:val="both"/>
        <w:rPr>
          <w:rFonts w:ascii="Palatino Linotype" w:eastAsia="Palatino Linotype" w:hAnsi="Palatino Linotype" w:cs="Palatino Linotype"/>
        </w:rPr>
      </w:pPr>
    </w:p>
    <w:p w14:paraId="25C9D193" w14:textId="2301AEFD" w:rsidR="00785E98" w:rsidRPr="00AE67C6" w:rsidRDefault="005D216E" w:rsidP="00664FBF">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Derivado de lo anterior, se constituye la figura jurídica de la </w:t>
      </w:r>
      <w:r w:rsidRPr="00AE67C6">
        <w:rPr>
          <w:rFonts w:ascii="Palatino Linotype" w:eastAsia="Palatino Linotype" w:hAnsi="Palatino Linotype" w:cs="Palatino Linotype"/>
          <w:b/>
          <w:i/>
        </w:rPr>
        <w:t>Negativa Ficta</w:t>
      </w:r>
      <w:r w:rsidRPr="00AE67C6">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54FC0395" w14:textId="77777777" w:rsidR="00664FBF" w:rsidRPr="00AE67C6" w:rsidRDefault="00664FBF" w:rsidP="00664FBF">
      <w:pPr>
        <w:spacing w:line="360" w:lineRule="auto"/>
        <w:jc w:val="both"/>
        <w:rPr>
          <w:rFonts w:ascii="Palatino Linotype" w:eastAsia="Palatino Linotype" w:hAnsi="Palatino Linotype" w:cs="Palatino Linotype"/>
        </w:rPr>
      </w:pPr>
    </w:p>
    <w:p w14:paraId="4A79A99A" w14:textId="77777777" w:rsidR="00785E98" w:rsidRPr="00AE67C6" w:rsidRDefault="005D21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E67C6">
        <w:rPr>
          <w:rFonts w:ascii="Palatino Linotype" w:eastAsia="Palatino Linotype" w:hAnsi="Palatino Linotype" w:cs="Palatino Linotype"/>
          <w:color w:val="000000"/>
        </w:rPr>
        <w:t>Por su parte el artículo 178, de la Ley de Transparencia y Acceso a la Información Pública del Estado de México y Municipios, establece:</w:t>
      </w:r>
    </w:p>
    <w:p w14:paraId="386C5170" w14:textId="77777777" w:rsidR="00785E98" w:rsidRPr="00AE67C6" w:rsidRDefault="00785E98">
      <w:pPr>
        <w:pBdr>
          <w:top w:val="nil"/>
          <w:left w:val="nil"/>
          <w:bottom w:val="nil"/>
          <w:right w:val="nil"/>
          <w:between w:val="nil"/>
        </w:pBdr>
        <w:rPr>
          <w:color w:val="000000"/>
        </w:rPr>
      </w:pPr>
    </w:p>
    <w:p w14:paraId="2E7CFD05" w14:textId="77777777" w:rsidR="00785E98" w:rsidRPr="00AE67C6"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w:t>
      </w:r>
      <w:r w:rsidRPr="00AE67C6">
        <w:rPr>
          <w:rFonts w:ascii="Palatino Linotype" w:eastAsia="Palatino Linotype" w:hAnsi="Palatino Linotype" w:cs="Palatino Linotype"/>
          <w:b/>
          <w:i/>
          <w:color w:val="000000"/>
          <w:sz w:val="22"/>
          <w:szCs w:val="22"/>
        </w:rPr>
        <w:t>Artículo 178.</w:t>
      </w:r>
      <w:r w:rsidRPr="00AE67C6">
        <w:rPr>
          <w:rFonts w:ascii="Palatino Linotype" w:eastAsia="Palatino Linotype" w:hAnsi="Palatino Linotype" w:cs="Palatino Linotype"/>
          <w:i/>
          <w:color w:val="000000"/>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C037FA9" w14:textId="77777777" w:rsidR="00785E98" w:rsidRPr="00AE67C6" w:rsidRDefault="00785E98">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7D453DDF" w14:textId="77777777" w:rsidR="00785E98" w:rsidRPr="00AE67C6"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b/>
          <w:i/>
          <w:color w:val="000000"/>
          <w:sz w:val="22"/>
          <w:szCs w:val="22"/>
        </w:rPr>
        <w:t>A falta de respuesta del sujeto obligado, dentro de los plazos establecidos en esta Ley, a una solicitud de acceso a la información pública, el recurso podrá ser interpuesto en cualquier momento</w:t>
      </w:r>
      <w:r w:rsidRPr="00AE67C6">
        <w:rPr>
          <w:rFonts w:ascii="Palatino Linotype" w:eastAsia="Palatino Linotype" w:hAnsi="Palatino Linotype" w:cs="Palatino Linotype"/>
          <w:i/>
          <w:color w:val="000000"/>
          <w:sz w:val="22"/>
          <w:szCs w:val="22"/>
        </w:rPr>
        <w:t>, acompañado con el documento que pruebe la fecha en que presentó la solicitud.</w:t>
      </w:r>
    </w:p>
    <w:p w14:paraId="64639F27" w14:textId="77777777" w:rsidR="00785E98" w:rsidRPr="00AE67C6" w:rsidRDefault="00785E98">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38A4CAF7" w14:textId="570CB352" w:rsidR="00785E98" w:rsidRPr="00AE67C6" w:rsidRDefault="005D216E" w:rsidP="00600C8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En el caso de que se interponga ante la Unidad de Transparencia, ésta deberá remitir el recurso de revisión al Instituto a más tardar al día siguiente de haberlo recibido.”</w:t>
      </w:r>
    </w:p>
    <w:p w14:paraId="3F5D90E6" w14:textId="77777777" w:rsidR="00600C80" w:rsidRPr="00AE67C6" w:rsidRDefault="00600C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09A20E" w14:textId="33C4C764" w:rsidR="00B33259" w:rsidRPr="00AE67C6" w:rsidRDefault="005D216E" w:rsidP="0086738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E67C6">
        <w:rPr>
          <w:rFonts w:ascii="Palatino Linotype" w:eastAsia="Palatino Linotype" w:hAnsi="Palatino Linotype" w:cs="Palatino Linotype"/>
          <w:color w:val="000000"/>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AE67C6">
        <w:rPr>
          <w:rFonts w:ascii="Palatino Linotype" w:eastAsia="Palatino Linotype" w:hAnsi="Palatino Linotype" w:cs="Palatino Linotype"/>
          <w:b/>
          <w:color w:val="000000"/>
        </w:rPr>
        <w:t>Sujeto Obligado</w:t>
      </w:r>
      <w:r w:rsidRPr="00AE67C6">
        <w:rPr>
          <w:rFonts w:ascii="Palatino Linotype" w:eastAsia="Palatino Linotype" w:hAnsi="Palatino Linotype" w:cs="Palatino Linotype"/>
          <w:color w:val="000000"/>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177DAF2D" w14:textId="77777777" w:rsidR="006F4FBC" w:rsidRPr="00AE67C6" w:rsidRDefault="006F4FBC" w:rsidP="0086738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B98FA1" w14:textId="1A6BC72D" w:rsidR="00785E98" w:rsidRPr="00AE67C6" w:rsidRDefault="0086738F">
      <w:pPr>
        <w:spacing w:line="360" w:lineRule="auto"/>
        <w:jc w:val="both"/>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TERCERO</w:t>
      </w:r>
      <w:r w:rsidR="005D216E" w:rsidRPr="00AE67C6">
        <w:rPr>
          <w:rFonts w:ascii="Palatino Linotype" w:eastAsia="Palatino Linotype" w:hAnsi="Palatino Linotype" w:cs="Palatino Linotype"/>
          <w:b/>
          <w:sz w:val="28"/>
          <w:szCs w:val="28"/>
        </w:rPr>
        <w:t xml:space="preserve">. Del estudio de las causas de improcedencia. </w:t>
      </w:r>
    </w:p>
    <w:p w14:paraId="30C80B13"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55DADD9" w14:textId="77777777" w:rsidR="00785E98" w:rsidRPr="00AE67C6" w:rsidRDefault="00785E98">
      <w:pPr>
        <w:pBdr>
          <w:top w:val="nil"/>
          <w:left w:val="nil"/>
          <w:bottom w:val="nil"/>
          <w:right w:val="nil"/>
          <w:between w:val="nil"/>
        </w:pBdr>
        <w:rPr>
          <w:color w:val="000000"/>
        </w:rPr>
      </w:pPr>
    </w:p>
    <w:p w14:paraId="75E31E6B" w14:textId="77777777" w:rsidR="00785E98" w:rsidRPr="00AE67C6" w:rsidRDefault="005D216E">
      <w:pPr>
        <w:ind w:left="567" w:right="616"/>
        <w:jc w:val="both"/>
        <w:rPr>
          <w:rFonts w:ascii="Palatino Linotype" w:eastAsia="Palatino Linotype" w:hAnsi="Palatino Linotype" w:cs="Palatino Linotype"/>
          <w:b/>
          <w:i/>
          <w:sz w:val="22"/>
          <w:szCs w:val="22"/>
        </w:rPr>
      </w:pPr>
      <w:r w:rsidRPr="00AE67C6">
        <w:rPr>
          <w:rFonts w:ascii="Palatino Linotype" w:eastAsia="Palatino Linotype" w:hAnsi="Palatino Linotype" w:cs="Palatino Linotype"/>
          <w:b/>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14:paraId="2512DEBE" w14:textId="77777777" w:rsidR="00785E98" w:rsidRPr="00AE67C6" w:rsidRDefault="00785E9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5FF7D9D7"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sidRPr="00AE67C6">
        <w:rPr>
          <w:rFonts w:ascii="Palatino Linotype" w:eastAsia="Palatino Linotype" w:hAnsi="Palatino Linotype" w:cs="Palatino Linotype"/>
          <w:i/>
          <w:color w:val="000000"/>
          <w:sz w:val="22"/>
          <w:szCs w:val="22"/>
        </w:rPr>
        <w:lastRenderedPageBreak/>
        <w:t>Del examen de compatibilidad de los artículos </w:t>
      </w:r>
      <w:hyperlink r:id="rId10">
        <w:r w:rsidRPr="00AE67C6">
          <w:rPr>
            <w:rFonts w:ascii="Palatino Linotype" w:eastAsia="Palatino Linotype" w:hAnsi="Palatino Linotype" w:cs="Palatino Linotype"/>
            <w:i/>
            <w:color w:val="0563C1"/>
            <w:sz w:val="22"/>
            <w:szCs w:val="22"/>
            <w:u w:val="single"/>
          </w:rPr>
          <w:t>73 y 74 de la Ley de Amparo</w:t>
        </w:r>
      </w:hyperlink>
      <w:r w:rsidRPr="00AE67C6">
        <w:rPr>
          <w:rFonts w:ascii="Palatino Linotype" w:eastAsia="Palatino Linotype" w:hAnsi="Palatino Linotype" w:cs="Palatino Linotype"/>
          <w:i/>
          <w:color w:val="000000"/>
          <w:sz w:val="22"/>
          <w:szCs w:val="22"/>
        </w:rPr>
        <w:t> con el artículo </w:t>
      </w:r>
      <w:hyperlink r:id="rId11">
        <w:r w:rsidRPr="00AE67C6">
          <w:rPr>
            <w:rFonts w:ascii="Palatino Linotype" w:eastAsia="Palatino Linotype" w:hAnsi="Palatino Linotype" w:cs="Palatino Linotype"/>
            <w:i/>
            <w:color w:val="0563C1"/>
            <w:sz w:val="22"/>
            <w:szCs w:val="22"/>
            <w:u w:val="single"/>
          </w:rPr>
          <w:t>25.1 de la Convención Americana sobre Derechos Humanos</w:t>
        </w:r>
      </w:hyperlink>
      <w:r w:rsidRPr="00AE67C6">
        <w:rPr>
          <w:rFonts w:ascii="Palatino Linotype" w:eastAsia="Palatino Linotype" w:hAnsi="Palatino Linotype" w:cs="Palatino Linotype"/>
          <w:i/>
          <w:color w:val="000000"/>
          <w:sz w:val="22"/>
          <w:szCs w:val="22"/>
        </w:rPr>
        <w:t> </w:t>
      </w:r>
      <w:r w:rsidRPr="00AE67C6">
        <w:rPr>
          <w:rFonts w:ascii="Palatino Linotype" w:eastAsia="Palatino Linotype" w:hAnsi="Palatino Linotype" w:cs="Palatino Linotype"/>
          <w:b/>
          <w:i/>
          <w:color w:val="000000"/>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E67C6">
        <w:rPr>
          <w:rFonts w:ascii="Palatino Linotype" w:eastAsia="Palatino Linotype" w:hAnsi="Palatino Linotype" w:cs="Palatino Linotype"/>
          <w:i/>
          <w:color w:val="000000"/>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E67C6">
        <w:rPr>
          <w:rFonts w:ascii="Palatino Linotype" w:eastAsia="Palatino Linotype" w:hAnsi="Palatino Linotype" w:cs="Palatino Linotype"/>
          <w:i/>
          <w:color w:val="000000"/>
          <w:sz w:val="22"/>
          <w:szCs w:val="22"/>
        </w:rPr>
        <w:t>concesoria</w:t>
      </w:r>
      <w:proofErr w:type="spellEnd"/>
      <w:r w:rsidRPr="00AE67C6">
        <w:rPr>
          <w:rFonts w:ascii="Palatino Linotype" w:eastAsia="Palatino Linotype" w:hAnsi="Palatino Linotype" w:cs="Palatino Linotype"/>
          <w:i/>
          <w:color w:val="000000"/>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26CFD80" w14:textId="77777777" w:rsidR="00785E98" w:rsidRPr="00AE67C6" w:rsidRDefault="00785E9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A45DCA8"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Por lo que una vez que se analizó el expediente en estudio se cae en la cuenta de que no se actualiza ninguna de las casuales a continuación transcritas:</w:t>
      </w:r>
    </w:p>
    <w:p w14:paraId="152F0BF9" w14:textId="77777777" w:rsidR="00785E98" w:rsidRPr="00AE67C6" w:rsidRDefault="00785E98">
      <w:pPr>
        <w:pBdr>
          <w:top w:val="nil"/>
          <w:left w:val="nil"/>
          <w:bottom w:val="nil"/>
          <w:right w:val="nil"/>
          <w:between w:val="nil"/>
        </w:pBdr>
        <w:rPr>
          <w:color w:val="000000"/>
        </w:rPr>
      </w:pPr>
    </w:p>
    <w:p w14:paraId="48EB1B5C"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w:t>
      </w:r>
      <w:r w:rsidRPr="00AE67C6">
        <w:rPr>
          <w:rFonts w:ascii="Palatino Linotype" w:eastAsia="Palatino Linotype" w:hAnsi="Palatino Linotype" w:cs="Palatino Linotype"/>
          <w:b/>
          <w:i/>
          <w:color w:val="000000"/>
          <w:sz w:val="22"/>
          <w:szCs w:val="22"/>
        </w:rPr>
        <w:t>Artículo 191.</w:t>
      </w:r>
      <w:r w:rsidRPr="00AE67C6">
        <w:rPr>
          <w:rFonts w:ascii="Palatino Linotype" w:eastAsia="Palatino Linotype" w:hAnsi="Palatino Linotype" w:cs="Palatino Linotype"/>
          <w:i/>
          <w:color w:val="000000"/>
          <w:sz w:val="22"/>
          <w:szCs w:val="22"/>
        </w:rPr>
        <w:t xml:space="preserve"> El recurso será desechado por improcedente cuando:  </w:t>
      </w:r>
    </w:p>
    <w:p w14:paraId="7E857255"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 xml:space="preserve">I. Sea extemporáneo por haber transcurrido el plazo establecido en la presente Ley, a partir de la respuesta;  </w:t>
      </w:r>
    </w:p>
    <w:p w14:paraId="608025E1"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 xml:space="preserve">II. Se esté tramitando ante el Poder Judicial de la Federación algún recurso o medio de defensa interpuesto por el recurrente;  </w:t>
      </w:r>
    </w:p>
    <w:p w14:paraId="2F3A2472"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 xml:space="preserve">III. No actualice alguno de los supuestos previstos en la presente Ley;  </w:t>
      </w:r>
    </w:p>
    <w:p w14:paraId="6494FEFB"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IV. No se haya desahogado la prevención en los términos establecidos en la presente Ley;</w:t>
      </w:r>
    </w:p>
    <w:p w14:paraId="4306CDA8"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 xml:space="preserve">V. Se impugne la veracidad de la información proporcionada;  </w:t>
      </w:r>
    </w:p>
    <w:p w14:paraId="770C8423"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 xml:space="preserve">VI. Se trate de una consulta, o trámite en específico; y  </w:t>
      </w:r>
    </w:p>
    <w:p w14:paraId="36363850" w14:textId="77777777" w:rsidR="00785E98" w:rsidRPr="00AE67C6"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AE67C6">
        <w:rPr>
          <w:rFonts w:ascii="Palatino Linotype" w:eastAsia="Palatino Linotype" w:hAnsi="Palatino Linotype" w:cs="Palatino Linotype"/>
          <w:i/>
          <w:color w:val="000000"/>
          <w:sz w:val="22"/>
          <w:szCs w:val="22"/>
        </w:rPr>
        <w:t>VII. El recurrente amplíe su solicitud en el recurso de revisión, únicamente respecto de los nuevos contenidos.”</w:t>
      </w:r>
    </w:p>
    <w:p w14:paraId="591B29CE" w14:textId="77777777" w:rsidR="00785E98" w:rsidRPr="00AE67C6" w:rsidRDefault="00785E98">
      <w:pPr>
        <w:spacing w:line="360" w:lineRule="auto"/>
        <w:jc w:val="both"/>
        <w:rPr>
          <w:rFonts w:ascii="Palatino Linotype" w:eastAsia="Palatino Linotype" w:hAnsi="Palatino Linotype" w:cs="Palatino Linotype"/>
        </w:rPr>
      </w:pPr>
    </w:p>
    <w:p w14:paraId="2336A580" w14:textId="05782687" w:rsidR="00B33259"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w:t>
      </w:r>
      <w:r w:rsidRPr="00AE67C6">
        <w:rPr>
          <w:rFonts w:ascii="Palatino Linotype" w:eastAsia="Palatino Linotype" w:hAnsi="Palatino Linotype" w:cs="Palatino Linotype"/>
        </w:rPr>
        <w:lastRenderedPageBreak/>
        <w:t>de improcedencia invocadas por las partes ni advertidas de oficio, este Órgano Garante de la Transparencia se avoca al análisis del fondo del asunto que nos ocupa.</w:t>
      </w:r>
    </w:p>
    <w:p w14:paraId="07C162E2" w14:textId="77777777" w:rsidR="000170E4" w:rsidRPr="00AE67C6" w:rsidRDefault="000170E4">
      <w:pPr>
        <w:spacing w:line="360" w:lineRule="auto"/>
        <w:jc w:val="both"/>
        <w:rPr>
          <w:rFonts w:ascii="Palatino Linotype" w:eastAsia="Palatino Linotype" w:hAnsi="Palatino Linotype" w:cs="Palatino Linotype"/>
        </w:rPr>
      </w:pPr>
    </w:p>
    <w:p w14:paraId="0FE97207" w14:textId="20FB3F23" w:rsidR="0086738F" w:rsidRPr="00AE67C6" w:rsidRDefault="005D21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E67C6">
        <w:rPr>
          <w:rFonts w:ascii="Palatino Linotype" w:eastAsia="Palatino Linotype" w:hAnsi="Palatino Linotype" w:cs="Palatino Linotype"/>
          <w:color w:val="000000"/>
        </w:rPr>
        <w:t>Así las cosas, al no existir causas de improcedencia invocadas por las partes ni advertidas de oficio por este Resolutor, se proceden al análisis del fondo de los asuntos en los siguientes términos.</w:t>
      </w:r>
    </w:p>
    <w:p w14:paraId="4AFC88FA" w14:textId="77777777" w:rsidR="006F4FBC" w:rsidRPr="00AE67C6" w:rsidRDefault="006F4F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242B7AC" w14:textId="757D2FA4" w:rsidR="00785E98" w:rsidRPr="00AE67C6" w:rsidRDefault="0086738F">
      <w:pPr>
        <w:tabs>
          <w:tab w:val="left" w:pos="709"/>
        </w:tabs>
        <w:spacing w:line="360" w:lineRule="auto"/>
        <w:ind w:right="51"/>
        <w:jc w:val="both"/>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CUARTO</w:t>
      </w:r>
      <w:r w:rsidR="005D216E" w:rsidRPr="00AE67C6">
        <w:rPr>
          <w:rFonts w:ascii="Palatino Linotype" w:eastAsia="Palatino Linotype" w:hAnsi="Palatino Linotype" w:cs="Palatino Linotype"/>
          <w:b/>
          <w:sz w:val="28"/>
          <w:szCs w:val="28"/>
        </w:rPr>
        <w:t xml:space="preserve">. Estudio y resolución del asunto </w:t>
      </w:r>
    </w:p>
    <w:p w14:paraId="01328077" w14:textId="5E99A85A" w:rsidR="00D46F14" w:rsidRPr="00AE67C6" w:rsidRDefault="005D216E">
      <w:pPr>
        <w:spacing w:line="360" w:lineRule="auto"/>
        <w:jc w:val="both"/>
        <w:rPr>
          <w:rFonts w:ascii="Palatino Linotype" w:eastAsia="Palatino Linotype" w:hAnsi="Palatino Linotype" w:cs="Palatino Linotype"/>
          <w:color w:val="000000"/>
        </w:rPr>
      </w:pPr>
      <w:r w:rsidRPr="00AE67C6">
        <w:rPr>
          <w:rFonts w:ascii="Palatino Linotype" w:eastAsia="Palatino Linotype" w:hAnsi="Palatino Linotype" w:cs="Palatino Linotype"/>
        </w:rPr>
        <w:t xml:space="preserve">El derecho de acceso a la información pública es un </w:t>
      </w:r>
      <w:r w:rsidRPr="00AE67C6">
        <w:rPr>
          <w:rFonts w:ascii="Palatino Linotype" w:eastAsia="Palatino Linotype" w:hAnsi="Palatino Linotype" w:cs="Palatino Linotype"/>
          <w:color w:val="000000"/>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a través del cual se puede solicitar aquellos documentos que generen, administren o posean las autoridades en ejercicio de sus respectivas atribuciones y competencias. </w:t>
      </w:r>
    </w:p>
    <w:p w14:paraId="416F8DE9" w14:textId="77777777" w:rsidR="00E23D1E" w:rsidRPr="00AE67C6" w:rsidRDefault="00E23D1E">
      <w:pPr>
        <w:spacing w:line="360" w:lineRule="auto"/>
        <w:jc w:val="both"/>
        <w:rPr>
          <w:rFonts w:ascii="Palatino Linotype" w:eastAsia="Palatino Linotype" w:hAnsi="Palatino Linotype" w:cs="Palatino Linotype"/>
          <w:color w:val="000000"/>
        </w:rPr>
      </w:pPr>
    </w:p>
    <w:p w14:paraId="2FD30836"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Por lo que en cumplimiento a las obligaciones que establece nuestra Carta Magna, la Constitución Estatal y la Ley de la materia le imponen, el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xml:space="preserve"> está constreñido a dar atención a las solicitudes de información que a través del </w:t>
      </w:r>
      <w:r w:rsidRPr="00AE67C6">
        <w:rPr>
          <w:rFonts w:ascii="Palatino Linotype" w:eastAsia="Palatino Linotype" w:hAnsi="Palatino Linotype" w:cs="Palatino Linotype"/>
          <w:b/>
        </w:rPr>
        <w:t xml:space="preserve">SAIMEX </w:t>
      </w:r>
      <w:r w:rsidRPr="00AE67C6">
        <w:rPr>
          <w:rFonts w:ascii="Palatino Linotype" w:eastAsia="Palatino Linotype" w:hAnsi="Palatino Linotype" w:cs="Palatino Linotype"/>
        </w:rPr>
        <w:t xml:space="preserve">o de vía directa le sean presentadas en ejercicio del derecho humano de acceso a la información pública, lo cual, en el caso no aconteció, pues tal y como se ha acreditado de la revisión del expediente electrónico formado de las constancias que obran en el sistema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 xml:space="preserve">, el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xml:space="preserve"> fue omiso en dar respuesta a la solicitud de información dentro de los plazos establecidos en la Ley de Transparencia Loca</w:t>
      </w:r>
      <w:r w:rsidR="00CA19C9" w:rsidRPr="00AE67C6">
        <w:rPr>
          <w:rFonts w:ascii="Palatino Linotype" w:eastAsia="Palatino Linotype" w:hAnsi="Palatino Linotype" w:cs="Palatino Linotype"/>
        </w:rPr>
        <w:t>l</w:t>
      </w:r>
      <w:r w:rsidRPr="00AE67C6">
        <w:rPr>
          <w:rFonts w:ascii="Palatino Linotype" w:eastAsia="Palatino Linotype" w:hAnsi="Palatino Linotype" w:cs="Palatino Linotype"/>
        </w:rPr>
        <w:t>.</w:t>
      </w:r>
    </w:p>
    <w:p w14:paraId="1C172330" w14:textId="77777777" w:rsidR="005B253E" w:rsidRPr="00AE67C6" w:rsidRDefault="005B253E">
      <w:pPr>
        <w:spacing w:line="360" w:lineRule="auto"/>
        <w:jc w:val="both"/>
        <w:rPr>
          <w:rFonts w:ascii="Palatino Linotype" w:eastAsia="Palatino Linotype" w:hAnsi="Palatino Linotype" w:cs="Palatino Linotype"/>
        </w:rPr>
      </w:pPr>
    </w:p>
    <w:p w14:paraId="2AFAE612" w14:textId="3FEAC813"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lastRenderedPageBreak/>
        <w:t xml:space="preserve">Asimismo, los motivos o razones de inconformidad expuestos por la parte </w:t>
      </w:r>
      <w:r w:rsidRPr="00AE67C6">
        <w:rPr>
          <w:rFonts w:ascii="Palatino Linotype" w:eastAsia="Palatino Linotype" w:hAnsi="Palatino Linotype" w:cs="Palatino Linotype"/>
          <w:b/>
        </w:rPr>
        <w:t xml:space="preserve">Recurrente </w:t>
      </w:r>
      <w:r w:rsidRPr="00AE67C6">
        <w:rPr>
          <w:rFonts w:ascii="Palatino Linotype" w:eastAsia="Palatino Linotype" w:hAnsi="Palatino Linotype" w:cs="Palatino Linotype"/>
        </w:rPr>
        <w:t xml:space="preserve">se adolece de la falta de respuesta a la solicitud de acceso a la información formulada, por lo que se actualiza la causal de procedencia establecida </w:t>
      </w:r>
      <w:r w:rsidRPr="00AE67C6">
        <w:rPr>
          <w:rFonts w:ascii="Palatino Linotype" w:eastAsia="Palatino Linotype" w:hAnsi="Palatino Linotype" w:cs="Palatino Linotype"/>
          <w:color w:val="000000"/>
        </w:rPr>
        <w:t>en la fracción VII, del artículo 179, de la Ley de Transparencia y Acceso a la Información Pública del Estado de México y Municipios</w:t>
      </w:r>
      <w:r w:rsidR="00600C80" w:rsidRPr="00AE67C6">
        <w:rPr>
          <w:rFonts w:ascii="Palatino Linotype" w:eastAsia="Palatino Linotype" w:hAnsi="Palatino Linotype" w:cs="Palatino Linotype"/>
          <w:color w:val="000000"/>
        </w:rPr>
        <w:t xml:space="preserve"> </w:t>
      </w:r>
      <w:r w:rsidRPr="00AE67C6">
        <w:rPr>
          <w:rFonts w:ascii="Palatino Linotype" w:eastAsia="Palatino Linotype" w:hAnsi="Palatino Linotype" w:cs="Palatino Linotype"/>
          <w:color w:val="000000"/>
        </w:rPr>
        <w:t>y</w:t>
      </w:r>
      <w:r w:rsidR="00600C80" w:rsidRPr="00AE67C6">
        <w:rPr>
          <w:rFonts w:ascii="Palatino Linotype" w:eastAsia="Palatino Linotype" w:hAnsi="Palatino Linotype" w:cs="Palatino Linotype"/>
          <w:color w:val="000000"/>
        </w:rPr>
        <w:t>,</w:t>
      </w:r>
      <w:r w:rsidRPr="00AE67C6">
        <w:rPr>
          <w:rFonts w:ascii="Palatino Linotype" w:eastAsia="Palatino Linotype" w:hAnsi="Palatino Linotype" w:cs="Palatino Linotype"/>
          <w:b/>
          <w:color w:val="000000"/>
        </w:rPr>
        <w:t xml:space="preserve"> </w:t>
      </w:r>
      <w:r w:rsidRPr="00AE67C6">
        <w:rPr>
          <w:rFonts w:ascii="Palatino Linotype" w:eastAsia="Palatino Linotype" w:hAnsi="Palatino Linotype" w:cs="Palatino Linotype"/>
        </w:rPr>
        <w:t>por tanto, procedente la interposición del recurso de revisión.</w:t>
      </w:r>
    </w:p>
    <w:p w14:paraId="4F66131F" w14:textId="77777777" w:rsidR="00B33259" w:rsidRPr="00AE67C6" w:rsidRDefault="00B33259">
      <w:pPr>
        <w:spacing w:line="360" w:lineRule="auto"/>
        <w:jc w:val="both"/>
        <w:rPr>
          <w:rFonts w:ascii="Palatino Linotype" w:eastAsia="Palatino Linotype" w:hAnsi="Palatino Linotype" w:cs="Palatino Linotype"/>
        </w:rPr>
      </w:pPr>
    </w:p>
    <w:p w14:paraId="7658FF40"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En consecuencia, las razones o motivos de inconformidad hechos valer, resultan </w:t>
      </w:r>
      <w:r w:rsidRPr="00AE67C6">
        <w:rPr>
          <w:rFonts w:ascii="Palatino Linotype" w:eastAsia="Palatino Linotype" w:hAnsi="Palatino Linotype" w:cs="Palatino Linotype"/>
          <w:b/>
        </w:rPr>
        <w:t>fundadas y procedentes</w:t>
      </w:r>
      <w:r w:rsidRPr="00AE67C6">
        <w:rPr>
          <w:rFonts w:ascii="Palatino Linotype" w:eastAsia="Palatino Linotype" w:hAnsi="Palatino Linotype" w:cs="Palatino Linotype"/>
        </w:rPr>
        <w:t xml:space="preserve">, en virtud de las constancias que obran en los expedientes electrónicos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 xml:space="preserve">, se acredita que el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xml:space="preserve"> fue omiso en responder las solicitudes de información hecha por la parte </w:t>
      </w:r>
      <w:r w:rsidRPr="00AE67C6">
        <w:rPr>
          <w:rFonts w:ascii="Palatino Linotype" w:eastAsia="Palatino Linotype" w:hAnsi="Palatino Linotype" w:cs="Palatino Linotype"/>
          <w:b/>
        </w:rPr>
        <w:t>Recurrente</w:t>
      </w:r>
      <w:r w:rsidRPr="00AE67C6">
        <w:rPr>
          <w:rFonts w:ascii="Palatino Linotype" w:eastAsia="Palatino Linotype" w:hAnsi="Palatino Linotype" w:cs="Palatino Linotype"/>
        </w:rPr>
        <w:t xml:space="preserve">, es decir, incumplió las obligaciones que se le imponen como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de conformidad con lo establecido en los artículos 4, 12, 23 fracción IV, 24 último párrafo y 160 de la Ley de Transparencia y Acceso a la Información Pública del Estado de México y Municipios.</w:t>
      </w:r>
    </w:p>
    <w:p w14:paraId="4F453BBA" w14:textId="77777777" w:rsidR="00785E98" w:rsidRPr="00AE67C6" w:rsidRDefault="00785E98">
      <w:pPr>
        <w:spacing w:line="360" w:lineRule="auto"/>
        <w:jc w:val="both"/>
        <w:rPr>
          <w:rFonts w:ascii="Palatino Linotype" w:eastAsia="Palatino Linotype" w:hAnsi="Palatino Linotype" w:cs="Palatino Linotype"/>
        </w:rPr>
      </w:pPr>
    </w:p>
    <w:p w14:paraId="2E11239E" w14:textId="77777777" w:rsidR="00785E98" w:rsidRPr="00AE67C6" w:rsidRDefault="005D216E">
      <w:pPr>
        <w:widowControl w:val="0"/>
        <w:tabs>
          <w:tab w:val="left" w:pos="1276"/>
        </w:tabs>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De conformidad con lo establecido en los artículos 50 y 51 de la Ley de Transparencia y Acceso a la Información Pública del Estado de México y Municipios,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responsabilidad de verificar, en cada caso, que la información no tenga el carácter de confidencial o reservada. </w:t>
      </w:r>
    </w:p>
    <w:p w14:paraId="291A4574" w14:textId="77777777" w:rsidR="005B253E" w:rsidRPr="00AE67C6" w:rsidRDefault="005B253E">
      <w:pPr>
        <w:widowControl w:val="0"/>
        <w:tabs>
          <w:tab w:val="left" w:pos="1276"/>
        </w:tabs>
        <w:spacing w:line="360" w:lineRule="auto"/>
        <w:jc w:val="both"/>
        <w:rPr>
          <w:rFonts w:ascii="Palatino Linotype" w:eastAsia="Palatino Linotype" w:hAnsi="Palatino Linotype" w:cs="Palatino Linotype"/>
        </w:rPr>
      </w:pPr>
    </w:p>
    <w:p w14:paraId="4DDF5350" w14:textId="77777777" w:rsidR="00785E98" w:rsidRPr="00AE67C6" w:rsidRDefault="005D216E">
      <w:pPr>
        <w:widowControl w:val="0"/>
        <w:tabs>
          <w:tab w:val="left" w:pos="1276"/>
        </w:tabs>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lastRenderedPageBreak/>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B8C00AD" w14:textId="77777777" w:rsidR="00785E98" w:rsidRPr="00AE67C6" w:rsidRDefault="00785E98">
      <w:pPr>
        <w:widowControl w:val="0"/>
        <w:tabs>
          <w:tab w:val="left" w:pos="1276"/>
        </w:tabs>
        <w:spacing w:line="360" w:lineRule="auto"/>
        <w:jc w:val="both"/>
        <w:rPr>
          <w:rFonts w:ascii="Palatino Linotype" w:eastAsia="Palatino Linotype" w:hAnsi="Palatino Linotype" w:cs="Palatino Linotype"/>
        </w:rPr>
      </w:pPr>
    </w:p>
    <w:p w14:paraId="7A23E732" w14:textId="3A7B4A08" w:rsidR="000170E4"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w:t>
      </w:r>
    </w:p>
    <w:p w14:paraId="3B04FF2A" w14:textId="77777777" w:rsidR="006F4FBC" w:rsidRPr="00AE67C6" w:rsidRDefault="006F4FBC">
      <w:pPr>
        <w:spacing w:line="360" w:lineRule="auto"/>
        <w:jc w:val="both"/>
        <w:rPr>
          <w:rFonts w:ascii="Palatino Linotype" w:eastAsia="Palatino Linotype" w:hAnsi="Palatino Linotype" w:cs="Palatino Linotype"/>
        </w:rPr>
      </w:pPr>
    </w:p>
    <w:p w14:paraId="1502B3CF" w14:textId="078E5372"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De tal manera que la omisión del Titular de la Unidad de Transparencia, como primer responsable de atender la solicitud de información, se traduce en una conducta que ha vulnerado el derecho de acceso a la información consignado a favor del particular.</w:t>
      </w:r>
    </w:p>
    <w:p w14:paraId="23B8C034" w14:textId="77777777" w:rsidR="00785E98" w:rsidRPr="00AE67C6" w:rsidRDefault="00785E98">
      <w:pPr>
        <w:spacing w:line="360" w:lineRule="auto"/>
        <w:jc w:val="both"/>
        <w:rPr>
          <w:rFonts w:ascii="Palatino Linotype" w:eastAsia="Palatino Linotype" w:hAnsi="Palatino Linotype" w:cs="Palatino Linotype"/>
        </w:rPr>
      </w:pPr>
    </w:p>
    <w:p w14:paraId="01B2409E"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En consecuencia, según lo dispuesto por el artículo 150 de la Ley de Transparencia y Acceso a la Información Pública del Estado de México y Municipios, el </w:t>
      </w:r>
      <w:r w:rsidRPr="00AE67C6">
        <w:rPr>
          <w:rFonts w:ascii="Palatino Linotype" w:eastAsia="Palatino Linotype" w:hAnsi="Palatino Linotype" w:cs="Palatino Linotype"/>
          <w:i/>
        </w:rPr>
        <w:t xml:space="preserve">procedimiento de acceso a la información es la garantía primaria del derecho en cuestión, </w:t>
      </w:r>
      <w:r w:rsidRPr="00AE67C6">
        <w:rPr>
          <w:rFonts w:ascii="Palatino Linotype" w:eastAsia="Palatino Linotype" w:hAnsi="Palatino Linotype" w:cs="Palatino Linotype"/>
        </w:rPr>
        <w:t xml:space="preserve">por lo tanto, la falta de respuesta a una solicitud de acceso a la información constituye un incumplimiento del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xml:space="preserve"> a su deber de garantizar el derecho, lo que constituye una vulneración al mismo.</w:t>
      </w:r>
    </w:p>
    <w:p w14:paraId="61428337" w14:textId="77777777" w:rsidR="00E94B1F" w:rsidRPr="00AE67C6" w:rsidRDefault="00E94B1F">
      <w:pPr>
        <w:spacing w:line="360" w:lineRule="auto"/>
        <w:jc w:val="both"/>
        <w:rPr>
          <w:rFonts w:ascii="Palatino Linotype" w:eastAsia="Palatino Linotype" w:hAnsi="Palatino Linotype" w:cs="Palatino Linotype"/>
          <w:i/>
        </w:rPr>
      </w:pPr>
    </w:p>
    <w:p w14:paraId="6FE73034" w14:textId="2D0A4B28" w:rsidR="005B253E"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lastRenderedPageBreak/>
        <w:t xml:space="preserve">Por lo que, en cumplimiento a esta resolución, el </w:t>
      </w:r>
      <w:r w:rsidRPr="00AE67C6">
        <w:rPr>
          <w:rFonts w:ascii="Palatino Linotype" w:eastAsia="Palatino Linotype" w:hAnsi="Palatino Linotype" w:cs="Palatino Linotype"/>
          <w:b/>
        </w:rPr>
        <w:t xml:space="preserve">Sujeto Obligado </w:t>
      </w:r>
      <w:r w:rsidRPr="00AE67C6">
        <w:rPr>
          <w:rFonts w:ascii="Palatino Linotype" w:eastAsia="Palatino Linotype" w:hAnsi="Palatino Linotype" w:cs="Palatino Linotype"/>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0E4554B1" w14:textId="77777777" w:rsidR="006F4FBC" w:rsidRPr="00AE67C6" w:rsidRDefault="006F4FBC">
      <w:pPr>
        <w:spacing w:line="360" w:lineRule="auto"/>
        <w:jc w:val="both"/>
        <w:rPr>
          <w:rFonts w:ascii="Palatino Linotype" w:eastAsia="Palatino Linotype" w:hAnsi="Palatino Linotype" w:cs="Palatino Linotype"/>
        </w:rPr>
      </w:pPr>
    </w:p>
    <w:p w14:paraId="4EFCC0CE" w14:textId="77777777" w:rsidR="00785E98" w:rsidRPr="00AE67C6" w:rsidRDefault="005D216E" w:rsidP="00664FBF">
      <w:pPr>
        <w:numPr>
          <w:ilvl w:val="0"/>
          <w:numId w:val="1"/>
        </w:numPr>
        <w:pBdr>
          <w:top w:val="nil"/>
          <w:left w:val="nil"/>
          <w:bottom w:val="nil"/>
          <w:right w:val="nil"/>
          <w:between w:val="nil"/>
        </w:pBdr>
        <w:spacing w:line="360" w:lineRule="auto"/>
        <w:jc w:val="both"/>
        <w:rPr>
          <w:b/>
          <w:color w:val="000000"/>
          <w:sz w:val="28"/>
          <w:szCs w:val="28"/>
          <w:u w:val="single"/>
        </w:rPr>
      </w:pPr>
      <w:r w:rsidRPr="00AE67C6">
        <w:rPr>
          <w:rFonts w:ascii="Palatino Linotype" w:eastAsia="Palatino Linotype" w:hAnsi="Palatino Linotype" w:cs="Palatino Linotype"/>
          <w:b/>
          <w:color w:val="000000"/>
          <w:sz w:val="28"/>
          <w:szCs w:val="28"/>
          <w:u w:val="single"/>
        </w:rPr>
        <w:t>De la clasificación de la información</w:t>
      </w:r>
    </w:p>
    <w:p w14:paraId="58B0324F" w14:textId="362F34AC" w:rsidR="00785E98" w:rsidRPr="00AE67C6" w:rsidRDefault="005D216E" w:rsidP="00E17070">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De conformidad con el artículo 91 de la Ley de Transparencia y Acceso a la Información Pública el  acceso a la información pública será restringido excepcionalmente, cuando ésta sea clasificada como reservada o confidencial; la información reservada es aquella que se clasifica de manera temporal cuya divulgación pueda causar algún daño; la información confidencial es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617B16AC" w14:textId="77777777" w:rsidR="00E17070" w:rsidRPr="00AE67C6" w:rsidRDefault="00E17070" w:rsidP="00E17070">
      <w:pPr>
        <w:tabs>
          <w:tab w:val="left" w:pos="8647"/>
        </w:tabs>
        <w:spacing w:line="360" w:lineRule="auto"/>
        <w:ind w:right="51"/>
        <w:jc w:val="both"/>
        <w:rPr>
          <w:rFonts w:ascii="Palatino Linotype" w:eastAsia="Palatino Linotype" w:hAnsi="Palatino Linotype" w:cs="Palatino Linotype"/>
        </w:rPr>
      </w:pPr>
    </w:p>
    <w:p w14:paraId="7A86D717" w14:textId="77777777" w:rsidR="00785E98" w:rsidRPr="00AE67C6" w:rsidRDefault="005D216E">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rPr>
        <w:t>La Ley de Transparencia y Acceso a la Información Pública del Estado de México y Municipios, en sus artículos 140 y 143 prevé los siguientes supuestos para clasificar la información como reservada o confidencial.</w:t>
      </w:r>
    </w:p>
    <w:p w14:paraId="21F677C1" w14:textId="77777777" w:rsidR="00785E98" w:rsidRPr="00AE67C6" w:rsidRDefault="00785E98">
      <w:pPr>
        <w:tabs>
          <w:tab w:val="left" w:pos="8647"/>
        </w:tabs>
        <w:spacing w:line="360" w:lineRule="auto"/>
        <w:ind w:right="51"/>
        <w:jc w:val="both"/>
        <w:rPr>
          <w:rFonts w:ascii="Palatino Linotype" w:eastAsia="Palatino Linotype" w:hAnsi="Palatino Linotype" w:cs="Palatino Linotype"/>
        </w:rPr>
      </w:pPr>
    </w:p>
    <w:p w14:paraId="075CFE42"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Por lo que para dar atención a la solicitud de información, si el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xml:space="preserve"> advierte que la información solicitada contiene datos personales que sean susceptibles de ser clasificados como confidenciales, o bien si, por su propia y especial naturaleza, </w:t>
      </w:r>
      <w:r w:rsidRPr="00AE67C6">
        <w:rPr>
          <w:rFonts w:ascii="Palatino Linotype" w:eastAsia="Palatino Linotype" w:hAnsi="Palatino Linotype" w:cs="Palatino Linotype"/>
        </w:rPr>
        <w:lastRenderedPageBreak/>
        <w:t xml:space="preserve">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1592E6F9" w14:textId="77777777" w:rsidR="00785E98" w:rsidRPr="00AE67C6" w:rsidRDefault="00785E98">
      <w:pPr>
        <w:spacing w:line="360" w:lineRule="auto"/>
        <w:jc w:val="both"/>
        <w:rPr>
          <w:rFonts w:ascii="Palatino Linotype" w:eastAsia="Palatino Linotype" w:hAnsi="Palatino Linotype" w:cs="Palatino Linotype"/>
        </w:rPr>
      </w:pPr>
    </w:p>
    <w:p w14:paraId="661D9910" w14:textId="09770351" w:rsidR="00785E98" w:rsidRPr="00AE67C6" w:rsidRDefault="005D216E">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88008CC" w14:textId="77777777" w:rsidR="00600C80" w:rsidRPr="00AE67C6" w:rsidRDefault="00600C80">
      <w:pPr>
        <w:tabs>
          <w:tab w:val="left" w:pos="8647"/>
        </w:tabs>
        <w:spacing w:line="360" w:lineRule="auto"/>
        <w:ind w:right="51"/>
        <w:jc w:val="both"/>
        <w:rPr>
          <w:rFonts w:ascii="Palatino Linotype" w:eastAsia="Palatino Linotype" w:hAnsi="Palatino Linotype" w:cs="Palatino Linotype"/>
        </w:rPr>
      </w:pPr>
    </w:p>
    <w:p w14:paraId="669F9E43" w14:textId="19F87398" w:rsidR="00785E98" w:rsidRPr="00AE67C6" w:rsidRDefault="005D216E">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rPr>
        <w:t>Para la clasificación de la información es necesario considerar lo establecido por los Lineamientos Generales en materia de Clasificación y Desclasificación de la información, emitidos por el Sistema Nacional de Transparencia, Acceso a la Información Pública y Protección de Datos Personales, ya que establecen los criterios para la clasificación y desclasificación de la información, garantizan la confidencialidad, el uso adecuado de la información, entre otros.</w:t>
      </w:r>
    </w:p>
    <w:p w14:paraId="5AFC56AD" w14:textId="77777777" w:rsidR="009A6EC3" w:rsidRPr="00AE67C6" w:rsidRDefault="009A6EC3">
      <w:pPr>
        <w:tabs>
          <w:tab w:val="left" w:pos="8647"/>
        </w:tabs>
        <w:spacing w:line="360" w:lineRule="auto"/>
        <w:ind w:right="51"/>
        <w:jc w:val="both"/>
        <w:rPr>
          <w:rFonts w:ascii="Palatino Linotype" w:eastAsia="Palatino Linotype" w:hAnsi="Palatino Linotype" w:cs="Palatino Linotype"/>
        </w:rPr>
      </w:pPr>
    </w:p>
    <w:p w14:paraId="14875A84" w14:textId="77777777" w:rsidR="00785E98" w:rsidRPr="00AE67C6" w:rsidRDefault="005D216E">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El derecho de acceso a la información pública puede ser restringido cuando se trate de información clasificada como reservada, por lo que para motivar la clasificación se deberán de señalar las razones, motivos o circunstancias especiales que llevaron al </w:t>
      </w:r>
      <w:r w:rsidRPr="00AE67C6">
        <w:rPr>
          <w:rFonts w:ascii="Palatino Linotype" w:eastAsia="Palatino Linotype" w:hAnsi="Palatino Linotype" w:cs="Palatino Linotype"/>
          <w:b/>
        </w:rPr>
        <w:t>Sujeto Obligado</w:t>
      </w:r>
      <w:r w:rsidRPr="00AE67C6">
        <w:rPr>
          <w:rFonts w:ascii="Palatino Linotype" w:eastAsia="Palatino Linotype" w:hAnsi="Palatino Linotype" w:cs="Palatino Linotype"/>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w:t>
      </w:r>
      <w:r w:rsidRPr="00AE67C6">
        <w:rPr>
          <w:rFonts w:ascii="Palatino Linotype" w:eastAsia="Palatino Linotype" w:hAnsi="Palatino Linotype" w:cs="Palatino Linotype"/>
        </w:rPr>
        <w:lastRenderedPageBreak/>
        <w:t>menoscabo o daño que puede producirse con la publicidad de la información, es mayor que el interés de conocerla; debiendo clasificarse como reservada.</w:t>
      </w:r>
    </w:p>
    <w:p w14:paraId="27A83C31" w14:textId="77777777" w:rsidR="00785E98" w:rsidRPr="00AE67C6" w:rsidRDefault="00785E98">
      <w:pPr>
        <w:tabs>
          <w:tab w:val="left" w:pos="8647"/>
        </w:tabs>
        <w:spacing w:line="360" w:lineRule="auto"/>
        <w:ind w:right="51"/>
        <w:jc w:val="both"/>
        <w:rPr>
          <w:rFonts w:ascii="Palatino Linotype" w:eastAsia="Palatino Linotype" w:hAnsi="Palatino Linotype" w:cs="Palatino Linotype"/>
        </w:rPr>
      </w:pPr>
    </w:p>
    <w:p w14:paraId="7C19ED27"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w:t>
      </w:r>
    </w:p>
    <w:p w14:paraId="09ABEAB5" w14:textId="77777777" w:rsidR="00785E98" w:rsidRPr="00AE67C6" w:rsidRDefault="00785E98">
      <w:pPr>
        <w:spacing w:line="360" w:lineRule="auto"/>
        <w:jc w:val="both"/>
        <w:rPr>
          <w:rFonts w:ascii="Palatino Linotype" w:eastAsia="Palatino Linotype" w:hAnsi="Palatino Linotype" w:cs="Palatino Linotype"/>
        </w:rPr>
      </w:pPr>
    </w:p>
    <w:p w14:paraId="2357C6D8" w14:textId="77777777"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797422EF" w14:textId="77777777" w:rsidR="00785E98" w:rsidRPr="00AE67C6" w:rsidRDefault="00785E98">
      <w:pPr>
        <w:tabs>
          <w:tab w:val="left" w:pos="8647"/>
        </w:tabs>
        <w:spacing w:line="360" w:lineRule="auto"/>
        <w:ind w:right="51"/>
        <w:jc w:val="both"/>
        <w:rPr>
          <w:rFonts w:ascii="Palatino Linotype" w:eastAsia="Palatino Linotype" w:hAnsi="Palatino Linotype" w:cs="Palatino Linotype"/>
        </w:rPr>
      </w:pPr>
    </w:p>
    <w:p w14:paraId="776D1C30" w14:textId="77777777" w:rsidR="00785E98" w:rsidRPr="00AE67C6" w:rsidRDefault="005D216E">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que deja al solicitante en estado de incertidumbre, al no conocer o comprender porque no aparecen en la documentación respectiva.</w:t>
      </w:r>
    </w:p>
    <w:p w14:paraId="2FDF56E6" w14:textId="77777777" w:rsidR="00785E98" w:rsidRPr="00AE67C6" w:rsidRDefault="00785E98">
      <w:pPr>
        <w:tabs>
          <w:tab w:val="left" w:pos="8647"/>
        </w:tabs>
        <w:spacing w:line="360" w:lineRule="auto"/>
        <w:ind w:right="51"/>
        <w:jc w:val="both"/>
        <w:rPr>
          <w:rFonts w:ascii="Palatino Linotype" w:eastAsia="Palatino Linotype" w:hAnsi="Palatino Linotype" w:cs="Palatino Linotype"/>
        </w:rPr>
      </w:pPr>
    </w:p>
    <w:p w14:paraId="3B5B3FB9" w14:textId="58336A5F" w:rsidR="000170E4" w:rsidRPr="00AE67C6" w:rsidRDefault="005D216E">
      <w:pPr>
        <w:spacing w:line="360" w:lineRule="auto"/>
        <w:jc w:val="both"/>
        <w:rPr>
          <w:rFonts w:ascii="Palatino Linotype" w:eastAsia="Palatino Linotype" w:hAnsi="Palatino Linotype" w:cs="Palatino Linotype"/>
          <w:i/>
        </w:rPr>
      </w:pPr>
      <w:r w:rsidRPr="00AE67C6">
        <w:rPr>
          <w:rFonts w:ascii="Palatino Linotype" w:eastAsia="Palatino Linotype" w:hAnsi="Palatino Linotype" w:cs="Palatino Linotype"/>
        </w:rPr>
        <w:t>Por lo tanto, es necesario que el Comité de Transparencia emita un Acuerdo de Clasificación que cumpla con las formalidades previstas en los artículos 137, 143 y 149 de la Ley de Transparencia y Acceso a la Información Pública del Estado de México y Municipios</w:t>
      </w:r>
      <w:r w:rsidRPr="00AE67C6">
        <w:rPr>
          <w:rFonts w:ascii="Palatino Linotype" w:eastAsia="Palatino Linotype" w:hAnsi="Palatino Linotype" w:cs="Palatino Linotype"/>
          <w:i/>
        </w:rPr>
        <w:t>.</w:t>
      </w:r>
    </w:p>
    <w:p w14:paraId="6A506771" w14:textId="77777777" w:rsidR="00785E98" w:rsidRPr="00AE67C6" w:rsidRDefault="005D216E" w:rsidP="00664FBF">
      <w:pPr>
        <w:numPr>
          <w:ilvl w:val="0"/>
          <w:numId w:val="1"/>
        </w:numPr>
        <w:pBdr>
          <w:top w:val="nil"/>
          <w:left w:val="nil"/>
          <w:bottom w:val="nil"/>
          <w:right w:val="nil"/>
          <w:between w:val="nil"/>
        </w:pBdr>
        <w:tabs>
          <w:tab w:val="left" w:pos="7938"/>
        </w:tabs>
        <w:spacing w:line="360" w:lineRule="auto"/>
        <w:jc w:val="both"/>
        <w:rPr>
          <w:b/>
          <w:color w:val="000000"/>
          <w:sz w:val="28"/>
          <w:szCs w:val="28"/>
          <w:u w:val="single"/>
        </w:rPr>
      </w:pPr>
      <w:r w:rsidRPr="00AE67C6">
        <w:rPr>
          <w:rFonts w:ascii="Palatino Linotype" w:eastAsia="Palatino Linotype" w:hAnsi="Palatino Linotype" w:cs="Palatino Linotype"/>
          <w:b/>
          <w:color w:val="000000"/>
          <w:sz w:val="28"/>
          <w:szCs w:val="28"/>
          <w:u w:val="single"/>
        </w:rPr>
        <w:lastRenderedPageBreak/>
        <w:t xml:space="preserve">De la vista a los órganos de control interno competentes </w:t>
      </w:r>
    </w:p>
    <w:p w14:paraId="47D38419" w14:textId="1E1FE1F4" w:rsidR="00E94B1F" w:rsidRPr="00AE67C6" w:rsidRDefault="005D216E">
      <w:pPr>
        <w:spacing w:line="360" w:lineRule="auto"/>
        <w:ind w:right="49"/>
        <w:jc w:val="both"/>
        <w:rPr>
          <w:rFonts w:ascii="Palatino Linotype" w:eastAsia="Palatino Linotype" w:hAnsi="Palatino Linotype" w:cs="Palatino Linotype"/>
        </w:rPr>
      </w:pPr>
      <w:r w:rsidRPr="00AE67C6">
        <w:rPr>
          <w:rFonts w:ascii="Palatino Linotype" w:eastAsia="Palatino Linotype" w:hAnsi="Palatino Linotype" w:cs="Palatino Linotype"/>
        </w:rPr>
        <w:t>Como ya se mencionó el</w:t>
      </w:r>
      <w:r w:rsidRPr="00AE67C6">
        <w:rPr>
          <w:rFonts w:ascii="Palatino Linotype" w:eastAsia="Palatino Linotype" w:hAnsi="Palatino Linotype" w:cs="Palatino Linotype"/>
          <w:b/>
        </w:rPr>
        <w:t xml:space="preserve"> Sujeto Obligado</w:t>
      </w:r>
      <w:r w:rsidRPr="00AE67C6">
        <w:rPr>
          <w:rFonts w:ascii="Palatino Linotype" w:eastAsia="Palatino Linotype" w:hAnsi="Palatino Linotype" w:cs="Palatino Linotype"/>
        </w:rPr>
        <w:t>, no proporcionó respuesta a la solicitud de acceso a la información pública, en el término previsto en el artículo 163 de la Ley de Transparencia y Acceso a la Información Pública por lo que ordena dar vista</w:t>
      </w:r>
      <w:r w:rsidRPr="00AE67C6">
        <w:rPr>
          <w:rFonts w:ascii="Palatino Linotype" w:eastAsia="Palatino Linotype" w:hAnsi="Palatino Linotype" w:cs="Palatino Linotype"/>
          <w:b/>
        </w:rPr>
        <w:t xml:space="preserve"> </w:t>
      </w:r>
      <w:r w:rsidRPr="00AE67C6">
        <w:rPr>
          <w:rFonts w:ascii="Palatino Linotype" w:eastAsia="Palatino Linotype" w:hAnsi="Palatino Linotype" w:cs="Palatino Linotype"/>
        </w:rPr>
        <w:t>a la Secretaría Técnica del Pleno de este Instituto para hacer del conocimiento del Órgano Interno de Control competente la presente resolución, a fin de que de conformidad con los</w:t>
      </w:r>
      <w:r w:rsidR="00CA19C9" w:rsidRPr="00AE67C6">
        <w:rPr>
          <w:rFonts w:ascii="Palatino Linotype" w:eastAsia="Palatino Linotype" w:hAnsi="Palatino Linotype" w:cs="Palatino Linotype"/>
        </w:rPr>
        <w:t xml:space="preserve"> artículos 190 y 222 </w:t>
      </w:r>
      <w:r w:rsidRPr="00AE67C6">
        <w:rPr>
          <w:rFonts w:ascii="Palatino Linotype" w:eastAsia="Palatino Linotype" w:hAnsi="Palatino Linotype" w:cs="Palatino Linotype"/>
        </w:rPr>
        <w:t>de la Ley de Transparencia y Acceso a la Información Pública del Estado de México y Municipios y 19 fracción XXVII, del Reglamento Interior del Instituto de Transparencia, Acceso a la Información y Protección de Datos Personales del Estado de México y Municipios, se determine lo conducente.</w:t>
      </w:r>
    </w:p>
    <w:p w14:paraId="48A25FBF" w14:textId="77777777" w:rsidR="00D46F14" w:rsidRPr="00AE67C6" w:rsidRDefault="00D46F14">
      <w:pPr>
        <w:spacing w:line="360" w:lineRule="auto"/>
        <w:ind w:right="49"/>
        <w:jc w:val="both"/>
        <w:rPr>
          <w:rFonts w:ascii="Palatino Linotype" w:eastAsia="Palatino Linotype" w:hAnsi="Palatino Linotype" w:cs="Palatino Linotype"/>
        </w:rPr>
      </w:pPr>
    </w:p>
    <w:p w14:paraId="2E072245" w14:textId="2D36BF58"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 xml:space="preserve">Por lo tanto, en mérito de lo expuesto en líneas anteriores, con fundamento en la fracción IV, del artículo 186, de la Ley de Transparencia y Acceso a la Información Pública del Estado de México y Municipios, se </w:t>
      </w:r>
      <w:r w:rsidRPr="00AE67C6">
        <w:rPr>
          <w:rFonts w:ascii="Palatino Linotype" w:eastAsia="Palatino Linotype" w:hAnsi="Palatino Linotype" w:cs="Palatino Linotype"/>
          <w:b/>
        </w:rPr>
        <w:t>ORDENA</w:t>
      </w:r>
      <w:r w:rsidRPr="00AE67C6">
        <w:rPr>
          <w:rFonts w:ascii="Palatino Linotype" w:eastAsia="Palatino Linotype" w:hAnsi="Palatino Linotype" w:cs="Palatino Linotype"/>
        </w:rPr>
        <w:t xml:space="preserve"> al </w:t>
      </w:r>
      <w:r w:rsidRPr="00AE67C6">
        <w:rPr>
          <w:rFonts w:ascii="Palatino Linotype" w:eastAsia="Palatino Linotype" w:hAnsi="Palatino Linotype" w:cs="Palatino Linotype"/>
          <w:b/>
        </w:rPr>
        <w:t>Sujeto Obligado</w:t>
      </w:r>
      <w:r w:rsidR="00CA19C9" w:rsidRPr="00AE67C6">
        <w:rPr>
          <w:rFonts w:ascii="Palatino Linotype" w:eastAsia="Palatino Linotype" w:hAnsi="Palatino Linotype" w:cs="Palatino Linotype"/>
        </w:rPr>
        <w:t>, atienda la solicitud</w:t>
      </w:r>
      <w:r w:rsidRPr="00AE67C6">
        <w:rPr>
          <w:rFonts w:ascii="Palatino Linotype" w:eastAsia="Palatino Linotype" w:hAnsi="Palatino Linotype" w:cs="Palatino Linotype"/>
        </w:rPr>
        <w:t xml:space="preserve"> de información </w:t>
      </w:r>
      <w:r w:rsidR="00CA19C9" w:rsidRPr="00AE67C6">
        <w:rPr>
          <w:rFonts w:ascii="Palatino Linotype" w:eastAsia="Palatino Linotype" w:hAnsi="Palatino Linotype" w:cs="Palatino Linotype"/>
        </w:rPr>
        <w:t>número</w:t>
      </w:r>
      <w:r w:rsidR="005D13A2" w:rsidRPr="00AE67C6">
        <w:rPr>
          <w:rFonts w:ascii="Palatino Linotype" w:eastAsia="Palatino Linotype" w:hAnsi="Palatino Linotype" w:cs="Palatino Linotype"/>
        </w:rPr>
        <w:t xml:space="preserve"> </w:t>
      </w:r>
      <w:r w:rsidR="009F1671" w:rsidRPr="00AE67C6">
        <w:rPr>
          <w:rFonts w:ascii="Palatino Linotype" w:eastAsia="Palatino Linotype" w:hAnsi="Palatino Linotype" w:cs="Palatino Linotype"/>
          <w:b/>
        </w:rPr>
        <w:t>00931/TEPOTZOT/IP/2025</w:t>
      </w:r>
      <w:r w:rsidR="00CA19C9" w:rsidRPr="00AE67C6">
        <w:rPr>
          <w:rFonts w:ascii="Palatino Linotype" w:eastAsia="Palatino Linotype" w:hAnsi="Palatino Linotype" w:cs="Palatino Linotype"/>
        </w:rPr>
        <w:t>, que ha</w:t>
      </w:r>
      <w:r w:rsidRPr="00AE67C6">
        <w:rPr>
          <w:rFonts w:ascii="Palatino Linotype" w:eastAsia="Palatino Linotype" w:hAnsi="Palatino Linotype" w:cs="Palatino Linotype"/>
        </w:rPr>
        <w:t xml:space="preserve"> sido materia del presente fallo.</w:t>
      </w:r>
    </w:p>
    <w:p w14:paraId="26AA7F42" w14:textId="77777777" w:rsidR="00E23D1E" w:rsidRPr="00AE67C6" w:rsidRDefault="00E23D1E">
      <w:pPr>
        <w:spacing w:line="360" w:lineRule="auto"/>
        <w:jc w:val="both"/>
        <w:rPr>
          <w:rFonts w:ascii="Palatino Linotype" w:eastAsia="Palatino Linotype" w:hAnsi="Palatino Linotype" w:cs="Palatino Linotype"/>
          <w:b/>
        </w:rPr>
      </w:pPr>
    </w:p>
    <w:p w14:paraId="62BA6CEF" w14:textId="77777777" w:rsidR="00785E98" w:rsidRPr="00AE67C6" w:rsidRDefault="005D216E" w:rsidP="00CA19C9">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rPr>
        <w:t>Por lo antes expuesto y fundado es de resolverse y;</w:t>
      </w:r>
    </w:p>
    <w:p w14:paraId="390DEC2A" w14:textId="77777777" w:rsidR="009A6EC3" w:rsidRPr="00AE67C6" w:rsidRDefault="009A6EC3" w:rsidP="00CA19C9">
      <w:pPr>
        <w:spacing w:line="360" w:lineRule="auto"/>
        <w:jc w:val="both"/>
        <w:rPr>
          <w:rFonts w:ascii="Palatino Linotype" w:eastAsia="Palatino Linotype" w:hAnsi="Palatino Linotype" w:cs="Palatino Linotype"/>
        </w:rPr>
      </w:pPr>
    </w:p>
    <w:p w14:paraId="6FEB70C3" w14:textId="77777777" w:rsidR="00785E98" w:rsidRPr="00AE67C6" w:rsidRDefault="005D216E">
      <w:pPr>
        <w:spacing w:line="360" w:lineRule="auto"/>
        <w:ind w:right="-234" w:firstLine="567"/>
        <w:jc w:val="center"/>
        <w:rPr>
          <w:rFonts w:ascii="Palatino Linotype" w:eastAsia="Palatino Linotype" w:hAnsi="Palatino Linotype" w:cs="Palatino Linotype"/>
          <w:b/>
          <w:sz w:val="28"/>
          <w:szCs w:val="28"/>
        </w:rPr>
      </w:pPr>
      <w:r w:rsidRPr="00AE67C6">
        <w:rPr>
          <w:rFonts w:ascii="Palatino Linotype" w:eastAsia="Palatino Linotype" w:hAnsi="Palatino Linotype" w:cs="Palatino Linotype"/>
          <w:b/>
          <w:sz w:val="28"/>
          <w:szCs w:val="28"/>
        </w:rPr>
        <w:t>S E     R E S U E L V E</w:t>
      </w:r>
    </w:p>
    <w:p w14:paraId="3651E107" w14:textId="77777777" w:rsidR="00785E98" w:rsidRPr="00AE67C6" w:rsidRDefault="00785E98">
      <w:pPr>
        <w:pBdr>
          <w:top w:val="nil"/>
          <w:left w:val="nil"/>
          <w:bottom w:val="nil"/>
          <w:right w:val="nil"/>
          <w:between w:val="nil"/>
        </w:pBdr>
        <w:rPr>
          <w:color w:val="000000"/>
        </w:rPr>
      </w:pPr>
    </w:p>
    <w:p w14:paraId="73F86335" w14:textId="34039827" w:rsidR="00785E98" w:rsidRPr="00AE67C6" w:rsidRDefault="005D216E">
      <w:pPr>
        <w:spacing w:line="360" w:lineRule="auto"/>
        <w:ind w:right="49"/>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t>PRIMERO.</w:t>
      </w:r>
      <w:r w:rsidRPr="00AE67C6">
        <w:rPr>
          <w:rFonts w:ascii="Palatino Linotype" w:eastAsia="Palatino Linotype" w:hAnsi="Palatino Linotype" w:cs="Palatino Linotype"/>
        </w:rPr>
        <w:t xml:space="preserve"> Resultan fundadas las razones o motivos de inconformidad hechos valer por </w:t>
      </w:r>
      <w:r w:rsidR="00CA19C9" w:rsidRPr="00AE67C6">
        <w:rPr>
          <w:rFonts w:ascii="Palatino Linotype" w:eastAsia="Palatino Linotype" w:hAnsi="Palatino Linotype" w:cs="Palatino Linotype"/>
        </w:rPr>
        <w:t>la parte</w:t>
      </w:r>
      <w:r w:rsidRPr="00AE67C6">
        <w:rPr>
          <w:rFonts w:ascii="Palatino Linotype" w:eastAsia="Palatino Linotype" w:hAnsi="Palatino Linotype" w:cs="Palatino Linotype"/>
        </w:rPr>
        <w:t xml:space="preserve"> </w:t>
      </w:r>
      <w:r w:rsidRPr="00AE67C6">
        <w:rPr>
          <w:rFonts w:ascii="Palatino Linotype" w:eastAsia="Palatino Linotype" w:hAnsi="Palatino Linotype" w:cs="Palatino Linotype"/>
          <w:b/>
        </w:rPr>
        <w:t>Recurrente,</w:t>
      </w:r>
      <w:r w:rsidRPr="00AE67C6">
        <w:rPr>
          <w:rFonts w:ascii="Palatino Linotype" w:eastAsia="Palatino Linotype" w:hAnsi="Palatino Linotype" w:cs="Palatino Linotype"/>
        </w:rPr>
        <w:t xml:space="preserve"> en términos del Considerando </w:t>
      </w:r>
      <w:r w:rsidR="0086738F" w:rsidRPr="00AE67C6">
        <w:rPr>
          <w:rFonts w:ascii="Palatino Linotype" w:eastAsia="Palatino Linotype" w:hAnsi="Palatino Linotype" w:cs="Palatino Linotype"/>
          <w:b/>
        </w:rPr>
        <w:t>CUARTO</w:t>
      </w:r>
      <w:r w:rsidRPr="00AE67C6">
        <w:rPr>
          <w:rFonts w:ascii="Palatino Linotype" w:eastAsia="Palatino Linotype" w:hAnsi="Palatino Linotype" w:cs="Palatino Linotype"/>
          <w:b/>
        </w:rPr>
        <w:t xml:space="preserve"> </w:t>
      </w:r>
      <w:r w:rsidRPr="00AE67C6">
        <w:rPr>
          <w:rFonts w:ascii="Palatino Linotype" w:eastAsia="Palatino Linotype" w:hAnsi="Palatino Linotype" w:cs="Palatino Linotype"/>
        </w:rPr>
        <w:t>de la presente resolución.</w:t>
      </w:r>
    </w:p>
    <w:p w14:paraId="5998D5E7" w14:textId="77777777" w:rsidR="00B33259" w:rsidRPr="00AE67C6" w:rsidRDefault="00B33259">
      <w:pPr>
        <w:spacing w:line="360" w:lineRule="auto"/>
        <w:ind w:right="49"/>
        <w:jc w:val="both"/>
        <w:rPr>
          <w:rFonts w:ascii="Palatino Linotype" w:eastAsia="Palatino Linotype" w:hAnsi="Palatino Linotype" w:cs="Palatino Linotype"/>
        </w:rPr>
      </w:pPr>
    </w:p>
    <w:p w14:paraId="1B02DB45" w14:textId="03BF9826" w:rsidR="00785E98"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lastRenderedPageBreak/>
        <w:t>SEGUNDO</w:t>
      </w:r>
      <w:r w:rsidRPr="00AE67C6">
        <w:rPr>
          <w:rFonts w:ascii="Palatino Linotype" w:eastAsia="Palatino Linotype" w:hAnsi="Palatino Linotype" w:cs="Palatino Linotype"/>
          <w:sz w:val="28"/>
          <w:szCs w:val="28"/>
        </w:rPr>
        <w:t>.</w:t>
      </w:r>
      <w:r w:rsidRPr="00AE67C6">
        <w:rPr>
          <w:rFonts w:ascii="Palatino Linotype" w:eastAsia="Palatino Linotype" w:hAnsi="Palatino Linotype" w:cs="Palatino Linotype"/>
        </w:rPr>
        <w:t> Se</w:t>
      </w:r>
      <w:r w:rsidRPr="00AE67C6">
        <w:rPr>
          <w:rFonts w:ascii="Palatino Linotype" w:eastAsia="Palatino Linotype" w:hAnsi="Palatino Linotype" w:cs="Palatino Linotype"/>
          <w:b/>
        </w:rPr>
        <w:t> ORDENA </w:t>
      </w:r>
      <w:r w:rsidRPr="00AE67C6">
        <w:rPr>
          <w:rFonts w:ascii="Palatino Linotype" w:eastAsia="Palatino Linotype" w:hAnsi="Palatino Linotype" w:cs="Palatino Linotype"/>
        </w:rPr>
        <w:t xml:space="preserve">al </w:t>
      </w:r>
      <w:r w:rsidRPr="00AE67C6">
        <w:rPr>
          <w:rFonts w:ascii="Palatino Linotype" w:eastAsia="Palatino Linotype" w:hAnsi="Palatino Linotype" w:cs="Palatino Linotype"/>
          <w:b/>
        </w:rPr>
        <w:t>Sujeto Obligado</w:t>
      </w:r>
      <w:r w:rsidR="00CA19C9" w:rsidRPr="00AE67C6">
        <w:rPr>
          <w:rFonts w:ascii="Palatino Linotype" w:eastAsia="Palatino Linotype" w:hAnsi="Palatino Linotype" w:cs="Palatino Linotype"/>
        </w:rPr>
        <w:t>, atienda la solicitud</w:t>
      </w:r>
      <w:r w:rsidRPr="00AE67C6">
        <w:rPr>
          <w:rFonts w:ascii="Palatino Linotype" w:eastAsia="Palatino Linotype" w:hAnsi="Palatino Linotype" w:cs="Palatino Linotype"/>
        </w:rPr>
        <w:t xml:space="preserve"> de información número</w:t>
      </w:r>
      <w:r w:rsidR="005D13A2" w:rsidRPr="00AE67C6">
        <w:rPr>
          <w:rFonts w:ascii="Palatino Linotype" w:eastAsia="Palatino Linotype" w:hAnsi="Palatino Linotype" w:cs="Palatino Linotype"/>
        </w:rPr>
        <w:t xml:space="preserve"> </w:t>
      </w:r>
      <w:r w:rsidR="009F1671" w:rsidRPr="00AE67C6">
        <w:rPr>
          <w:rFonts w:ascii="Palatino Linotype" w:eastAsia="Palatino Linotype" w:hAnsi="Palatino Linotype" w:cs="Palatino Linotype"/>
          <w:b/>
        </w:rPr>
        <w:t>00931/TEPOTZOT/IP/2025</w:t>
      </w:r>
      <w:r w:rsidRPr="00AE67C6">
        <w:rPr>
          <w:rFonts w:ascii="Palatino Linotype" w:eastAsia="Palatino Linotype" w:hAnsi="Palatino Linotype" w:cs="Palatino Linotype"/>
        </w:rPr>
        <w:t>,</w:t>
      </w:r>
      <w:r w:rsidR="00CA19C9" w:rsidRPr="00AE67C6">
        <w:rPr>
          <w:rFonts w:ascii="Palatino Linotype" w:eastAsia="Palatino Linotype" w:hAnsi="Palatino Linotype" w:cs="Palatino Linotype"/>
          <w:b/>
        </w:rPr>
        <w:t xml:space="preserve"> </w:t>
      </w:r>
      <w:r w:rsidRPr="00AE67C6">
        <w:rPr>
          <w:rFonts w:ascii="Palatino Linotype" w:eastAsia="Palatino Linotype" w:hAnsi="Palatino Linotype" w:cs="Palatino Linotype"/>
        </w:rPr>
        <w:t xml:space="preserve">en términos del Considerando </w:t>
      </w:r>
      <w:r w:rsidR="0086738F" w:rsidRPr="00AE67C6">
        <w:rPr>
          <w:rFonts w:ascii="Palatino Linotype" w:eastAsia="Palatino Linotype" w:hAnsi="Palatino Linotype" w:cs="Palatino Linotype"/>
          <w:b/>
        </w:rPr>
        <w:t>CUARTO</w:t>
      </w:r>
      <w:r w:rsidRPr="00AE67C6">
        <w:rPr>
          <w:rFonts w:ascii="Palatino Linotype" w:eastAsia="Palatino Linotype" w:hAnsi="Palatino Linotype" w:cs="Palatino Linotype"/>
        </w:rPr>
        <w:t xml:space="preserve"> de esta resolución, vía Sistema de Acceso a la Información Mexiquense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w:t>
      </w:r>
    </w:p>
    <w:p w14:paraId="79ED268A" w14:textId="77777777" w:rsidR="009714F5" w:rsidRPr="00AE67C6" w:rsidRDefault="009714F5">
      <w:pPr>
        <w:spacing w:line="360" w:lineRule="auto"/>
        <w:jc w:val="both"/>
        <w:rPr>
          <w:rFonts w:ascii="Palatino Linotype" w:eastAsia="Palatino Linotype" w:hAnsi="Palatino Linotype" w:cs="Palatino Linotype"/>
        </w:rPr>
      </w:pPr>
    </w:p>
    <w:p w14:paraId="18A084DB" w14:textId="77777777" w:rsidR="00785E98" w:rsidRPr="00AE67C6" w:rsidRDefault="005D216E">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t>TERCERO</w:t>
      </w:r>
      <w:r w:rsidRPr="00AE67C6">
        <w:rPr>
          <w:rFonts w:ascii="Palatino Linotype" w:eastAsia="Palatino Linotype" w:hAnsi="Palatino Linotype" w:cs="Palatino Linotype"/>
        </w:rPr>
        <w:t xml:space="preserve">. </w:t>
      </w:r>
      <w:r w:rsidRPr="00AE67C6">
        <w:rPr>
          <w:rFonts w:ascii="Palatino Linotype" w:eastAsia="Palatino Linotype" w:hAnsi="Palatino Linotype" w:cs="Palatino Linotype"/>
          <w:b/>
        </w:rPr>
        <w:t>NOTIFÍQUESE</w:t>
      </w:r>
      <w:r w:rsidRPr="00AE67C6">
        <w:rPr>
          <w:rFonts w:ascii="Palatino Linotype" w:eastAsia="Palatino Linotype" w:hAnsi="Palatino Linotype" w:cs="Palatino Linotype"/>
        </w:rPr>
        <w:t xml:space="preserve">, vía Sistema de Acceso a la Información Mexiquense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w:t>
      </w:r>
      <w:r w:rsidR="00CA19C9" w:rsidRPr="00AE67C6">
        <w:rPr>
          <w:rFonts w:ascii="Palatino Linotype" w:eastAsia="Palatino Linotype" w:hAnsi="Palatino Linotype" w:cs="Palatino Linotype"/>
        </w:rPr>
        <w:t>n III; 214, 215 y 216 de la Ley</w:t>
      </w:r>
      <w:r w:rsidRPr="00AE67C6">
        <w:rPr>
          <w:rFonts w:ascii="Palatino Linotype" w:eastAsia="Palatino Linotype" w:hAnsi="Palatino Linotype" w:cs="Palatino Linotype"/>
        </w:rPr>
        <w:t xml:space="preserve"> de Transparencia y Acceso a la Información Pública del Estado de México y Municipios</w:t>
      </w:r>
    </w:p>
    <w:p w14:paraId="61157416" w14:textId="77777777" w:rsidR="00785E98" w:rsidRPr="00AE67C6" w:rsidRDefault="00785E98">
      <w:pPr>
        <w:spacing w:line="360" w:lineRule="auto"/>
        <w:jc w:val="both"/>
        <w:rPr>
          <w:rFonts w:ascii="Palatino Linotype" w:eastAsia="Palatino Linotype" w:hAnsi="Palatino Linotype" w:cs="Palatino Linotype"/>
        </w:rPr>
      </w:pPr>
    </w:p>
    <w:p w14:paraId="0F13687B" w14:textId="77777777" w:rsidR="00785E98" w:rsidRPr="00AE67C6" w:rsidRDefault="005D216E">
      <w:pPr>
        <w:tabs>
          <w:tab w:val="left" w:pos="8647"/>
        </w:tabs>
        <w:spacing w:line="360" w:lineRule="auto"/>
        <w:ind w:right="51"/>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t>CUARTO</w:t>
      </w:r>
      <w:r w:rsidRPr="00AE67C6">
        <w:rPr>
          <w:rFonts w:ascii="Palatino Linotype" w:eastAsia="Palatino Linotype" w:hAnsi="Palatino Linotype" w:cs="Palatino Linotype"/>
        </w:rPr>
        <w:t xml:space="preserve">. </w:t>
      </w:r>
      <w:r w:rsidRPr="00AE67C6">
        <w:rPr>
          <w:rFonts w:ascii="Palatino Linotype" w:eastAsia="Palatino Linotype" w:hAnsi="Palatino Linotype" w:cs="Palatino Linotype"/>
          <w:b/>
        </w:rPr>
        <w:t>NOTIFÍQUESE</w:t>
      </w:r>
      <w:r w:rsidRPr="00AE67C6">
        <w:rPr>
          <w:rFonts w:ascii="Palatino Linotype" w:eastAsia="Palatino Linotype" w:hAnsi="Palatino Linotype" w:cs="Palatino Linotype"/>
        </w:rPr>
        <w:t xml:space="preserve">, vía Sistema de Acceso a la Información Mexiquense </w:t>
      </w:r>
      <w:r w:rsidRPr="00AE67C6">
        <w:rPr>
          <w:rFonts w:ascii="Palatino Linotype" w:eastAsia="Palatino Linotype" w:hAnsi="Palatino Linotype" w:cs="Palatino Linotype"/>
          <w:b/>
        </w:rPr>
        <w:t>(SAIMEX)</w:t>
      </w:r>
      <w:r w:rsidRPr="00AE67C6">
        <w:rPr>
          <w:rFonts w:ascii="Palatino Linotype" w:eastAsia="Palatino Linotype" w:hAnsi="Palatino Linotype" w:cs="Palatino Linotype"/>
        </w:rPr>
        <w:t xml:space="preserve"> a la parte </w:t>
      </w:r>
      <w:r w:rsidRPr="00AE67C6">
        <w:rPr>
          <w:rFonts w:ascii="Palatino Linotype" w:eastAsia="Palatino Linotype" w:hAnsi="Palatino Linotype" w:cs="Palatino Linotype"/>
          <w:b/>
        </w:rPr>
        <w:t>Recurrente</w:t>
      </w:r>
      <w:r w:rsidRPr="00AE67C6">
        <w:rPr>
          <w:rFonts w:ascii="Palatino Linotype" w:eastAsia="Palatino Linotype" w:hAnsi="Palatino Linotype" w:cs="Palatino Linotype"/>
        </w:rPr>
        <w:t xml:space="preserve"> la presente resolución; así mismo, hágase de su 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769BED27" w14:textId="77777777" w:rsidR="00785E98" w:rsidRPr="00AE67C6" w:rsidRDefault="00785E98">
      <w:pPr>
        <w:spacing w:line="360" w:lineRule="auto"/>
        <w:jc w:val="both"/>
        <w:rPr>
          <w:rFonts w:ascii="Palatino Linotype" w:eastAsia="Palatino Linotype" w:hAnsi="Palatino Linotype" w:cs="Palatino Linotype"/>
        </w:rPr>
      </w:pPr>
    </w:p>
    <w:p w14:paraId="45CBA433" w14:textId="14CEC51F" w:rsidR="006D7939"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lastRenderedPageBreak/>
        <w:t>QUINTO</w:t>
      </w:r>
      <w:r w:rsidRPr="00AE67C6">
        <w:rPr>
          <w:rFonts w:ascii="Palatino Linotype" w:eastAsia="Palatino Linotype" w:hAnsi="Palatino Linotype" w:cs="Palatino Linotype"/>
        </w:rPr>
        <w:t xml:space="preserve">. Se hace del conocimiento de la parte </w:t>
      </w:r>
      <w:r w:rsidRPr="00AE67C6">
        <w:rPr>
          <w:rFonts w:ascii="Palatino Linotype" w:eastAsia="Palatino Linotype" w:hAnsi="Palatino Linotype" w:cs="Palatino Linotype"/>
          <w:b/>
        </w:rPr>
        <w:t>Recurrente</w:t>
      </w:r>
      <w:r w:rsidRPr="00AE67C6">
        <w:rPr>
          <w:rFonts w:ascii="Palatino Linotype" w:eastAsia="Palatino Linotype" w:hAnsi="Palatino Linotype" w:cs="Palatino Linotype"/>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26BB66E7" w14:textId="77777777" w:rsidR="00E17070" w:rsidRPr="00AE67C6" w:rsidRDefault="00E17070">
      <w:pPr>
        <w:spacing w:line="360" w:lineRule="auto"/>
        <w:jc w:val="both"/>
        <w:rPr>
          <w:rFonts w:ascii="Palatino Linotype" w:eastAsia="Palatino Linotype" w:hAnsi="Palatino Linotype" w:cs="Palatino Linotype"/>
        </w:rPr>
      </w:pPr>
    </w:p>
    <w:p w14:paraId="1FADF6E4" w14:textId="30670F25" w:rsidR="00D46F14" w:rsidRPr="00AE67C6"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b/>
          <w:sz w:val="28"/>
          <w:szCs w:val="28"/>
        </w:rPr>
        <w:t>SEXTO</w:t>
      </w:r>
      <w:r w:rsidRPr="00AE67C6">
        <w:rPr>
          <w:rFonts w:ascii="Palatino Linotype" w:eastAsia="Palatino Linotype" w:hAnsi="Palatino Linotype" w:cs="Palatino Linotype"/>
        </w:rPr>
        <w:t xml:space="preserve">. </w:t>
      </w:r>
      <w:r w:rsidRPr="00AE67C6">
        <w:rPr>
          <w:rFonts w:ascii="Palatino Linotype" w:eastAsia="Palatino Linotype" w:hAnsi="Palatino Linotype" w:cs="Palatino Linotype"/>
          <w:b/>
        </w:rPr>
        <w:t>GÍRESE</w:t>
      </w:r>
      <w:r w:rsidRPr="00AE67C6">
        <w:rPr>
          <w:rFonts w:ascii="Palatino Linotype" w:eastAsia="Palatino Linotype" w:hAnsi="Palatino Linotype" w:cs="Palatino Linotype"/>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86738F" w:rsidRPr="00AE67C6">
        <w:rPr>
          <w:rFonts w:ascii="Palatino Linotype" w:eastAsia="Palatino Linotype" w:hAnsi="Palatino Linotype" w:cs="Palatino Linotype"/>
          <w:b/>
        </w:rPr>
        <w:t>CUARTO</w:t>
      </w:r>
      <w:r w:rsidRPr="00AE67C6">
        <w:rPr>
          <w:rFonts w:ascii="Palatino Linotype" w:eastAsia="Palatino Linotype" w:hAnsi="Palatino Linotype" w:cs="Palatino Linotype"/>
        </w:rPr>
        <w:t xml:space="preserve"> de la presente resolución.</w:t>
      </w:r>
    </w:p>
    <w:p w14:paraId="7FB10267" w14:textId="77777777" w:rsidR="006F4FBC" w:rsidRPr="00AE67C6" w:rsidRDefault="006F4FBC">
      <w:pPr>
        <w:spacing w:line="360" w:lineRule="auto"/>
        <w:jc w:val="both"/>
        <w:rPr>
          <w:rFonts w:ascii="Palatino Linotype" w:eastAsia="Palatino Linotype" w:hAnsi="Palatino Linotype" w:cs="Palatino Linotype"/>
        </w:rPr>
      </w:pPr>
    </w:p>
    <w:p w14:paraId="482373B6" w14:textId="0A673B3E" w:rsidR="00785E98" w:rsidRPr="00AE67C6" w:rsidRDefault="00AE67C6">
      <w:pPr>
        <w:spacing w:line="360" w:lineRule="auto"/>
        <w:jc w:val="both"/>
        <w:rPr>
          <w:rFonts w:ascii="Palatino Linotype" w:eastAsia="Palatino Linotype" w:hAnsi="Palatino Linotype" w:cs="Palatino Linotype"/>
        </w:rPr>
      </w:pPr>
      <w:r w:rsidRPr="00AE67C6">
        <w:rPr>
          <w:rFonts w:ascii="Palatino Linotype" w:eastAsiaTheme="minorHAnsi" w:hAnsi="Palatino Linotype" w:cs="Arial"/>
          <w:lang w:val="es-MX" w:eastAsia="en-US"/>
        </w:rPr>
        <w:t>ASÍ LO RESUELVE, POR UNANIMIDAD DE VOTOS, EL PLENO DEL</w:t>
      </w:r>
      <w:r w:rsidRPr="00AE67C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E67C6">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r w:rsidR="005D216E" w:rsidRPr="00AE67C6">
        <w:rPr>
          <w:rFonts w:ascii="Palatino Linotype" w:eastAsia="Palatino Linotype" w:hAnsi="Palatino Linotype" w:cs="Palatino Linotype"/>
        </w:rPr>
        <w:t>.----------------------------------------------------------</w:t>
      </w:r>
      <w:r w:rsidR="00693587" w:rsidRPr="00AE67C6">
        <w:rPr>
          <w:rFonts w:ascii="Palatino Linotype" w:eastAsia="Palatino Linotype" w:hAnsi="Palatino Linotype" w:cs="Palatino Linotype"/>
        </w:rPr>
        <w:t>-------------------------------</w:t>
      </w:r>
      <w:r w:rsidR="005D216E" w:rsidRPr="00AE67C6">
        <w:rPr>
          <w:rFonts w:ascii="Palatino Linotype" w:eastAsia="Palatino Linotype" w:hAnsi="Palatino Linotype" w:cs="Palatino Linotype"/>
        </w:rPr>
        <w:t>----------</w:t>
      </w:r>
      <w:r w:rsidR="00CA19C9" w:rsidRPr="00AE67C6">
        <w:rPr>
          <w:rFonts w:ascii="Palatino Linotype" w:eastAsia="Palatino Linotype" w:hAnsi="Palatino Linotype" w:cs="Palatino Linotype"/>
        </w:rPr>
        <w:t>---------------------------------------------------------------------------------</w:t>
      </w:r>
      <w:r w:rsidR="00B33259" w:rsidRPr="00AE67C6">
        <w:rPr>
          <w:rFonts w:ascii="Palatino Linotype" w:eastAsia="Palatino Linotype" w:hAnsi="Palatino Linotype" w:cs="Palatino Linotype"/>
        </w:rPr>
        <w:t>---------------------------------</w:t>
      </w:r>
      <w:r w:rsidR="000170E4" w:rsidRPr="00AE67C6">
        <w:rPr>
          <w:rFonts w:ascii="Palatino Linotype" w:eastAsia="Palatino Linotype" w:hAnsi="Palatino Linotype" w:cs="Palatino Linotype"/>
        </w:rPr>
        <w:t xml:space="preserve"> ------------------------------------------------------------------------------------------------------------------------------------------------------------------------------------------------------------------------------------</w:t>
      </w:r>
    </w:p>
    <w:p w14:paraId="131AEDA1" w14:textId="77777777" w:rsidR="00785E98" w:rsidRDefault="005D216E">
      <w:pPr>
        <w:spacing w:line="360" w:lineRule="auto"/>
        <w:jc w:val="both"/>
        <w:rPr>
          <w:rFonts w:ascii="Palatino Linotype" w:eastAsia="Palatino Linotype" w:hAnsi="Palatino Linotype" w:cs="Palatino Linotype"/>
        </w:rPr>
      </w:pPr>
      <w:r w:rsidRPr="00AE67C6">
        <w:rPr>
          <w:rFonts w:ascii="Palatino Linotype" w:eastAsia="Palatino Linotype" w:hAnsi="Palatino Linotype" w:cs="Palatino Linotype"/>
          <w:sz w:val="16"/>
          <w:szCs w:val="16"/>
        </w:rPr>
        <w:t>JMV/CCR/</w:t>
      </w:r>
      <w:proofErr w:type="spellStart"/>
      <w:r w:rsidRPr="00AE67C6">
        <w:rPr>
          <w:rFonts w:ascii="Palatino Linotype" w:eastAsia="Palatino Linotype" w:hAnsi="Palatino Linotype" w:cs="Palatino Linotype"/>
          <w:sz w:val="16"/>
          <w:szCs w:val="16"/>
        </w:rPr>
        <w:t>jasm</w:t>
      </w:r>
      <w:proofErr w:type="spellEnd"/>
    </w:p>
    <w:p w14:paraId="0B1AEB2B" w14:textId="77777777" w:rsidR="00785E98" w:rsidRDefault="00785E98">
      <w:pPr>
        <w:spacing w:line="360" w:lineRule="auto"/>
        <w:jc w:val="both"/>
        <w:rPr>
          <w:rFonts w:ascii="Palatino Linotype" w:eastAsia="Palatino Linotype" w:hAnsi="Palatino Linotype" w:cs="Palatino Linotype"/>
          <w:sz w:val="32"/>
          <w:szCs w:val="32"/>
        </w:rPr>
      </w:pPr>
    </w:p>
    <w:p w14:paraId="22BC9482" w14:textId="77777777" w:rsidR="00785E98" w:rsidRDefault="00785E98">
      <w:pPr>
        <w:spacing w:line="360" w:lineRule="auto"/>
        <w:jc w:val="both"/>
        <w:rPr>
          <w:rFonts w:ascii="Palatino Linotype" w:eastAsia="Palatino Linotype" w:hAnsi="Palatino Linotype" w:cs="Palatino Linotype"/>
        </w:rPr>
      </w:pPr>
    </w:p>
    <w:p w14:paraId="379A086F" w14:textId="77777777" w:rsidR="00785E98" w:rsidRDefault="00785E98">
      <w:pPr>
        <w:spacing w:line="360" w:lineRule="auto"/>
        <w:jc w:val="both"/>
        <w:rPr>
          <w:rFonts w:ascii="Palatino Linotype" w:eastAsia="Palatino Linotype" w:hAnsi="Palatino Linotype" w:cs="Palatino Linotype"/>
        </w:rPr>
      </w:pPr>
    </w:p>
    <w:p w14:paraId="2B424F8F" w14:textId="77777777" w:rsidR="00785E98" w:rsidRDefault="00785E98">
      <w:pPr>
        <w:spacing w:line="360" w:lineRule="auto"/>
        <w:jc w:val="both"/>
        <w:rPr>
          <w:rFonts w:ascii="Palatino Linotype" w:eastAsia="Palatino Linotype" w:hAnsi="Palatino Linotype" w:cs="Palatino Linotype"/>
        </w:rPr>
      </w:pPr>
    </w:p>
    <w:p w14:paraId="29F2F47F" w14:textId="77777777" w:rsidR="00785E98" w:rsidRDefault="00785E98">
      <w:pPr>
        <w:spacing w:line="480" w:lineRule="auto"/>
        <w:jc w:val="both"/>
        <w:rPr>
          <w:rFonts w:ascii="Palatino Linotype" w:eastAsia="Palatino Linotype" w:hAnsi="Palatino Linotype" w:cs="Palatino Linotype"/>
        </w:rPr>
      </w:pPr>
    </w:p>
    <w:p w14:paraId="689A73EA" w14:textId="77777777" w:rsidR="00785E98" w:rsidRDefault="00785E98">
      <w:pPr>
        <w:spacing w:line="480" w:lineRule="auto"/>
        <w:jc w:val="both"/>
        <w:rPr>
          <w:rFonts w:ascii="Palatino Linotype" w:eastAsia="Palatino Linotype" w:hAnsi="Palatino Linotype" w:cs="Palatino Linotype"/>
        </w:rPr>
      </w:pPr>
    </w:p>
    <w:p w14:paraId="085DD8AA" w14:textId="77777777" w:rsidR="00785E98" w:rsidRDefault="00785E98">
      <w:pPr>
        <w:spacing w:line="480" w:lineRule="auto"/>
        <w:jc w:val="both"/>
        <w:rPr>
          <w:rFonts w:ascii="Palatino Linotype" w:eastAsia="Palatino Linotype" w:hAnsi="Palatino Linotype" w:cs="Palatino Linotype"/>
        </w:rPr>
      </w:pPr>
    </w:p>
    <w:p w14:paraId="2670B153" w14:textId="2417084E" w:rsidR="00785E98" w:rsidRPr="00211843" w:rsidRDefault="00785E98" w:rsidP="00211843">
      <w:pPr>
        <w:spacing w:line="480" w:lineRule="auto"/>
        <w:jc w:val="both"/>
        <w:rPr>
          <w:rFonts w:ascii="Palatino Linotype" w:eastAsia="Palatino Linotype" w:hAnsi="Palatino Linotype" w:cs="Palatino Linotype"/>
        </w:rPr>
      </w:pPr>
    </w:p>
    <w:p w14:paraId="4C4F81A4" w14:textId="77777777" w:rsidR="00785E98" w:rsidRDefault="00785E98">
      <w:pPr>
        <w:spacing w:line="480" w:lineRule="auto"/>
        <w:rPr>
          <w:rFonts w:ascii="Palatino Linotype" w:eastAsia="Palatino Linotype" w:hAnsi="Palatino Linotype" w:cs="Palatino Linotype"/>
          <w:b/>
        </w:rPr>
      </w:pPr>
    </w:p>
    <w:p w14:paraId="212D3BCF" w14:textId="77777777" w:rsidR="00785E98" w:rsidRDefault="00785E98">
      <w:pPr>
        <w:spacing w:line="480" w:lineRule="auto"/>
        <w:rPr>
          <w:rFonts w:ascii="Palatino Linotype" w:eastAsia="Palatino Linotype" w:hAnsi="Palatino Linotype" w:cs="Palatino Linotype"/>
          <w:b/>
        </w:rPr>
      </w:pPr>
    </w:p>
    <w:p w14:paraId="5F5C35C3" w14:textId="77777777" w:rsidR="00785E98" w:rsidRDefault="00785E98">
      <w:pPr>
        <w:spacing w:line="480" w:lineRule="auto"/>
        <w:rPr>
          <w:rFonts w:ascii="Palatino Linotype" w:eastAsia="Palatino Linotype" w:hAnsi="Palatino Linotype" w:cs="Palatino Linotype"/>
          <w:b/>
        </w:rPr>
      </w:pPr>
    </w:p>
    <w:p w14:paraId="6F875134" w14:textId="77777777" w:rsidR="00785E98" w:rsidRDefault="00785E98"/>
    <w:sectPr w:rsidR="00785E98">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884B2" w14:textId="77777777" w:rsidR="0064634A" w:rsidRDefault="0064634A">
      <w:r>
        <w:separator/>
      </w:r>
    </w:p>
  </w:endnote>
  <w:endnote w:type="continuationSeparator" w:id="0">
    <w:p w14:paraId="196F12FA" w14:textId="77777777" w:rsidR="0064634A" w:rsidRDefault="00646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04E0F" w14:textId="77777777" w:rsidR="00785E98" w:rsidRDefault="005D21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66668">
      <w:rPr>
        <w:rFonts w:ascii="Palatino Linotype" w:eastAsia="Palatino Linotype" w:hAnsi="Palatino Linotype" w:cs="Palatino Linotype"/>
        <w:noProof/>
        <w:color w:val="000000"/>
        <w:sz w:val="20"/>
        <w:szCs w:val="20"/>
      </w:rPr>
      <w:t>6</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66668">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7D7DE" w14:textId="77777777" w:rsidR="00785E98" w:rsidRDefault="005D21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6666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66668">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47EF6" w14:textId="77777777" w:rsidR="0064634A" w:rsidRDefault="0064634A">
      <w:r>
        <w:separator/>
      </w:r>
    </w:p>
  </w:footnote>
  <w:footnote w:type="continuationSeparator" w:id="0">
    <w:p w14:paraId="3CC923B5" w14:textId="77777777" w:rsidR="0064634A" w:rsidRDefault="00646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45A89" w14:textId="77777777" w:rsidR="00785E98" w:rsidRDefault="0064634A">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3420D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BEF21" w14:textId="77777777" w:rsidR="00785E98" w:rsidRDefault="0064634A">
    <w:pPr>
      <w:widowControl w:val="0"/>
      <w:pBdr>
        <w:top w:val="nil"/>
        <w:left w:val="nil"/>
        <w:bottom w:val="nil"/>
        <w:right w:val="nil"/>
        <w:between w:val="nil"/>
      </w:pBdr>
      <w:spacing w:line="276" w:lineRule="auto"/>
      <w:rPr>
        <w:rFonts w:ascii="Calibri" w:eastAsia="Calibri" w:hAnsi="Calibri" w:cs="Calibri"/>
        <w:color w:val="000000"/>
      </w:rPr>
    </w:pPr>
    <w:r>
      <w:rPr>
        <w:rFonts w:ascii="Palatino Linotype" w:eastAsia="Palatino Linotype" w:hAnsi="Palatino Linotype" w:cs="Palatino Linotype"/>
        <w:color w:val="000000"/>
        <w:sz w:val="20"/>
        <w:szCs w:val="20"/>
      </w:rPr>
      <w:pict w14:anchorId="69E52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7.55pt;margin-top:-126.1pt;width:609.4pt;height:793.75pt;z-index:-251659776;mso-position-horizontal-relative:margin;mso-position-vertical-relative:margin">
          <v:imagedata r:id="rId1" o:title="image1"/>
          <w10:wrap anchorx="margin" anchory="margin"/>
        </v:shape>
      </w:pict>
    </w:r>
  </w:p>
  <w:tbl>
    <w:tblPr>
      <w:tblStyle w:val="2"/>
      <w:tblW w:w="6950" w:type="dxa"/>
      <w:tblInd w:w="2122" w:type="dxa"/>
      <w:tblLayout w:type="fixed"/>
      <w:tblLook w:val="0400" w:firstRow="0" w:lastRow="0" w:firstColumn="0" w:lastColumn="0" w:noHBand="0" w:noVBand="1"/>
    </w:tblPr>
    <w:tblGrid>
      <w:gridCol w:w="2551"/>
      <w:gridCol w:w="4399"/>
    </w:tblGrid>
    <w:tr w:rsidR="00785E98" w14:paraId="36F672A3" w14:textId="77777777" w:rsidTr="00211843">
      <w:tc>
        <w:tcPr>
          <w:tcW w:w="2551" w:type="dxa"/>
        </w:tcPr>
        <w:p w14:paraId="2BB1B53C" w14:textId="77777777" w:rsidR="00785E98" w:rsidRDefault="005D216E">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9" w:type="dxa"/>
          <w:vAlign w:val="center"/>
        </w:tcPr>
        <w:p w14:paraId="5B827605" w14:textId="67E7AD16" w:rsidR="00785E98" w:rsidRDefault="00776D47" w:rsidP="00A15154">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w:t>
          </w:r>
          <w:r w:rsidR="005D53F8">
            <w:rPr>
              <w:rFonts w:ascii="Palatino Linotype" w:eastAsia="Palatino Linotype" w:hAnsi="Palatino Linotype" w:cs="Palatino Linotype"/>
              <w:sz w:val="22"/>
              <w:szCs w:val="22"/>
            </w:rPr>
            <w:t>3</w:t>
          </w:r>
          <w:r w:rsidR="006D0A31">
            <w:rPr>
              <w:rFonts w:ascii="Palatino Linotype" w:eastAsia="Palatino Linotype" w:hAnsi="Palatino Linotype" w:cs="Palatino Linotype"/>
              <w:sz w:val="22"/>
              <w:szCs w:val="22"/>
            </w:rPr>
            <w:t>70</w:t>
          </w:r>
          <w:r w:rsidR="007176BD">
            <w:rPr>
              <w:rFonts w:ascii="Palatino Linotype" w:eastAsia="Palatino Linotype" w:hAnsi="Palatino Linotype" w:cs="Palatino Linotype"/>
              <w:sz w:val="22"/>
              <w:szCs w:val="22"/>
            </w:rPr>
            <w:t>5</w:t>
          </w:r>
          <w:r w:rsidR="00A15154">
            <w:rPr>
              <w:rFonts w:ascii="Palatino Linotype" w:eastAsia="Palatino Linotype" w:hAnsi="Palatino Linotype" w:cs="Palatino Linotype"/>
              <w:sz w:val="22"/>
              <w:szCs w:val="22"/>
            </w:rPr>
            <w:t>/INFOEM/IP/RR/202</w:t>
          </w:r>
          <w:r w:rsidR="00F51907">
            <w:rPr>
              <w:rFonts w:ascii="Palatino Linotype" w:eastAsia="Palatino Linotype" w:hAnsi="Palatino Linotype" w:cs="Palatino Linotype"/>
              <w:sz w:val="22"/>
              <w:szCs w:val="22"/>
            </w:rPr>
            <w:t>5</w:t>
          </w:r>
        </w:p>
      </w:tc>
    </w:tr>
    <w:tr w:rsidR="00785E98" w14:paraId="18F7D44C" w14:textId="77777777" w:rsidTr="009A6EC3">
      <w:tc>
        <w:tcPr>
          <w:tcW w:w="2551" w:type="dxa"/>
          <w:vAlign w:val="center"/>
        </w:tcPr>
        <w:p w14:paraId="2798A25F" w14:textId="77777777" w:rsidR="00785E98" w:rsidRDefault="005D216E" w:rsidP="009A6EC3">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9" w:type="dxa"/>
          <w:vAlign w:val="center"/>
        </w:tcPr>
        <w:p w14:paraId="2599D11C" w14:textId="22D86B30" w:rsidR="00785E98" w:rsidRDefault="00600C80">
          <w:pPr>
            <w:spacing w:line="276" w:lineRule="auto"/>
            <w:jc w:val="right"/>
            <w:rPr>
              <w:rFonts w:ascii="Palatino Linotype" w:eastAsia="Palatino Linotype" w:hAnsi="Palatino Linotype" w:cs="Palatino Linotype"/>
              <w:sz w:val="21"/>
              <w:szCs w:val="21"/>
            </w:rPr>
          </w:pPr>
          <w:r w:rsidRPr="00600C80">
            <w:rPr>
              <w:rFonts w:ascii="Palatino Linotype" w:eastAsia="Palatino Linotype" w:hAnsi="Palatino Linotype" w:cs="Palatino Linotype"/>
              <w:sz w:val="21"/>
              <w:szCs w:val="21"/>
            </w:rPr>
            <w:t>Ayuntamiento de Tepotzotlán</w:t>
          </w:r>
        </w:p>
      </w:tc>
    </w:tr>
    <w:tr w:rsidR="00785E98" w14:paraId="1EF6ED61" w14:textId="77777777" w:rsidTr="00211843">
      <w:trPr>
        <w:trHeight w:val="228"/>
      </w:trPr>
      <w:tc>
        <w:tcPr>
          <w:tcW w:w="2551" w:type="dxa"/>
        </w:tcPr>
        <w:p w14:paraId="76983921" w14:textId="77777777" w:rsidR="00785E98" w:rsidRDefault="005D216E">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399" w:type="dxa"/>
        </w:tcPr>
        <w:p w14:paraId="48D498CE" w14:textId="77777777" w:rsidR="00785E98" w:rsidRDefault="005D216E">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José Martínez Vilchis</w:t>
          </w:r>
        </w:p>
      </w:tc>
    </w:tr>
  </w:tbl>
  <w:p w14:paraId="01FD7437" w14:textId="77777777" w:rsidR="00543AA4" w:rsidRDefault="00543AA4">
    <w:pPr>
      <w:rPr>
        <w:rFonts w:ascii="Palatino Linotype" w:eastAsia="Palatino Linotype" w:hAnsi="Palatino Linotype" w:cs="Palatino Linotype"/>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A972" w14:textId="77777777" w:rsidR="00785E98" w:rsidRDefault="0064634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0"/>
        <w:szCs w:val="20"/>
      </w:rPr>
    </w:pPr>
    <w:r>
      <w:rPr>
        <w:rFonts w:ascii="Calibri" w:eastAsia="Calibri" w:hAnsi="Calibri" w:cs="Calibri"/>
        <w:color w:val="000000"/>
        <w:sz w:val="10"/>
        <w:szCs w:val="10"/>
      </w:rPr>
      <w:pict w14:anchorId="182D8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5.05pt;margin-top:-129.65pt;width:609.4pt;height:793.75pt;z-index:-251658752;mso-position-horizontal-relative:margin;mso-position-vertical-relative:margin">
          <v:imagedata r:id="rId1" o:title="image1"/>
          <w10:wrap anchorx="margin" anchory="margin"/>
        </v:shape>
      </w:pict>
    </w:r>
  </w:p>
  <w:tbl>
    <w:tblPr>
      <w:tblStyle w:val="1"/>
      <w:tblW w:w="6520" w:type="dxa"/>
      <w:tblInd w:w="2552" w:type="dxa"/>
      <w:tblLayout w:type="fixed"/>
      <w:tblLook w:val="0400" w:firstRow="0" w:lastRow="0" w:firstColumn="0" w:lastColumn="0" w:noHBand="0" w:noVBand="1"/>
    </w:tblPr>
    <w:tblGrid>
      <w:gridCol w:w="2835"/>
      <w:gridCol w:w="3685"/>
    </w:tblGrid>
    <w:tr w:rsidR="00785E98" w14:paraId="2B1D97A5" w14:textId="77777777">
      <w:tc>
        <w:tcPr>
          <w:tcW w:w="2835" w:type="dxa"/>
        </w:tcPr>
        <w:p w14:paraId="408478AB" w14:textId="77777777" w:rsidR="00785E98" w:rsidRDefault="005D216E">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35161482" w14:textId="6A52E04E" w:rsidR="00785E98" w:rsidRDefault="00776D47" w:rsidP="00A15154">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w:t>
          </w:r>
          <w:r w:rsidR="005D53F8">
            <w:rPr>
              <w:rFonts w:ascii="Palatino Linotype" w:eastAsia="Palatino Linotype" w:hAnsi="Palatino Linotype" w:cs="Palatino Linotype"/>
              <w:sz w:val="22"/>
              <w:szCs w:val="22"/>
            </w:rPr>
            <w:t>3</w:t>
          </w:r>
          <w:r w:rsidR="006D0A31">
            <w:rPr>
              <w:rFonts w:ascii="Palatino Linotype" w:eastAsia="Palatino Linotype" w:hAnsi="Palatino Linotype" w:cs="Palatino Linotype"/>
              <w:sz w:val="22"/>
              <w:szCs w:val="22"/>
            </w:rPr>
            <w:t>70</w:t>
          </w:r>
          <w:r w:rsidR="007176BD">
            <w:rPr>
              <w:rFonts w:ascii="Palatino Linotype" w:eastAsia="Palatino Linotype" w:hAnsi="Palatino Linotype" w:cs="Palatino Linotype"/>
              <w:sz w:val="22"/>
              <w:szCs w:val="22"/>
            </w:rPr>
            <w:t>5</w:t>
          </w:r>
          <w:r w:rsidR="005D53F8">
            <w:rPr>
              <w:rFonts w:ascii="Palatino Linotype" w:eastAsia="Palatino Linotype" w:hAnsi="Palatino Linotype" w:cs="Palatino Linotype"/>
              <w:sz w:val="22"/>
              <w:szCs w:val="22"/>
            </w:rPr>
            <w:t>/</w:t>
          </w:r>
          <w:r w:rsidR="00A15154">
            <w:rPr>
              <w:rFonts w:ascii="Palatino Linotype" w:eastAsia="Palatino Linotype" w:hAnsi="Palatino Linotype" w:cs="Palatino Linotype"/>
              <w:sz w:val="22"/>
              <w:szCs w:val="22"/>
            </w:rPr>
            <w:t>INFOEM/IP/RR/202</w:t>
          </w:r>
          <w:r w:rsidR="00F51907">
            <w:rPr>
              <w:rFonts w:ascii="Palatino Linotype" w:eastAsia="Palatino Linotype" w:hAnsi="Palatino Linotype" w:cs="Palatino Linotype"/>
              <w:sz w:val="22"/>
              <w:szCs w:val="22"/>
            </w:rPr>
            <w:t>5</w:t>
          </w:r>
        </w:p>
      </w:tc>
    </w:tr>
    <w:tr w:rsidR="00785E98" w14:paraId="03AF8D15" w14:textId="77777777">
      <w:tc>
        <w:tcPr>
          <w:tcW w:w="2835" w:type="dxa"/>
          <w:vAlign w:val="center"/>
        </w:tcPr>
        <w:p w14:paraId="294F554E" w14:textId="77777777" w:rsidR="00785E98" w:rsidRDefault="005D216E">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vAlign w:val="center"/>
        </w:tcPr>
        <w:p w14:paraId="63886C4C" w14:textId="70D6083D" w:rsidR="00785E98" w:rsidRPr="005B253E" w:rsidRDefault="00E66668" w:rsidP="005B253E">
          <w:pPr>
            <w:spacing w:line="276" w:lineRule="auto"/>
            <w:jc w:val="right"/>
            <w:rPr>
              <w:rFonts w:ascii="Palatino Linotype" w:eastAsia="Palatino Linotype" w:hAnsi="Palatino Linotype" w:cs="Palatino Linotype"/>
              <w:sz w:val="20"/>
              <w:szCs w:val="22"/>
            </w:rPr>
          </w:pPr>
          <w:proofErr w:type="spellStart"/>
          <w:r>
            <w:rPr>
              <w:rFonts w:ascii="Palatino Linotype" w:eastAsia="Palatino Linotype" w:hAnsi="Palatino Linotype" w:cs="Palatino Linotype"/>
              <w:sz w:val="22"/>
            </w:rPr>
            <w:t>xxxxxxxxxxxxxxxxxxxxxxxxxxxx</w:t>
          </w:r>
          <w:proofErr w:type="spellEnd"/>
        </w:p>
      </w:tc>
    </w:tr>
    <w:tr w:rsidR="00785E98" w14:paraId="5D5F87F9" w14:textId="77777777">
      <w:trPr>
        <w:trHeight w:val="228"/>
      </w:trPr>
      <w:tc>
        <w:tcPr>
          <w:tcW w:w="2835" w:type="dxa"/>
          <w:vAlign w:val="center"/>
        </w:tcPr>
        <w:p w14:paraId="00C42092" w14:textId="77777777" w:rsidR="00785E98" w:rsidRDefault="005D216E">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7F222E84" w14:textId="00F89C51" w:rsidR="00785E98" w:rsidRDefault="00600C80" w:rsidP="006F3F45">
          <w:pPr>
            <w:jc w:val="right"/>
            <w:rPr>
              <w:rFonts w:ascii="Palatino Linotype" w:eastAsia="Palatino Linotype" w:hAnsi="Palatino Linotype" w:cs="Palatino Linotype"/>
              <w:sz w:val="21"/>
              <w:szCs w:val="21"/>
            </w:rPr>
          </w:pPr>
          <w:r w:rsidRPr="00600C80">
            <w:rPr>
              <w:rFonts w:ascii="Palatino Linotype" w:eastAsia="Palatino Linotype" w:hAnsi="Palatino Linotype" w:cs="Palatino Linotype"/>
              <w:sz w:val="22"/>
              <w:szCs w:val="22"/>
            </w:rPr>
            <w:t>Ayuntamiento de Tepotzotlán</w:t>
          </w:r>
        </w:p>
      </w:tc>
    </w:tr>
    <w:tr w:rsidR="00785E98" w14:paraId="24FAB01C" w14:textId="77777777">
      <w:tc>
        <w:tcPr>
          <w:tcW w:w="2835" w:type="dxa"/>
        </w:tcPr>
        <w:p w14:paraId="34F030CD" w14:textId="77777777" w:rsidR="00785E98" w:rsidRDefault="005D216E">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85" w:type="dxa"/>
        </w:tcPr>
        <w:p w14:paraId="7D8CFE0A" w14:textId="77777777" w:rsidR="00785E98" w:rsidRDefault="005D216E">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José Martínez Vilchis</w:t>
          </w:r>
        </w:p>
      </w:tc>
    </w:tr>
  </w:tbl>
  <w:p w14:paraId="4042D9FE" w14:textId="77777777" w:rsidR="00785E98" w:rsidRDefault="00785E98">
    <w:pPr>
      <w:pBdr>
        <w:top w:val="nil"/>
        <w:left w:val="nil"/>
        <w:bottom w:val="nil"/>
        <w:right w:val="nil"/>
        <w:between w:val="nil"/>
      </w:pBdr>
      <w:tabs>
        <w:tab w:val="center" w:pos="4252"/>
        <w:tab w:val="right" w:pos="8504"/>
      </w:tabs>
      <w:rPr>
        <w:rFonts w:ascii="Calibri" w:eastAsia="Calibri" w:hAnsi="Calibri" w:cs="Calibri"/>
        <w:color w:val="000000"/>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D5BF3"/>
    <w:multiLevelType w:val="hybridMultilevel"/>
    <w:tmpl w:val="A7FCF658"/>
    <w:lvl w:ilvl="0" w:tplc="15A6E13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69B201B"/>
    <w:multiLevelType w:val="multilevel"/>
    <w:tmpl w:val="B2EA4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E98"/>
    <w:rsid w:val="000170E4"/>
    <w:rsid w:val="0004245C"/>
    <w:rsid w:val="00096011"/>
    <w:rsid w:val="000B03D8"/>
    <w:rsid w:val="000E459C"/>
    <w:rsid w:val="000E5D26"/>
    <w:rsid w:val="000F1951"/>
    <w:rsid w:val="000F2316"/>
    <w:rsid w:val="00100BBB"/>
    <w:rsid w:val="001471C7"/>
    <w:rsid w:val="00161757"/>
    <w:rsid w:val="001A4FDC"/>
    <w:rsid w:val="001B0B8F"/>
    <w:rsid w:val="00201B6A"/>
    <w:rsid w:val="00202FB4"/>
    <w:rsid w:val="00211843"/>
    <w:rsid w:val="0022076C"/>
    <w:rsid w:val="00232219"/>
    <w:rsid w:val="00233B15"/>
    <w:rsid w:val="00254FFE"/>
    <w:rsid w:val="00277AD9"/>
    <w:rsid w:val="002802D3"/>
    <w:rsid w:val="00296CC8"/>
    <w:rsid w:val="002B0E59"/>
    <w:rsid w:val="002C56BB"/>
    <w:rsid w:val="00305209"/>
    <w:rsid w:val="003960A9"/>
    <w:rsid w:val="003B1933"/>
    <w:rsid w:val="003B3A55"/>
    <w:rsid w:val="003E300B"/>
    <w:rsid w:val="004061DA"/>
    <w:rsid w:val="004169D1"/>
    <w:rsid w:val="004469CA"/>
    <w:rsid w:val="00496341"/>
    <w:rsid w:val="004B1FD4"/>
    <w:rsid w:val="004B728A"/>
    <w:rsid w:val="004E7454"/>
    <w:rsid w:val="005172C2"/>
    <w:rsid w:val="00517B02"/>
    <w:rsid w:val="00543AA4"/>
    <w:rsid w:val="005767E0"/>
    <w:rsid w:val="00585B82"/>
    <w:rsid w:val="005B253E"/>
    <w:rsid w:val="005B3D5F"/>
    <w:rsid w:val="005D13A2"/>
    <w:rsid w:val="005D216E"/>
    <w:rsid w:val="005D53F8"/>
    <w:rsid w:val="00600C80"/>
    <w:rsid w:val="00603A5B"/>
    <w:rsid w:val="00621FB2"/>
    <w:rsid w:val="0062511D"/>
    <w:rsid w:val="00643491"/>
    <w:rsid w:val="00645942"/>
    <w:rsid w:val="0064634A"/>
    <w:rsid w:val="00664FBF"/>
    <w:rsid w:val="00693587"/>
    <w:rsid w:val="006B41E2"/>
    <w:rsid w:val="006C6F30"/>
    <w:rsid w:val="006D0A31"/>
    <w:rsid w:val="006D7939"/>
    <w:rsid w:val="006F3F45"/>
    <w:rsid w:val="006F4FBC"/>
    <w:rsid w:val="00705B42"/>
    <w:rsid w:val="007176BD"/>
    <w:rsid w:val="00776D47"/>
    <w:rsid w:val="00784677"/>
    <w:rsid w:val="00785E98"/>
    <w:rsid w:val="007A6794"/>
    <w:rsid w:val="007D78C3"/>
    <w:rsid w:val="0086738F"/>
    <w:rsid w:val="00873991"/>
    <w:rsid w:val="008D40CA"/>
    <w:rsid w:val="009072AA"/>
    <w:rsid w:val="0091188C"/>
    <w:rsid w:val="00950B6F"/>
    <w:rsid w:val="009714F5"/>
    <w:rsid w:val="00977E23"/>
    <w:rsid w:val="009A6EC3"/>
    <w:rsid w:val="009C1FFC"/>
    <w:rsid w:val="009C3DCB"/>
    <w:rsid w:val="009E14D9"/>
    <w:rsid w:val="009F1671"/>
    <w:rsid w:val="00A02257"/>
    <w:rsid w:val="00A15154"/>
    <w:rsid w:val="00A33568"/>
    <w:rsid w:val="00A350E0"/>
    <w:rsid w:val="00A40997"/>
    <w:rsid w:val="00A81471"/>
    <w:rsid w:val="00AA4628"/>
    <w:rsid w:val="00AE67C6"/>
    <w:rsid w:val="00AF6697"/>
    <w:rsid w:val="00B27B73"/>
    <w:rsid w:val="00B33259"/>
    <w:rsid w:val="00B451BA"/>
    <w:rsid w:val="00B56255"/>
    <w:rsid w:val="00B60045"/>
    <w:rsid w:val="00BA04A6"/>
    <w:rsid w:val="00BD187E"/>
    <w:rsid w:val="00BE036E"/>
    <w:rsid w:val="00BE0D77"/>
    <w:rsid w:val="00C1300D"/>
    <w:rsid w:val="00C21AC5"/>
    <w:rsid w:val="00C43633"/>
    <w:rsid w:val="00C66780"/>
    <w:rsid w:val="00C7345D"/>
    <w:rsid w:val="00CA19C9"/>
    <w:rsid w:val="00CA47DE"/>
    <w:rsid w:val="00CC2066"/>
    <w:rsid w:val="00CD54F6"/>
    <w:rsid w:val="00CE2F14"/>
    <w:rsid w:val="00CE7F47"/>
    <w:rsid w:val="00D10A17"/>
    <w:rsid w:val="00D34A00"/>
    <w:rsid w:val="00D42A7F"/>
    <w:rsid w:val="00D46F14"/>
    <w:rsid w:val="00D52FF2"/>
    <w:rsid w:val="00D55868"/>
    <w:rsid w:val="00DC7CFA"/>
    <w:rsid w:val="00DD28D6"/>
    <w:rsid w:val="00E17070"/>
    <w:rsid w:val="00E220C2"/>
    <w:rsid w:val="00E23D1E"/>
    <w:rsid w:val="00E56997"/>
    <w:rsid w:val="00E66668"/>
    <w:rsid w:val="00E779BF"/>
    <w:rsid w:val="00E94B1F"/>
    <w:rsid w:val="00EB1290"/>
    <w:rsid w:val="00F027D1"/>
    <w:rsid w:val="00F26883"/>
    <w:rsid w:val="00F274F5"/>
    <w:rsid w:val="00F377F0"/>
    <w:rsid w:val="00F41F5E"/>
    <w:rsid w:val="00F51907"/>
    <w:rsid w:val="00F66F9B"/>
    <w:rsid w:val="00F70064"/>
    <w:rsid w:val="00FC11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AA61AC"/>
  <w15:docId w15:val="{B9772697-E269-4EA1-ACD8-8FF9317D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A15154"/>
    <w:pPr>
      <w:tabs>
        <w:tab w:val="center" w:pos="4419"/>
        <w:tab w:val="right" w:pos="8838"/>
      </w:tabs>
    </w:pPr>
  </w:style>
  <w:style w:type="character" w:customStyle="1" w:styleId="PiedepginaCar">
    <w:name w:val="Pie de página Car"/>
    <w:basedOn w:val="Fuentedeprrafopredeter"/>
    <w:link w:val="Piedepgina"/>
    <w:uiPriority w:val="99"/>
    <w:rsid w:val="00A15154"/>
  </w:style>
  <w:style w:type="paragraph" w:styleId="Prrafodelista">
    <w:name w:val="List Paragraph"/>
    <w:basedOn w:val="Normal"/>
    <w:uiPriority w:val="34"/>
    <w:qFormat/>
    <w:rsid w:val="00693587"/>
    <w:pPr>
      <w:ind w:left="720"/>
      <w:contextualSpacing/>
    </w:pPr>
  </w:style>
  <w:style w:type="character" w:styleId="Ttulodellibro">
    <w:name w:val="Book Title"/>
    <w:basedOn w:val="Fuentedeprrafopredeter"/>
    <w:uiPriority w:val="33"/>
    <w:qFormat/>
    <w:rsid w:val="00CA47DE"/>
    <w:rPr>
      <w:b/>
      <w:bCs/>
      <w:i/>
      <w:iCs/>
      <w:spacing w:val="5"/>
    </w:rPr>
  </w:style>
  <w:style w:type="paragraph" w:styleId="Sinespaciado">
    <w:name w:val="No Spacing"/>
    <w:uiPriority w:val="1"/>
    <w:qFormat/>
    <w:rsid w:val="00C1300D"/>
  </w:style>
  <w:style w:type="table" w:styleId="Tablaconcuadrcula">
    <w:name w:val="Table Grid"/>
    <w:basedOn w:val="Tablanormal"/>
    <w:uiPriority w:val="39"/>
    <w:rsid w:val="009F1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045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4725</Words>
  <Characters>25993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INFOEM423</dc:creator>
  <cp:lastModifiedBy>INFOEM557</cp:lastModifiedBy>
  <cp:revision>5</cp:revision>
  <cp:lastPrinted>2026-01-22T18:48:00Z</cp:lastPrinted>
  <dcterms:created xsi:type="dcterms:W3CDTF">2025-12-18T19:59:00Z</dcterms:created>
  <dcterms:modified xsi:type="dcterms:W3CDTF">2026-03-10T21:17:00Z</dcterms:modified>
</cp:coreProperties>
</file>