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3EB" w:rsidRDefault="00FE249F">
      <w:pPr>
        <w:tabs>
          <w:tab w:val="left" w:pos="3465"/>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veinte (20) de mayo de dos mil veintiséis.</w:t>
      </w:r>
      <w:r>
        <w:rPr>
          <w:rFonts w:ascii="Palatino Linotype" w:eastAsia="Palatino Linotype" w:hAnsi="Palatino Linotype" w:cs="Palatino Linotype"/>
        </w:rPr>
        <w:t xml:space="preserve"> </w:t>
      </w:r>
    </w:p>
    <w:p w:rsidR="009C73EB" w:rsidRDefault="009C73EB">
      <w:pPr>
        <w:tabs>
          <w:tab w:val="left" w:pos="3465"/>
        </w:tabs>
        <w:spacing w:line="360" w:lineRule="auto"/>
        <w:ind w:right="-787"/>
        <w:jc w:val="both"/>
        <w:rPr>
          <w:rFonts w:ascii="Palatino Linotype" w:eastAsia="Palatino Linotype" w:hAnsi="Palatino Linotype" w:cs="Palatino Linotype"/>
        </w:rPr>
      </w:pPr>
    </w:p>
    <w:p w:rsidR="009C73EB" w:rsidRDefault="00FE249F">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w:t>
      </w:r>
      <w:r>
        <w:rPr>
          <w:rFonts w:ascii="Palatino Linotype" w:eastAsia="Palatino Linotype" w:hAnsi="Palatino Linotype" w:cs="Palatino Linotype"/>
          <w:b/>
          <w:bCs/>
        </w:rPr>
        <w:t xml:space="preserve">   03423/INFOEM/IP/RR/2026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promovido por  </w:t>
      </w:r>
      <w:r w:rsidR="0038308A">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Chimalhuacán,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bookmarkStart w:id="0" w:name="_GoBack"/>
      <w:bookmarkEnd w:id="0"/>
    </w:p>
    <w:p w:rsidR="00C06CFC" w:rsidRDefault="00C06CFC">
      <w:pPr>
        <w:spacing w:line="360" w:lineRule="auto"/>
        <w:ind w:right="-787"/>
        <w:jc w:val="both"/>
        <w:rPr>
          <w:rFonts w:ascii="Palatino Linotype" w:eastAsia="Palatino Linotype" w:hAnsi="Palatino Linotype" w:cs="Palatino Linotype"/>
          <w:b/>
          <w:bCs/>
        </w:rPr>
      </w:pPr>
    </w:p>
    <w:p w:rsidR="009C73EB" w:rsidRDefault="00FE249F">
      <w:pPr>
        <w:pStyle w:val="Ttulo1"/>
        <w:spacing w:line="360" w:lineRule="auto"/>
        <w:ind w:right="-787"/>
        <w:jc w:val="center"/>
        <w:rPr>
          <w:rFonts w:ascii="Palatino Linotype" w:eastAsia="Palatino Linotype" w:hAnsi="Palatino Linotype" w:cs="Palatino Linotype"/>
          <w:b/>
          <w:bCs/>
          <w:color w:val="000000"/>
          <w:sz w:val="24"/>
          <w:szCs w:val="24"/>
        </w:rPr>
      </w:pPr>
      <w:bookmarkStart w:id="1" w:name="_heading=h.11skvlhazns" w:colFirst="0" w:colLast="0"/>
      <w:bookmarkEnd w:id="1"/>
      <w:r>
        <w:rPr>
          <w:rFonts w:ascii="Palatino Linotype" w:eastAsia="Palatino Linotype" w:hAnsi="Palatino Linotype" w:cs="Palatino Linotype"/>
          <w:b/>
          <w:bCs/>
          <w:color w:val="000000"/>
          <w:sz w:val="24"/>
          <w:szCs w:val="24"/>
        </w:rPr>
        <w:t>A N T E C E D E N T E S</w:t>
      </w:r>
    </w:p>
    <w:p w:rsidR="009C73EB" w:rsidRDefault="009C73EB">
      <w:pPr>
        <w:ind w:right="-787"/>
      </w:pPr>
    </w:p>
    <w:p w:rsidR="009C73EB" w:rsidRDefault="00FE249F">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 xml:space="preserve">veinticinco de febrero de dos mil veintiséis,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SAIMEX, la solicitud de información pública registrada con el número</w:t>
      </w:r>
      <w:r w:rsidR="008C7A53">
        <w:rPr>
          <w:rFonts w:ascii="Palatino Linotype" w:eastAsia="Palatino Linotype" w:hAnsi="Palatino Linotype" w:cs="Palatino Linotype"/>
          <w:b/>
          <w:bCs/>
          <w:color w:val="000000"/>
        </w:rPr>
        <w:t xml:space="preserve"> 00115/CHIMALHU</w:t>
      </w:r>
      <w:r>
        <w:rPr>
          <w:rFonts w:ascii="Palatino Linotype" w:eastAsia="Palatino Linotype" w:hAnsi="Palatino Linotype" w:cs="Palatino Linotype"/>
          <w:b/>
          <w:bCs/>
          <w:color w:val="000000"/>
        </w:rPr>
        <w:t>/IP/202</w:t>
      </w:r>
      <w:r w:rsidR="008C7A53">
        <w:rPr>
          <w:rFonts w:ascii="Palatino Linotype" w:eastAsia="Palatino Linotype" w:hAnsi="Palatino Linotype" w:cs="Palatino Linotype"/>
          <w:b/>
          <w:bCs/>
          <w:color w:val="000000"/>
        </w:rPr>
        <w:t>6</w:t>
      </w:r>
      <w:r>
        <w:rPr>
          <w:rFonts w:ascii="Palatino Linotype" w:eastAsia="Palatino Linotype" w:hAnsi="Palatino Linotype" w:cs="Palatino Linotype"/>
          <w:b/>
          <w:bCs/>
          <w:color w:val="000000"/>
        </w:rPr>
        <w:t>;</w:t>
      </w:r>
      <w:r w:rsidR="008C7A53">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en la que</w:t>
      </w:r>
      <w:r>
        <w:rPr>
          <w:rFonts w:ascii="Palatino Linotype" w:eastAsia="Palatino Linotype" w:hAnsi="Palatino Linotype" w:cs="Palatino Linotype"/>
          <w:color w:val="000000"/>
        </w:rPr>
        <w:t xml:space="preserve"> se solicitó la siguiente información:</w:t>
      </w: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C73EB" w:rsidRDefault="00FE249F">
      <w:pPr>
        <w:pBdr>
          <w:top w:val="nil"/>
          <w:left w:val="nil"/>
          <w:bottom w:val="nil"/>
          <w:right w:val="nil"/>
          <w:between w:val="nil"/>
        </w:pBdr>
        <w:ind w:left="426"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“Solicito conocer la información relacionada con los proveedores contratados por el Ayuntamiento de Chimalhuacán para la prestación de servicios para eventos, actos públicos o actividades institucionales, específicamente aquellos relacionados con renta de sillas, mesas, carpas o lonas, equipo de sonido, iluminación, utilería para eventos, servicio de cafetería o alimentos, elaboración de mantas, impresiones o material gráfico y logística para eventos públicos. Solicito el listado de proveedores, así como copia de contratos, órdenes de servicio, convenios o facturas correspondientes, indicando montos pagados, fechas de contratación y el área del Ayuntamiento que solicitó el servicio. En caso de existir, solicito también el padrón o registro de proveedores utilizados para este tipo de servicios. La información requerida corresponde del 1 de enero al 31 de diciembre de 2025 y solicito que sea entregada en formato digital.” </w:t>
      </w:r>
      <w:r>
        <w:rPr>
          <w:rFonts w:ascii="Palatino Linotype" w:eastAsia="Palatino Linotype" w:hAnsi="Palatino Linotype" w:cs="Palatino Linotype"/>
          <w:color w:val="000000"/>
        </w:rPr>
        <w:t>(Sic)</w:t>
      </w:r>
    </w:p>
    <w:p w:rsidR="009C73EB" w:rsidRDefault="009C73EB">
      <w:pPr>
        <w:pBdr>
          <w:top w:val="nil"/>
          <w:left w:val="nil"/>
          <w:bottom w:val="nil"/>
          <w:right w:val="nil"/>
          <w:between w:val="nil"/>
        </w:pBdr>
        <w:spacing w:line="360" w:lineRule="auto"/>
        <w:ind w:left="426" w:right="-787"/>
        <w:jc w:val="both"/>
        <w:rPr>
          <w:rFonts w:ascii="Palatino Linotype" w:eastAsia="Palatino Linotype" w:hAnsi="Palatino Linotype" w:cs="Palatino Linotype"/>
          <w:color w:val="000000"/>
        </w:rPr>
      </w:pPr>
    </w:p>
    <w:p w:rsidR="009C73EB" w:rsidRDefault="00FE249F">
      <w:pPr>
        <w:numPr>
          <w:ilvl w:val="0"/>
          <w:numId w:val="2"/>
        </w:numPr>
        <w:pBdr>
          <w:top w:val="nil"/>
          <w:left w:val="nil"/>
          <w:bottom w:val="nil"/>
          <w:right w:val="nil"/>
          <w:between w:val="nil"/>
        </w:pBdr>
        <w:spacing w:line="360" w:lineRule="auto"/>
        <w:ind w:left="851"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Se eligió como modalidad de entrega de la información: A través del </w:t>
      </w:r>
      <w:r>
        <w:rPr>
          <w:rFonts w:ascii="Palatino Linotype" w:eastAsia="Palatino Linotype" w:hAnsi="Palatino Linotype" w:cs="Palatino Linotype"/>
          <w:b/>
          <w:bCs/>
          <w:color w:val="000000"/>
        </w:rPr>
        <w:t>SAIMEX.</w:t>
      </w:r>
    </w:p>
    <w:p w:rsidR="009C73EB" w:rsidRDefault="009C73EB">
      <w:pPr>
        <w:spacing w:line="360" w:lineRule="auto"/>
        <w:ind w:right="-787"/>
        <w:jc w:val="both"/>
        <w:rPr>
          <w:rFonts w:ascii="Palatino Linotype" w:eastAsia="Palatino Linotype" w:hAnsi="Palatino Linotype" w:cs="Palatino Linotype"/>
        </w:rPr>
      </w:pPr>
    </w:p>
    <w:p w:rsidR="009C73EB" w:rsidRDefault="00FE249F">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veinte de marzo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a través del archivo </w:t>
      </w:r>
      <w:hyperlink r:id="rId8">
        <w:r>
          <w:rPr>
            <w:rFonts w:ascii="Palatino Linotype" w:eastAsia="Palatino Linotype" w:hAnsi="Palatino Linotype" w:cs="Palatino Linotype"/>
            <w:b/>
            <w:bCs/>
            <w:i/>
            <w:iCs/>
            <w:color w:val="000000"/>
          </w:rPr>
          <w:t>Solicitud de Información 00115.pdf</w:t>
        </w:r>
      </w:hyperlink>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del que se desprende un escrito por el que se remiten dos links de acceso en formato cerrado, en los cuales se informó, obra la información solicitada.</w:t>
      </w:r>
    </w:p>
    <w:p w:rsidR="009C73EB" w:rsidRDefault="009C73E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9C73EB" w:rsidRDefault="00FE249F">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Inconforme con lo anterior, el </w:t>
      </w:r>
      <w:r>
        <w:rPr>
          <w:rFonts w:ascii="Palatino Linotype" w:eastAsia="Palatino Linotype" w:hAnsi="Palatino Linotype" w:cs="Palatino Linotype"/>
          <w:b/>
          <w:bCs/>
          <w:color w:val="000000"/>
        </w:rPr>
        <w:t>veintitrés de marzo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PARTICULAR </w:t>
      </w:r>
      <w:r>
        <w:rPr>
          <w:rFonts w:ascii="Palatino Linotype" w:eastAsia="Palatino Linotype" w:hAnsi="Palatino Linotype" w:cs="Palatino Linotype"/>
          <w:color w:val="000000"/>
        </w:rPr>
        <w:t>interpuso el recurso de revisión en contra de la respuesta, manifestando las siguientes razones o motivos de inconformidad:</w:t>
      </w:r>
    </w:p>
    <w:p w:rsidR="009C73EB" w:rsidRDefault="009C73EB" w:rsidP="00184D17">
      <w:pPr>
        <w:pBdr>
          <w:top w:val="nil"/>
          <w:left w:val="nil"/>
          <w:bottom w:val="nil"/>
          <w:right w:val="nil"/>
          <w:between w:val="nil"/>
        </w:pBdr>
        <w:tabs>
          <w:tab w:val="left" w:pos="0"/>
        </w:tabs>
        <w:spacing w:line="360" w:lineRule="auto"/>
        <w:ind w:right="-93"/>
        <w:jc w:val="both"/>
        <w:rPr>
          <w:rFonts w:ascii="Palatino Linotype" w:eastAsia="Palatino Linotype" w:hAnsi="Palatino Linotype" w:cs="Palatino Linotype"/>
          <w:i/>
          <w:iCs/>
          <w:color w:val="000000"/>
        </w:rPr>
      </w:pPr>
    </w:p>
    <w:p w:rsidR="009C73EB" w:rsidRDefault="00FE249F" w:rsidP="00184D17">
      <w:pPr>
        <w:numPr>
          <w:ilvl w:val="0"/>
          <w:numId w:val="2"/>
        </w:numPr>
        <w:pBdr>
          <w:top w:val="nil"/>
          <w:left w:val="nil"/>
          <w:bottom w:val="nil"/>
          <w:right w:val="nil"/>
          <w:between w:val="nil"/>
        </w:pBdr>
        <w:ind w:left="567" w:right="-93"/>
        <w:jc w:val="both"/>
        <w:rPr>
          <w:rFonts w:ascii="Palatino Linotype" w:eastAsia="Palatino Linotype" w:hAnsi="Palatino Linotype" w:cs="Palatino Linotype"/>
          <w:b/>
          <w:bCs/>
          <w:color w:val="000000"/>
        </w:rPr>
      </w:pPr>
      <w:bookmarkStart w:id="2" w:name="_heading=h.hky507s7oac9" w:colFirst="0" w:colLast="0"/>
      <w:bookmarkEnd w:id="2"/>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La respuesta emitida por el Ayuntamiento de Chimalhuacán a la solicitud de información con folio 00115/CHIMALHU/IP/2026, mediante la cual se remite al solicitante a consultar información en el sistema IPOMEX (artículo 92, fracciones XXXII y XXXVI), sin proporcionar de manera directa la información solicitada ni acreditar una búsqueda exhaustiva en los archivos del sujeto obligado.</w:t>
      </w:r>
    </w:p>
    <w:p w:rsidR="009C73EB" w:rsidRDefault="009C73EB" w:rsidP="00184D17">
      <w:pPr>
        <w:pBdr>
          <w:top w:val="nil"/>
          <w:left w:val="nil"/>
          <w:bottom w:val="nil"/>
          <w:right w:val="nil"/>
          <w:between w:val="nil"/>
        </w:pBdr>
        <w:ind w:left="567" w:right="-93"/>
        <w:jc w:val="both"/>
        <w:rPr>
          <w:rFonts w:ascii="Palatino Linotype" w:eastAsia="Palatino Linotype" w:hAnsi="Palatino Linotype" w:cs="Palatino Linotype"/>
          <w:b/>
          <w:bCs/>
          <w:color w:val="000000"/>
        </w:rPr>
      </w:pPr>
    </w:p>
    <w:p w:rsidR="009C73EB" w:rsidRDefault="00FE249F" w:rsidP="00184D17">
      <w:pPr>
        <w:numPr>
          <w:ilvl w:val="0"/>
          <w:numId w:val="2"/>
        </w:numPr>
        <w:pBdr>
          <w:top w:val="nil"/>
          <w:left w:val="nil"/>
          <w:bottom w:val="nil"/>
          <w:right w:val="nil"/>
          <w:between w:val="nil"/>
        </w:pBdr>
        <w:ind w:left="567" w:right="-9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  Razones o Motivos de inconformidad: </w:t>
      </w:r>
      <w:r>
        <w:rPr>
          <w:rFonts w:ascii="Palatino Linotype" w:eastAsia="Palatino Linotype" w:hAnsi="Palatino Linotype" w:cs="Palatino Linotype"/>
          <w:i/>
          <w:iCs/>
          <w:color w:val="000000"/>
        </w:rPr>
        <w:t xml:space="preserve">“La respuesta proporcionada no satisface los términos de la solicitud, ya que, aunque se indican ligas al sistema IPOMEX, al revisar la información disponible se advierte que el apartado correspondiente a contratos carece de registros y el padrón de proveedores únicamente contiene datos generales, sin incluir información específica solicitada como montos pagados, fechas de contratación, servicios prestados y áreas solicitantes. En este sentido, la remisión a dichas plataformas no garantiza el acceso efectivo a la información cuando ésta es inexistente, incompleta o no corresponde con lo requerido. Asimismo, el sujeto obligado no acredita haber realizado una búsqueda exhaustiva en sus archivos ni en las áreas competentes para localizar la información solicitada, limitándose a emitir una respuesta genérica. Por lo anterior, se considera que la respuesta es incompleta y vulnera el derecho de acceso a la información, por lo que se solicita se ordene la entrega de la información en los términos </w:t>
      </w:r>
      <w:r>
        <w:rPr>
          <w:rFonts w:ascii="Palatino Linotype" w:eastAsia="Palatino Linotype" w:hAnsi="Palatino Linotype" w:cs="Palatino Linotype"/>
          <w:i/>
          <w:iCs/>
          <w:color w:val="000000"/>
        </w:rPr>
        <w:lastRenderedPageBreak/>
        <w:t>originalmente requeridos o, en su caso, se emita una declaración debidamente fundada y motivada sobre su inexistencia.”</w:t>
      </w:r>
    </w:p>
    <w:p w:rsidR="009C73EB" w:rsidRDefault="009C73EB">
      <w:pPr>
        <w:spacing w:line="360" w:lineRule="auto"/>
        <w:ind w:right="-787"/>
        <w:rPr>
          <w:rFonts w:ascii="Palatino Linotype" w:eastAsia="Palatino Linotype" w:hAnsi="Palatino Linotype" w:cs="Palatino Linotype"/>
          <w:i/>
          <w:iCs/>
          <w:color w:val="000000"/>
        </w:rPr>
      </w:pPr>
    </w:p>
    <w:p w:rsidR="009C73EB" w:rsidRDefault="00FE249F">
      <w:pPr>
        <w:ind w:left="567" w:right="-787"/>
        <w:rPr>
          <w:rFonts w:ascii="Palatino Linotype" w:eastAsia="Palatino Linotype" w:hAnsi="Palatino Linotype" w:cs="Palatino Linotype"/>
          <w:color w:val="000000"/>
        </w:rPr>
      </w:pPr>
      <w:bookmarkStart w:id="3" w:name="_heading=h.b67eavpc0xr" w:colFirst="0" w:colLast="0"/>
      <w:bookmarkEnd w:id="3"/>
      <w:r>
        <w:rPr>
          <w:rFonts w:ascii="Palatino Linotype" w:eastAsia="Palatino Linotype" w:hAnsi="Palatino Linotype" w:cs="Palatino Linotype"/>
          <w:color w:val="000000"/>
        </w:rPr>
        <w:t>Al recurso adjunto el archivo</w:t>
      </w:r>
      <w:r>
        <w:rPr>
          <w:rFonts w:ascii="Palatino Linotype" w:eastAsia="Palatino Linotype" w:hAnsi="Palatino Linotype" w:cs="Palatino Linotype"/>
          <w:b/>
          <w:bCs/>
          <w:i/>
          <w:iCs/>
        </w:rPr>
        <w:t xml:space="preserve"> </w:t>
      </w:r>
      <w:hyperlink r:id="rId9">
        <w:r>
          <w:rPr>
            <w:rFonts w:ascii="Palatino Linotype" w:eastAsia="Palatino Linotype" w:hAnsi="Palatino Linotype" w:cs="Palatino Linotype"/>
            <w:b/>
            <w:bCs/>
            <w:i/>
            <w:iCs/>
            <w:color w:val="000000"/>
          </w:rPr>
          <w:t>Solicitud de Información 00115.pdf</w:t>
        </w:r>
      </w:hyperlink>
      <w:r>
        <w:rPr>
          <w:rFonts w:ascii="Palatino Linotype" w:eastAsia="Palatino Linotype" w:hAnsi="Palatino Linotype" w:cs="Palatino Linotype"/>
          <w:b/>
          <w:bCs/>
          <w:i/>
          <w:iCs/>
        </w:rPr>
        <w:t xml:space="preserve">, </w:t>
      </w:r>
      <w:r>
        <w:rPr>
          <w:rFonts w:ascii="Palatino Linotype" w:eastAsia="Palatino Linotype" w:hAnsi="Palatino Linotype" w:cs="Palatino Linotype"/>
        </w:rPr>
        <w:t xml:space="preserve">que corresponde a la respuesta proporcionada por el </w:t>
      </w:r>
      <w:r>
        <w:rPr>
          <w:rFonts w:ascii="Palatino Linotype" w:eastAsia="Palatino Linotype" w:hAnsi="Palatino Linotype" w:cs="Palatino Linotype"/>
          <w:b/>
          <w:bCs/>
        </w:rPr>
        <w:t>SUJETO OBLIGADO.</w:t>
      </w:r>
    </w:p>
    <w:p w:rsidR="009C73EB" w:rsidRDefault="009C73EB">
      <w:pPr>
        <w:spacing w:line="360" w:lineRule="auto"/>
        <w:ind w:right="-787"/>
        <w:rPr>
          <w:rFonts w:ascii="Palatino Linotype" w:eastAsia="Palatino Linotype" w:hAnsi="Palatino Linotype" w:cs="Palatino Linotype"/>
          <w:i/>
          <w:iCs/>
          <w:color w:val="000000"/>
        </w:rPr>
      </w:pP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veintitrés de marzo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fue omiso en rendir el Informe Justificado correspondiente.</w:t>
      </w: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b/>
          <w:bCs/>
          <w:color w:val="000000"/>
        </w:rPr>
        <w:t xml:space="preserve">EL PARTICULAR </w:t>
      </w:r>
      <w:r>
        <w:rPr>
          <w:rFonts w:ascii="Palatino Linotype" w:eastAsia="Palatino Linotype" w:hAnsi="Palatino Linotype" w:cs="Palatino Linotype"/>
          <w:color w:val="000000"/>
        </w:rPr>
        <w:t xml:space="preserve">remitió los archivos </w:t>
      </w:r>
      <w:hyperlink r:id="rId10">
        <w:r>
          <w:rPr>
            <w:rFonts w:ascii="Palatino Linotype" w:eastAsia="Palatino Linotype" w:hAnsi="Palatino Linotype" w:cs="Palatino Linotype"/>
            <w:b/>
            <w:bCs/>
            <w:i/>
            <w:iCs/>
            <w:color w:val="000000"/>
          </w:rPr>
          <w:t>Solicitud de Información 00115.pdf</w:t>
        </w:r>
      </w:hyperlink>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y </w:t>
      </w:r>
      <w:r>
        <w:rPr>
          <w:rFonts w:ascii="Palatino Linotype" w:eastAsia="Palatino Linotype" w:hAnsi="Palatino Linotype" w:cs="Palatino Linotype"/>
          <w:b/>
          <w:bCs/>
          <w:i/>
          <w:iCs/>
          <w:color w:val="000000"/>
        </w:rPr>
        <w:t xml:space="preserve">160.page.pdf, </w:t>
      </w:r>
      <w:r>
        <w:rPr>
          <w:rFonts w:ascii="Palatino Linotype" w:eastAsia="Palatino Linotype" w:hAnsi="Palatino Linotype" w:cs="Palatino Linotype"/>
          <w:i/>
          <w:iCs/>
          <w:color w:val="000000"/>
        </w:rPr>
        <w:t xml:space="preserve">correspondientes a las respuestas proporcionadas por el </w:t>
      </w:r>
      <w:r>
        <w:rPr>
          <w:rFonts w:ascii="Palatino Linotype" w:eastAsia="Palatino Linotype" w:hAnsi="Palatino Linotype" w:cs="Palatino Linotype"/>
          <w:b/>
          <w:bCs/>
          <w:i/>
          <w:iCs/>
          <w:color w:val="000000"/>
        </w:rPr>
        <w:t>SUJETO OBLIGADO.</w:t>
      </w: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trece de marzo de dos mil veintiséis</w:t>
      </w:r>
      <w:r>
        <w:rPr>
          <w:rFonts w:ascii="Palatino Linotype" w:eastAsia="Palatino Linotype" w:hAnsi="Palatino Linotype" w:cs="Palatino Linotype"/>
          <w:color w:val="000000"/>
        </w:rPr>
        <w:t xml:space="preserve">, se amplió el término para resolver. </w:t>
      </w: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C73EB" w:rsidRPr="00C06CFC" w:rsidRDefault="00FE249F">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xydhf478z1x8" w:colFirst="0" w:colLast="0"/>
      <w:bookmarkEnd w:id="4"/>
      <w:r>
        <w:rPr>
          <w:rFonts w:ascii="Palatino Linotype" w:eastAsia="Palatino Linotype" w:hAnsi="Palatino Linotype" w:cs="Palatino Linotype"/>
          <w:color w:val="000000"/>
        </w:rPr>
        <w:t xml:space="preserve">Finalmente, mediante acuerdo de </w:t>
      </w:r>
      <w:r>
        <w:rPr>
          <w:rFonts w:ascii="Palatino Linotype" w:eastAsia="Palatino Linotype" w:hAnsi="Palatino Linotype" w:cs="Palatino Linotype"/>
          <w:b/>
          <w:bCs/>
          <w:color w:val="000000"/>
        </w:rPr>
        <w:t>trece de marzo de dos mil veintiséis,</w:t>
      </w:r>
      <w:r>
        <w:rPr>
          <w:rFonts w:ascii="Palatino Linotype" w:eastAsia="Palatino Linotype" w:hAnsi="Palatino Linotype" w:cs="Palatino Linotype"/>
          <w:color w:val="000000"/>
        </w:rPr>
        <w:t xml:space="preserve"> se  decretó el cierre de instrucción, por lo que no habiendo más que hacer constar, y </w:t>
      </w:r>
      <w:r w:rsidR="00C06CFC">
        <w:rPr>
          <w:rFonts w:ascii="Palatino Linotype" w:eastAsia="Palatino Linotype" w:hAnsi="Palatino Linotype" w:cs="Palatino Linotype"/>
          <w:color w:val="000000"/>
        </w:rPr>
        <w:t>------------------------</w:t>
      </w:r>
    </w:p>
    <w:p w:rsidR="00C06CFC" w:rsidRDefault="00C06CFC" w:rsidP="00C06CFC">
      <w:pPr>
        <w:pStyle w:val="Prrafodelista"/>
        <w:rPr>
          <w:rFonts w:ascii="Palatino Linotype" w:eastAsia="Palatino Linotype" w:hAnsi="Palatino Linotype" w:cs="Palatino Linotype"/>
          <w:b/>
          <w:bCs/>
          <w:color w:val="000000"/>
        </w:rPr>
      </w:pPr>
    </w:p>
    <w:p w:rsidR="00C06CFC" w:rsidRDefault="00C06CFC" w:rsidP="00C06CFC">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C06CFC" w:rsidRDefault="00C06CFC" w:rsidP="00C06CFC">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9C73EB" w:rsidRDefault="009C73EB">
      <w:p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p>
    <w:p w:rsidR="009C73EB" w:rsidRDefault="00FE249F">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 O N S I D E R A N D O</w:t>
      </w:r>
    </w:p>
    <w:p w:rsidR="009C73EB" w:rsidRDefault="00FE249F">
      <w:pPr>
        <w:pStyle w:val="Ttulo2"/>
        <w:spacing w:before="0" w:line="360" w:lineRule="auto"/>
        <w:ind w:right="-787"/>
        <w:rPr>
          <w:rFonts w:ascii="Palatino Linotype" w:eastAsia="Palatino Linotype" w:hAnsi="Palatino Linotype" w:cs="Palatino Linotype"/>
          <w:b/>
          <w:bCs/>
          <w:color w:val="000000"/>
          <w:sz w:val="24"/>
          <w:szCs w:val="24"/>
        </w:rPr>
      </w:pPr>
      <w:bookmarkStart w:id="5" w:name="_heading=h.dk5nw3yc58ck" w:colFirst="0" w:colLast="0"/>
      <w:bookmarkEnd w:id="5"/>
      <w:r>
        <w:rPr>
          <w:rFonts w:ascii="Palatino Linotype" w:eastAsia="Palatino Linotype" w:hAnsi="Palatino Linotype" w:cs="Palatino Linotype"/>
          <w:b/>
          <w:bCs/>
          <w:color w:val="000000"/>
          <w:sz w:val="24"/>
          <w:szCs w:val="24"/>
        </w:rPr>
        <w:t>PRIMERO. De la competencia</w:t>
      </w: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w:t>
      </w:r>
      <w:r>
        <w:rPr>
          <w:color w:val="000000"/>
        </w:rPr>
        <w:t xml:space="preserve"> 7°, </w:t>
      </w:r>
      <w:r>
        <w:rPr>
          <w:rFonts w:ascii="Palatino Linotype" w:eastAsia="Palatino Linotype" w:hAnsi="Palatino Linotype" w:cs="Palatino Linotype"/>
          <w:color w:val="000000"/>
        </w:rPr>
        <w:t>9°, fracciones I y XXIII y 11 del Reglamento Interior del Instituto de Transparencia, Acceso a la Información Pública y Protección de Datos Personales del Estado de México y Municipios.</w:t>
      </w: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9C73EB" w:rsidRDefault="00FE249F">
      <w:pPr>
        <w:pStyle w:val="Ttulo2"/>
        <w:ind w:right="-787"/>
        <w:rPr>
          <w:rFonts w:ascii="Palatino Linotype" w:eastAsia="Palatino Linotype" w:hAnsi="Palatino Linotype" w:cs="Palatino Linotype"/>
          <w:b/>
          <w:bCs/>
          <w:color w:val="000000"/>
          <w:sz w:val="24"/>
          <w:szCs w:val="24"/>
        </w:rPr>
      </w:pPr>
      <w:bookmarkStart w:id="6" w:name="_heading=h.yu2gn3csfh5a" w:colFirst="0" w:colLast="0"/>
      <w:bookmarkEnd w:id="6"/>
      <w:r>
        <w:rPr>
          <w:rFonts w:ascii="Palatino Linotype" w:eastAsia="Palatino Linotype" w:hAnsi="Palatino Linotype" w:cs="Palatino Linotype"/>
          <w:b/>
          <w:bCs/>
          <w:color w:val="000000"/>
          <w:sz w:val="24"/>
          <w:szCs w:val="24"/>
        </w:rPr>
        <w:t>SEGUNDO. De la oportunidad y procedencia.</w:t>
      </w: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veinte de marzo de dos mil veintiséis</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veintitrés de marzo al diecisiete de abril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w:t>
      </w:r>
      <w:r>
        <w:rPr>
          <w:rFonts w:ascii="Palatino Linotype" w:eastAsia="Palatino Linotype" w:hAnsi="Palatino Linotype" w:cs="Palatino Linotype"/>
          <w:b/>
          <w:bCs/>
          <w:color w:val="000000"/>
        </w:rPr>
        <w:t xml:space="preserve">veintitrés de marzo de dos mil veintiséis, </w:t>
      </w:r>
      <w:r>
        <w:rPr>
          <w:rFonts w:ascii="Palatino Linotype" w:eastAsia="Palatino Linotype" w:hAnsi="Palatino Linotype" w:cs="Palatino Linotype"/>
          <w:color w:val="000000"/>
        </w:rPr>
        <w:t>por lo que se estima que la inconformidad se presentó dentro del lapso legalmente establecido para tal efecto.</w:t>
      </w: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9C73EB" w:rsidRDefault="009C73EB">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9C73EB" w:rsidRDefault="00FE249F">
      <w:pPr>
        <w:pStyle w:val="Ttulo1"/>
        <w:spacing w:before="0" w:line="360" w:lineRule="auto"/>
        <w:ind w:right="-787"/>
        <w:rPr>
          <w:rFonts w:ascii="Palatino Linotype" w:eastAsia="Palatino Linotype" w:hAnsi="Palatino Linotype" w:cs="Palatino Linotype"/>
          <w:b/>
          <w:bCs/>
          <w:color w:val="000000"/>
          <w:sz w:val="24"/>
          <w:szCs w:val="24"/>
        </w:rPr>
      </w:pPr>
      <w:bookmarkStart w:id="7" w:name="_heading=h.gwlkei8ifaj6" w:colFirst="0" w:colLast="0"/>
      <w:bookmarkEnd w:id="7"/>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Se solicitó tener acceso, a la información:</w:t>
      </w:r>
    </w:p>
    <w:p w:rsidR="009C73EB" w:rsidRDefault="00FE249F">
      <w:pPr>
        <w:spacing w:line="276" w:lineRule="auto"/>
        <w:ind w:left="360" w:right="-787"/>
        <w:jc w:val="both"/>
        <w:rPr>
          <w:rFonts w:ascii="Palatino Linotype" w:eastAsia="Palatino Linotype" w:hAnsi="Palatino Linotype" w:cs="Palatino Linotype"/>
        </w:rPr>
      </w:pPr>
      <w:r>
        <w:rPr>
          <w:rFonts w:ascii="Palatino Linotype" w:eastAsia="Palatino Linotype" w:hAnsi="Palatino Linotype" w:cs="Palatino Linotype"/>
        </w:rPr>
        <w:t>Solicito conocer la información relacionada con los proveedores contratados por el Ayuntamiento de Chimalhuacán para la prestación de servicios para eventos, actos públicos o actividades institucionales, específicamente aquellos relacionados con renta de sillas, mesas, carpas o lonas, equipo de sonido, iluminación, utilería para eventos, servicio de cafetería o alimentos, elaboración de mantas, impresiones o material gráfico y logística para eventos públicos. Solicito el listado de proveedores, así como copia de contratos, órdenes de servicio, convenios o facturas correspondientes, indicando montos pagados, fechas de contratación y el área del Ayuntamiento que solicitó el servicio. En caso de existir, solicito también el padrón o registro de proveedores utilizados para este tipo de servicios. La información requerida corresponde del 1 de enero al 31 de diciembre de 2025 y solicito que sea entregada en formato digital.</w:t>
      </w:r>
    </w:p>
    <w:p w:rsidR="009C73EB" w:rsidRDefault="009C73EB">
      <w:pPr>
        <w:spacing w:line="360" w:lineRule="auto"/>
        <w:ind w:right="-787"/>
        <w:jc w:val="both"/>
        <w:rPr>
          <w:rFonts w:ascii="Palatino Linotype" w:eastAsia="Palatino Linotype" w:hAnsi="Palatino Linotype" w:cs="Palatino Linotype"/>
        </w:rPr>
      </w:pPr>
    </w:p>
    <w:p w:rsidR="009C73EB" w:rsidRDefault="00FE249F">
      <w:pPr>
        <w:numPr>
          <w:ilvl w:val="0"/>
          <w:numId w:val="1"/>
        </w:numPr>
        <w:spacing w:line="360" w:lineRule="auto"/>
        <w:ind w:left="0" w:right="-787" w:firstLine="0"/>
        <w:jc w:val="both"/>
      </w:pPr>
      <w:r>
        <w:rPr>
          <w:rFonts w:ascii="Palatino Linotype" w:eastAsia="Palatino Linotype" w:hAnsi="Palatino Linotype" w:cs="Palatino Linotype"/>
        </w:rPr>
        <w:t xml:space="preserve">Inconforme con lo anterior, el </w:t>
      </w:r>
      <w:r>
        <w:rPr>
          <w:rFonts w:ascii="Palatino Linotype" w:eastAsia="Palatino Linotype" w:hAnsi="Palatino Linotype" w:cs="Palatino Linotype"/>
          <w:b/>
          <w:bCs/>
        </w:rPr>
        <w:t xml:space="preserve">PARTICULAR, </w:t>
      </w:r>
      <w:r>
        <w:rPr>
          <w:rFonts w:ascii="Palatino Linotype" w:eastAsia="Palatino Linotype" w:hAnsi="Palatino Linotype" w:cs="Palatino Linotype"/>
        </w:rPr>
        <w:t>interpuso recurso de revisión arguyendo la negativa de la información.</w:t>
      </w:r>
    </w:p>
    <w:p w:rsidR="009C73EB" w:rsidRDefault="009C73EB">
      <w:pPr>
        <w:spacing w:line="360" w:lineRule="auto"/>
        <w:ind w:right="-787"/>
        <w:jc w:val="both"/>
        <w:rPr>
          <w:rFonts w:ascii="Palatino Linotype" w:eastAsia="Palatino Linotype" w:hAnsi="Palatino Linotype" w:cs="Palatino Linotype"/>
        </w:rPr>
      </w:pPr>
    </w:p>
    <w:p w:rsidR="009C73EB" w:rsidRDefault="00FE249F">
      <w:pPr>
        <w:numPr>
          <w:ilvl w:val="0"/>
          <w:numId w:val="1"/>
        </w:numPr>
        <w:spacing w:line="360" w:lineRule="auto"/>
        <w:ind w:left="0" w:right="-787" w:firstLine="0"/>
        <w:jc w:val="both"/>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 la causal de procedencia prevista en el artículo 179, </w:t>
      </w:r>
      <w:r>
        <w:rPr>
          <w:rFonts w:ascii="Palatino Linotype" w:eastAsia="Palatino Linotype" w:hAnsi="Palatino Linotype" w:cs="Palatino Linotype"/>
          <w:b/>
          <w:bCs/>
        </w:rPr>
        <w:t xml:space="preserve">fracción V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jurídica relativa a la entrega de la información de manera incompleta; </w:t>
      </w:r>
      <w:r>
        <w:rPr>
          <w:rFonts w:ascii="Palatino Linotype" w:eastAsia="Palatino Linotype" w:hAnsi="Palatino Linotype" w:cs="Palatino Linotype"/>
        </w:rPr>
        <w:t xml:space="preserve">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 xml:space="preserve">al momento de interponer </w:t>
      </w:r>
      <w:r>
        <w:rPr>
          <w:rFonts w:ascii="Palatino Linotype" w:eastAsia="Palatino Linotype" w:hAnsi="Palatino Linotype" w:cs="Palatino Linotype"/>
        </w:rPr>
        <w:lastRenderedPageBreak/>
        <w:t>su inconformidad.</w:t>
      </w:r>
      <w:r>
        <w:rPr>
          <w:rFonts w:ascii="Palatino Linotype" w:eastAsia="Palatino Linotype" w:hAnsi="Palatino Linotype" w:cs="Palatino Linotype"/>
          <w:color w:val="000000"/>
        </w:rPr>
        <w:t xml:space="preserve"> De modo tal que el presente recurso de revisión se abocara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 </w:t>
      </w:r>
    </w:p>
    <w:p w:rsidR="009C73EB" w:rsidRDefault="009C73EB">
      <w:pPr>
        <w:pBdr>
          <w:top w:val="nil"/>
          <w:left w:val="nil"/>
          <w:bottom w:val="nil"/>
          <w:right w:val="nil"/>
          <w:between w:val="nil"/>
        </w:pBdr>
        <w:ind w:left="720" w:right="-787"/>
        <w:rPr>
          <w:rFonts w:ascii="Palatino Linotype" w:eastAsia="Palatino Linotype" w:hAnsi="Palatino Linotype" w:cs="Palatino Linotype"/>
          <w:color w:val="000000"/>
        </w:rPr>
      </w:pPr>
    </w:p>
    <w:p w:rsidR="00184D17" w:rsidRDefault="00FE249F" w:rsidP="00184D17">
      <w:pPr>
        <w:pStyle w:val="Ttulo2"/>
        <w:ind w:right="-787"/>
        <w:rPr>
          <w:rFonts w:ascii="Palatino Linotype" w:eastAsia="Palatino Linotype" w:hAnsi="Palatino Linotype" w:cs="Palatino Linotype"/>
          <w:b/>
          <w:bCs/>
          <w:color w:val="000000"/>
          <w:sz w:val="24"/>
          <w:szCs w:val="24"/>
        </w:rPr>
      </w:pPr>
      <w:bookmarkStart w:id="8" w:name="_heading=h.wv8fvp8xvbuw" w:colFirst="0" w:colLast="0"/>
      <w:bookmarkEnd w:id="8"/>
      <w:r>
        <w:rPr>
          <w:rFonts w:ascii="Palatino Linotype" w:eastAsia="Palatino Linotype" w:hAnsi="Palatino Linotype" w:cs="Palatino Linotype"/>
          <w:b/>
          <w:bCs/>
          <w:color w:val="000000"/>
          <w:sz w:val="24"/>
          <w:szCs w:val="24"/>
        </w:rPr>
        <w:t>CUARTO. Del estudio y resolución del asunto.</w:t>
      </w:r>
    </w:p>
    <w:p w:rsidR="00184D17" w:rsidRPr="00184D17" w:rsidRDefault="00184D17" w:rsidP="00184D17"/>
    <w:p w:rsidR="009C73EB" w:rsidRDefault="00FE249F">
      <w:pPr>
        <w:numPr>
          <w:ilvl w:val="0"/>
          <w:numId w:val="1"/>
        </w:numPr>
        <w:spacing w:line="360" w:lineRule="auto"/>
        <w:ind w:left="0" w:right="-787" w:firstLine="0"/>
        <w:jc w:val="both"/>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primeramente resulta necesario realizar el estudio respecto la fuente obligacional que tiene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para dar respuesta a la solicitud </w:t>
      </w:r>
      <w:r>
        <w:rPr>
          <w:rFonts w:ascii="Palatino Linotype" w:eastAsia="Palatino Linotype" w:hAnsi="Palatino Linotype" w:cs="Palatino Linotype"/>
          <w:b/>
          <w:bCs/>
          <w:color w:val="000000"/>
        </w:rPr>
        <w:t xml:space="preserve"> 00115/CHIMALHU/IP/2026, </w:t>
      </w:r>
      <w:r>
        <w:rPr>
          <w:rFonts w:ascii="Palatino Linotype" w:eastAsia="Palatino Linotype" w:hAnsi="Palatino Linotype" w:cs="Palatino Linotype"/>
        </w:rPr>
        <w:t xml:space="preserve">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para generar, administrar o poseer la información solicitada, dado que éste ha asumido la misma conforme a los documentos proporcionados en respuesta, razón por la cual, al haberse pronunciado es que acepta poseer y administrar dicha información en ejercicio de sus funciones de derecho público, motivo por el cual se actualiza el supuesto jurídico, previsto en el artículo 12 de la Ley de Transparencia y Acceso a la Información Pública del Estado de México y Municipios.</w:t>
      </w:r>
    </w:p>
    <w:p w:rsidR="009C73EB" w:rsidRDefault="009C73EB">
      <w:pPr>
        <w:spacing w:line="360" w:lineRule="auto"/>
        <w:ind w:right="-787"/>
        <w:jc w:val="both"/>
        <w:rPr>
          <w:rFonts w:ascii="Palatino Linotype" w:eastAsia="Palatino Linotype" w:hAnsi="Palatino Linotype" w:cs="Palatino Linotype"/>
        </w:rPr>
      </w:pPr>
    </w:p>
    <w:p w:rsidR="009C73EB" w:rsidRDefault="00FE249F">
      <w:pPr>
        <w:numPr>
          <w:ilvl w:val="0"/>
          <w:numId w:val="1"/>
        </w:numPr>
        <w:spacing w:line="360" w:lineRule="auto"/>
        <w:ind w:left="0" w:right="-787" w:firstLine="0"/>
        <w:jc w:val="both"/>
      </w:pPr>
      <w:r>
        <w:rPr>
          <w:rFonts w:ascii="Palatino Linotype" w:eastAsia="Palatino Linotype" w:hAnsi="Palatino Linotype" w:cs="Palatino Linotype"/>
        </w:rPr>
        <w:t xml:space="preserve">En ese orden de ideas, respecto los motivos de inconformidad hechos valer por el ahora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se colige que los mismos resultan procedentes, ya que, si bien es cierto,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remitió las ligas de acceso en las cuales informó se encuentra lo solicitado, también es cierto que, estas se proporcionaron en formato cerrado, es decir, al dar clic en las mismas, no se proporciona la información de manera directa.</w:t>
      </w:r>
    </w:p>
    <w:p w:rsidR="009C73EB" w:rsidRDefault="009C73EB">
      <w:pPr>
        <w:spacing w:line="360" w:lineRule="auto"/>
        <w:ind w:right="-787"/>
        <w:jc w:val="both"/>
        <w:rPr>
          <w:rFonts w:ascii="Palatino Linotype" w:eastAsia="Palatino Linotype" w:hAnsi="Palatino Linotype" w:cs="Palatino Linotype"/>
          <w:i/>
          <w:iCs/>
          <w:color w:val="000000"/>
        </w:rPr>
      </w:pPr>
    </w:p>
    <w:p w:rsidR="009C73EB" w:rsidRDefault="00FE249F">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Atento a lo anterior, este Organismo Garante considera importante referir que de las ligas electrónica proporcionadas en respuesta e informe justificado no pueden tenerse por válidas, toda vez que el enlace electrónico debe ser preciso y directo.</w:t>
      </w:r>
    </w:p>
    <w:p w:rsidR="009C73EB" w:rsidRDefault="00FE249F">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lastRenderedPageBreak/>
        <w:t>En ese sentido, de conformidad a lo establecido por los artículos 11 y 161 de la Ley de Transparencia y Acceso a la Información Pública del Estado de México y Municipios, en lo que se señalan las características que debe tener toda información entregada por los sujetos obligados desde el momento de su generación, publicación y entrega, así como la forma en que se deberá consultar la información, señalando una fuente precisa y concreta, a saber:</w:t>
      </w:r>
    </w:p>
    <w:p w:rsidR="009C73EB" w:rsidRDefault="00FE249F">
      <w:pPr>
        <w:pBdr>
          <w:top w:val="nil"/>
          <w:left w:val="nil"/>
          <w:bottom w:val="nil"/>
          <w:right w:val="nil"/>
          <w:between w:val="nil"/>
        </w:pBdr>
        <w:ind w:left="567" w:right="-787"/>
        <w:jc w:val="both"/>
        <w:rPr>
          <w:b/>
          <w:bCs/>
          <w:color w:val="000000"/>
        </w:rPr>
      </w:pPr>
      <w:r>
        <w:rPr>
          <w:rFonts w:ascii="Palatino Linotype" w:eastAsia="Palatino Linotype" w:hAnsi="Palatino Linotype" w:cs="Palatino Linotype"/>
          <w:b/>
          <w:bCs/>
          <w:i/>
          <w:iCs/>
          <w:color w:val="000000"/>
        </w:rPr>
        <w:t xml:space="preserve">“Artículo 11. </w:t>
      </w:r>
      <w:r>
        <w:rPr>
          <w:rFonts w:ascii="Palatino Linotype" w:eastAsia="Palatino Linotype" w:hAnsi="Palatino Linotype" w:cs="Palatino Linotype"/>
          <w:b/>
          <w:bCs/>
          <w:i/>
          <w:iCs/>
          <w:color w:val="000000"/>
          <w:u w:val="single"/>
        </w:rPr>
        <w:t>En la generación, publicación y entrega de información se deberá garantizar que ésta sea accesible, actualizada, completa, congruente, confiable, verificable, veraz, integral, oportuna y expedita</w:t>
      </w:r>
      <w:r>
        <w:rPr>
          <w:rFonts w:ascii="Palatino Linotype" w:eastAsia="Palatino Linotype" w:hAnsi="Palatino Linotype" w:cs="Palatino Linotype"/>
          <w:b/>
          <w:bCs/>
          <w:i/>
          <w:iCs/>
          <w:color w:val="000000"/>
        </w:rPr>
        <w:t>, sujeta a un claro régimen de excepciones que deberá estar definido y ser además legítima y estrictamente necesaria en una sociedad democrática, por lo que atenderá las necesidades del derecho de acceso a la información de toda persona.</w:t>
      </w:r>
    </w:p>
    <w:p w:rsidR="009C73EB" w:rsidRDefault="00FE249F">
      <w:pPr>
        <w:pBdr>
          <w:top w:val="nil"/>
          <w:left w:val="nil"/>
          <w:bottom w:val="nil"/>
          <w:right w:val="nil"/>
          <w:between w:val="nil"/>
        </w:pBdr>
        <w:ind w:left="567" w:right="-787"/>
        <w:jc w:val="both"/>
        <w:rPr>
          <w:b/>
          <w:bCs/>
          <w:color w:val="000000"/>
        </w:rPr>
      </w:pPr>
      <w:r>
        <w:rPr>
          <w:rFonts w:ascii="Palatino Linotype" w:eastAsia="Palatino Linotype" w:hAnsi="Palatino Linotype" w:cs="Palatino Linotype"/>
          <w:b/>
          <w:bCs/>
          <w:i/>
          <w:iCs/>
          <w:color w:val="000000"/>
        </w:rPr>
        <w:t>[…]</w:t>
      </w:r>
    </w:p>
    <w:p w:rsidR="009C73EB" w:rsidRDefault="009C73EB">
      <w:pPr>
        <w:ind w:right="-787"/>
        <w:rPr>
          <w:b/>
          <w:bCs/>
        </w:rPr>
      </w:pPr>
    </w:p>
    <w:p w:rsidR="009C73EB" w:rsidRDefault="00FE249F">
      <w:pPr>
        <w:pBdr>
          <w:top w:val="nil"/>
          <w:left w:val="nil"/>
          <w:bottom w:val="nil"/>
          <w:right w:val="nil"/>
          <w:between w:val="nil"/>
        </w:pBdr>
        <w:ind w:left="567" w:right="-787"/>
        <w:jc w:val="both"/>
        <w:rPr>
          <w:b/>
          <w:bCs/>
          <w:color w:val="000000"/>
        </w:rPr>
      </w:pPr>
      <w:r>
        <w:rPr>
          <w:rFonts w:ascii="Palatino Linotype" w:eastAsia="Palatino Linotype" w:hAnsi="Palatino Linotype" w:cs="Palatino Linotype"/>
          <w:b/>
          <w:bCs/>
          <w:i/>
          <w:iCs/>
          <w:color w:val="000000"/>
        </w:rPr>
        <w:t xml:space="preserve">Artículo 161. </w:t>
      </w:r>
      <w:r>
        <w:rPr>
          <w:rFonts w:ascii="Palatino Linotype" w:eastAsia="Palatino Linotype" w:hAnsi="Palatino Linotype" w:cs="Palatino Linotype"/>
          <w:b/>
          <w:bCs/>
          <w:i/>
          <w:iCs/>
          <w:color w:val="000000"/>
          <w:u w:val="single"/>
        </w:rPr>
        <w:t>Cuando la información requerida por el solicitante ya esté disponible al público</w:t>
      </w:r>
      <w:r>
        <w:rPr>
          <w:rFonts w:ascii="Palatino Linotype" w:eastAsia="Palatino Linotype" w:hAnsi="Palatino Linotype" w:cs="Palatino Linotype"/>
          <w:b/>
          <w:bCs/>
          <w:i/>
          <w:iCs/>
          <w:color w:val="000000"/>
        </w:rPr>
        <w:t xml:space="preserve"> en medios impresos, tales como libros, compendios, trípticos, registros públicos, </w:t>
      </w:r>
      <w:r>
        <w:rPr>
          <w:rFonts w:ascii="Palatino Linotype" w:eastAsia="Palatino Linotype" w:hAnsi="Palatino Linotype" w:cs="Palatino Linotype"/>
          <w:b/>
          <w:bCs/>
          <w:i/>
          <w:iCs/>
          <w:color w:val="000000"/>
          <w:u w:val="single"/>
        </w:rPr>
        <w:t>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 (Sic)</w:t>
      </w:r>
    </w:p>
    <w:p w:rsidR="009C73EB" w:rsidRDefault="009C73EB">
      <w:pPr>
        <w:ind w:right="-787"/>
        <w:rPr>
          <w:b/>
          <w:bCs/>
        </w:rPr>
      </w:pPr>
    </w:p>
    <w:p w:rsidR="00C06CFC" w:rsidRDefault="00C06CFC">
      <w:pPr>
        <w:ind w:right="-787"/>
        <w:rPr>
          <w:b/>
          <w:bCs/>
        </w:rPr>
      </w:pPr>
    </w:p>
    <w:p w:rsidR="009C73EB" w:rsidRDefault="00FE249F">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9C73EB" w:rsidRDefault="009C73EB">
      <w:pPr>
        <w:ind w:right="-787"/>
        <w:rPr>
          <w:b/>
          <w:bCs/>
        </w:rPr>
      </w:pPr>
    </w:p>
    <w:p w:rsidR="009C73EB" w:rsidRPr="00C06CFC" w:rsidRDefault="00FE249F" w:rsidP="00C06CFC">
      <w:pPr>
        <w:pStyle w:val="Prrafodelista"/>
        <w:numPr>
          <w:ilvl w:val="0"/>
          <w:numId w:val="4"/>
        </w:numPr>
        <w:pBdr>
          <w:top w:val="nil"/>
          <w:left w:val="nil"/>
          <w:bottom w:val="nil"/>
          <w:right w:val="nil"/>
          <w:between w:val="nil"/>
        </w:pBdr>
        <w:ind w:left="426" w:right="-787"/>
        <w:jc w:val="both"/>
        <w:rPr>
          <w:rFonts w:ascii="Palatino Linotype" w:eastAsia="Palatino Linotype" w:hAnsi="Palatino Linotype" w:cs="Palatino Linotype"/>
          <w:b/>
          <w:bCs/>
          <w:color w:val="000000"/>
        </w:rPr>
      </w:pPr>
      <w:r w:rsidRPr="00C06CFC">
        <w:rPr>
          <w:rFonts w:ascii="Palatino Linotype" w:eastAsia="Palatino Linotype" w:hAnsi="Palatino Linotype" w:cs="Palatino Linotype"/>
          <w:b/>
          <w:bCs/>
          <w:color w:val="000000"/>
        </w:rPr>
        <w:lastRenderedPageBreak/>
        <w:t>La fuente</w:t>
      </w:r>
    </w:p>
    <w:p w:rsidR="009C73EB" w:rsidRDefault="00FE249F">
      <w:pPr>
        <w:numPr>
          <w:ilvl w:val="0"/>
          <w:numId w:val="4"/>
        </w:numPr>
        <w:pBdr>
          <w:top w:val="nil"/>
          <w:left w:val="nil"/>
          <w:bottom w:val="nil"/>
          <w:right w:val="nil"/>
          <w:between w:val="nil"/>
        </w:pBdr>
        <w:ind w:left="426"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lugar y</w:t>
      </w:r>
    </w:p>
    <w:p w:rsidR="009C73EB" w:rsidRDefault="00FE249F">
      <w:pPr>
        <w:numPr>
          <w:ilvl w:val="0"/>
          <w:numId w:val="4"/>
        </w:numPr>
        <w:pBdr>
          <w:top w:val="nil"/>
          <w:left w:val="nil"/>
          <w:bottom w:val="nil"/>
          <w:right w:val="nil"/>
          <w:between w:val="nil"/>
        </w:pBdr>
        <w:ind w:left="426"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La forma </w:t>
      </w:r>
    </w:p>
    <w:p w:rsidR="009C73EB" w:rsidRDefault="009C73EB">
      <w:pPr>
        <w:ind w:right="-787"/>
        <w:rPr>
          <w:b/>
          <w:bCs/>
        </w:rPr>
      </w:pPr>
    </w:p>
    <w:p w:rsidR="009C73EB" w:rsidRDefault="009C73EB">
      <w:pPr>
        <w:ind w:right="-787"/>
        <w:rPr>
          <w:b/>
          <w:bCs/>
        </w:rPr>
      </w:pPr>
    </w:p>
    <w:p w:rsidR="009C73EB" w:rsidRDefault="00FE249F">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Asimismo, se establece que la fuente de la información deberá ser:</w:t>
      </w:r>
    </w:p>
    <w:p w:rsidR="009C73EB" w:rsidRPr="00C06CFC" w:rsidRDefault="00FE249F" w:rsidP="00C06CFC">
      <w:pPr>
        <w:pStyle w:val="Prrafodelista"/>
        <w:numPr>
          <w:ilvl w:val="0"/>
          <w:numId w:val="5"/>
        </w:numPr>
        <w:pBdr>
          <w:top w:val="nil"/>
          <w:left w:val="nil"/>
          <w:bottom w:val="nil"/>
          <w:right w:val="nil"/>
          <w:between w:val="nil"/>
        </w:pBdr>
        <w:ind w:left="426" w:right="-787"/>
        <w:jc w:val="both"/>
        <w:rPr>
          <w:rFonts w:ascii="Palatino Linotype" w:eastAsia="Palatino Linotype" w:hAnsi="Palatino Linotype" w:cs="Palatino Linotype"/>
          <w:b/>
          <w:bCs/>
          <w:color w:val="000000"/>
        </w:rPr>
      </w:pPr>
      <w:r w:rsidRPr="00C06CFC">
        <w:rPr>
          <w:rFonts w:ascii="Palatino Linotype" w:eastAsia="Palatino Linotype" w:hAnsi="Palatino Linotype" w:cs="Palatino Linotype"/>
          <w:b/>
          <w:bCs/>
          <w:color w:val="000000"/>
        </w:rPr>
        <w:t>Precisa</w:t>
      </w:r>
    </w:p>
    <w:p w:rsidR="009C73EB" w:rsidRDefault="00FE249F">
      <w:pPr>
        <w:numPr>
          <w:ilvl w:val="0"/>
          <w:numId w:val="5"/>
        </w:numPr>
        <w:pBdr>
          <w:top w:val="nil"/>
          <w:left w:val="nil"/>
          <w:bottom w:val="nil"/>
          <w:right w:val="nil"/>
          <w:between w:val="nil"/>
        </w:pBdr>
        <w:ind w:left="426"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Concreta</w:t>
      </w:r>
    </w:p>
    <w:p w:rsidR="009C73EB" w:rsidRDefault="00FE249F">
      <w:pPr>
        <w:numPr>
          <w:ilvl w:val="0"/>
          <w:numId w:val="5"/>
        </w:numPr>
        <w:pBdr>
          <w:top w:val="nil"/>
          <w:left w:val="nil"/>
          <w:bottom w:val="nil"/>
          <w:right w:val="nil"/>
          <w:between w:val="nil"/>
        </w:pBdr>
        <w:ind w:left="426"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Y no debe implicar que el solicitante realice una búsqueda en toda la información que se encuentre disponible.</w:t>
      </w:r>
    </w:p>
    <w:p w:rsidR="009C73EB" w:rsidRDefault="009C73EB">
      <w:pPr>
        <w:ind w:right="-787"/>
        <w:rPr>
          <w:b/>
          <w:bCs/>
        </w:rPr>
      </w:pPr>
    </w:p>
    <w:p w:rsidR="00C06CFC" w:rsidRDefault="00C06CFC">
      <w:pPr>
        <w:ind w:right="-787"/>
        <w:rPr>
          <w:b/>
          <w:bCs/>
        </w:rPr>
      </w:pPr>
    </w:p>
    <w:p w:rsidR="009C73EB" w:rsidRDefault="00FE249F">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Imperativos legales que establecen el procedimiento que debe seguir el Sujeto Obligado para que pueda tomarse como válida su orientación sobre la forma en que puede consultar la información requerida, y que, en el caso en concreto, no acontece; ello porque el Sujeto Obligado se limitó a proporcionar dos ligas de acceso, sin que señalara puntualmente donde se encuentra la información solicitada, lo que implica que  la fuente no es precisa; no es concreta, sino por el contrario ésta resulta abstracta y genera incertidumbre entre el cúmulo de información que se observa en la página; y por último, su fuente implica que el solicitante realice una búsqueda en toda la información que se encuentra disponible, lo que a todas luces transgrede el numeral citado.</w:t>
      </w:r>
    </w:p>
    <w:p w:rsidR="009C73EB" w:rsidRDefault="009C73EB">
      <w:pPr>
        <w:spacing w:line="360" w:lineRule="auto"/>
        <w:ind w:right="-787"/>
        <w:rPr>
          <w:b/>
          <w:bCs/>
        </w:rPr>
      </w:pPr>
    </w:p>
    <w:p w:rsidR="009C73EB" w:rsidRDefault="00FE249F">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Es por lo anterior que este Organismo Garante exhorta de manera respetuosa al Sujeto Obligado para que en futuras ocasiones que pretenda emplear ligas electrónicas para atender las solicitudes de información, se asegure de que dichos enlaces sean accesibles para los solicitantes, esto es, que puedan copiarse y pegarse con facilidad para su consulta y que remitan a la fuente concreta donde obra la información.</w:t>
      </w:r>
    </w:p>
    <w:p w:rsidR="009C73EB" w:rsidRDefault="009C73EB">
      <w:pPr>
        <w:spacing w:line="360" w:lineRule="auto"/>
        <w:ind w:right="-787"/>
        <w:jc w:val="both"/>
        <w:rPr>
          <w:color w:val="000000"/>
        </w:rPr>
      </w:pPr>
    </w:p>
    <w:p w:rsidR="009C73EB" w:rsidRDefault="00FE249F">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lastRenderedPageBreak/>
        <w:t>En consecuencia de lo anterior, no se puede tener por colmada la solicitud de información que nos ocupa, resultando dable ordenar la entrega de la información, de ser procedente en versión pública a través del SAIMEX.</w:t>
      </w: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C73EB" w:rsidRDefault="00FE249F">
      <w:pPr>
        <w:pStyle w:val="Ttulo1"/>
        <w:ind w:right="-787"/>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QUINTO. De la versión pública.</w:t>
      </w:r>
    </w:p>
    <w:p w:rsidR="009C73EB" w:rsidRDefault="009C73EB">
      <w:pPr>
        <w:ind w:right="-787"/>
      </w:pPr>
    </w:p>
    <w:p w:rsidR="009C73EB" w:rsidRDefault="00FE249F">
      <w:pPr>
        <w:pStyle w:val="Ttulo1"/>
        <w:numPr>
          <w:ilvl w:val="0"/>
          <w:numId w:val="3"/>
        </w:numPr>
        <w:tabs>
          <w:tab w:val="left" w:pos="284"/>
        </w:tabs>
        <w:spacing w:before="0" w:line="360" w:lineRule="auto"/>
        <w:ind w:left="0" w:right="-787" w:firstLine="0"/>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Nociones generales. </w:t>
      </w: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9C73EB" w:rsidRDefault="009C73EB">
      <w:pPr>
        <w:pBdr>
          <w:top w:val="nil"/>
          <w:left w:val="nil"/>
          <w:bottom w:val="nil"/>
          <w:right w:val="nil"/>
          <w:between w:val="nil"/>
        </w:pBdr>
        <w:tabs>
          <w:tab w:val="left" w:pos="0"/>
          <w:tab w:val="left" w:pos="284"/>
        </w:tabs>
        <w:spacing w:line="360" w:lineRule="auto"/>
        <w:ind w:right="-787"/>
        <w:jc w:val="both"/>
        <w:rPr>
          <w:rFonts w:ascii="Palatino Linotype" w:eastAsia="Palatino Linotype" w:hAnsi="Palatino Linotype" w:cs="Palatino Linotype"/>
          <w:color w:val="000000"/>
        </w:rPr>
      </w:pP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No pasa desapercibido para este Órgano Garante que los </w:t>
      </w:r>
      <w:r>
        <w:rPr>
          <w:rFonts w:ascii="Palatino Linotype" w:eastAsia="Palatino Linotype" w:hAnsi="Palatino Linotype" w:cs="Palatino Linotype"/>
          <w:b/>
          <w:bCs/>
          <w:color w:val="000000"/>
        </w:rPr>
        <w:t xml:space="preserve">Sujetos Obligados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C73EB" w:rsidRDefault="009C73EB">
      <w:pPr>
        <w:tabs>
          <w:tab w:val="left" w:pos="284"/>
        </w:tabs>
        <w:spacing w:line="360" w:lineRule="auto"/>
        <w:ind w:right="-787"/>
        <w:jc w:val="both"/>
        <w:rPr>
          <w:rFonts w:ascii="Palatino Linotype" w:eastAsia="Palatino Linotype" w:hAnsi="Palatino Linotype" w:cs="Palatino Linotype"/>
          <w:color w:val="000000"/>
        </w:rPr>
      </w:pPr>
    </w:p>
    <w:tbl>
      <w:tblPr>
        <w:tblStyle w:val="a"/>
        <w:tblW w:w="963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6885"/>
      </w:tblGrid>
      <w:tr w:rsidR="009C73EB">
        <w:tc>
          <w:tcPr>
            <w:tcW w:w="2745" w:type="dxa"/>
          </w:tcPr>
          <w:p w:rsidR="009C73EB" w:rsidRDefault="00FE249F" w:rsidP="00184D17">
            <w:pPr>
              <w:tabs>
                <w:tab w:val="left" w:pos="284"/>
              </w:tabs>
              <w:ind w:right="105"/>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885" w:type="dxa"/>
          </w:tcPr>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lastRenderedPageBreak/>
              <w:t>Al hacerlo tienen que precisar de qué información se trata, señalando el supuesto de clasificación (confidencialidad o reserva).</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no se puede hacer un acuerdo para clasificar de manera general todos los documentos de un expediente o área, sin</w:t>
            </w:r>
            <w:r>
              <w:rPr>
                <w:rFonts w:ascii="Palatino Linotype" w:eastAsia="Palatino Linotype" w:hAnsi="Palatino Linotype" w:cs="Palatino Linotype"/>
              </w:rPr>
              <w:t xml:space="preserve"> individualizar su análisis y tampoco se puede hacer un acuerdo por cada dato que se vaya a clasificar dentro de un documento con diez datos, por ejemplo, susceptibles de ser clasificados.</w:t>
            </w:r>
          </w:p>
        </w:tc>
      </w:tr>
      <w:tr w:rsidR="009C73EB">
        <w:tc>
          <w:tcPr>
            <w:tcW w:w="2745" w:type="dxa"/>
          </w:tcPr>
          <w:p w:rsidR="009C73EB" w:rsidRDefault="00FE249F" w:rsidP="00184D17">
            <w:pPr>
              <w:tabs>
                <w:tab w:val="left" w:pos="284"/>
              </w:tabs>
              <w:ind w:right="105"/>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885" w:type="dxa"/>
          </w:tcPr>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C73EB">
        <w:tc>
          <w:tcPr>
            <w:tcW w:w="2745" w:type="dxa"/>
          </w:tcPr>
          <w:p w:rsidR="009C73EB" w:rsidRDefault="00FE249F" w:rsidP="00184D17">
            <w:pPr>
              <w:tabs>
                <w:tab w:val="left" w:pos="284"/>
              </w:tabs>
              <w:ind w:right="105"/>
              <w:rPr>
                <w:rFonts w:ascii="Palatino Linotype" w:eastAsia="Palatino Linotype" w:hAnsi="Palatino Linotype" w:cs="Palatino Linotype"/>
              </w:rPr>
            </w:pPr>
            <w:r>
              <w:rPr>
                <w:rFonts w:ascii="Palatino Linotype" w:eastAsia="Palatino Linotype" w:hAnsi="Palatino Linotype" w:cs="Palatino Linotype"/>
              </w:rPr>
              <w:t>c) Formalidades para emitir el acuerdo de clasificación.</w:t>
            </w:r>
          </w:p>
        </w:tc>
        <w:tc>
          <w:tcPr>
            <w:tcW w:w="6885" w:type="dxa"/>
          </w:tcPr>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C73EB">
        <w:tc>
          <w:tcPr>
            <w:tcW w:w="2745" w:type="dxa"/>
          </w:tcPr>
          <w:p w:rsidR="009C73EB" w:rsidRDefault="009C73EB" w:rsidP="00184D17">
            <w:pPr>
              <w:tabs>
                <w:tab w:val="left" w:pos="284"/>
              </w:tabs>
              <w:ind w:right="105"/>
              <w:rPr>
                <w:rFonts w:ascii="Palatino Linotype" w:eastAsia="Palatino Linotype" w:hAnsi="Palatino Linotype" w:cs="Palatino Linotype"/>
              </w:rPr>
            </w:pPr>
          </w:p>
          <w:p w:rsidR="009C73EB" w:rsidRDefault="00FE249F" w:rsidP="00184D17">
            <w:pPr>
              <w:tabs>
                <w:tab w:val="left" w:pos="284"/>
              </w:tabs>
              <w:ind w:right="105"/>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6885" w:type="dxa"/>
          </w:tcPr>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lastRenderedPageBreak/>
              <w:t>En ese mismo sentido, el numeral trigésimo tercero fracción V de los Lineamientos Generales, precisa que para motivar la clasificación se deben acreditar las circunstancias de tiempo, modo y lugar.</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C73EB">
        <w:tc>
          <w:tcPr>
            <w:tcW w:w="2745" w:type="dxa"/>
          </w:tcPr>
          <w:p w:rsidR="009C73EB" w:rsidRDefault="00FE249F" w:rsidP="00184D17">
            <w:pPr>
              <w:tabs>
                <w:tab w:val="left" w:pos="284"/>
              </w:tabs>
              <w:ind w:right="105"/>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885" w:type="dxa"/>
          </w:tcPr>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9C73EB" w:rsidRDefault="00FE249F" w:rsidP="00184D17">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C73EB" w:rsidRDefault="00FE249F" w:rsidP="00184D17">
            <w:pPr>
              <w:tabs>
                <w:tab w:val="left" w:pos="284"/>
              </w:tabs>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C73EB" w:rsidRDefault="009C73EB">
      <w:pPr>
        <w:ind w:right="-787"/>
      </w:pP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Debido a lo anteriormente expuesto, este Instituto estima que las razones o motivos de inconformidad hechos valer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devienen fundadas y suficientes para</w:t>
      </w:r>
      <w:r>
        <w:rPr>
          <w:rFonts w:ascii="Palatino Linotype" w:eastAsia="Palatino Linotype" w:hAnsi="Palatino Linotype" w:cs="Palatino Linotype"/>
          <w:b/>
          <w:bCs/>
          <w:color w:val="000000"/>
        </w:rPr>
        <w:t xml:space="preserve"> REVOCAR</w:t>
      </w:r>
      <w:r>
        <w:rPr>
          <w:rFonts w:ascii="Palatino Linotype" w:eastAsia="Palatino Linotype" w:hAnsi="Palatino Linotype" w:cs="Palatino Linotype"/>
          <w:color w:val="000000"/>
        </w:rPr>
        <w:t xml:space="preserve"> la respuesta a la solicitud de acceso </w:t>
      </w:r>
      <w:r>
        <w:rPr>
          <w:rFonts w:ascii="Palatino Linotype" w:eastAsia="Palatino Linotype" w:hAnsi="Palatino Linotype" w:cs="Palatino Linotype"/>
          <w:b/>
          <w:bCs/>
          <w:color w:val="000000"/>
        </w:rPr>
        <w:t xml:space="preserve"> 00115/CHIMALHU/IP/2026, </w:t>
      </w:r>
      <w:r>
        <w:rPr>
          <w:rFonts w:ascii="Palatino Linotype" w:eastAsia="Palatino Linotype" w:hAnsi="Palatino Linotype" w:cs="Palatino Linotype"/>
          <w:color w:val="000000"/>
        </w:rPr>
        <w:t xml:space="preserve">que origino el Recurso de Revisión </w:t>
      </w:r>
      <w:r>
        <w:rPr>
          <w:rFonts w:ascii="Palatino Linotype" w:eastAsia="Palatino Linotype" w:hAnsi="Palatino Linotype" w:cs="Palatino Linotype"/>
          <w:b/>
          <w:bCs/>
          <w:color w:val="000000"/>
        </w:rPr>
        <w:t>03423/INFOEM/IP/RR/2026.</w:t>
      </w:r>
    </w:p>
    <w:p w:rsidR="009C73EB" w:rsidRDefault="009C73EB">
      <w:pPr>
        <w:spacing w:line="360" w:lineRule="auto"/>
        <w:ind w:right="-787"/>
        <w:jc w:val="both"/>
        <w:rPr>
          <w:rFonts w:ascii="Palatino Linotype" w:eastAsia="Palatino Linotype" w:hAnsi="Palatino Linotype" w:cs="Palatino Linotype"/>
          <w:color w:val="000000"/>
        </w:rPr>
      </w:pPr>
    </w:p>
    <w:p w:rsidR="009C73EB" w:rsidRDefault="00FE249F">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Así, con fundamento en lo previsto en los artículos 5, párrafo trigésimo segundo, trigésimo tercero y trigésimo cuarto, fracciones IV y V de la Constitución Política del Estado Libre y Soberano de México; 2, fracción II, 29, 36, fracciones I y II, 176, 178, 179, 181, 185 fracción I, 186 y 188 de la Ley de Transparencia y Acceso a la Información Pública del Estado de México y Municipios, este Pleno: </w:t>
      </w:r>
    </w:p>
    <w:p w:rsidR="009C73EB" w:rsidRDefault="009C73EB">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9C73EB" w:rsidRDefault="00FE249F">
      <w:pPr>
        <w:pBdr>
          <w:top w:val="nil"/>
          <w:left w:val="nil"/>
          <w:bottom w:val="nil"/>
          <w:right w:val="nil"/>
          <w:between w:val="nil"/>
        </w:pBdr>
        <w:spacing w:line="360" w:lineRule="auto"/>
        <w:ind w:right="-787"/>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9C73EB" w:rsidRDefault="009C73EB">
      <w:pPr>
        <w:pBdr>
          <w:top w:val="nil"/>
          <w:left w:val="nil"/>
          <w:bottom w:val="nil"/>
          <w:right w:val="nil"/>
          <w:between w:val="nil"/>
        </w:pBdr>
        <w:spacing w:line="360" w:lineRule="auto"/>
        <w:ind w:right="-787"/>
        <w:jc w:val="center"/>
        <w:rPr>
          <w:rFonts w:ascii="Palatino Linotype" w:eastAsia="Palatino Linotype" w:hAnsi="Palatino Linotype" w:cs="Palatino Linotype"/>
          <w:b/>
          <w:bCs/>
        </w:rPr>
      </w:pPr>
    </w:p>
    <w:p w:rsidR="009C73EB" w:rsidRPr="00926048" w:rsidRDefault="00FE249F">
      <w:pPr>
        <w:spacing w:line="360" w:lineRule="auto"/>
        <w:ind w:right="-787"/>
        <w:jc w:val="both"/>
        <w:rPr>
          <w:rFonts w:ascii="Palatino Linotype" w:eastAsia="Palatino Linotype" w:hAnsi="Palatino Linotype" w:cs="Palatino Linotype"/>
          <w:color w:val="000000"/>
        </w:rPr>
      </w:pPr>
      <w:r w:rsidRPr="00926048">
        <w:rPr>
          <w:rFonts w:ascii="Palatino Linotype" w:eastAsia="Palatino Linotype" w:hAnsi="Palatino Linotype" w:cs="Palatino Linotype"/>
          <w:b/>
          <w:bCs/>
          <w:color w:val="000000"/>
        </w:rPr>
        <w:t>PRIMERO</w:t>
      </w:r>
      <w:r w:rsidRPr="00926048">
        <w:rPr>
          <w:rFonts w:ascii="Palatino Linotype" w:eastAsia="Palatino Linotype" w:hAnsi="Palatino Linotype" w:cs="Palatino Linotype"/>
          <w:color w:val="000000"/>
        </w:rPr>
        <w:t xml:space="preserve">. Resultan </w:t>
      </w:r>
      <w:r w:rsidRPr="00926048">
        <w:rPr>
          <w:rFonts w:ascii="Palatino Linotype" w:eastAsia="Palatino Linotype" w:hAnsi="Palatino Linotype" w:cs="Palatino Linotype"/>
          <w:b/>
          <w:bCs/>
          <w:color w:val="000000"/>
        </w:rPr>
        <w:t>fundadas</w:t>
      </w:r>
      <w:r w:rsidRPr="00926048">
        <w:rPr>
          <w:rFonts w:ascii="Palatino Linotype" w:eastAsia="Palatino Linotype" w:hAnsi="Palatino Linotype" w:cs="Palatino Linotype"/>
          <w:color w:val="000000"/>
        </w:rPr>
        <w:t xml:space="preserve"> las razones o motivos de inconformidad planteadas por </w:t>
      </w:r>
      <w:r w:rsidRPr="00926048">
        <w:rPr>
          <w:rFonts w:ascii="Palatino Linotype" w:eastAsia="Palatino Linotype" w:hAnsi="Palatino Linotype" w:cs="Palatino Linotype"/>
          <w:b/>
          <w:bCs/>
          <w:color w:val="000000"/>
        </w:rPr>
        <w:t>EL RECURRENTE</w:t>
      </w:r>
      <w:r w:rsidRPr="00926048">
        <w:rPr>
          <w:rFonts w:ascii="Palatino Linotype" w:eastAsia="Palatino Linotype" w:hAnsi="Palatino Linotype" w:cs="Palatino Linotype"/>
          <w:color w:val="000000"/>
        </w:rPr>
        <w:t xml:space="preserve">, en términos del Considerando </w:t>
      </w:r>
      <w:r w:rsidRPr="00926048">
        <w:rPr>
          <w:rFonts w:ascii="Palatino Linotype" w:eastAsia="Palatino Linotype" w:hAnsi="Palatino Linotype" w:cs="Palatino Linotype"/>
          <w:b/>
          <w:bCs/>
          <w:color w:val="000000"/>
        </w:rPr>
        <w:t>CUARTO</w:t>
      </w:r>
      <w:r w:rsidRPr="00926048">
        <w:rPr>
          <w:rFonts w:ascii="Palatino Linotype" w:eastAsia="Palatino Linotype" w:hAnsi="Palatino Linotype" w:cs="Palatino Linotype"/>
          <w:color w:val="000000"/>
        </w:rPr>
        <w:t xml:space="preserve"> de la presente resolución.</w:t>
      </w:r>
    </w:p>
    <w:p w:rsidR="009C73EB" w:rsidRPr="00926048" w:rsidRDefault="009C73EB">
      <w:pPr>
        <w:spacing w:line="360" w:lineRule="auto"/>
        <w:ind w:right="-787"/>
        <w:jc w:val="both"/>
        <w:rPr>
          <w:rFonts w:ascii="Palatino Linotype" w:eastAsia="Palatino Linotype" w:hAnsi="Palatino Linotype" w:cs="Palatino Linotype"/>
          <w:color w:val="000000"/>
        </w:rPr>
      </w:pPr>
    </w:p>
    <w:p w:rsidR="009C73EB" w:rsidRPr="00926048" w:rsidRDefault="00FE249F">
      <w:pPr>
        <w:spacing w:line="360" w:lineRule="auto"/>
        <w:ind w:right="-787"/>
        <w:jc w:val="both"/>
        <w:rPr>
          <w:rFonts w:ascii="Palatino Linotype" w:eastAsia="Palatino Linotype" w:hAnsi="Palatino Linotype" w:cs="Palatino Linotype"/>
          <w:color w:val="000000"/>
        </w:rPr>
      </w:pPr>
      <w:r w:rsidRPr="00926048">
        <w:rPr>
          <w:rFonts w:ascii="Palatino Linotype" w:eastAsia="Palatino Linotype" w:hAnsi="Palatino Linotype" w:cs="Palatino Linotype"/>
          <w:b/>
          <w:bCs/>
          <w:color w:val="000000"/>
        </w:rPr>
        <w:t>SEGUNDO</w:t>
      </w:r>
      <w:r w:rsidRPr="00926048">
        <w:rPr>
          <w:rFonts w:ascii="Palatino Linotype" w:eastAsia="Palatino Linotype" w:hAnsi="Palatino Linotype" w:cs="Palatino Linotype"/>
          <w:color w:val="000000"/>
        </w:rPr>
        <w:t xml:space="preserve">. Se </w:t>
      </w:r>
      <w:r w:rsidRPr="00926048">
        <w:rPr>
          <w:rFonts w:ascii="Palatino Linotype" w:eastAsia="Palatino Linotype" w:hAnsi="Palatino Linotype" w:cs="Palatino Linotype"/>
          <w:b/>
          <w:bCs/>
          <w:color w:val="000000"/>
        </w:rPr>
        <w:t xml:space="preserve">REVOCA </w:t>
      </w:r>
      <w:r w:rsidRPr="00926048">
        <w:rPr>
          <w:rFonts w:ascii="Palatino Linotype" w:eastAsia="Palatino Linotype" w:hAnsi="Palatino Linotype" w:cs="Palatino Linotype"/>
          <w:color w:val="000000"/>
        </w:rPr>
        <w:t>la respuesta proporcionada por el</w:t>
      </w:r>
      <w:r w:rsidRPr="00926048">
        <w:rPr>
          <w:rFonts w:ascii="Palatino Linotype" w:eastAsia="Palatino Linotype" w:hAnsi="Palatino Linotype" w:cs="Palatino Linotype"/>
          <w:b/>
          <w:bCs/>
          <w:color w:val="000000"/>
        </w:rPr>
        <w:t xml:space="preserve"> Ayuntamiento de Chimalhuacán</w:t>
      </w:r>
      <w:r w:rsidRPr="00926048">
        <w:rPr>
          <w:rFonts w:ascii="Palatino Linotype" w:eastAsia="Palatino Linotype" w:hAnsi="Palatino Linotype" w:cs="Palatino Linotype"/>
          <w:color w:val="000000"/>
        </w:rPr>
        <w:t xml:space="preserve"> a la solicitud de información </w:t>
      </w:r>
      <w:r w:rsidRPr="00926048">
        <w:rPr>
          <w:rFonts w:ascii="Palatino Linotype" w:eastAsia="Palatino Linotype" w:hAnsi="Palatino Linotype" w:cs="Palatino Linotype"/>
          <w:b/>
          <w:bCs/>
          <w:color w:val="000000"/>
        </w:rPr>
        <w:t>00115/CHIMALHU/IP/2026</w:t>
      </w:r>
      <w:r w:rsidRPr="00926048">
        <w:rPr>
          <w:rFonts w:ascii="Palatino Linotype" w:eastAsia="Palatino Linotype" w:hAnsi="Palatino Linotype" w:cs="Palatino Linotype"/>
          <w:b/>
          <w:bCs/>
        </w:rPr>
        <w:t xml:space="preserve">, </w:t>
      </w:r>
      <w:r w:rsidRPr="00926048">
        <w:rPr>
          <w:rFonts w:ascii="Palatino Linotype" w:eastAsia="Palatino Linotype" w:hAnsi="Palatino Linotype" w:cs="Palatino Linotype"/>
          <w:color w:val="000000"/>
        </w:rPr>
        <w:t>en términos del considerando</w:t>
      </w:r>
      <w:r w:rsidRPr="00926048">
        <w:rPr>
          <w:rFonts w:ascii="Palatino Linotype" w:eastAsia="Palatino Linotype" w:hAnsi="Palatino Linotype" w:cs="Palatino Linotype"/>
          <w:b/>
          <w:bCs/>
          <w:color w:val="000000"/>
        </w:rPr>
        <w:t xml:space="preserve"> CUARTO </w:t>
      </w:r>
      <w:r w:rsidRPr="00926048">
        <w:rPr>
          <w:rFonts w:ascii="Palatino Linotype" w:eastAsia="Palatino Linotype" w:hAnsi="Palatino Linotype" w:cs="Palatino Linotype"/>
          <w:color w:val="000000"/>
        </w:rPr>
        <w:t xml:space="preserve">de la presente resolución y se </w:t>
      </w:r>
      <w:r w:rsidRPr="00926048">
        <w:rPr>
          <w:rFonts w:ascii="Palatino Linotype" w:eastAsia="Palatino Linotype" w:hAnsi="Palatino Linotype" w:cs="Palatino Linotype"/>
          <w:b/>
          <w:bCs/>
          <w:color w:val="000000"/>
        </w:rPr>
        <w:t>ORDENA</w:t>
      </w:r>
      <w:r w:rsidRPr="00926048">
        <w:rPr>
          <w:rFonts w:ascii="Palatino Linotype" w:eastAsia="Palatino Linotype" w:hAnsi="Palatino Linotype" w:cs="Palatino Linotype"/>
          <w:color w:val="000000"/>
        </w:rPr>
        <w:t xml:space="preserve"> entregue al</w:t>
      </w:r>
      <w:r w:rsidRPr="00926048">
        <w:rPr>
          <w:rFonts w:ascii="Palatino Linotype" w:eastAsia="Palatino Linotype" w:hAnsi="Palatino Linotype" w:cs="Palatino Linotype"/>
          <w:b/>
          <w:bCs/>
          <w:color w:val="000000"/>
        </w:rPr>
        <w:t xml:space="preserve"> RECURRENTE, </w:t>
      </w:r>
      <w:r w:rsidRPr="00926048">
        <w:rPr>
          <w:rFonts w:ascii="Palatino Linotype" w:eastAsia="Palatino Linotype" w:hAnsi="Palatino Linotype" w:cs="Palatino Linotype"/>
          <w:color w:val="000000"/>
        </w:rPr>
        <w:t xml:space="preserve">a través del Sistema de Acceso a la Información Mexiquense </w:t>
      </w:r>
      <w:r w:rsidRPr="00926048">
        <w:rPr>
          <w:rFonts w:ascii="Palatino Linotype" w:eastAsia="Palatino Linotype" w:hAnsi="Palatino Linotype" w:cs="Palatino Linotype"/>
          <w:b/>
          <w:bCs/>
          <w:color w:val="000000"/>
        </w:rPr>
        <w:t>(SAIMEX)</w:t>
      </w:r>
      <w:r w:rsidRPr="00926048">
        <w:rPr>
          <w:rFonts w:ascii="Palatino Linotype" w:eastAsia="Palatino Linotype" w:hAnsi="Palatino Linotype" w:cs="Palatino Linotype"/>
          <w:color w:val="000000"/>
        </w:rPr>
        <w:t xml:space="preserve">, de ser procedente en versión pública, </w:t>
      </w:r>
      <w:r w:rsidR="00184D17" w:rsidRPr="00926048">
        <w:rPr>
          <w:rFonts w:ascii="Palatino Linotype" w:eastAsia="Palatino Linotype" w:hAnsi="Palatino Linotype" w:cs="Palatino Linotype"/>
          <w:b/>
          <w:color w:val="000000"/>
        </w:rPr>
        <w:t>del primero de enero al treinta y uno de diciembre de dos mil veinticinco</w:t>
      </w:r>
      <w:r w:rsidRPr="00926048">
        <w:rPr>
          <w:rFonts w:ascii="Palatino Linotype" w:eastAsia="Palatino Linotype" w:hAnsi="Palatino Linotype" w:cs="Palatino Linotype"/>
          <w:color w:val="000000"/>
        </w:rPr>
        <w:t xml:space="preserve">, documento en donde conste o se advierta lo siguiente: </w:t>
      </w:r>
    </w:p>
    <w:p w:rsidR="009C73EB" w:rsidRPr="00926048" w:rsidRDefault="009C73EB">
      <w:pPr>
        <w:spacing w:line="360" w:lineRule="auto"/>
        <w:ind w:right="-787"/>
        <w:jc w:val="both"/>
        <w:rPr>
          <w:rFonts w:ascii="Palatino Linotype" w:eastAsia="Palatino Linotype" w:hAnsi="Palatino Linotype" w:cs="Palatino Linotype"/>
          <w:color w:val="000000"/>
        </w:rPr>
      </w:pPr>
    </w:p>
    <w:p w:rsidR="009C73EB" w:rsidRPr="00926048" w:rsidRDefault="00FE249F" w:rsidP="007E1CCC">
      <w:pPr>
        <w:numPr>
          <w:ilvl w:val="0"/>
          <w:numId w:val="6"/>
        </w:numPr>
        <w:pBdr>
          <w:top w:val="nil"/>
          <w:left w:val="nil"/>
          <w:bottom w:val="nil"/>
          <w:right w:val="nil"/>
          <w:between w:val="nil"/>
        </w:pBdr>
        <w:ind w:right="-787"/>
        <w:jc w:val="both"/>
        <w:rPr>
          <w:rFonts w:ascii="Palatino Linotype" w:eastAsia="Palatino Linotype" w:hAnsi="Palatino Linotype" w:cs="Palatino Linotype"/>
          <w:b/>
          <w:bCs/>
          <w:color w:val="000000"/>
        </w:rPr>
      </w:pPr>
      <w:r w:rsidRPr="00926048">
        <w:rPr>
          <w:rFonts w:ascii="Palatino Linotype" w:eastAsia="Palatino Linotype" w:hAnsi="Palatino Linotype" w:cs="Palatino Linotype"/>
          <w:b/>
          <w:bCs/>
          <w:color w:val="000000"/>
        </w:rPr>
        <w:t xml:space="preserve">Proveedores contratados por el Ayuntamiento </w:t>
      </w:r>
      <w:r w:rsidR="007E1CCC" w:rsidRPr="00926048">
        <w:rPr>
          <w:rFonts w:ascii="Palatino Linotype" w:eastAsia="Palatino Linotype" w:hAnsi="Palatino Linotype" w:cs="Palatino Linotype"/>
          <w:b/>
          <w:bCs/>
          <w:color w:val="000000"/>
        </w:rPr>
        <w:t>de Chimalhuacán.</w:t>
      </w:r>
    </w:p>
    <w:p w:rsidR="007E1CCC" w:rsidRPr="00926048" w:rsidRDefault="007E1CCC" w:rsidP="007E1CCC">
      <w:pPr>
        <w:pBdr>
          <w:top w:val="nil"/>
          <w:left w:val="nil"/>
          <w:bottom w:val="nil"/>
          <w:right w:val="nil"/>
          <w:between w:val="nil"/>
        </w:pBdr>
        <w:ind w:left="720" w:right="-787"/>
        <w:jc w:val="both"/>
        <w:rPr>
          <w:rFonts w:ascii="Palatino Linotype" w:eastAsia="Palatino Linotype" w:hAnsi="Palatino Linotype" w:cs="Palatino Linotype"/>
          <w:b/>
          <w:bCs/>
          <w:color w:val="000000"/>
        </w:rPr>
      </w:pPr>
    </w:p>
    <w:p w:rsidR="009C73EB" w:rsidRPr="00926048" w:rsidRDefault="00FE249F">
      <w:pPr>
        <w:numPr>
          <w:ilvl w:val="0"/>
          <w:numId w:val="6"/>
        </w:numPr>
        <w:pBdr>
          <w:top w:val="nil"/>
          <w:left w:val="nil"/>
          <w:bottom w:val="nil"/>
          <w:right w:val="nil"/>
          <w:between w:val="nil"/>
        </w:pBdr>
        <w:ind w:right="-787"/>
        <w:jc w:val="both"/>
        <w:rPr>
          <w:rFonts w:ascii="Palatino Linotype" w:eastAsia="Palatino Linotype" w:hAnsi="Palatino Linotype" w:cs="Palatino Linotype"/>
          <w:b/>
          <w:bCs/>
          <w:color w:val="000000"/>
        </w:rPr>
      </w:pPr>
      <w:r w:rsidRPr="00926048">
        <w:rPr>
          <w:rFonts w:ascii="Palatino Linotype" w:eastAsia="Palatino Linotype" w:hAnsi="Palatino Linotype" w:cs="Palatino Linotype"/>
          <w:b/>
          <w:bCs/>
          <w:color w:val="000000"/>
        </w:rPr>
        <w:t xml:space="preserve"> Contratos, órdenes de servicio, convenios o facturas correspondientes, indicando montos pagados, fechas de contratación y el área del Ayuntamiento que solicitó el servicio.</w:t>
      </w:r>
    </w:p>
    <w:p w:rsidR="009C73EB" w:rsidRPr="00926048" w:rsidRDefault="009C73EB" w:rsidP="007E1CCC">
      <w:pPr>
        <w:pBdr>
          <w:top w:val="nil"/>
          <w:left w:val="nil"/>
          <w:bottom w:val="nil"/>
          <w:right w:val="nil"/>
          <w:between w:val="nil"/>
        </w:pBdr>
        <w:ind w:left="360" w:right="-787"/>
        <w:jc w:val="both"/>
        <w:rPr>
          <w:rFonts w:ascii="Palatino Linotype" w:eastAsia="Palatino Linotype" w:hAnsi="Palatino Linotype" w:cs="Palatino Linotype"/>
          <w:b/>
          <w:bCs/>
          <w:color w:val="000000"/>
        </w:rPr>
      </w:pPr>
    </w:p>
    <w:p w:rsidR="009C73EB" w:rsidRPr="00926048" w:rsidRDefault="00FE249F">
      <w:pPr>
        <w:numPr>
          <w:ilvl w:val="0"/>
          <w:numId w:val="6"/>
        </w:numPr>
        <w:pBdr>
          <w:top w:val="nil"/>
          <w:left w:val="nil"/>
          <w:bottom w:val="nil"/>
          <w:right w:val="nil"/>
          <w:between w:val="nil"/>
        </w:pBdr>
        <w:ind w:right="-787"/>
        <w:jc w:val="both"/>
        <w:rPr>
          <w:rFonts w:ascii="Palatino Linotype" w:eastAsia="Palatino Linotype" w:hAnsi="Palatino Linotype" w:cs="Palatino Linotype"/>
          <w:b/>
          <w:bCs/>
          <w:color w:val="000000"/>
        </w:rPr>
      </w:pPr>
      <w:r w:rsidRPr="00926048">
        <w:rPr>
          <w:rFonts w:ascii="Palatino Linotype" w:eastAsia="Palatino Linotype" w:hAnsi="Palatino Linotype" w:cs="Palatino Linotype"/>
          <w:b/>
          <w:bCs/>
          <w:color w:val="000000"/>
        </w:rPr>
        <w:t xml:space="preserve"> Padrón o registro de proveedores utilizados para para la prestación de servicios para eventos, actos públicos o actividades institucionales relacionados con renta </w:t>
      </w:r>
      <w:r w:rsidRPr="00926048">
        <w:rPr>
          <w:rFonts w:ascii="Palatino Linotype" w:eastAsia="Palatino Linotype" w:hAnsi="Palatino Linotype" w:cs="Palatino Linotype"/>
          <w:b/>
          <w:bCs/>
          <w:color w:val="000000"/>
        </w:rPr>
        <w:lastRenderedPageBreak/>
        <w:t>de sillas, mesas, carpas o lonas, equipo de sonido, iluminación, utilería para eventos, servicio de cafetería o alimentos, elaboración de mantas, impresiones o material gráfico y lo</w:t>
      </w:r>
      <w:r w:rsidR="00184D17" w:rsidRPr="00926048">
        <w:rPr>
          <w:rFonts w:ascii="Palatino Linotype" w:eastAsia="Palatino Linotype" w:hAnsi="Palatino Linotype" w:cs="Palatino Linotype"/>
          <w:b/>
          <w:bCs/>
          <w:color w:val="000000"/>
        </w:rPr>
        <w:t>gística para eventos públicos.</w:t>
      </w:r>
    </w:p>
    <w:p w:rsidR="009C73EB" w:rsidRDefault="009C73EB">
      <w:pPr>
        <w:spacing w:line="360" w:lineRule="auto"/>
        <w:ind w:right="-787"/>
        <w:jc w:val="both"/>
        <w:rPr>
          <w:rFonts w:ascii="Palatino Linotype" w:eastAsia="Palatino Linotype" w:hAnsi="Palatino Linotype" w:cs="Palatino Linotype"/>
          <w:b/>
          <w:bCs/>
          <w:i/>
          <w:iCs/>
          <w:color w:val="000000"/>
          <w:u w:val="single"/>
        </w:rPr>
      </w:pPr>
    </w:p>
    <w:p w:rsidR="009C73EB" w:rsidRDefault="00FE249F">
      <w:pPr>
        <w:tabs>
          <w:tab w:val="left" w:pos="8080"/>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documentos que se clasifiquen en su totalidad como confidenciales, objeto de las versiones públicas que se formulen y se pongan a disposición del</w:t>
      </w:r>
      <w:r>
        <w:rPr>
          <w:rFonts w:ascii="Palatino Linotype" w:eastAsia="Palatino Linotype" w:hAnsi="Palatino Linotype" w:cs="Palatino Linotype"/>
          <w:b/>
          <w:bCs/>
        </w:rPr>
        <w:t xml:space="preserve"> RECURRENTE.</w:t>
      </w:r>
    </w:p>
    <w:p w:rsidR="009C73EB" w:rsidRDefault="009C73EB">
      <w:pPr>
        <w:tabs>
          <w:tab w:val="left" w:pos="8080"/>
        </w:tabs>
        <w:spacing w:line="360" w:lineRule="auto"/>
        <w:ind w:right="-787"/>
        <w:jc w:val="both"/>
        <w:rPr>
          <w:rFonts w:ascii="Palatino Linotype" w:eastAsia="Palatino Linotype" w:hAnsi="Palatino Linotype" w:cs="Palatino Linotype"/>
          <w:b/>
          <w:bCs/>
        </w:rPr>
      </w:pPr>
    </w:p>
    <w:p w:rsidR="009C73EB" w:rsidRDefault="00FE249F">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TERCERO. NOTIFÍQUESE</w:t>
      </w:r>
      <w:r>
        <w:rPr>
          <w:rFonts w:ascii="Palatino Linotype" w:eastAsia="Palatino Linotype" w:hAnsi="Palatino Linotype" w:cs="Palatino Linotype"/>
        </w:rPr>
        <w:t xml:space="preserve"> la presente resolución al Titular de la Unidad de Transparencia del Sujeto Obligado </w:t>
      </w:r>
      <w:r>
        <w:rPr>
          <w:rFonts w:ascii="Palatino Linotype" w:eastAsia="Palatino Linotype" w:hAnsi="Palatino Linotype" w:cs="Palatino Linotype"/>
          <w:b/>
          <w:bCs/>
        </w:rPr>
        <w:t>vía 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8C7A53">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C73EB" w:rsidRDefault="009C73EB">
      <w:pPr>
        <w:spacing w:line="360" w:lineRule="auto"/>
        <w:ind w:right="-787"/>
        <w:jc w:val="both"/>
        <w:rPr>
          <w:rFonts w:ascii="Palatino Linotype" w:eastAsia="Palatino Linotype" w:hAnsi="Palatino Linotype" w:cs="Palatino Linotype"/>
        </w:rPr>
      </w:pPr>
    </w:p>
    <w:p w:rsidR="009C73EB" w:rsidRDefault="00FE249F">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9C73EB" w:rsidRDefault="009C73EB">
      <w:pPr>
        <w:spacing w:line="360" w:lineRule="auto"/>
        <w:ind w:right="-787"/>
        <w:jc w:val="both"/>
        <w:rPr>
          <w:rFonts w:ascii="Palatino Linotype" w:eastAsia="Palatino Linotype" w:hAnsi="Palatino Linotype" w:cs="Palatino Linotype"/>
        </w:rPr>
      </w:pPr>
    </w:p>
    <w:p w:rsidR="009C73EB" w:rsidRDefault="00FE249F">
      <w:pPr>
        <w:spacing w:line="360" w:lineRule="auto"/>
        <w:ind w:right="-787"/>
        <w:jc w:val="both"/>
        <w:rPr>
          <w:rFonts w:ascii="Palatino Linotype" w:eastAsia="Palatino Linotype" w:hAnsi="Palatino Linotype" w:cs="Palatino Linotype"/>
          <w:b/>
          <w:bCs/>
        </w:rPr>
      </w:pPr>
      <w:bookmarkStart w:id="9" w:name="_heading=h.lnxbz9" w:colFirst="0" w:colLast="0"/>
      <w:bookmarkEnd w:id="9"/>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w:t>
      </w:r>
      <w:r>
        <w:rPr>
          <w:rFonts w:ascii="Palatino Linotype" w:eastAsia="Palatino Linotype" w:hAnsi="Palatino Linotype" w:cs="Palatino Linotype"/>
          <w:b/>
          <w:bCs/>
        </w:rPr>
        <w:t>vía SAIMEX.</w:t>
      </w:r>
    </w:p>
    <w:p w:rsidR="009C73EB" w:rsidRDefault="009C73EB">
      <w:pPr>
        <w:spacing w:line="360" w:lineRule="auto"/>
        <w:ind w:right="-787"/>
        <w:jc w:val="both"/>
        <w:rPr>
          <w:rFonts w:ascii="Palatino Linotype" w:eastAsia="Palatino Linotype" w:hAnsi="Palatino Linotype" w:cs="Palatino Linotype"/>
        </w:rPr>
      </w:pPr>
    </w:p>
    <w:p w:rsidR="009C73EB" w:rsidRDefault="00FE249F" w:rsidP="008C7A53">
      <w:pPr>
        <w:tabs>
          <w:tab w:val="left" w:pos="8080"/>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w:t>
      </w:r>
      <w:r w:rsidR="008C7A53">
        <w:rPr>
          <w:rFonts w:ascii="Palatino Linotype" w:eastAsia="Palatino Linotype" w:hAnsi="Palatino Linotype" w:cs="Palatino Linotype"/>
        </w:rPr>
        <w:t xml:space="preserve"> </w:t>
      </w:r>
      <w:r>
        <w:rPr>
          <w:rFonts w:ascii="Palatino Linotype" w:eastAsia="Palatino Linotype" w:hAnsi="Palatino Linotype" w:cs="Palatino Linotype"/>
        </w:rPr>
        <w:t>Pública del Estado de México y Municipios, en caso de que considere que la resolución le cause algún perjuicio podrá impugnarla, vía juicio de amparo en los</w:t>
      </w:r>
      <w:r w:rsidR="008C7A53">
        <w:rPr>
          <w:rFonts w:ascii="Palatino Linotype" w:eastAsia="Palatino Linotype" w:hAnsi="Palatino Linotype" w:cs="Palatino Linotype"/>
        </w:rPr>
        <w:t xml:space="preserve"> </w:t>
      </w:r>
      <w:r>
        <w:rPr>
          <w:rFonts w:ascii="Palatino Linotype" w:eastAsia="Palatino Linotype" w:hAnsi="Palatino Linotype" w:cs="Palatino Linotype"/>
        </w:rPr>
        <w:t>Términos de las Leyes aplicables.</w:t>
      </w:r>
    </w:p>
    <w:p w:rsidR="009C73EB" w:rsidRDefault="009C73EB">
      <w:pPr>
        <w:shd w:val="clear" w:color="auto" w:fill="FFFFFF"/>
        <w:spacing w:line="360" w:lineRule="auto"/>
        <w:ind w:right="-787"/>
        <w:jc w:val="both"/>
        <w:rPr>
          <w:rFonts w:ascii="Palatino Linotype" w:eastAsia="Palatino Linotype" w:hAnsi="Palatino Linotype" w:cs="Palatino Linotype"/>
        </w:rPr>
      </w:pPr>
    </w:p>
    <w:p w:rsidR="008C7A53" w:rsidRPr="003E2295" w:rsidRDefault="008C7A53" w:rsidP="008C7A53">
      <w:pPr>
        <w:spacing w:before="240" w:after="240" w:line="360" w:lineRule="auto"/>
        <w:ind w:right="-801" w:firstLine="1"/>
        <w:jc w:val="both"/>
        <w:rPr>
          <w:rFonts w:ascii="Palatino Linotype" w:hAnsi="Palatino Linotype"/>
        </w:rPr>
      </w:pPr>
      <w:bookmarkStart w:id="10" w:name="_heading=h.35nkun2" w:colFirst="0" w:colLast="0"/>
      <w:bookmarkStart w:id="11" w:name="_Hlk99014733"/>
      <w:bookmarkEnd w:id="10"/>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9C73EB" w:rsidRDefault="009C73EB" w:rsidP="008C7A53">
      <w:pPr>
        <w:ind w:right="-801"/>
        <w:rPr>
          <w:rFonts w:ascii="Palatino Linotype" w:eastAsia="Palatino Linotype" w:hAnsi="Palatino Linotype" w:cs="Palatino Linotype"/>
        </w:rPr>
      </w:pPr>
    </w:p>
    <w:p w:rsidR="009C73EB" w:rsidRDefault="009C73EB">
      <w:pPr>
        <w:ind w:right="-787"/>
        <w:rPr>
          <w:rFonts w:ascii="Palatino Linotype" w:eastAsia="Palatino Linotype" w:hAnsi="Palatino Linotype" w:cs="Palatino Linotype"/>
        </w:rPr>
      </w:pPr>
    </w:p>
    <w:p w:rsidR="009C73EB" w:rsidRDefault="00FE249F">
      <w:pPr>
        <w:tabs>
          <w:tab w:val="left" w:pos="3374"/>
        </w:tabs>
        <w:ind w:right="-787"/>
        <w:rPr>
          <w:rFonts w:ascii="Palatino Linotype" w:eastAsia="Palatino Linotype" w:hAnsi="Palatino Linotype" w:cs="Palatino Linotype"/>
        </w:rPr>
      </w:pPr>
      <w:r>
        <w:rPr>
          <w:rFonts w:ascii="Palatino Linotype" w:eastAsia="Palatino Linotype" w:hAnsi="Palatino Linotype" w:cs="Palatino Linotype"/>
        </w:rPr>
        <w:tab/>
      </w: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tabs>
          <w:tab w:val="left" w:pos="3374"/>
        </w:tabs>
        <w:ind w:right="-787"/>
        <w:rPr>
          <w:rFonts w:ascii="Palatino Linotype" w:eastAsia="Palatino Linotype" w:hAnsi="Palatino Linotype" w:cs="Palatino Linotype"/>
        </w:rPr>
      </w:pPr>
    </w:p>
    <w:p w:rsidR="009C73EB" w:rsidRDefault="009C73EB">
      <w:pPr>
        <w:ind w:right="-787"/>
      </w:pPr>
    </w:p>
    <w:sectPr w:rsidR="009C73EB">
      <w:headerReference w:type="even" r:id="rId11"/>
      <w:headerReference w:type="default" r:id="rId12"/>
      <w:footerReference w:type="default" r:id="rId13"/>
      <w:headerReference w:type="first" r:id="rId14"/>
      <w:footerReference w:type="first" r:id="rId15"/>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342" w:rsidRDefault="000A3342">
      <w:r>
        <w:separator/>
      </w:r>
    </w:p>
  </w:endnote>
  <w:endnote w:type="continuationSeparator" w:id="0">
    <w:p w:rsidR="000A3342" w:rsidRDefault="000A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embedRegular r:id="rId1" w:fontKey="{C17B6E3F-D8D4-4B9A-BD76-E421A4857504}"/>
    <w:embedBold r:id="rId2" w:fontKey="{93521E1C-7D55-4640-BD4C-8D02C7AA9117}"/>
    <w:embedItalic r:id="rId3" w:fontKey="{698E873E-7CC1-409C-91F4-FF8098622900}"/>
    <w:embedBoldItalic r:id="rId4" w:fontKey="{E47DE7AF-9E14-4A14-B2E2-166AD9A4DE8C}"/>
  </w:font>
  <w:font w:name="Noto Sans Symbols">
    <w:altName w:val="Times New Roman"/>
    <w:charset w:val="00"/>
    <w:family w:val="auto"/>
    <w:pitch w:val="default"/>
    <w:embedRegular r:id="rId5" w:fontKey="{F426ED24-92F4-4A93-8516-1A4921B45AF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EBC351E-97CA-4793-A23F-9C3D17A261E9}"/>
    <w:embedBold r:id="rId7" w:fontKey="{2192309E-51F4-4DA3-A2BB-42ED9115E12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3BB2A270-0524-4FF9-A8B6-FD963FD02ED8}"/>
  </w:font>
  <w:font w:name="Cambria">
    <w:panose1 w:val="02040503050406030204"/>
    <w:charset w:val="00"/>
    <w:family w:val="roman"/>
    <w:pitch w:val="variable"/>
    <w:sig w:usb0="E00006FF" w:usb1="420024FF" w:usb2="02000000" w:usb3="00000000" w:csb0="0000019F" w:csb1="00000000"/>
    <w:embedRegular r:id="rId9" w:fontKey="{AFB30F4C-88AD-482E-B197-596150F232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3EB" w:rsidRDefault="00FE249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38308A">
      <w:rPr>
        <w:rFonts w:ascii="Palatino Linotype" w:eastAsia="Palatino Linotype" w:hAnsi="Palatino Linotype" w:cs="Palatino Linotype"/>
        <w:noProof/>
        <w:color w:val="000000"/>
        <w:sz w:val="22"/>
        <w:szCs w:val="22"/>
      </w:rPr>
      <w:t>3</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38308A">
      <w:rPr>
        <w:rFonts w:ascii="Palatino Linotype" w:eastAsia="Palatino Linotype" w:hAnsi="Palatino Linotype" w:cs="Palatino Linotype"/>
        <w:noProof/>
        <w:color w:val="000000"/>
        <w:sz w:val="22"/>
        <w:szCs w:val="22"/>
      </w:rPr>
      <w:t>16</w:t>
    </w:r>
    <w:r>
      <w:rPr>
        <w:rFonts w:ascii="Palatino Linotype" w:eastAsia="Palatino Linotype" w:hAnsi="Palatino Linotype" w:cs="Palatino Linotype"/>
        <w:color w:val="000000"/>
        <w:sz w:val="22"/>
        <w:szCs w:val="22"/>
      </w:rPr>
      <w:fldChar w:fldCharType="end"/>
    </w:r>
  </w:p>
  <w:p w:rsidR="009C73EB" w:rsidRDefault="00FE249F">
    <w:pPr>
      <w:pBdr>
        <w:top w:val="nil"/>
        <w:left w:val="nil"/>
        <w:bottom w:val="nil"/>
        <w:right w:val="nil"/>
        <w:between w:val="nil"/>
      </w:pBdr>
      <w:tabs>
        <w:tab w:val="center" w:pos="4419"/>
        <w:tab w:val="right" w:pos="8838"/>
        <w:tab w:val="left" w:pos="5055"/>
      </w:tabs>
      <w:rPr>
        <w:color w:val="000000"/>
      </w:rPr>
    </w:pP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3EB" w:rsidRDefault="00FE249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38308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38308A">
      <w:rPr>
        <w:rFonts w:ascii="Palatino Linotype" w:eastAsia="Palatino Linotype" w:hAnsi="Palatino Linotype" w:cs="Palatino Linotype"/>
        <w:noProof/>
        <w:color w:val="000000"/>
        <w:sz w:val="22"/>
        <w:szCs w:val="22"/>
      </w:rPr>
      <w:t>16</w:t>
    </w:r>
    <w:r>
      <w:rPr>
        <w:rFonts w:ascii="Palatino Linotype" w:eastAsia="Palatino Linotype" w:hAnsi="Palatino Linotype" w:cs="Palatino Linotype"/>
        <w:color w:val="000000"/>
        <w:sz w:val="22"/>
        <w:szCs w:val="22"/>
      </w:rPr>
      <w:fldChar w:fldCharType="end"/>
    </w:r>
  </w:p>
  <w:p w:rsidR="009C73EB" w:rsidRDefault="009C73E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342" w:rsidRDefault="000A3342">
      <w:r>
        <w:separator/>
      </w:r>
    </w:p>
  </w:footnote>
  <w:footnote w:type="continuationSeparator" w:id="0">
    <w:p w:rsidR="000A3342" w:rsidRDefault="000A33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3EB" w:rsidRDefault="000A334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530" w:type="dxa"/>
      <w:tblInd w:w="2977" w:type="dxa"/>
      <w:tblLayout w:type="fixed"/>
      <w:tblLook w:val="0400" w:firstRow="0" w:lastRow="0" w:firstColumn="0" w:lastColumn="0" w:noHBand="0" w:noVBand="1"/>
    </w:tblPr>
    <w:tblGrid>
      <w:gridCol w:w="2970"/>
      <w:gridCol w:w="4560"/>
    </w:tblGrid>
    <w:tr w:rsidR="009C73EB" w:rsidTr="00C06CFC">
      <w:trPr>
        <w:trHeight w:val="227"/>
      </w:trPr>
      <w:tc>
        <w:tcPr>
          <w:tcW w:w="2970" w:type="dxa"/>
          <w:vAlign w:val="center"/>
        </w:tcPr>
        <w:p w:rsidR="009C73EB" w:rsidRDefault="00FE249F">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60" w:type="dxa"/>
          <w:vAlign w:val="center"/>
        </w:tcPr>
        <w:p w:rsidR="009C73EB" w:rsidRDefault="00FE249F">
          <w:pPr>
            <w:pBdr>
              <w:top w:val="nil"/>
              <w:left w:val="nil"/>
              <w:bottom w:val="nil"/>
              <w:right w:val="nil"/>
              <w:between w:val="nil"/>
            </w:pBdr>
            <w:tabs>
              <w:tab w:val="center" w:pos="4419"/>
              <w:tab w:val="right" w:pos="8838"/>
            </w:tabs>
            <w:ind w:right="-891"/>
            <w:rPr>
              <w:rFonts w:ascii="Palatino Linotype" w:eastAsia="Palatino Linotype" w:hAnsi="Palatino Linotype" w:cs="Palatino Linotype"/>
              <w:color w:val="000000"/>
            </w:rPr>
          </w:pPr>
          <w:r>
            <w:rPr>
              <w:rFonts w:ascii="Palatino Linotype" w:eastAsia="Palatino Linotype" w:hAnsi="Palatino Linotype" w:cs="Palatino Linotype"/>
              <w:color w:val="000000"/>
            </w:rPr>
            <w:t>03423/INFOEM/IP/RR/2026</w:t>
          </w:r>
        </w:p>
      </w:tc>
    </w:tr>
    <w:tr w:rsidR="009C73EB" w:rsidTr="00C06CFC">
      <w:trPr>
        <w:trHeight w:val="242"/>
      </w:trPr>
      <w:tc>
        <w:tcPr>
          <w:tcW w:w="2970" w:type="dxa"/>
          <w:vAlign w:val="center"/>
        </w:tcPr>
        <w:p w:rsidR="009C73EB" w:rsidRDefault="00FE249F">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60" w:type="dxa"/>
          <w:vAlign w:val="center"/>
        </w:tcPr>
        <w:p w:rsidR="009C73EB" w:rsidRDefault="00FE249F">
          <w:pPr>
            <w:pBdr>
              <w:top w:val="nil"/>
              <w:left w:val="nil"/>
              <w:bottom w:val="nil"/>
              <w:right w:val="nil"/>
              <w:between w:val="nil"/>
            </w:pBdr>
            <w:tabs>
              <w:tab w:val="center" w:pos="4419"/>
              <w:tab w:val="right" w:pos="8838"/>
            </w:tabs>
            <w:ind w:right="-89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Chimalhuacán</w:t>
          </w:r>
        </w:p>
      </w:tc>
    </w:tr>
    <w:tr w:rsidR="009C73EB" w:rsidTr="00C06CFC">
      <w:trPr>
        <w:trHeight w:val="342"/>
      </w:trPr>
      <w:tc>
        <w:tcPr>
          <w:tcW w:w="2970" w:type="dxa"/>
          <w:vAlign w:val="center"/>
        </w:tcPr>
        <w:p w:rsidR="009C73EB" w:rsidRDefault="00FE249F">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560" w:type="dxa"/>
          <w:vAlign w:val="center"/>
        </w:tcPr>
        <w:p w:rsidR="009C73EB" w:rsidRDefault="00FE249F">
          <w:pPr>
            <w:pBdr>
              <w:top w:val="nil"/>
              <w:left w:val="nil"/>
              <w:bottom w:val="nil"/>
              <w:right w:val="nil"/>
              <w:between w:val="nil"/>
            </w:pBdr>
            <w:tabs>
              <w:tab w:val="center" w:pos="4419"/>
              <w:tab w:val="right" w:pos="8838"/>
            </w:tabs>
            <w:ind w:right="-891"/>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9C73EB" w:rsidRDefault="000A3342">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289" w:type="dxa"/>
      <w:tblInd w:w="3119" w:type="dxa"/>
      <w:tblLayout w:type="fixed"/>
      <w:tblLook w:val="0400" w:firstRow="0" w:lastRow="0" w:firstColumn="0" w:lastColumn="0" w:noHBand="0" w:noVBand="1"/>
    </w:tblPr>
    <w:tblGrid>
      <w:gridCol w:w="2693"/>
      <w:gridCol w:w="4596"/>
    </w:tblGrid>
    <w:tr w:rsidR="009C73EB" w:rsidTr="00C06CFC">
      <w:trPr>
        <w:trHeight w:val="227"/>
      </w:trPr>
      <w:tc>
        <w:tcPr>
          <w:tcW w:w="2693" w:type="dxa"/>
          <w:vAlign w:val="center"/>
        </w:tcPr>
        <w:p w:rsidR="009C73EB" w:rsidRDefault="00FE249F">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96" w:type="dxa"/>
          <w:vAlign w:val="center"/>
        </w:tcPr>
        <w:p w:rsidR="009C73EB" w:rsidRDefault="00FE249F">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03423/INFOEM/IP/RR/2026</w:t>
          </w:r>
        </w:p>
      </w:tc>
    </w:tr>
    <w:tr w:rsidR="009C73EB" w:rsidTr="00C06CFC">
      <w:trPr>
        <w:trHeight w:val="242"/>
      </w:trPr>
      <w:tc>
        <w:tcPr>
          <w:tcW w:w="2693" w:type="dxa"/>
          <w:vAlign w:val="center"/>
        </w:tcPr>
        <w:p w:rsidR="009C73EB" w:rsidRDefault="00FE249F">
          <w:pPr>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596" w:type="dxa"/>
        </w:tcPr>
        <w:p w:rsidR="009C73EB" w:rsidRDefault="0038308A">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9C73EB" w:rsidTr="00C06CFC">
      <w:trPr>
        <w:trHeight w:val="342"/>
      </w:trPr>
      <w:tc>
        <w:tcPr>
          <w:tcW w:w="2693" w:type="dxa"/>
          <w:vAlign w:val="center"/>
        </w:tcPr>
        <w:p w:rsidR="009C73EB" w:rsidRDefault="00FE249F">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96" w:type="dxa"/>
          <w:vAlign w:val="center"/>
        </w:tcPr>
        <w:p w:rsidR="009C73EB" w:rsidRDefault="00FE249F">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Chimalhuacán</w:t>
          </w:r>
        </w:p>
      </w:tc>
    </w:tr>
    <w:tr w:rsidR="009C73EB" w:rsidTr="00C06CFC">
      <w:trPr>
        <w:trHeight w:val="342"/>
      </w:trPr>
      <w:tc>
        <w:tcPr>
          <w:tcW w:w="2693" w:type="dxa"/>
          <w:vAlign w:val="center"/>
        </w:tcPr>
        <w:p w:rsidR="009C73EB" w:rsidRDefault="00FE249F">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96" w:type="dxa"/>
          <w:vAlign w:val="center"/>
        </w:tcPr>
        <w:p w:rsidR="009C73EB" w:rsidRDefault="00FE249F">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9C73EB" w:rsidRDefault="000A3342">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6149"/>
    <w:multiLevelType w:val="multilevel"/>
    <w:tmpl w:val="52D05EC4"/>
    <w:lvl w:ilvl="0">
      <w:start w:val="1"/>
      <w:numFmt w:val="lowerLetter"/>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5645E75"/>
    <w:multiLevelType w:val="multilevel"/>
    <w:tmpl w:val="788E8152"/>
    <w:lvl w:ilvl="0">
      <w:start w:val="1"/>
      <w:numFmt w:val="lowerLetter"/>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14B46A1"/>
    <w:multiLevelType w:val="multilevel"/>
    <w:tmpl w:val="A8BEF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036ADB"/>
    <w:multiLevelType w:val="multilevel"/>
    <w:tmpl w:val="FA88BF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D247ED3"/>
    <w:multiLevelType w:val="multilevel"/>
    <w:tmpl w:val="87B821C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E922A9"/>
    <w:multiLevelType w:val="multilevel"/>
    <w:tmpl w:val="E53CBE1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B"/>
    <w:rsid w:val="000250C6"/>
    <w:rsid w:val="000A3342"/>
    <w:rsid w:val="00184D17"/>
    <w:rsid w:val="0038308A"/>
    <w:rsid w:val="007E1CCC"/>
    <w:rsid w:val="008A1894"/>
    <w:rsid w:val="008C7A53"/>
    <w:rsid w:val="00925F47"/>
    <w:rsid w:val="00926048"/>
    <w:rsid w:val="009330BE"/>
    <w:rsid w:val="009C73EB"/>
    <w:rsid w:val="00C06CFC"/>
    <w:rsid w:val="00CF08B2"/>
    <w:rsid w:val="00D83BE0"/>
    <w:rsid w:val="00EE457D"/>
    <w:rsid w:val="00FE24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9D38998-A063-40A9-8DE5-8D951907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C06CFC"/>
    <w:pPr>
      <w:tabs>
        <w:tab w:val="center" w:pos="4419"/>
        <w:tab w:val="right" w:pos="8838"/>
      </w:tabs>
    </w:pPr>
  </w:style>
  <w:style w:type="character" w:customStyle="1" w:styleId="PiedepginaCar">
    <w:name w:val="Pie de página Car"/>
    <w:basedOn w:val="Fuentedeprrafopredeter"/>
    <w:link w:val="Piedepgina"/>
    <w:uiPriority w:val="99"/>
    <w:rsid w:val="00C06CFC"/>
  </w:style>
  <w:style w:type="paragraph" w:styleId="Prrafodelista">
    <w:name w:val="List Paragraph"/>
    <w:basedOn w:val="Normal"/>
    <w:uiPriority w:val="34"/>
    <w:qFormat/>
    <w:rsid w:val="00C06C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22400.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imex.org.mx/saimex/solicitud/downloadAttach/2724636.page" TargetMode="External"/><Relationship Id="rId4" Type="http://schemas.openxmlformats.org/officeDocument/2006/relationships/settings" Target="settings.xml"/><Relationship Id="rId9" Type="http://schemas.openxmlformats.org/officeDocument/2006/relationships/hyperlink" Target="https://saimex.org.mx/saimex/solicitud/downloadAttach/2723124.pag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sr6IPc5cOQt+RkoC4p4PQZYsQA==">CgMxLjAyDWguMTFza3ZsaGF6bnMyDmguaGt5NTA3czdvYWM5Mg1oLmI2N2VhdnBjMHhyMg5oLnh5ZGhmNDc4ejF4ODIOaC5kazVudzN5YzU4Y2syDmgueXUyZ24zY3NmaDVhMg5oLmd3bGtlaThpZmFqNjIOaC53djhmdnA4eHZidXcyCGgubG54Yno5MgloLjM1bmt1bjI4AHIhMXZrRzkwRWozLWRmbDVkMi1Nem5lYmhfdlZ6U1FNLVhh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3944</Words>
  <Characters>21696</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2026-05-21T23:17:00Z</cp:lastPrinted>
  <dcterms:created xsi:type="dcterms:W3CDTF">2026-05-19T17:42:00Z</dcterms:created>
  <dcterms:modified xsi:type="dcterms:W3CDTF">2026-05-28T23:30:00Z</dcterms:modified>
</cp:coreProperties>
</file>