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502" w:rsidRDefault="005C7094">
      <w:pPr>
        <w:tabs>
          <w:tab w:val="left" w:pos="3465"/>
        </w:tabs>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rPr>
        <w:t xml:space="preserve">de fecha </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tres (03) de junio de dos mil veintiséis.</w:t>
      </w:r>
    </w:p>
    <w:p w:rsidR="00961502" w:rsidRDefault="00961502">
      <w:pPr>
        <w:tabs>
          <w:tab w:val="left" w:pos="3465"/>
        </w:tabs>
        <w:spacing w:line="360" w:lineRule="auto"/>
        <w:ind w:right="-518"/>
        <w:jc w:val="both"/>
        <w:rPr>
          <w:rFonts w:ascii="Palatino Linotype" w:eastAsia="Palatino Linotype" w:hAnsi="Palatino Linotype" w:cs="Palatino Linotype"/>
          <w:color w:val="000000"/>
        </w:rPr>
      </w:pPr>
    </w:p>
    <w:p w:rsidR="00961502" w:rsidRDefault="005C7094">
      <w:p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b/>
          <w:bCs/>
          <w:color w:val="000000"/>
        </w:rPr>
        <w:t>VISTOS</w:t>
      </w:r>
      <w:r>
        <w:rPr>
          <w:rFonts w:ascii="Palatino Linotype" w:eastAsia="Palatino Linotype" w:hAnsi="Palatino Linotype" w:cs="Palatino Linotype"/>
          <w:color w:val="000000"/>
        </w:rPr>
        <w:t xml:space="preserve"> los expedientes electrónicos formados con motivo de los recursos de revisión</w:t>
      </w:r>
      <w:r>
        <w:rPr>
          <w:rFonts w:ascii="Palatino Linotype" w:eastAsia="Palatino Linotype" w:hAnsi="Palatino Linotype" w:cs="Palatino Linotype"/>
          <w:b/>
          <w:bCs/>
        </w:rPr>
        <w:t xml:space="preserve"> 04953/INFOEM/IP/RR/2026 al 04986/INFOEM/IP/RR/2026, del 04988/INFOEM/IP/RR/2026  al 04992/INFOEM/IP/RR/2026, del 04494/INFOEM/IP/RR/2026 al 05017/INFOEM/IP/RR/2026, 05019/INFOEM/IP/RR/2026 al 05021/INFOEM/IP/RR/2026, 05022/INFOEM/IP/RR/2026, del 05025/INFOEM/IP/RR/2026 al 05029/INFOEM/IP/RR/2026 y del 05031/INFOEM/IP/RR/2026  al 05035/INFOEM/IP/RR/2026, </w:t>
      </w:r>
      <w:r>
        <w:rPr>
          <w:rFonts w:ascii="Palatino Linotype" w:eastAsia="Palatino Linotype" w:hAnsi="Palatino Linotype" w:cs="Palatino Linotype"/>
          <w:color w:val="000000"/>
        </w:rPr>
        <w:t xml:space="preserve">interpuestos por </w:t>
      </w:r>
      <w:r w:rsidR="004211B5" w:rsidRPr="004211B5">
        <w:rPr>
          <w:rFonts w:ascii="Palatino Linotype" w:eastAsia="Palatino Linotype" w:hAnsi="Palatino Linotype" w:cs="Palatino Linotype"/>
          <w:b/>
        </w:rPr>
        <w:t>XXXX</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su calidad de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Juchitepec</w:t>
      </w:r>
      <w:r>
        <w:rPr>
          <w:rFonts w:ascii="Palatino Linotype" w:eastAsia="Palatino Linotype" w:hAnsi="Palatino Linotype" w:cs="Palatino Linotype"/>
          <w:color w:val="000000"/>
        </w:rPr>
        <w:t>, 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961502" w:rsidRDefault="005C7094">
      <w:p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961502" w:rsidRDefault="005C7094">
      <w:pPr>
        <w:pStyle w:val="Ttulo1"/>
        <w:spacing w:before="0" w:line="360" w:lineRule="auto"/>
        <w:ind w:right="-518"/>
        <w:jc w:val="center"/>
        <w:rPr>
          <w:b/>
          <w:bCs/>
          <w:color w:val="000000"/>
        </w:rPr>
      </w:pPr>
      <w:bookmarkStart w:id="0" w:name="_heading=h.eztp8vcgt7q2" w:colFirst="0" w:colLast="0"/>
      <w:bookmarkEnd w:id="0"/>
      <w:r>
        <w:rPr>
          <w:b/>
          <w:bCs/>
          <w:color w:val="000000"/>
        </w:rPr>
        <w:t>A N T E C E D E N T E S</w:t>
      </w:r>
    </w:p>
    <w:p w:rsidR="00961502" w:rsidRDefault="00961502"/>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y veintisiete de marzo y el diez de abril de dos mil veintiséis</w:t>
      </w:r>
      <w:r>
        <w:rPr>
          <w:rFonts w:ascii="Palatino Linotype" w:eastAsia="Palatino Linotype" w:hAnsi="Palatino Linotype" w:cs="Palatino Linotype"/>
          <w:color w:val="000000"/>
        </w:rPr>
        <w:t xml:space="preserve">, se presentaron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las solicitudes de información pública que a continuación se enlistan y en las que se solicitó la siguiente información:</w:t>
      </w:r>
      <w:r>
        <w:rPr>
          <w:rFonts w:ascii="Palatino Linotype" w:eastAsia="Palatino Linotype" w:hAnsi="Palatino Linotype" w:cs="Palatino Linotype"/>
          <w:b/>
          <w:bCs/>
          <w:color w:val="000000"/>
        </w:rPr>
        <w:t xml:space="preserve"> </w:t>
      </w:r>
    </w:p>
    <w:p w:rsidR="00961502" w:rsidRDefault="00961502">
      <w:pPr>
        <w:pBdr>
          <w:top w:val="nil"/>
          <w:left w:val="nil"/>
          <w:bottom w:val="nil"/>
          <w:right w:val="nil"/>
          <w:between w:val="nil"/>
        </w:pBdr>
        <w:spacing w:line="360" w:lineRule="auto"/>
        <w:ind w:right="-518"/>
        <w:jc w:val="both"/>
        <w:rPr>
          <w:rFonts w:ascii="Palatino Linotype" w:eastAsia="Palatino Linotype" w:hAnsi="Palatino Linotype" w:cs="Palatino Linotype"/>
          <w:i/>
          <w:iCs/>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00388/JUCHITE/IP/2026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00399/JUCHITE/IP/2026,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w:t>
      </w:r>
      <w:r>
        <w:rPr>
          <w:rFonts w:ascii="Palatino Linotype" w:eastAsia="Palatino Linotype" w:hAnsi="Palatino Linotype" w:cs="Palatino Linotype"/>
          <w:i/>
          <w:iCs/>
          <w:color w:val="000000"/>
        </w:rPr>
        <w:lastRenderedPageBreak/>
        <w:t xml:space="preserve">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2020.</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00400/JUCHITE/IP/2026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00411/JUCHITE/IP/2026,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2021.</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00413/JUCHITE/IP/2026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00424/JUCHITE/IP/2026,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2022.</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00437/JUCHITE/IP/2026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00448/JUCHITE/IP/2026,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w:t>
      </w:r>
      <w:r>
        <w:rPr>
          <w:rFonts w:ascii="Palatino Linotype" w:eastAsia="Palatino Linotype" w:hAnsi="Palatino Linotype" w:cs="Palatino Linotype"/>
          <w:i/>
          <w:iCs/>
          <w:color w:val="000000"/>
        </w:rPr>
        <w:lastRenderedPageBreak/>
        <w:t xml:space="preserve">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2023.</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00449/JUCHITE/IP/2026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00460/JUCHITE/IP/2026,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2024.</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00461/JUCHITE/IP/2026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00472/JUCHITE/IP/2026,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que integran el año 2025.</w:t>
      </w:r>
    </w:p>
    <w:p w:rsidR="00961502" w:rsidRDefault="00961502">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p>
    <w:p w:rsidR="00961502" w:rsidRDefault="005C7094">
      <w:pPr>
        <w:pBdr>
          <w:top w:val="nil"/>
          <w:left w:val="nil"/>
          <w:bottom w:val="nil"/>
          <w:right w:val="nil"/>
          <w:between w:val="nil"/>
        </w:pBdr>
        <w:spacing w:line="276" w:lineRule="auto"/>
        <w:ind w:left="426"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solicitud </w:t>
      </w:r>
      <w:r>
        <w:rPr>
          <w:rFonts w:ascii="Palatino Linotype" w:eastAsia="Palatino Linotype" w:hAnsi="Palatino Linotype" w:cs="Palatino Linotype"/>
          <w:b/>
          <w:bCs/>
          <w:color w:val="000000"/>
        </w:rPr>
        <w:t xml:space="preserve">00473/JUCHITE/IP/2026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 xml:space="preserve">00535/JUCHITE/IP/2026, se solicitaron </w:t>
      </w:r>
      <w:r>
        <w:rPr>
          <w:rFonts w:ascii="Palatino Linotype" w:eastAsia="Palatino Linotype" w:hAnsi="Palatino Linotype" w:cs="Palatino Linotype"/>
          <w:i/>
          <w:iCs/>
          <w:color w:val="000000"/>
        </w:rPr>
        <w:t xml:space="preserve">Todas las bitacoras de suministro de combustible gasolina y diesel de todos los recursos (propios, estatales, federales y otros) de todas las áreas del Ayuntamiento </w:t>
      </w:r>
      <w:r>
        <w:rPr>
          <w:rFonts w:ascii="Palatino Linotype" w:eastAsia="Palatino Linotype" w:hAnsi="Palatino Linotype" w:cs="Palatino Linotype"/>
          <w:i/>
          <w:iCs/>
          <w:color w:val="000000"/>
        </w:rPr>
        <w:lastRenderedPageBreak/>
        <w:t xml:space="preserve">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color w:val="000000"/>
        </w:rPr>
        <w:t>de los meses de enero al diez de abril de dos mil veintiséis.</w:t>
      </w:r>
    </w:p>
    <w:p w:rsidR="00961502" w:rsidRDefault="00961502">
      <w:pPr>
        <w:spacing w:line="360" w:lineRule="auto"/>
        <w:ind w:right="-518"/>
        <w:jc w:val="both"/>
        <w:rPr>
          <w:rFonts w:ascii="Palatino Linotype" w:eastAsia="Palatino Linotype" w:hAnsi="Palatino Linotype" w:cs="Palatino Linotype"/>
          <w:i/>
          <w:iCs/>
          <w:color w:val="000000"/>
        </w:rPr>
      </w:pPr>
    </w:p>
    <w:p w:rsidR="00961502" w:rsidRDefault="005C7094">
      <w:pPr>
        <w:numPr>
          <w:ilvl w:val="0"/>
          <w:numId w:val="3"/>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A través del </w:t>
      </w:r>
      <w:r>
        <w:rPr>
          <w:rFonts w:ascii="Palatino Linotype" w:eastAsia="Palatino Linotype" w:hAnsi="Palatino Linotype" w:cs="Palatino Linotype"/>
          <w:b/>
          <w:bCs/>
          <w:color w:val="000000"/>
        </w:rPr>
        <w:t>SAIMEX.</w:t>
      </w:r>
    </w:p>
    <w:p w:rsidR="00961502" w:rsidRDefault="00961502">
      <w:pPr>
        <w:pBdr>
          <w:top w:val="nil"/>
          <w:left w:val="nil"/>
          <w:bottom w:val="nil"/>
          <w:right w:val="nil"/>
          <w:between w:val="nil"/>
        </w:pBdr>
        <w:tabs>
          <w:tab w:val="left" w:pos="426"/>
        </w:tabs>
        <w:spacing w:line="360" w:lineRule="auto"/>
        <w:ind w:left="720" w:right="-518"/>
        <w:jc w:val="both"/>
        <w:rPr>
          <w:rFonts w:ascii="Palatino Linotype" w:eastAsia="Palatino Linotype" w:hAnsi="Palatino Linotype" w:cs="Palatino Linotype"/>
          <w:color w:val="000000"/>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veintiuno, veinticuatro, de abril de dos mil veintiséis, </w:t>
      </w:r>
      <w:r>
        <w:rPr>
          <w:rFonts w:ascii="Palatino Linotype" w:eastAsia="Palatino Linotype" w:hAnsi="Palatino Linotype" w:cs="Palatino Linotype"/>
          <w:color w:val="000000"/>
        </w:rPr>
        <w:t xml:space="preserve">en los recursos </w:t>
      </w:r>
      <w:r>
        <w:rPr>
          <w:rFonts w:ascii="Palatino Linotype" w:eastAsia="Palatino Linotype" w:hAnsi="Palatino Linotype" w:cs="Palatino Linotype"/>
          <w:b/>
          <w:bCs/>
          <w:color w:val="000000"/>
        </w:rPr>
        <w:t xml:space="preserve">04953/INFOEM/IP/RR/2026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014986/INFOEM/IP/RR/2026, </w:t>
      </w:r>
      <w:r>
        <w:rPr>
          <w:rFonts w:ascii="Palatino Linotype" w:eastAsia="Palatino Linotype" w:hAnsi="Palatino Linotype" w:cs="Palatino Linotype"/>
          <w:color w:val="000000"/>
        </w:rPr>
        <w:t>se autorizó prórroga por siete días para dar respuesta a las solicitudes de información correspondientes.</w:t>
      </w:r>
    </w:p>
    <w:p w:rsidR="00961502" w:rsidRDefault="00961502">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i/>
          <w:iCs/>
          <w:color w:val="000000"/>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b/>
          <w:bCs/>
        </w:rPr>
      </w:pP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treinta de abril, cuatro de mayo, de dos mil veintiséis,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dio respuesta a las solicitudes de información, en el tenor siguiente:</w:t>
      </w:r>
    </w:p>
    <w:p w:rsidR="00961502" w:rsidRDefault="005C7094">
      <w:pPr>
        <w:pBdr>
          <w:top w:val="nil"/>
          <w:left w:val="nil"/>
          <w:bottom w:val="nil"/>
          <w:right w:val="nil"/>
          <w:between w:val="nil"/>
        </w:pBdr>
        <w:tabs>
          <w:tab w:val="left" w:pos="426"/>
        </w:tabs>
        <w:ind w:left="851" w:right="49"/>
        <w:jc w:val="both"/>
        <w:rPr>
          <w:rFonts w:ascii="Palatino Linotype" w:eastAsia="Palatino Linotype" w:hAnsi="Palatino Linotype" w:cs="Palatino Linotype"/>
          <w:i/>
          <w:iCs/>
        </w:rPr>
      </w:pPr>
      <w:r>
        <w:rPr>
          <w:rFonts w:ascii="Palatino Linotype" w:eastAsia="Palatino Linotype" w:hAnsi="Palatino Linotype" w:cs="Palatino Linotype"/>
          <w:i/>
          <w:iCs/>
        </w:rPr>
        <w:t>el C.P. Apolinar Hernández, mediante el acta de entrega-recepción de fecha 01 de enero de 2026, manifestó que al momento de asumir el cargo no le fue proporcionada la información referida. Sin embargo, al respecto le comenta que se realizó la búsqueda física y digital en los archivos correspondientes y no se encontró la información solicitada</w:t>
      </w:r>
    </w:p>
    <w:p w:rsidR="00961502" w:rsidRDefault="00961502">
      <w:pPr>
        <w:pBdr>
          <w:top w:val="nil"/>
          <w:left w:val="nil"/>
          <w:bottom w:val="nil"/>
          <w:right w:val="nil"/>
          <w:between w:val="nil"/>
        </w:pBdr>
        <w:tabs>
          <w:tab w:val="left" w:pos="426"/>
        </w:tabs>
        <w:ind w:right="49"/>
        <w:jc w:val="both"/>
        <w:rPr>
          <w:rFonts w:ascii="Palatino Linotype" w:eastAsia="Palatino Linotype" w:hAnsi="Palatino Linotype" w:cs="Palatino Linotype"/>
          <w:i/>
          <w:iCs/>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los recursos de revisión del </w:t>
      </w:r>
      <w:r>
        <w:rPr>
          <w:rFonts w:ascii="Palatino Linotype" w:eastAsia="Palatino Linotype" w:hAnsi="Palatino Linotype" w:cs="Palatino Linotype"/>
          <w:b/>
          <w:bCs/>
          <w:color w:val="000000"/>
        </w:rPr>
        <w:t xml:space="preserve">05031/INFOEM/IP/RR/2026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05034/INFOEM/IP/RR/2026, </w:t>
      </w:r>
      <w:r>
        <w:rPr>
          <w:rFonts w:ascii="Palatino Linotype" w:eastAsia="Palatino Linotype" w:hAnsi="Palatino Linotype" w:cs="Palatino Linotype"/>
          <w:color w:val="000000"/>
        </w:rPr>
        <w:t>se informó lo siguiente:</w:t>
      </w:r>
    </w:p>
    <w:p w:rsidR="00961502" w:rsidRDefault="005C7094">
      <w:pPr>
        <w:ind w:left="567"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Dado que aún no se han realizado los procesos de fiscalización de conformidad al artículo 140 “El acceso a la información pública será restringido excepcionalmente, cuando por razones de interés público, ésta sea clasificada como reservada, conforme a los criterios siguientes:” facción V “Aquella cuya divulgación obstruya o pueda causar un serio perjuicio a; “Las actividades de fiscalización, verificación, inspección, comprobación y auditoría sobre el cumplimiento de las Leyes”</w:t>
      </w:r>
    </w:p>
    <w:p w:rsidR="00961502" w:rsidRDefault="00961502">
      <w:pPr>
        <w:pBdr>
          <w:top w:val="nil"/>
          <w:left w:val="nil"/>
          <w:bottom w:val="nil"/>
          <w:right w:val="nil"/>
          <w:between w:val="nil"/>
        </w:pBdr>
        <w:tabs>
          <w:tab w:val="left" w:pos="426"/>
        </w:tabs>
        <w:ind w:right="49"/>
        <w:jc w:val="both"/>
        <w:rPr>
          <w:rFonts w:ascii="Palatino Linotype" w:eastAsia="Palatino Linotype" w:hAnsi="Palatino Linotype" w:cs="Palatino Linotype"/>
          <w:i/>
          <w:iCs/>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PARTICULAR</w:t>
      </w:r>
      <w:r>
        <w:rPr>
          <w:rFonts w:ascii="Palatino Linotype" w:eastAsia="Palatino Linotype" w:hAnsi="Palatino Linotype" w:cs="Palatino Linotype"/>
          <w:color w:val="000000"/>
        </w:rPr>
        <w:t xml:space="preserve">, en fecha </w:t>
      </w:r>
      <w:r>
        <w:rPr>
          <w:rFonts w:ascii="Palatino Linotype" w:eastAsia="Palatino Linotype" w:hAnsi="Palatino Linotype" w:cs="Palatino Linotype"/>
          <w:b/>
          <w:bCs/>
          <w:color w:val="000000"/>
        </w:rPr>
        <w:t>siete de mayo de dos mil veintiséis,</w:t>
      </w:r>
      <w:r>
        <w:rPr>
          <w:rFonts w:ascii="Palatino Linotype" w:eastAsia="Palatino Linotype" w:hAnsi="Palatino Linotype" w:cs="Palatino Linotype"/>
          <w:color w:val="000000"/>
        </w:rPr>
        <w:t xml:space="preserve"> interpuso los Recursos de Revisión en contra de la respuesta en el cual </w:t>
      </w:r>
      <w:r>
        <w:rPr>
          <w:rFonts w:ascii="Palatino Linotype" w:eastAsia="Palatino Linotype" w:hAnsi="Palatino Linotype" w:cs="Palatino Linotype"/>
        </w:rPr>
        <w:t>reitera el acto impugnado y los motivos o razones de inconformidad para todos los recursos de revisión, únicamente cambia el mes y año de la información solicitada, refiriendo:</w:t>
      </w:r>
    </w:p>
    <w:p w:rsidR="00961502" w:rsidRDefault="00961502">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b/>
          <w:bCs/>
          <w:color w:val="000000"/>
        </w:rPr>
      </w:pPr>
    </w:p>
    <w:p w:rsidR="00961502" w:rsidRDefault="005C7094">
      <w:pPr>
        <w:numPr>
          <w:ilvl w:val="0"/>
          <w:numId w:val="2"/>
        </w:numPr>
        <w:pBdr>
          <w:top w:val="nil"/>
          <w:left w:val="nil"/>
          <w:bottom w:val="nil"/>
          <w:right w:val="nil"/>
          <w:between w:val="nil"/>
        </w:pBdr>
        <w:spacing w:line="276" w:lineRule="auto"/>
        <w:ind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“Todas las bitacoras de suministro de combustible gasolina y diesel de todos los recursos (propios, estatales, federales y otros) de todas las áreas del Ayuntamiento de Juchitepec como son: presidencia, secretaria del ayuntamiento, sindicatura, regidurias, tesorería, obras públicas, gobierno digital (o similar) servicios publicos, relleno sanitario, parques y jardines, mercados, limpia, panteones, Derechos Humanos, administración, adquisiciones, desarrollo urbano, contraloría, catastro, Jurídico, control patromonial, juzgados civicos, registro civil, contabilidad, cultura, educación, UIPPE, transparencia, seguridad publica, protección civil, dirección de la mujer, </w:t>
      </w:r>
      <w:r>
        <w:rPr>
          <w:rFonts w:ascii="Palatino Linotype" w:eastAsia="Palatino Linotype" w:hAnsi="Palatino Linotype" w:cs="Palatino Linotype"/>
        </w:rPr>
        <w:t>….</w:t>
      </w:r>
      <w:r>
        <w:rPr>
          <w:rFonts w:ascii="Palatino Linotype" w:eastAsia="Palatino Linotype" w:hAnsi="Palatino Linotype" w:cs="Palatino Linotype"/>
          <w:color w:val="000000"/>
        </w:rPr>
        <w:t>.</w:t>
      </w:r>
    </w:p>
    <w:p w:rsidR="00961502" w:rsidRDefault="00961502">
      <w:pPr>
        <w:spacing w:line="276" w:lineRule="auto"/>
        <w:ind w:right="191"/>
        <w:jc w:val="both"/>
        <w:rPr>
          <w:rFonts w:ascii="Palatino Linotype" w:eastAsia="Palatino Linotype" w:hAnsi="Palatino Linotype" w:cs="Palatino Linotype"/>
          <w:i/>
          <w:iCs/>
          <w:color w:val="000000"/>
        </w:rPr>
      </w:pPr>
    </w:p>
    <w:p w:rsidR="00961502" w:rsidRDefault="005C7094">
      <w:pPr>
        <w:numPr>
          <w:ilvl w:val="0"/>
          <w:numId w:val="2"/>
        </w:numPr>
        <w:pBdr>
          <w:top w:val="nil"/>
          <w:left w:val="nil"/>
          <w:bottom w:val="nil"/>
          <w:right w:val="nil"/>
          <w:between w:val="nil"/>
        </w:pBdr>
        <w:spacing w:line="276" w:lineRule="auto"/>
        <w:ind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Motivos o razones de inconformidad:</w:t>
      </w:r>
      <w:r>
        <w:rPr>
          <w:rFonts w:ascii="Palatino Linotype" w:eastAsia="Palatino Linotype" w:hAnsi="Palatino Linotype" w:cs="Palatino Linotype"/>
          <w:i/>
          <w:iCs/>
          <w:color w:val="000000"/>
        </w:rPr>
        <w:t xml:space="preserve"> “La respuesta emitida por el sujeto obligado causa agravio debido a que no se encuentra debidamente fundada ni motivada, además de resultar insuficiente, incongruente y carente de exhaustividad. Lo anterior, toda vez que la información solicitada consiste en documentos administrativos específicos relativos al suministro y control de combustible (gasolina y diésel), los cuales, por su naturaleza contable, presupuestal, operativa y fiscalizadora, debieron existir y obrar en los archivos del Ayuntamiento. El sujeto obligado invoca indebidamente el artículo 12 de la Ley de Transparencia y Acceso a la Información Pública del Estado de México y Municipios, argumentando que no está obligado a procesar información; sin embargo, la solicitud no requiere procesamiento, elaboración, análisis ni generación de información nueva, sino únicamente la entrega de documentos existentes previamente generados en el ejercicio de las funciones públicas. Asimismo, la respuesta resulta indebidamente motivada al señalar que la administración entrante </w:t>
      </w:r>
      <w:r>
        <w:rPr>
          <w:rFonts w:ascii="Palatino Linotype" w:eastAsia="Palatino Linotype" w:hAnsi="Palatino Linotype" w:cs="Palatino Linotype"/>
          <w:i/>
          <w:iCs/>
          <w:color w:val="000000"/>
        </w:rPr>
        <w:lastRenderedPageBreak/>
        <w:t>no recibió la información mediante acta entrega-recepción, ya que dicha circunstancia no constituye prueba suficiente para acreditar la inexistencia documental ni extingue las obligaciones legales de conservación, resguardo, archivo y transparencia de la información pública. Además, el sujeto obligado no acredita haber realizado una búsqueda exhaustiva y razonable, ya que omite precisar: I. Qué unidades administrativas realizaron la búsqueda. II. Qué archivos físicos y electrónicos fueron revisados. III. Qué servidores públicos participaron. IV. Qué expedientes, pólizas, registros contables, controles vehiculares, vales de combustible, facturación o documentación presupuestal fueron consultados. V. Cuáles fueron las circunstancias específicas que llevaron a determinar la inexistencia de la información. De igual forma, no se advierte que exista acta formal del Comité de Transparencia mediante la cual se confirme la inexistencia de la información solicitada, debidamente fundada y motivada conforme a la Ley de Transparencia y Acceso a la Información Pública del Estado de México y Municipios. La inexistencia alegada resulta materialmente improbable, debido a que el suministro de combustible necesariamente genera documentación comprobatoria vinculada al ejercicio de recursos públicos, tales como pólizas contables, comprobantes fiscales, vales, registros operativos, controles internos, conciliaciones y documentación soporte para fiscalización por parte del OSFEM y demás autoridades competentes. Por lo anterior, solicito se revoque o modifique la respuesta emitida y se ordene al sujeto obligado realizar una búsqueda exhaustiva, razonable y debidamente documentada en todas las áreas competentes, así como emitir, en su caso, el acta formal del Comité de Transparencia correspondiente, debidamente fundada y motivada.” (Sic)</w:t>
      </w:r>
    </w:p>
    <w:p w:rsidR="00961502" w:rsidRDefault="00961502">
      <w:pPr>
        <w:spacing w:line="360" w:lineRule="auto"/>
        <w:ind w:right="-518"/>
        <w:jc w:val="both"/>
        <w:rPr>
          <w:rFonts w:ascii="Palatino Linotype" w:eastAsia="Palatino Linotype" w:hAnsi="Palatino Linotype" w:cs="Palatino Linotype"/>
          <w:i/>
          <w:iCs/>
          <w:color w:val="000000"/>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Transparencia y Acceso a la Información Pública del Estado de México y Municipios, a través de los acuerdos de admisión notificados en fecha </w:t>
      </w:r>
      <w:r>
        <w:rPr>
          <w:rFonts w:ascii="Palatino Linotype" w:eastAsia="Palatino Linotype" w:hAnsi="Palatino Linotype" w:cs="Palatino Linotype"/>
          <w:b/>
          <w:bCs/>
          <w:color w:val="000000"/>
        </w:rPr>
        <w:t>siete, ocho, once, doce, trece, catorce de mayo de dos mil veintiséis</w:t>
      </w:r>
      <w:r>
        <w:rPr>
          <w:rFonts w:ascii="Palatino Linotype" w:eastAsia="Palatino Linotype" w:hAnsi="Palatino Linotype" w:cs="Palatino Linotype"/>
          <w:color w:val="000000"/>
        </w:rPr>
        <w:t>, puso a disposición de las partes los expedientes electrónicos vía Sistema de Acceso a la Información Mexiquense (</w:t>
      </w:r>
      <w:r>
        <w:rPr>
          <w:rFonts w:ascii="Palatino Linotype" w:eastAsia="Palatino Linotype" w:hAnsi="Palatino Linotype" w:cs="Palatino Linotype"/>
          <w:b/>
          <w:bCs/>
          <w:i/>
          <w:iCs/>
          <w:color w:val="000000"/>
        </w:rPr>
        <w:t>SAIMEX)</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lastRenderedPageBreak/>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961502" w:rsidRDefault="00961502">
      <w:pPr>
        <w:spacing w:line="360" w:lineRule="auto"/>
        <w:ind w:right="-518"/>
        <w:rPr>
          <w:rFonts w:ascii="Palatino Linotype" w:eastAsia="Palatino Linotype" w:hAnsi="Palatino Linotype" w:cs="Palatino Linotype"/>
          <w:color w:val="000000"/>
        </w:rPr>
      </w:pPr>
    </w:p>
    <w:p w:rsidR="00961502" w:rsidRDefault="005C7094">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w:t>
      </w:r>
      <w:r>
        <w:rPr>
          <w:rFonts w:ascii="Palatino Linotype" w:eastAsia="Palatino Linotype" w:hAnsi="Palatino Linotype" w:cs="Palatino Linotype"/>
          <w:b/>
          <w:bCs/>
          <w:color w:val="000000"/>
        </w:rPr>
        <w:t xml:space="preserve">PARTES </w:t>
      </w:r>
      <w:r>
        <w:rPr>
          <w:rFonts w:ascii="Palatino Linotype" w:eastAsia="Palatino Linotype" w:hAnsi="Palatino Linotype" w:cs="Palatino Linotype"/>
          <w:color w:val="000000"/>
        </w:rPr>
        <w:t>fueron omisas en realizar manifestaciones conforme a su derecho conviniera y/o asistiera.</w:t>
      </w:r>
    </w:p>
    <w:p w:rsidR="00961502" w:rsidRDefault="00961502">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bookmarkStart w:id="1" w:name="_heading=h.7tc4g35jahsm" w:colFirst="0" w:colLast="0"/>
      <w:bookmarkEnd w:id="1"/>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 xml:space="preserve">veintiocho de mayo de dos mil veintiséis, </w:t>
      </w:r>
      <w:r>
        <w:rPr>
          <w:rFonts w:ascii="Palatino Linotype" w:eastAsia="Palatino Linotype" w:hAnsi="Palatino Linotype" w:cs="Palatino Linotype"/>
        </w:rPr>
        <w:t>se notificó el acuerdo mediante el cual se aprobó la ampliación de plazo para emitir resolución, en los recursos que integran el presente.</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veintiocho de mayo de dos mil veintiséis, </w:t>
      </w:r>
      <w:r>
        <w:rPr>
          <w:rFonts w:ascii="Palatino Linotype" w:eastAsia="Palatino Linotype" w:hAnsi="Palatino Linotype" w:cs="Palatino Linotype"/>
          <w:color w:val="000000"/>
        </w:rPr>
        <w:t xml:space="preserve">se notificó el acuerdo por el que se decretó la acumulación interna de los recursos que nos </w:t>
      </w:r>
      <w:r>
        <w:rPr>
          <w:rFonts w:ascii="Palatino Linotype" w:eastAsia="Palatino Linotype" w:hAnsi="Palatino Linotype" w:cs="Palatino Linotype"/>
        </w:rPr>
        <w:t>ocupa</w:t>
      </w:r>
      <w:r>
        <w:rPr>
          <w:rFonts w:ascii="Palatino Linotype" w:eastAsia="Palatino Linotype" w:hAnsi="Palatino Linotype" w:cs="Palatino Linotype"/>
          <w:color w:val="000000"/>
        </w:rPr>
        <w:t xml:space="preserve"> a efecto de un mejor proveer. </w:t>
      </w:r>
    </w:p>
    <w:p w:rsidR="00961502" w:rsidRDefault="00961502">
      <w:pPr>
        <w:spacing w:line="360" w:lineRule="auto"/>
        <w:ind w:right="-518"/>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veintiocho de mayo de dos mil veintiséis</w:t>
      </w:r>
      <w:r>
        <w:rPr>
          <w:rFonts w:ascii="Palatino Linotype" w:eastAsia="Palatino Linotype" w:hAnsi="Palatino Linotype" w:cs="Palatino Linotype"/>
          <w:color w:val="000000"/>
        </w:rPr>
        <w:t xml:space="preserve">, la Comisionada Ponente decretó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del Recurso, ordenando turnar el expediente para su resolución, por lo que no más ha</w:t>
      </w:r>
      <w:r w:rsidR="00D5519C">
        <w:rPr>
          <w:rFonts w:ascii="Palatino Linotype" w:eastAsia="Palatino Linotype" w:hAnsi="Palatino Linotype" w:cs="Palatino Linotype"/>
          <w:color w:val="000000"/>
        </w:rPr>
        <w:t>biendo más que hacer constar, y</w:t>
      </w:r>
    </w:p>
    <w:p w:rsidR="00961502" w:rsidRDefault="00961502">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961502" w:rsidRDefault="005C7094">
      <w:pPr>
        <w:pStyle w:val="Ttulo1"/>
        <w:spacing w:before="0" w:line="360" w:lineRule="auto"/>
        <w:ind w:right="-518"/>
        <w:jc w:val="center"/>
        <w:rPr>
          <w:b/>
          <w:bCs/>
          <w:color w:val="000000"/>
        </w:rPr>
      </w:pPr>
      <w:bookmarkStart w:id="2" w:name="_heading=h.qnobzjbo4bqb" w:colFirst="0" w:colLast="0"/>
      <w:bookmarkEnd w:id="2"/>
      <w:r>
        <w:rPr>
          <w:b/>
          <w:bCs/>
          <w:color w:val="000000"/>
        </w:rPr>
        <w:t>C O N S I D E R A N D O</w:t>
      </w:r>
    </w:p>
    <w:p w:rsidR="00961502" w:rsidRDefault="00961502">
      <w:pPr>
        <w:spacing w:line="360" w:lineRule="auto"/>
        <w:ind w:right="-518"/>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bookmarkStart w:id="3" w:name="_heading=h.j6uygzcncq9v" w:colFirst="0" w:colLast="0"/>
      <w:bookmarkEnd w:id="3"/>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w:t>
      </w:r>
      <w:r>
        <w:rPr>
          <w:rFonts w:ascii="Palatino Linotype" w:eastAsia="Palatino Linotype" w:hAnsi="Palatino Linotype" w:cs="Palatino Linotype"/>
          <w:color w:val="000000"/>
        </w:rPr>
        <w:lastRenderedPageBreak/>
        <w:t>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961502" w:rsidRDefault="009615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61502" w:rsidRDefault="005C7094">
      <w:pPr>
        <w:pStyle w:val="Ttulo2"/>
        <w:spacing w:before="0" w:line="360" w:lineRule="auto"/>
        <w:rPr>
          <w:rFonts w:ascii="Palatino Linotype" w:eastAsia="Palatino Linotype" w:hAnsi="Palatino Linotype" w:cs="Palatino Linotype"/>
          <w:b/>
          <w:bCs/>
          <w:color w:val="000000"/>
          <w:sz w:val="24"/>
          <w:szCs w:val="24"/>
        </w:rPr>
      </w:pPr>
      <w:bookmarkStart w:id="4" w:name="_heading=h.yxepb6g6s82q" w:colFirst="0" w:colLast="0"/>
      <w:bookmarkEnd w:id="4"/>
      <w:r>
        <w:rPr>
          <w:rFonts w:ascii="Palatino Linotype" w:eastAsia="Palatino Linotype" w:hAnsi="Palatino Linotype" w:cs="Palatino Linotype"/>
          <w:b/>
          <w:bCs/>
          <w:color w:val="000000"/>
          <w:sz w:val="24"/>
          <w:szCs w:val="24"/>
        </w:rPr>
        <w:t>SEGUNDO. De la oportunidad y procedencia.</w:t>
      </w: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medios de impugnación fue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rPr>
        <w:t>treinta de abril, cuatro de mayo,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presentó su inconformidades el </w:t>
      </w:r>
      <w:r>
        <w:rPr>
          <w:rFonts w:ascii="Palatino Linotype" w:eastAsia="Palatino Linotype" w:hAnsi="Palatino Linotype" w:cs="Palatino Linotype"/>
          <w:b/>
          <w:bCs/>
          <w:color w:val="000000"/>
        </w:rPr>
        <w:t>siete de mayo de dos mil veintiséis</w:t>
      </w:r>
      <w:r>
        <w:rPr>
          <w:rFonts w:ascii="Palatino Linotype" w:eastAsia="Palatino Linotype" w:hAnsi="Palatino Linotype" w:cs="Palatino Linotype"/>
          <w:color w:val="000000"/>
        </w:rPr>
        <w:t>, por lo que se estima que los mismos se presentaron dentro del lapso legalmente establecido para tal efecto.</w:t>
      </w:r>
    </w:p>
    <w:p w:rsidR="00961502" w:rsidRDefault="009615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rPr>
      </w:pPr>
      <w:bookmarkStart w:id="5" w:name="_heading=h.eyseha2nnyzo" w:colFirst="0" w:colLast="0"/>
      <w:bookmarkEnd w:id="5"/>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pStyle w:val="Ttulo1"/>
        <w:ind w:right="-518"/>
        <w:rPr>
          <w:b/>
          <w:bCs/>
          <w:color w:val="000000"/>
        </w:rPr>
      </w:pPr>
      <w:r>
        <w:rPr>
          <w:b/>
          <w:bCs/>
          <w:color w:val="000000"/>
        </w:rPr>
        <w:t xml:space="preserve">TERCERO. Planteamiento de la Litis </w:t>
      </w:r>
    </w:p>
    <w:p w:rsidR="00961502" w:rsidRDefault="00961502"/>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solicitó la siguiente información:</w:t>
      </w:r>
    </w:p>
    <w:p w:rsidR="00961502" w:rsidRDefault="005C7094">
      <w:pPr>
        <w:numPr>
          <w:ilvl w:val="0"/>
          <w:numId w:val="5"/>
        </w:numPr>
        <w:pBdr>
          <w:top w:val="nil"/>
          <w:left w:val="nil"/>
          <w:bottom w:val="nil"/>
          <w:right w:val="nil"/>
          <w:between w:val="nil"/>
        </w:pBdr>
        <w:spacing w:line="276" w:lineRule="auto"/>
        <w:ind w:right="19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Todas las bitácoras de suministro de combustible de todos los recursos (propios, estatales, federales y otros) de todas las áreas del Ayuntamiento de Juchitepec como son: presidencia, secretaria del ayuntamiento, sindicatura, regidurías, tesorería, obras públicas, gobierno digital (o similar) servicios públicos, relleno sanitario, parques y jardines, mercados, limpia, panteones, Derechos Humanos, administración, adquisiciones, desarrollo urbano, contraloría, catastro, Jurídico, control patrimonial, juzgados cívicos, registro civil, contabilidad, cultura, educación, UIPPE, transparencia, seguridad pública, protección civil, dirección de la mujer, del año 2020, 2021, 2022, 2023, 2024, 2025 y del uno de enero al diez de abril de dos mil veintiséis.</w:t>
      </w:r>
    </w:p>
    <w:p w:rsidR="00961502" w:rsidRDefault="00961502">
      <w:pPr>
        <w:pBdr>
          <w:top w:val="nil"/>
          <w:left w:val="nil"/>
          <w:bottom w:val="nil"/>
          <w:right w:val="nil"/>
          <w:between w:val="nil"/>
        </w:pBdr>
        <w:spacing w:line="360" w:lineRule="auto"/>
        <w:ind w:left="720" w:right="-518"/>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i/>
          <w:iCs/>
          <w:color w:val="000000"/>
        </w:rPr>
        <w:t>el C.P. Apolinar Hernández, mediante el acta de entrega-recepción de fecha 01 de enero de 2026, manifestó que al momento de asumir el cargo no le fue proporcionada la información referida. Sin embargo, al respecto le comenta que se realizó la búsqueda física y digital en los archivos correspondientes y no se encontró la información solicitada</w:t>
      </w:r>
    </w:p>
    <w:p w:rsidR="00961502" w:rsidRDefault="00961502">
      <w:pPr>
        <w:spacing w:line="360" w:lineRule="auto"/>
        <w:ind w:right="-518"/>
        <w:jc w:val="both"/>
        <w:rPr>
          <w:rFonts w:ascii="Palatino Linotype" w:eastAsia="Palatino Linotype" w:hAnsi="Palatino Linotype" w:cs="Palatino Linotype"/>
          <w:i/>
          <w:iCs/>
          <w:color w:val="000000"/>
        </w:rPr>
      </w:pPr>
    </w:p>
    <w:p w:rsidR="00961502" w:rsidRDefault="005C7094">
      <w:p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los recursos de revisión del </w:t>
      </w:r>
      <w:r>
        <w:rPr>
          <w:rFonts w:ascii="Palatino Linotype" w:eastAsia="Palatino Linotype" w:hAnsi="Palatino Linotype" w:cs="Palatino Linotype"/>
          <w:b/>
          <w:bCs/>
          <w:color w:val="000000"/>
        </w:rPr>
        <w:t xml:space="preserve">05031/INFOEM/IP/RR/2026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05034/INFOEM/IP/RR/2026, </w:t>
      </w:r>
      <w:r>
        <w:rPr>
          <w:rFonts w:ascii="Palatino Linotype" w:eastAsia="Palatino Linotype" w:hAnsi="Palatino Linotype" w:cs="Palatino Linotype"/>
          <w:color w:val="000000"/>
        </w:rPr>
        <w:t>se informó lo siguiente:</w:t>
      </w:r>
    </w:p>
    <w:p w:rsidR="00961502" w:rsidRDefault="00961502">
      <w:pPr>
        <w:spacing w:line="360" w:lineRule="auto"/>
        <w:ind w:right="-518"/>
        <w:jc w:val="both"/>
        <w:rPr>
          <w:rFonts w:ascii="Palatino Linotype" w:eastAsia="Palatino Linotype" w:hAnsi="Palatino Linotype" w:cs="Palatino Linotype"/>
          <w:color w:val="000000"/>
        </w:rPr>
      </w:pPr>
    </w:p>
    <w:p w:rsidR="00961502" w:rsidRDefault="005C7094">
      <w:pPr>
        <w:ind w:left="567"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Dado que aún no se han realizado los procesos de fiscalización de conformidad al artículo 140 “El acceso a la información pública será restringido excepcionalmente, cuando por razones de interés público, ésta sea clasificada como reservada, conforme a los criterios siguientes:” facción V “Aquella cuya divulgación obstruya o pueda causar un serio perjuicio a; “Las actividades de fiscalización, verificación, inspección, comprobación y auditoría sobre el cumplimiento de las Leyes”</w:t>
      </w:r>
    </w:p>
    <w:p w:rsidR="00961502" w:rsidRDefault="00961502">
      <w:pPr>
        <w:spacing w:line="360" w:lineRule="auto"/>
        <w:ind w:right="-518"/>
        <w:jc w:val="both"/>
        <w:rPr>
          <w:rFonts w:ascii="Palatino Linotype" w:eastAsia="Palatino Linotype" w:hAnsi="Palatino Linotype" w:cs="Palatino Linotype"/>
          <w:color w:val="000000"/>
        </w:rPr>
      </w:pPr>
    </w:p>
    <w:p w:rsidR="00961502" w:rsidRDefault="00961502">
      <w:pPr>
        <w:spacing w:line="360" w:lineRule="auto"/>
        <w:ind w:right="-518"/>
        <w:jc w:val="both"/>
        <w:rPr>
          <w:rFonts w:ascii="Palatino Linotype" w:eastAsia="Palatino Linotype" w:hAnsi="Palatino Linotype" w:cs="Palatino Linotype"/>
          <w:b/>
          <w:bCs/>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Inconforme con la respuesta proporcionada,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interpuso los recursos de revisión arguyendo medularmente la negativa de la información solicitada.</w:t>
      </w:r>
    </w:p>
    <w:p w:rsidR="00961502" w:rsidRDefault="00961502">
      <w:pPr>
        <w:tabs>
          <w:tab w:val="left" w:pos="284"/>
        </w:tabs>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Por lo tanto, los presentes recursos de revisión se circunscriben en determinar si se actualiza las causales de procedencia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contenidas en el artículo 179 fracción I, relativa a la negativa a la información solicitada, 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w:t>
      </w:r>
    </w:p>
    <w:p w:rsidR="00961502" w:rsidRDefault="00961502">
      <w:pPr>
        <w:tabs>
          <w:tab w:val="left" w:pos="426"/>
        </w:tabs>
        <w:spacing w:line="360" w:lineRule="auto"/>
        <w:ind w:left="567" w:right="-518"/>
        <w:jc w:val="both"/>
        <w:rPr>
          <w:rFonts w:ascii="Palatino Linotype" w:eastAsia="Palatino Linotype" w:hAnsi="Palatino Linotype" w:cs="Palatino Linotype"/>
          <w:i/>
          <w:iCs/>
          <w:color w:val="000000"/>
        </w:rPr>
      </w:pPr>
    </w:p>
    <w:p w:rsidR="00961502" w:rsidRDefault="005C7094">
      <w:pPr>
        <w:pStyle w:val="Ttulo2"/>
        <w:tabs>
          <w:tab w:val="left" w:pos="426"/>
        </w:tabs>
        <w:spacing w:line="360" w:lineRule="auto"/>
        <w:ind w:right="-518"/>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Estudio y Resolución del asunto.</w:t>
      </w: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Pr>
          <w:rFonts w:ascii="Palatino Linotype" w:eastAsia="Palatino Linotype" w:hAnsi="Palatino Linotype" w:cs="Palatino Linotype"/>
          <w:b/>
          <w:bCs/>
          <w:color w:val="000000"/>
        </w:rPr>
        <w:t xml:space="preserve">Constitución Política de los Estados Unidos Mexicanos </w:t>
      </w:r>
      <w:r>
        <w:rPr>
          <w:rFonts w:ascii="Palatino Linotype" w:eastAsia="Palatino Linotype" w:hAnsi="Palatino Linotype" w:cs="Palatino Linotype"/>
          <w:color w:val="000000"/>
        </w:rPr>
        <w:t xml:space="preserve">al señalar la obligación de “promover, </w:t>
      </w:r>
      <w:r>
        <w:rPr>
          <w:rFonts w:ascii="Palatino Linotype" w:eastAsia="Palatino Linotype" w:hAnsi="Palatino Linotype" w:cs="Palatino Linotype"/>
          <w:b/>
          <w:bCs/>
          <w:color w:val="000000"/>
        </w:rPr>
        <w:t>respetar</w:t>
      </w:r>
      <w:r>
        <w:rPr>
          <w:rFonts w:ascii="Palatino Linotype" w:eastAsia="Palatino Linotype" w:hAnsi="Palatino Linotype" w:cs="Palatino Linotype"/>
          <w:color w:val="000000"/>
        </w:rPr>
        <w:t xml:space="preserve">, proteger y </w:t>
      </w:r>
      <w:r>
        <w:rPr>
          <w:rFonts w:ascii="Palatino Linotype" w:eastAsia="Palatino Linotype" w:hAnsi="Palatino Linotype" w:cs="Palatino Linotype"/>
          <w:b/>
          <w:bCs/>
          <w:color w:val="000000"/>
        </w:rPr>
        <w:t>garantizar</w:t>
      </w:r>
      <w:r>
        <w:rPr>
          <w:rFonts w:ascii="Palatino Linotype" w:eastAsia="Palatino Linotype" w:hAnsi="Palatino Linotype" w:cs="Palatino Linotype"/>
          <w:color w:val="000000"/>
        </w:rPr>
        <w:t xml:space="preserve"> los derechos humanos”, entre los cuales se encuentra dicho derecho. </w:t>
      </w:r>
    </w:p>
    <w:p w:rsidR="00961502" w:rsidRDefault="00961502">
      <w:pPr>
        <w:tabs>
          <w:tab w:val="left" w:pos="284"/>
        </w:tabs>
        <w:spacing w:line="360" w:lineRule="auto"/>
        <w:ind w:right="-518"/>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en posesión de cualquier autoridad, </w:t>
      </w:r>
      <w:r>
        <w:rPr>
          <w:rFonts w:ascii="Palatino Linotype" w:eastAsia="Palatino Linotype" w:hAnsi="Palatino Linotype" w:cs="Palatino Linotype"/>
          <w:i/>
          <w:iCs/>
          <w:color w:val="000000"/>
        </w:rPr>
        <w:lastRenderedPageBreak/>
        <w:t>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4211B5" w:rsidRDefault="004211B5" w:rsidP="004211B5">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establece que </w:t>
      </w:r>
      <w:r>
        <w:rPr>
          <w:rFonts w:ascii="Palatino Linotype" w:eastAsia="Palatino Linotype" w:hAnsi="Palatino Linotype" w:cs="Palatino Linotype"/>
          <w:b/>
          <w:bCs/>
          <w:i/>
          <w:iCs/>
          <w:u w:val="single"/>
        </w:rPr>
        <w:t>el recurso de revisión es la garantía secundaria</w:t>
      </w:r>
      <w:r>
        <w:rPr>
          <w:rFonts w:ascii="Palatino Linotype" w:eastAsia="Palatino Linotype" w:hAnsi="Palatino Linotype" w:cs="Palatino Linotype"/>
          <w:b/>
          <w:bCs/>
          <w:i/>
          <w:iCs/>
        </w:rPr>
        <w:t xml:space="preserve"> mediante la cual se pretende reparar </w:t>
      </w:r>
      <w:r>
        <w:rPr>
          <w:rFonts w:ascii="Palatino Linotype" w:eastAsia="Palatino Linotype" w:hAnsi="Palatino Linotype" w:cs="Palatino Linotype"/>
          <w:b/>
          <w:bCs/>
          <w:i/>
          <w:iCs/>
        </w:rPr>
        <w:lastRenderedPageBreak/>
        <w:t>cualquier posible afectación al derecho de acceso a la información pública</w:t>
      </w:r>
      <w:r>
        <w:rPr>
          <w:rFonts w:ascii="Palatino Linotype" w:eastAsia="Palatino Linotype" w:hAnsi="Palatino Linotype" w:cs="Palatino Linotype"/>
          <w:b/>
          <w:bCs/>
        </w:rPr>
        <w:t>, s</w:t>
      </w:r>
      <w:r>
        <w:rPr>
          <w:rFonts w:ascii="Palatino Linotype" w:eastAsia="Palatino Linotype" w:hAnsi="Palatino Linotype" w:cs="Palatino Linotype"/>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color w:val="000000"/>
        </w:rPr>
        <w:t>respecto la fuente obligacional, el Bando Municipal, refiere lo siguiente:</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34. </w:t>
      </w:r>
      <w:r>
        <w:rPr>
          <w:rFonts w:ascii="Palatino Linotype" w:eastAsia="Palatino Linotype" w:hAnsi="Palatino Linotype" w:cs="Palatino Linotype"/>
          <w:i/>
          <w:iCs/>
          <w:color w:val="000000"/>
        </w:rPr>
        <w:t xml:space="preserve">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 </w:t>
      </w:r>
    </w:p>
    <w:p w:rsidR="00961502" w:rsidRDefault="00961502">
      <w:pPr>
        <w:ind w:left="567" w:right="191"/>
        <w:jc w:val="both"/>
        <w:rPr>
          <w:rFonts w:ascii="Palatino Linotype" w:eastAsia="Palatino Linotype" w:hAnsi="Palatino Linotype" w:cs="Palatino Linotype"/>
          <w:b/>
          <w:bCs/>
          <w:i/>
          <w:iCs/>
          <w:color w:val="000000"/>
        </w:rPr>
      </w:pPr>
    </w:p>
    <w:p w:rsidR="00961502" w:rsidRDefault="005C7094">
      <w:pPr>
        <w:ind w:left="567"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ÁREAS CENTRALIZADAS:</w:t>
      </w:r>
    </w:p>
    <w:p w:rsidR="00961502" w:rsidRDefault="005C7094">
      <w:pPr>
        <w:ind w:left="567"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 a. </w:t>
      </w:r>
      <w:r>
        <w:rPr>
          <w:rFonts w:ascii="Palatino Linotype" w:eastAsia="Palatino Linotype" w:hAnsi="Palatino Linotype" w:cs="Palatino Linotype"/>
          <w:i/>
          <w:iCs/>
          <w:color w:val="000000"/>
        </w:rPr>
        <w:t>Secretaría del Ayuntamiento;</w:t>
      </w:r>
      <w:r>
        <w:rPr>
          <w:rFonts w:ascii="Palatino Linotype" w:eastAsia="Palatino Linotype" w:hAnsi="Palatino Linotype" w:cs="Palatino Linotype"/>
          <w:b/>
          <w:bCs/>
          <w:i/>
          <w:iCs/>
          <w:color w:val="000000"/>
        </w:rPr>
        <w:t xml:space="preserve"> </w:t>
      </w:r>
    </w:p>
    <w:p w:rsidR="00961502" w:rsidRDefault="005C7094">
      <w:pPr>
        <w:ind w:left="567"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b. </w:t>
      </w:r>
      <w:r>
        <w:rPr>
          <w:rFonts w:ascii="Palatino Linotype" w:eastAsia="Palatino Linotype" w:hAnsi="Palatino Linotype" w:cs="Palatino Linotype"/>
          <w:i/>
          <w:iCs/>
          <w:color w:val="000000"/>
        </w:rPr>
        <w:t>Secretaria Técnica Administrativa;</w:t>
      </w:r>
      <w:r>
        <w:rPr>
          <w:rFonts w:ascii="Palatino Linotype" w:eastAsia="Palatino Linotype" w:hAnsi="Palatino Linotype" w:cs="Palatino Linotype"/>
          <w:b/>
          <w:bCs/>
          <w:i/>
          <w:iCs/>
          <w:color w:val="000000"/>
        </w:rPr>
        <w:t xml:space="preserve">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 </w:t>
      </w:r>
      <w:r>
        <w:rPr>
          <w:rFonts w:ascii="Palatino Linotype" w:eastAsia="Palatino Linotype" w:hAnsi="Palatino Linotype" w:cs="Palatino Linotype"/>
          <w:i/>
          <w:iCs/>
          <w:color w:val="000000"/>
        </w:rPr>
        <w:t xml:space="preserve">Órgano Interno de Control; </w:t>
      </w:r>
    </w:p>
    <w:p w:rsidR="00961502" w:rsidRDefault="005C7094">
      <w:pPr>
        <w:ind w:left="567"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 Tesorería Municipal;</w:t>
      </w:r>
    </w:p>
    <w:p w:rsidR="00961502" w:rsidRDefault="00961502">
      <w:pPr>
        <w:ind w:left="567" w:right="191"/>
        <w:jc w:val="both"/>
        <w:rPr>
          <w:rFonts w:ascii="Palatino Linotype" w:eastAsia="Palatino Linotype" w:hAnsi="Palatino Linotype" w:cs="Palatino Linotype"/>
          <w:b/>
          <w:bCs/>
          <w:i/>
          <w:iCs/>
          <w:color w:val="000000"/>
        </w:rPr>
      </w:pPr>
    </w:p>
    <w:p w:rsidR="00961502" w:rsidRDefault="005C7094">
      <w:pPr>
        <w:ind w:left="567" w:right="1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II. DIRECCIONES:</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a) Dirección de Obras Públicas;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b) Dirección de Desarrollo Urbano;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 Dirección de Desarrollo Económico y Comercio;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 Dirección de Seguridad Pública y Tránsito;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 Secretaría Técnica del Consejo Municipal de Seguridad Publica;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 Dirección de Salud;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g) Dirección de la Mujer;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h) Dirección de Ecología y el Campo;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Dirección del Bienestar;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j) Dirección de Servicios Públicos;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k) Dirección Jurídica y de Gobierno;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 UIPPE y de Transparencia y Acceso a la Información Pública Municipal;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m) Juzgado Cívico;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n) Oficial del Registro Civil;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o) Cronista Municipal; </w:t>
      </w:r>
    </w:p>
    <w:p w:rsidR="00961502" w:rsidRDefault="005C7094">
      <w:pPr>
        <w:ind w:left="567" w:right="1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 Autoridad Local de Simplificación y Digitalización</w:t>
      </w:r>
    </w:p>
    <w:p w:rsidR="00961502" w:rsidRDefault="00961502">
      <w:pPr>
        <w:ind w:left="567" w:right="191"/>
        <w:jc w:val="both"/>
        <w:rPr>
          <w:rFonts w:ascii="Palatino Linotype" w:eastAsia="Palatino Linotype" w:hAnsi="Palatino Linotype" w:cs="Palatino Linotype"/>
          <w:b/>
          <w:bCs/>
          <w:i/>
          <w:iCs/>
          <w:color w:val="000000"/>
        </w:rPr>
      </w:pP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COORDINACIONES: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a) Coordinación de Panteones</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b) Coordinación de Educación y Cultura;</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Coordinación de Comunicación Social y Gobierno Digital;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Coordinación del Relleno Sanitario;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e) Coordinación de Protección Civil y Bomberos;</w:t>
      </w:r>
    </w:p>
    <w:p w:rsidR="00961502" w:rsidRDefault="00961502">
      <w:pPr>
        <w:ind w:left="567" w:right="191"/>
        <w:jc w:val="both"/>
        <w:rPr>
          <w:rFonts w:ascii="Palatino Linotype" w:eastAsia="Palatino Linotype" w:hAnsi="Palatino Linotype" w:cs="Palatino Linotype"/>
          <w:i/>
          <w:iCs/>
        </w:rPr>
      </w:pP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IV. ÓRGANISMOS PÚBLICOS DESCENTRALIZADOS: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Sistema Municipal para el Desarrollo Integral de la Familia, de Juchitepec “SMDIF”.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Instituto Municipal de Cultura Física y Deporte IMCUFIDE; y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c. Organismo Público Descentralizado de Agua Potable, Alcantarillado y Saneamiento de Juchitepec “OPDAPAT”;</w:t>
      </w:r>
    </w:p>
    <w:p w:rsidR="00961502" w:rsidRDefault="00961502">
      <w:pPr>
        <w:ind w:left="567" w:right="191"/>
        <w:jc w:val="both"/>
        <w:rPr>
          <w:rFonts w:ascii="Palatino Linotype" w:eastAsia="Palatino Linotype" w:hAnsi="Palatino Linotype" w:cs="Palatino Linotype"/>
          <w:i/>
          <w:iCs/>
        </w:rPr>
      </w:pP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ORGANISMOS AUTÓNOMOS: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a. Defensoría Municipal de los Derechos Humanos.</w:t>
      </w:r>
    </w:p>
    <w:p w:rsidR="00961502" w:rsidRDefault="00961502">
      <w:pPr>
        <w:ind w:left="567" w:right="191"/>
        <w:jc w:val="both"/>
        <w:rPr>
          <w:rFonts w:ascii="Palatino Linotype" w:eastAsia="Palatino Linotype" w:hAnsi="Palatino Linotype" w:cs="Palatino Linotype"/>
          <w:i/>
          <w:iCs/>
        </w:rPr>
      </w:pP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Artículo 38. La Tesorería Municipal regirá su estructura y funcionamiento de conformidad con la Ley Orgánica Municipal del Estado de México, el Código Financiero del Estado de México y Municipios, el presente Bando, el Reglamento Interior de la Administración Pública Municipal y demás ordenamientos legales, federales y locales aplicables; siendo la encargada de:</w:t>
      </w:r>
    </w:p>
    <w:p w:rsidR="00961502" w:rsidRDefault="00961502">
      <w:pPr>
        <w:ind w:left="567" w:right="191"/>
        <w:jc w:val="both"/>
        <w:rPr>
          <w:rFonts w:ascii="Palatino Linotype" w:eastAsia="Palatino Linotype" w:hAnsi="Palatino Linotype" w:cs="Palatino Linotype"/>
          <w:i/>
          <w:iCs/>
        </w:rPr>
      </w:pP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a) Recaudar ingresos municipales;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Administrar la hacienda pública municipal;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Realizar las erogaciones y funciones que instruya el Ayuntamiento, el Ejecutivo Municipal y demás unidades administrativas, e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Implementar medidas y mecanismos previamente aprobados por el Ayuntamiento, tendientes a difundir una cultura de pago entre la población, asimismo ampliar la base y estimular el pago oportuno de los contribuyentes. </w:t>
      </w:r>
    </w:p>
    <w:p w:rsidR="00961502" w:rsidRDefault="005C7094">
      <w:pPr>
        <w:ind w:left="567" w:right="191"/>
        <w:jc w:val="both"/>
        <w:rPr>
          <w:rFonts w:ascii="Palatino Linotype" w:eastAsia="Palatino Linotype" w:hAnsi="Palatino Linotype" w:cs="Palatino Linotype"/>
          <w:i/>
          <w:iCs/>
        </w:rPr>
      </w:pPr>
      <w:r>
        <w:rPr>
          <w:rFonts w:ascii="Palatino Linotype" w:eastAsia="Palatino Linotype" w:hAnsi="Palatino Linotype" w:cs="Palatino Linotype"/>
          <w:i/>
          <w:iCs/>
        </w:rPr>
        <w:t>e</w:t>
      </w:r>
      <w:r>
        <w:rPr>
          <w:rFonts w:ascii="Palatino Linotype" w:eastAsia="Palatino Linotype" w:hAnsi="Palatino Linotype" w:cs="Palatino Linotype"/>
          <w:b/>
          <w:bCs/>
          <w:i/>
          <w:iCs/>
        </w:rPr>
        <w:t xml:space="preserve">) A través del titular de la subdirección de administración, es responsable de proporcionar a las áreas administrativas los recursos humanos materiales y servicios para el mejor funcionamiento y desempeño en las </w:t>
      </w:r>
      <w:r>
        <w:rPr>
          <w:rFonts w:ascii="Palatino Linotype" w:eastAsia="Palatino Linotype" w:hAnsi="Palatino Linotype" w:cs="Palatino Linotype"/>
          <w:b/>
          <w:bCs/>
          <w:i/>
          <w:iCs/>
        </w:rPr>
        <w:lastRenderedPageBreak/>
        <w:t>actividades administrativas mediante la organización, supervisión y control de cada uno de estos; para ello tendrá atribuciones respecto a Recursos Humanos, Recursos Materiales y control vehicular</w:t>
      </w:r>
    </w:p>
    <w:p w:rsidR="00961502" w:rsidRDefault="00961502">
      <w:pPr>
        <w:ind w:left="567" w:right="191"/>
        <w:jc w:val="both"/>
        <w:rPr>
          <w:rFonts w:ascii="Palatino Linotype" w:eastAsia="Palatino Linotype" w:hAnsi="Palatino Linotype" w:cs="Palatino Linotype"/>
          <w:i/>
          <w:iCs/>
        </w:rPr>
      </w:pPr>
    </w:p>
    <w:p w:rsidR="00961502" w:rsidRDefault="00961502">
      <w:pPr>
        <w:ind w:right="191"/>
        <w:jc w:val="both"/>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lo anterior, se observa que la Tesorería Municipal, es el área que dada la naturaleza de la información solicitada pudiera generar, poseer y/o administrar la información solicitada,</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color w:val="000000"/>
        </w:rPr>
        <w:t>por lo que resulta dable ordenar la búsqueda exhaustiva y razonable a efecto de que se turnen las solicitudes de información que nos ocupan.</w:t>
      </w:r>
    </w:p>
    <w:p w:rsidR="00961502" w:rsidRDefault="00961502">
      <w:pPr>
        <w:spacing w:line="360" w:lineRule="auto"/>
        <w:ind w:right="-518"/>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anterior cobra relevancia derivado de que, de las respuestas se advierte que se pronunci</w:t>
      </w:r>
      <w:r>
        <w:rPr>
          <w:rFonts w:ascii="Palatino Linotype" w:eastAsia="Palatino Linotype" w:hAnsi="Palatino Linotype" w:cs="Palatino Linotype"/>
        </w:rPr>
        <w:t>ó</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servidora públic</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habilitad</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a quien se le </w:t>
      </w:r>
      <w:r>
        <w:rPr>
          <w:rFonts w:ascii="Palatino Linotype" w:eastAsia="Palatino Linotype" w:hAnsi="Palatino Linotype" w:cs="Palatino Linotype"/>
        </w:rPr>
        <w:t>turnó</w:t>
      </w:r>
      <w:r>
        <w:rPr>
          <w:rFonts w:ascii="Palatino Linotype" w:eastAsia="Palatino Linotype" w:hAnsi="Palatino Linotype" w:cs="Palatino Linotype"/>
          <w:color w:val="000000"/>
        </w:rPr>
        <w:t xml:space="preserve"> la solicitud  de información Ghandy Genesis Guadarrama López, quien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el C.P. Apolinar Hernández hizo de conocimiento que, mediante el acta de entrega-recepción de fecha 01 de enero de 2026, manifestó que al momento de asumir el cargo no le fue proporcionada la información referida. </w:t>
      </w:r>
      <w:r>
        <w:rPr>
          <w:rFonts w:ascii="Palatino Linotype" w:eastAsia="Palatino Linotype" w:hAnsi="Palatino Linotype" w:cs="Palatino Linotype"/>
        </w:rPr>
        <w:t xml:space="preserve">Refiere además que </w:t>
      </w:r>
      <w:r>
        <w:rPr>
          <w:rFonts w:ascii="Palatino Linotype" w:eastAsia="Palatino Linotype" w:hAnsi="Palatino Linotype" w:cs="Palatino Linotype"/>
          <w:color w:val="000000"/>
        </w:rPr>
        <w:t>se realizó la búsqueda física y digital en los archivos correspondientes y no se encontró la información solicitada.</w:t>
      </w:r>
    </w:p>
    <w:p w:rsidR="00961502" w:rsidRDefault="00961502">
      <w:pPr>
        <w:spacing w:line="360" w:lineRule="auto"/>
        <w:ind w:right="-518"/>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Sin embargo,  toda vez que la información dentro del IPOMEX no se encuentra actualizada, no se puede tener certeza de que se haya pronunciado </w:t>
      </w: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servidor público habilitado competente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pues no se puede corroborar el cargo que ostenta</w:t>
      </w:r>
      <w:r>
        <w:rPr>
          <w:rFonts w:ascii="Palatino Linotype" w:eastAsia="Palatino Linotype" w:hAnsi="Palatino Linotype" w:cs="Palatino Linotype"/>
        </w:rPr>
        <w:t xml:space="preserve"> la </w:t>
      </w:r>
      <w:r>
        <w:rPr>
          <w:rFonts w:ascii="Palatino Linotype" w:eastAsia="Palatino Linotype" w:hAnsi="Palatino Linotype" w:cs="Palatino Linotype"/>
          <w:color w:val="000000"/>
        </w:rPr>
        <w:t xml:space="preserve"> servidor</w:t>
      </w:r>
      <w:r>
        <w:rPr>
          <w:rFonts w:ascii="Palatino Linotype" w:eastAsia="Palatino Linotype" w:hAnsi="Palatino Linotype" w:cs="Palatino Linotype"/>
        </w:rPr>
        <w:t xml:space="preserve">a </w:t>
      </w:r>
      <w:r>
        <w:rPr>
          <w:rFonts w:ascii="Palatino Linotype" w:eastAsia="Palatino Linotype" w:hAnsi="Palatino Linotype" w:cs="Palatino Linotype"/>
          <w:color w:val="000000"/>
        </w:rPr>
        <w:t>públic</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que d</w:t>
      </w:r>
      <w:r>
        <w:rPr>
          <w:rFonts w:ascii="Palatino Linotype" w:eastAsia="Palatino Linotype" w:hAnsi="Palatino Linotype" w:cs="Palatino Linotype"/>
        </w:rPr>
        <w:t>io</w:t>
      </w:r>
      <w:r>
        <w:rPr>
          <w:rFonts w:ascii="Palatino Linotype" w:eastAsia="Palatino Linotype" w:hAnsi="Palatino Linotype" w:cs="Palatino Linotype"/>
          <w:color w:val="000000"/>
        </w:rPr>
        <w:t xml:space="preserve"> atención a las solicitud</w:t>
      </w: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información que nos ocupan.</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Es por lo anterior, que se debe turnar las solicitudes de información  a las áreas competentes  a efecto de que den atención a las mismas.</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Atento a lo anterior, el derecho de acceso a la información pública es un derecho humano constitucionalmente reconocido en consecuencia todas las autoridades en el ámbito de sus competencias, funciones y atribuciones tienen la obligación de respetarlo, protegerlo y garantizar, así también </w:t>
      </w:r>
      <w:r>
        <w:rPr>
          <w:rFonts w:ascii="Palatino Linotype" w:eastAsia="Palatino Linotype" w:hAnsi="Palatino Linotype" w:cs="Palatino Linotype"/>
          <w:b/>
          <w:bCs/>
        </w:rPr>
        <w:t>es su deber turnar la solicitud de información a todas las áreas dentro de su estructura orgánica que pudieran contar con lo solicitado</w:t>
      </w:r>
      <w:r>
        <w:rPr>
          <w:rFonts w:ascii="Palatino Linotype" w:eastAsia="Palatino Linotype" w:hAnsi="Palatino Linotype" w:cs="Palatino Linotype"/>
        </w:rPr>
        <w:t>, a fin de dar cabal cumplimiento al derecho humano constitucionalmente reconocido.</w:t>
      </w:r>
    </w:p>
    <w:p w:rsidR="00961502" w:rsidRDefault="00961502">
      <w:pPr>
        <w:spacing w:line="360" w:lineRule="auto"/>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b/>
          <w:bCs/>
        </w:rPr>
      </w:pPr>
      <w:r>
        <w:rPr>
          <w:rFonts w:ascii="Palatino Linotype" w:eastAsia="Palatino Linotype" w:hAnsi="Palatino Linotype" w:cs="Palatino Linotype"/>
        </w:rPr>
        <w:t>En esa tesitura,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961502" w:rsidRDefault="005C7094">
      <w:pPr>
        <w:spacing w:line="360" w:lineRule="auto"/>
        <w:ind w:left="567" w:right="616"/>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961502" w:rsidRDefault="00961502">
      <w:pPr>
        <w:spacing w:line="360" w:lineRule="auto"/>
        <w:ind w:left="567" w:right="616"/>
        <w:jc w:val="both"/>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961502" w:rsidRDefault="005C7094">
      <w:pPr>
        <w:numPr>
          <w:ilvl w:val="0"/>
          <w:numId w:val="1"/>
        </w:numPr>
        <w:spacing w:line="360" w:lineRule="auto"/>
        <w:ind w:right="-518"/>
        <w:jc w:val="both"/>
        <w:rPr>
          <w:rFonts w:ascii="Palatino Linotype" w:eastAsia="Palatino Linotype" w:hAnsi="Palatino Linotype" w:cs="Palatino Linotype"/>
        </w:rPr>
      </w:pPr>
      <w:bookmarkStart w:id="6" w:name="_GoBack"/>
      <w:bookmarkEnd w:id="6"/>
      <w:r>
        <w:rPr>
          <w:rFonts w:ascii="Palatino Linotype" w:eastAsia="Palatino Linotype" w:hAnsi="Palatino Linotype" w:cs="Palatino Linotype"/>
        </w:rPr>
        <w:lastRenderedPageBreak/>
        <w:t xml:space="preserve">De la normatividad en cita, se desprende que las Unidades de Transparencia, se erigen como el área responsable en cada Sujeto Obligado que tiene a su cargo la atención de las solicitudes de información que se realicen al amparo de la Ley. </w:t>
      </w:r>
    </w:p>
    <w:p w:rsidR="00961502" w:rsidRDefault="00961502">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El responsable de dicha área funge como enlace entre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y los solicitantes, y tiene bajo su responsabilidad el tramitar internamente la solicitud de información.</w:t>
      </w:r>
    </w:p>
    <w:p w:rsidR="00961502" w:rsidRDefault="00961502">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es por ello que, debe turnar la solicitud a todas las áreas que conforme a sus atribuciones y funciones generen, administren o posean la información requerida por la particular; pues tienen como función, buscar, localizar y poseer la información, así como entregarla.</w:t>
      </w:r>
    </w:p>
    <w:p w:rsidR="00961502" w:rsidRDefault="00961502">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le corresponde al Titular de la Unidad de Transparencia el </w:t>
      </w:r>
      <w:r>
        <w:rPr>
          <w:rFonts w:ascii="Palatino Linotype" w:eastAsia="Palatino Linotype" w:hAnsi="Palatino Linotype" w:cs="Palatino Linotype"/>
          <w:color w:val="000000"/>
        </w:rPr>
        <w:t>garantizar</w:t>
      </w:r>
      <w:r>
        <w:rPr>
          <w:rFonts w:ascii="Palatino Linotype" w:eastAsia="Palatino Linotype" w:hAnsi="Palatino Linotype" w:cs="Palatino Linotype"/>
        </w:rPr>
        <w:t xml:space="preserve"> que las solicitudes se turnen a las áreas competentes que puedan contar con la información, con el objeto de que se realice una búsqueda exhaustiva y razonable de la misma. </w:t>
      </w:r>
    </w:p>
    <w:p w:rsidR="00961502" w:rsidRDefault="00961502">
      <w:pPr>
        <w:spacing w:line="360" w:lineRule="auto"/>
        <w:ind w:right="-518"/>
        <w:jc w:val="both"/>
        <w:rPr>
          <w:rFonts w:ascii="Palatino Linotype" w:eastAsia="Palatino Linotype" w:hAnsi="Palatino Linotype" w:cs="Palatino Linotype"/>
          <w:b/>
          <w:bCs/>
          <w:i/>
          <w:iCs/>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Ahora bien, respecto la temporalidad de la información solicitada, se advierte que es respecto los años 2020, 2021, 2022, 2023, 2024, 2025 y del uno de enero al diez de abril de dos mil veintiséis, por lo que al respecto se refiere </w:t>
      </w:r>
      <w:r>
        <w:rPr>
          <w:rFonts w:ascii="Palatino Linotype" w:eastAsia="Palatino Linotype" w:hAnsi="Palatino Linotype" w:cs="Palatino Linotype"/>
        </w:rPr>
        <w:t xml:space="preserve">el estudio de la baja documental que considera la Ley de Archivos y Administración de documentos del Estado de </w:t>
      </w:r>
      <w:r w:rsidR="00D5519C">
        <w:rPr>
          <w:rFonts w:ascii="Palatino Linotype" w:eastAsia="Palatino Linotype" w:hAnsi="Palatino Linotype" w:cs="Palatino Linotype"/>
        </w:rPr>
        <w:t>México</w:t>
      </w:r>
      <w:r>
        <w:rPr>
          <w:rFonts w:ascii="Palatino Linotype" w:eastAsia="Palatino Linotype" w:hAnsi="Palatino Linotype" w:cs="Palatino Linotype"/>
        </w:rPr>
        <w:t xml:space="preserve"> </w:t>
      </w:r>
      <w:r>
        <w:rPr>
          <w:rFonts w:ascii="Palatino Linotype" w:eastAsia="Palatino Linotype" w:hAnsi="Palatino Linotype" w:cs="Palatino Linotype"/>
        </w:rPr>
        <w:lastRenderedPageBreak/>
        <w:t>y Municipios, en su artículo 1 °</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tiene como objeto </w:t>
      </w:r>
      <w:r>
        <w:rPr>
          <w:rFonts w:ascii="Palatino Linotype" w:eastAsia="Palatino Linotype" w:hAnsi="Palatino Linotype" w:cs="Palatino Linotype"/>
          <w:i/>
          <w:iCs/>
        </w:rPr>
        <w:t xml:space="preserve">“Artículo 1. La presente Ley es de orden público y de observancia general en el Estado de México, y tiene por objeto establecer la organización,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física, jurídica colectiva o sindicato que reciba y ejerza recursos públicos o realice actos de autoridad del Estado de México y municipios. Así como determinar las bases de organización y funcionamiento del Sistema Estatal de Archivos y </w:t>
      </w:r>
      <w:r>
        <w:rPr>
          <w:rFonts w:ascii="Palatino Linotype" w:eastAsia="Palatino Linotype" w:hAnsi="Palatino Linotype" w:cs="Palatino Linotype"/>
          <w:b/>
          <w:bCs/>
          <w:i/>
          <w:iCs/>
        </w:rPr>
        <w:t>fomentar el resguardo, difusión y acceso público</w:t>
      </w:r>
      <w:r>
        <w:rPr>
          <w:rFonts w:ascii="Palatino Linotype" w:eastAsia="Palatino Linotype" w:hAnsi="Palatino Linotype" w:cs="Palatino Linotype"/>
          <w:i/>
          <w:iCs/>
        </w:rPr>
        <w:t xml:space="preserve"> de Archivos privados de relevancia histórica, social, cultural, científica y técnica estatal…” </w:t>
      </w:r>
    </w:p>
    <w:p w:rsidR="00961502" w:rsidRDefault="00961502">
      <w:pPr>
        <w:spacing w:line="360" w:lineRule="auto"/>
        <w:ind w:right="-787"/>
        <w:jc w:val="both"/>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normativa citada con antelación, considera en su artículo cuarto lo siguientes hechos que son de relevancia para el estudio del presente recurso: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V. Archivo de Concentración</w:t>
      </w:r>
      <w:r>
        <w:rPr>
          <w:rFonts w:ascii="Palatino Linotype" w:eastAsia="Palatino Linotype" w:hAnsi="Palatino Linotype" w:cs="Palatino Linotype"/>
          <w:i/>
          <w:iCs/>
        </w:rPr>
        <w:t xml:space="preserve">: Al integrado por documentos transferidos desde las áreas o unidades productoras, cuyo uso y consulta es esporádica y que permanecen en él, hasta su Disposición Documental;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w:t>
      </w:r>
      <w:r>
        <w:rPr>
          <w:rFonts w:ascii="Palatino Linotype" w:eastAsia="Palatino Linotype" w:hAnsi="Palatino Linotype" w:cs="Palatino Linotype"/>
          <w:b/>
          <w:bCs/>
          <w:i/>
          <w:iCs/>
        </w:rPr>
        <w:t>Archivo de Trámite</w:t>
      </w:r>
      <w:r>
        <w:rPr>
          <w:rFonts w:ascii="Palatino Linotype" w:eastAsia="Palatino Linotype" w:hAnsi="Palatino Linotype" w:cs="Palatino Linotype"/>
          <w:i/>
          <w:iCs/>
        </w:rPr>
        <w:t xml:space="preserve">: Al integrado por Documentos de Archivo de uso cotidiano y necesario para el ejercicio de las atribuciones y funciones de los Sujetos Obligados;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VII</w:t>
      </w:r>
      <w:r>
        <w:rPr>
          <w:rFonts w:ascii="Palatino Linotype" w:eastAsia="Palatino Linotype" w:hAnsi="Palatino Linotype" w:cs="Palatino Linotype"/>
          <w:b/>
          <w:bCs/>
          <w:i/>
          <w:iCs/>
        </w:rPr>
        <w:t>. Archivo General:</w:t>
      </w:r>
      <w:r>
        <w:rPr>
          <w:rFonts w:ascii="Palatino Linotype" w:eastAsia="Palatino Linotype" w:hAnsi="Palatino Linotype" w:cs="Palatino Linotype"/>
          <w:i/>
          <w:iCs/>
        </w:rPr>
        <w:t xml:space="preserve"> Al Archivo General de la Nación</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Archivo General del Estado:</w:t>
      </w:r>
      <w:r>
        <w:rPr>
          <w:rFonts w:ascii="Palatino Linotype" w:eastAsia="Palatino Linotype" w:hAnsi="Palatino Linotype" w:cs="Palatino Linotype"/>
          <w:i/>
          <w:iCs/>
        </w:rPr>
        <w:t xml:space="preserve"> Al Archivo General del Estado de México;</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IX. Archivo Histórico:</w:t>
      </w:r>
      <w:r>
        <w:rPr>
          <w:rFonts w:ascii="Palatino Linotype" w:eastAsia="Palatino Linotype" w:hAnsi="Palatino Linotype" w:cs="Palatino Linotype"/>
          <w:i/>
          <w:iCs/>
        </w:rPr>
        <w:t xml:space="preserve"> Al integrado por documentos de conservación permanente y de relevancia para la memoria estatal o municipal de carácter público;</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w:t>
      </w:r>
      <w:r>
        <w:rPr>
          <w:rFonts w:ascii="Palatino Linotype" w:eastAsia="Palatino Linotype" w:hAnsi="Palatino Linotype" w:cs="Palatino Linotype"/>
          <w:b/>
          <w:bCs/>
          <w:i/>
          <w:iCs/>
        </w:rPr>
        <w:t>Baja Documental:</w:t>
      </w:r>
      <w:r>
        <w:rPr>
          <w:rFonts w:ascii="Palatino Linotype" w:eastAsia="Palatino Linotype" w:hAnsi="Palatino Linotype" w:cs="Palatino Linotype"/>
          <w:i/>
          <w:iCs/>
        </w:rPr>
        <w:t xml:space="preserve"> A la eliminación de aquella documentación que haya prescrito su vigencia, valores documentales y, en su caso, plazos de conservación; y que no posea valores históricos, de acuerdo con la Ley y las disposiciones jurídicas aplicables;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XIV</w:t>
      </w:r>
      <w:r>
        <w:rPr>
          <w:rFonts w:ascii="Palatino Linotype" w:eastAsia="Palatino Linotype" w:hAnsi="Palatino Linotype" w:cs="Palatino Linotype"/>
          <w:b/>
          <w:bCs/>
          <w:i/>
          <w:iCs/>
        </w:rPr>
        <w:t>. Catálogo de Disposición Documental:</w:t>
      </w:r>
      <w:r>
        <w:rPr>
          <w:rFonts w:ascii="Palatino Linotype" w:eastAsia="Palatino Linotype" w:hAnsi="Palatino Linotype" w:cs="Palatino Linotype"/>
          <w:i/>
          <w:iCs/>
        </w:rPr>
        <w:t xml:space="preserve"> Al registro general y sistemático que establece los valores documentales, la Vigencia Documental, los plazos de conservación y la Disposición Documental;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XV. Ciclo Vital:</w:t>
      </w:r>
      <w:r>
        <w:rPr>
          <w:rFonts w:ascii="Palatino Linotype" w:eastAsia="Palatino Linotype" w:hAnsi="Palatino Linotype" w:cs="Palatino Linotype"/>
          <w:i/>
          <w:iCs/>
        </w:rPr>
        <w:t xml:space="preserve"> A las etapas por las que atraviesan los Documentos de Archivo desde su producción o recepción hasta su Baja Documental o Transferencia a un Archivo Histórico;”</w:t>
      </w:r>
    </w:p>
    <w:p w:rsidR="00961502" w:rsidRDefault="00961502">
      <w:pPr>
        <w:ind w:right="-787"/>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precisar que la Ley de Archivos y Administración de documentos del Estado de </w:t>
      </w:r>
      <w:r w:rsidR="00D5519C">
        <w:rPr>
          <w:rFonts w:ascii="Palatino Linotype" w:eastAsia="Palatino Linotype" w:hAnsi="Palatino Linotype" w:cs="Palatino Linotype"/>
        </w:rPr>
        <w:t>México</w:t>
      </w:r>
      <w:r>
        <w:rPr>
          <w:rFonts w:ascii="Palatino Linotype" w:eastAsia="Palatino Linotype" w:hAnsi="Palatino Linotype" w:cs="Palatino Linotype"/>
        </w:rPr>
        <w:t xml:space="preserve"> y Municipios, en su artículo 10° refiere que los sujetos obligados son responsables de organizar y conservar sus Archivos; de la operación de su Sistema Institucional; del cumplimiento de lo dispuesto por esta Ley; así como por las determinaciones que emita el Consejo Estatal, según corresponda; y deberán garantizar que no se sustraigan, dañen o eliminen Documentos de Archivo y la información a su cargo. </w:t>
      </w:r>
    </w:p>
    <w:p w:rsidR="00961502" w:rsidRDefault="00961502">
      <w:pPr>
        <w:spacing w:line="360" w:lineRule="auto"/>
        <w:ind w:right="-787"/>
        <w:jc w:val="both"/>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Por su parte, la ley de  la materia en el ámbito estatal en su artículo 3°, fracción XLI refiere que el sujeto obligado es :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t>Sujetos obligados:</w:t>
      </w:r>
      <w:r>
        <w:rPr>
          <w:rFonts w:ascii="Palatino Linotype" w:eastAsia="Palatino Linotype" w:hAnsi="Palatino Linotype" w:cs="Palatino Linotype"/>
          <w:i/>
          <w:iCs/>
        </w:rPr>
        <w:t xml:space="preserve"> 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rsidR="00961502" w:rsidRDefault="00961502">
      <w:pPr>
        <w:spacing w:line="360" w:lineRule="auto"/>
        <w:ind w:right="-787"/>
        <w:rPr>
          <w:rFonts w:ascii="Palatino Linotype" w:eastAsia="Palatino Linotype" w:hAnsi="Palatino Linotype" w:cs="Palatino Linotype"/>
          <w:i/>
          <w:iCs/>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el artículo 31 ° de la Ley de Archivos y Administración de documentos del Estado de </w:t>
      </w:r>
      <w:r w:rsidR="00D5519C">
        <w:rPr>
          <w:rFonts w:ascii="Palatino Linotype" w:eastAsia="Palatino Linotype" w:hAnsi="Palatino Linotype" w:cs="Palatino Linotype"/>
        </w:rPr>
        <w:t>México</w:t>
      </w:r>
      <w:r>
        <w:rPr>
          <w:rFonts w:ascii="Palatino Linotype" w:eastAsia="Palatino Linotype" w:hAnsi="Palatino Linotype" w:cs="Palatino Linotype"/>
        </w:rPr>
        <w:t xml:space="preserve"> y Municipios, establece que Cada Sujeto Obligado debe contar con un Archivo de Concentración, que tendrá las siguientes funciones: </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Asegurar y describir los Fondos Documentales bajo su resguardo, así como la consulta de los Expedientes; </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Recibir las Transferencias Primarias y brindar servicios de préstamo y consulta a las unidades o áreas administrativas productoras de la documentación que resguarda; </w:t>
      </w:r>
    </w:p>
    <w:p w:rsidR="00961502" w:rsidRDefault="005C7094">
      <w:pPr>
        <w:numPr>
          <w:ilvl w:val="0"/>
          <w:numId w:val="7"/>
        </w:numPr>
        <w:ind w:left="1134" w:right="900" w:firstLine="6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Conservar los Expedientes hasta cumplir su Vigencia Documental de acuerdo con lo establecido en el Catálogo de Disposición Documental; </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Colaborar con el Área Coordinadora de Archivos en la elaboración de los Instrumentos de Control Archivístico previstos en esta Ley y en sus disposiciones reglamentarias;</w:t>
      </w:r>
      <w:r>
        <w:t xml:space="preserve"> </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Participar con el Área Coordinadora de Archivos en la elaboración de los criterios de Valoración y Disposición Documental; </w:t>
      </w:r>
    </w:p>
    <w:p w:rsidR="00961502" w:rsidRDefault="005C7094">
      <w:pPr>
        <w:numPr>
          <w:ilvl w:val="0"/>
          <w:numId w:val="7"/>
        </w:numPr>
        <w:ind w:left="1134" w:right="900" w:firstLine="60"/>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Promover la Baja Documental de los Expedientes que integran las Series documentales que hayan cumplido su Vigencia Documental y, en su caso, plazos de conservación y que no posean valores históricos, conforme a las disposiciones jurídicas aplicables; </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Identificar los Expedientes que integran las Series documentales que hayan cumplido su Vigencia Documental y que cuenten con valores históricos, y que serán transferidos a los Archivos Históricos de los Sujetos Obligados, según corresponda;</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Integrar a sus respectivos Expedientes, el registro de los procesos de Disposición Documental, incluyendo dictámenes, actas e inventarios;</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Realizar la Transferencia Secundaria de las Series documentales que hayan cumplido su Vigencia Documental y posean valores evidenciales, testimoniales e informativos al Archivo Histórico del Sujeto Obligado, o al Archivo General del Estado según corresponda, y</w:t>
      </w:r>
    </w:p>
    <w:p w:rsidR="00961502" w:rsidRDefault="005C7094">
      <w:pPr>
        <w:numPr>
          <w:ilvl w:val="0"/>
          <w:numId w:val="7"/>
        </w:numPr>
        <w:ind w:left="1134" w:right="900" w:firstLine="6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Las que establezca el Consejo Estatal, y las disposiciones jurídicas aplicables.</w:t>
      </w:r>
    </w:p>
    <w:p w:rsidR="00961502" w:rsidRDefault="00961502">
      <w:pPr>
        <w:ind w:right="-787"/>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ese sentido, de acuerdo con se elimina palabra los Criterios Técnicos que deberán observar la dependencias y Organismos Auxiliares de la Administración Pública Estatal Para la Elaboración, Actualización, Registro y Validación del Catálogo de Disposición Documental, mismo que refiere en su artículo 8 la vigencia y plazos de conservación documental de la siguiente manera. </w:t>
      </w:r>
    </w:p>
    <w:p w:rsidR="00961502" w:rsidRDefault="005C7094">
      <w:pPr>
        <w:tabs>
          <w:tab w:val="left" w:pos="851"/>
        </w:tabs>
        <w:ind w:left="1134" w:right="900"/>
        <w:jc w:val="both"/>
        <w:rPr>
          <w:i/>
          <w:iCs/>
        </w:rPr>
      </w:pPr>
      <w:r>
        <w:rPr>
          <w:rFonts w:ascii="Palatino Linotype" w:eastAsia="Palatino Linotype" w:hAnsi="Palatino Linotype" w:cs="Palatino Linotype"/>
          <w:b/>
          <w:bCs/>
          <w:i/>
          <w:iCs/>
          <w:color w:val="000000"/>
        </w:rPr>
        <w:t>Artículo 8.</w:t>
      </w:r>
      <w:r>
        <w:rPr>
          <w:rFonts w:ascii="Palatino Linotype" w:eastAsia="Palatino Linotype" w:hAnsi="Palatino Linotype" w:cs="Palatino Linotype"/>
          <w:i/>
          <w:iCs/>
          <w:color w:val="000000"/>
        </w:rPr>
        <w:t xml:space="preserve"> Para el establecimiento de las vigencias documentales, los plazos de conservación y la disposición final de las series, las dependencias y organismos deberán contemplar el marco normativo bajo el cual se produjeron las series y considerar los periodos de guarda y custodia siguientes:</w:t>
      </w:r>
      <w:r>
        <w:rPr>
          <w:i/>
          <w:iCs/>
        </w:rPr>
        <w:t xml:space="preserve"> </w:t>
      </w:r>
    </w:p>
    <w:p w:rsidR="00961502" w:rsidRDefault="005C7094">
      <w:pPr>
        <w:numPr>
          <w:ilvl w:val="0"/>
          <w:numId w:val="6"/>
        </w:numPr>
        <w:tabs>
          <w:tab w:val="left" w:pos="851"/>
        </w:tabs>
        <w:ind w:left="1134" w:right="900"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años como mínimo para expedientes de asuntos concluidos en los archivos de trámite de las unidades administrativas, periodo que se computará a partir del día siguiente a la fecha del documento con el que se dé por concluido el asunto que motivó la integración de cada expediente; </w:t>
      </w:r>
    </w:p>
    <w:p w:rsidR="00961502" w:rsidRDefault="005C7094">
      <w:pPr>
        <w:tabs>
          <w:tab w:val="left" w:pos="851"/>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6 años para expedientes de series documentales con valor documental administrativo; </w:t>
      </w:r>
    </w:p>
    <w:p w:rsidR="00961502" w:rsidRDefault="005C7094">
      <w:pPr>
        <w:tabs>
          <w:tab w:val="left" w:pos="851"/>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6 años como mínimo para expedientes de series documentales con valor documental fiscal-contable; </w:t>
      </w:r>
    </w:p>
    <w:p w:rsidR="00961502" w:rsidRDefault="005C7094">
      <w:pPr>
        <w:tabs>
          <w:tab w:val="left" w:pos="851"/>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12 años para expedientes de series documentales con valor documental jurídico-legal; </w:t>
      </w:r>
    </w:p>
    <w:p w:rsidR="00961502" w:rsidRDefault="005C7094">
      <w:pPr>
        <w:tabs>
          <w:tab w:val="left" w:pos="851"/>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Cuando en la legislación se establezca un tiempo superior al señalado en las fracciones anteriores, se considerará éste para establecer los plazos de conservación de las series. </w:t>
      </w:r>
    </w:p>
    <w:p w:rsidR="00961502" w:rsidRDefault="005C7094">
      <w:pPr>
        <w:tabs>
          <w:tab w:val="left" w:pos="851"/>
        </w:tabs>
        <w:ind w:left="1134" w:right="90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Los plazos de conservación relativos al archivo contable gubernamental se determinarán atendiendo lo señalado en el Código Financiero del Estado de México y Municipios y en las disposiciones establecidas al respecto por la Secretaría de Finanzas del Gobierno del Estado de México y la Secretaría de Hacienda y Crédito Público.</w:t>
      </w:r>
    </w:p>
    <w:p w:rsidR="00961502" w:rsidRDefault="00961502">
      <w:pPr>
        <w:tabs>
          <w:tab w:val="left" w:pos="851"/>
        </w:tabs>
        <w:ind w:left="1134" w:right="-787"/>
        <w:jc w:val="both"/>
        <w:rPr>
          <w:rFonts w:ascii="Palatino Linotype" w:eastAsia="Palatino Linotype" w:hAnsi="Palatino Linotype" w:cs="Palatino Linotype"/>
          <w:i/>
          <w:iCs/>
          <w:color w:val="000000"/>
        </w:rPr>
      </w:pPr>
    </w:p>
    <w:p w:rsidR="00961502" w:rsidRDefault="005C7094">
      <w:pPr>
        <w:numPr>
          <w:ilvl w:val="0"/>
          <w:numId w:val="1"/>
        </w:num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rPr>
        <w:t>Sirve</w:t>
      </w:r>
      <w:r>
        <w:rPr>
          <w:rFonts w:ascii="Palatino Linotype" w:eastAsia="Palatino Linotype" w:hAnsi="Palatino Linotype" w:cs="Palatino Linotype"/>
          <w:color w:val="000000"/>
        </w:rPr>
        <w:t xml:space="preserve"> de apoyo a lo anterior por analogía el criterio 14-09 que emite el Instituto Nacional de Transparencia, Acceso a la Información y Protección de Datos Personales que a la letra dice:</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Baja documental</w:t>
      </w:r>
      <w:r>
        <w:rPr>
          <w:rFonts w:ascii="Palatino Linotype" w:eastAsia="Palatino Linotype" w:hAnsi="Palatino Linotype" w:cs="Palatino Linotype"/>
          <w:i/>
          <w:iCs/>
        </w:rPr>
        <w:t>.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w:t>
      </w:r>
    </w:p>
    <w:p w:rsidR="00961502" w:rsidRDefault="00961502">
      <w:pPr>
        <w:ind w:left="1134" w:right="900"/>
        <w:jc w:val="both"/>
        <w:rPr>
          <w:rFonts w:ascii="Palatino Linotype" w:eastAsia="Palatino Linotype" w:hAnsi="Palatino Linotype" w:cs="Palatino Linotype"/>
          <w:i/>
          <w:iCs/>
        </w:rPr>
      </w:pP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Expedientes:</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4650/07 Instituto de Seguridad y Servicios Sociales de los Trabajadores del</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Estado – Alonso Lujambio Irazábal</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0908/08 Instituto Mexicano del Seguro Social – Alonso Lujambio Irazábal</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4961/08 Instituto Mexicano del Seguro Social – Alonso Gómez-Robledo V.</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0820/09  Secretaría de Agricultura, Ganadería, Desarrollo Rural, Pesca y</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Alimentación – Jacqueline Peschard Mariscal</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3928/09 Administración Federal de Servicios Educativos en el Distrito Federal –</w:t>
      </w:r>
    </w:p>
    <w:p w:rsidR="00961502" w:rsidRDefault="005C7094">
      <w:pPr>
        <w:ind w:left="1134" w:right="900"/>
        <w:jc w:val="both"/>
        <w:rPr>
          <w:rFonts w:ascii="Palatino Linotype" w:eastAsia="Palatino Linotype" w:hAnsi="Palatino Linotype" w:cs="Palatino Linotype"/>
          <w:i/>
          <w:iCs/>
        </w:rPr>
      </w:pPr>
      <w:r>
        <w:rPr>
          <w:rFonts w:ascii="Palatino Linotype" w:eastAsia="Palatino Linotype" w:hAnsi="Palatino Linotype" w:cs="Palatino Linotype"/>
          <w:i/>
          <w:iCs/>
        </w:rPr>
        <w:t>María Marván Laborde</w:t>
      </w:r>
    </w:p>
    <w:p w:rsidR="00961502" w:rsidRDefault="00961502">
      <w:pPr>
        <w:pBdr>
          <w:top w:val="nil"/>
          <w:left w:val="nil"/>
          <w:bottom w:val="nil"/>
          <w:right w:val="nil"/>
          <w:between w:val="nil"/>
        </w:pBdr>
        <w:ind w:left="1134" w:right="-787"/>
        <w:rPr>
          <w:rFonts w:ascii="Palatino Linotype" w:eastAsia="Palatino Linotype" w:hAnsi="Palatino Linotype" w:cs="Palatino Linotype"/>
          <w:color w:val="000000"/>
        </w:rPr>
      </w:pPr>
    </w:p>
    <w:p w:rsidR="00961502" w:rsidRDefault="00961502">
      <w:pPr>
        <w:ind w:left="1134" w:right="-787"/>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lo anterior, toda vez que respecto de la información solicitada de los años 2020 y 2021, ya han transcurrido cinco años, por lo que dicha información ya </w:t>
      </w:r>
      <w:r>
        <w:rPr>
          <w:rFonts w:ascii="Palatino Linotype" w:eastAsia="Palatino Linotype" w:hAnsi="Palatino Linotype" w:cs="Palatino Linotype"/>
        </w:rPr>
        <w:t>causó</w:t>
      </w:r>
      <w:r>
        <w:rPr>
          <w:rFonts w:ascii="Palatino Linotype" w:eastAsia="Palatino Linotype" w:hAnsi="Palatino Linotype" w:cs="Palatino Linotype"/>
          <w:color w:val="000000"/>
        </w:rPr>
        <w:t xml:space="preserve"> baja documental,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emitir el Acuerdo de Inexistencia en términos de </w:t>
      </w:r>
      <w:r>
        <w:rPr>
          <w:rFonts w:ascii="Palatino Linotype" w:eastAsia="Palatino Linotype" w:hAnsi="Palatino Linotype" w:cs="Palatino Linotype"/>
        </w:rPr>
        <w:t xml:space="preserve">los artículos 49, fracciones II y XIII, 169 y 170 de la Ley de </w:t>
      </w:r>
      <w:r>
        <w:rPr>
          <w:rFonts w:ascii="Palatino Linotype" w:eastAsia="Palatino Linotype" w:hAnsi="Palatino Linotype" w:cs="Palatino Linotype"/>
        </w:rPr>
        <w:lastRenderedPageBreak/>
        <w:t>Transparencia y Acceso a la Información Pública del Estado de México y Municipios que al respecto emita su Comité de Transparencia, acompañado del acta de baja documental.</w:t>
      </w:r>
    </w:p>
    <w:p w:rsidR="00961502" w:rsidRDefault="00961502">
      <w:pPr>
        <w:spacing w:line="360" w:lineRule="auto"/>
        <w:ind w:right="-518"/>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Toma relevancia, lo señalado en el artículo 2°, fracción VII de la Ley de Transparencia y Acceso a la Información Pública del Estado de México y Municipios, el cual establece como objetivo promover, fomentar y difundir la cultura de la transparencia en el ejercicio de la función pública, así como, la rendición de cuentas, a través del establecimiento de mecanismos que garanticen la publicidad de la información oportuna, verificable, comprensible, actualizada y completa.</w:t>
      </w:r>
    </w:p>
    <w:p w:rsidR="00961502" w:rsidRDefault="00961502">
      <w:pPr>
        <w:spacing w:line="360" w:lineRule="auto"/>
        <w:jc w:val="both"/>
        <w:rPr>
          <w:rFonts w:ascii="Palatino Linotype" w:eastAsia="Palatino Linotype" w:hAnsi="Palatino Linotype" w:cs="Palatino Linotype"/>
        </w:rPr>
      </w:pPr>
    </w:p>
    <w:p w:rsidR="00961502" w:rsidRDefault="005C7094">
      <w:pPr>
        <w:numPr>
          <w:ilvl w:val="0"/>
          <w:numId w:val="1"/>
        </w:num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Cómo se logra observar, el derecho de acceso a la información pública, es una herramienta con la que, cuentan los particulares, para conocer la forma en que los Gobiernos Municipales, cumplen sus atribuciones y obligaciones, así como, ejercen los recursos públicos con los que cuentan; esto es, sirven para que los Sujetos Obligados rindan cuentas a la ciudadanía, de su hacer diario.</w:t>
      </w:r>
    </w:p>
    <w:p w:rsidR="00961502" w:rsidRDefault="005C7094">
      <w:pPr>
        <w:pStyle w:val="Ttulo2"/>
        <w:tabs>
          <w:tab w:val="left" w:pos="426"/>
        </w:tabs>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QUINTO. De la versión pública.</w:t>
      </w:r>
    </w:p>
    <w:p w:rsidR="00961502" w:rsidRDefault="005C7094">
      <w:pPr>
        <w:keepNext/>
        <w:keepLines/>
        <w:numPr>
          <w:ilvl w:val="0"/>
          <w:numId w:val="4"/>
        </w:numPr>
        <w:tabs>
          <w:tab w:val="left" w:pos="284"/>
        </w:tabs>
        <w:spacing w:after="160" w:line="360" w:lineRule="auto"/>
        <w:ind w:left="0"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obran 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61502" w:rsidRDefault="00961502">
      <w:pPr>
        <w:tabs>
          <w:tab w:val="left" w:pos="0"/>
          <w:tab w:val="left" w:pos="284"/>
        </w:tabs>
        <w:spacing w:line="360" w:lineRule="auto"/>
        <w:ind w:right="49"/>
        <w:jc w:val="both"/>
        <w:rPr>
          <w:rFonts w:ascii="Palatino Linotype" w:eastAsia="Palatino Linotype" w:hAnsi="Palatino Linotype" w:cs="Palatino Linotype"/>
        </w:rPr>
      </w:pPr>
    </w:p>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61502" w:rsidRDefault="00961502">
      <w:pPr>
        <w:tabs>
          <w:tab w:val="left" w:pos="284"/>
        </w:tabs>
        <w:spacing w:after="160" w:line="360" w:lineRule="auto"/>
        <w:ind w:right="49"/>
        <w:jc w:val="both"/>
        <w:rPr>
          <w:rFonts w:ascii="Palatino Linotype" w:eastAsia="Palatino Linotype" w:hAnsi="Palatino Linotype" w:cs="Palatino Linotype"/>
          <w:color w:val="000000"/>
        </w:rPr>
      </w:pPr>
    </w:p>
    <w:tbl>
      <w:tblPr>
        <w:tblStyle w:val="a"/>
        <w:tblW w:w="990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80"/>
        <w:gridCol w:w="7020"/>
      </w:tblGrid>
      <w:tr w:rsidR="00961502">
        <w:tc>
          <w:tcPr>
            <w:tcW w:w="2880" w:type="dxa"/>
          </w:tcPr>
          <w:p w:rsidR="00961502" w:rsidRDefault="005C7094">
            <w:pPr>
              <w:tabs>
                <w:tab w:val="left" w:pos="284"/>
              </w:tabs>
              <w:spacing w:line="360" w:lineRule="auto"/>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020" w:type="dxa"/>
          </w:tcPr>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961502" w:rsidRDefault="005C7094">
            <w:pPr>
              <w:tabs>
                <w:tab w:val="left" w:pos="284"/>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w:t>
            </w:r>
            <w:r>
              <w:rPr>
                <w:rFonts w:ascii="Palatino Linotype" w:eastAsia="Palatino Linotype" w:hAnsi="Palatino Linotype" w:cs="Palatino Linotype"/>
                <w:color w:val="000000"/>
              </w:rPr>
              <w:lastRenderedPageBreak/>
              <w:t>que se vaya a clasificar dentro de un documento con diez datos, por ejemplo, susceptibles de ser clasificados.</w:t>
            </w:r>
          </w:p>
        </w:tc>
      </w:tr>
      <w:tr w:rsidR="00961502">
        <w:tc>
          <w:tcPr>
            <w:tcW w:w="2880" w:type="dxa"/>
          </w:tcPr>
          <w:p w:rsidR="00961502" w:rsidRDefault="005C7094">
            <w:pPr>
              <w:tabs>
                <w:tab w:val="left" w:pos="284"/>
              </w:tabs>
              <w:spacing w:line="360" w:lineRule="auto"/>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020" w:type="dxa"/>
          </w:tcPr>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61502" w:rsidRDefault="005C7094">
            <w:pPr>
              <w:tabs>
                <w:tab w:val="left" w:pos="284"/>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61502">
        <w:tc>
          <w:tcPr>
            <w:tcW w:w="2880" w:type="dxa"/>
          </w:tcPr>
          <w:p w:rsidR="00961502" w:rsidRDefault="005C7094">
            <w:pPr>
              <w:tabs>
                <w:tab w:val="left" w:pos="284"/>
              </w:tabs>
              <w:spacing w:line="360" w:lineRule="auto"/>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7020" w:type="dxa"/>
          </w:tcPr>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961502" w:rsidRDefault="005C7094">
            <w:pPr>
              <w:tabs>
                <w:tab w:val="left" w:pos="284"/>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61502">
        <w:tc>
          <w:tcPr>
            <w:tcW w:w="2880" w:type="dxa"/>
          </w:tcPr>
          <w:p w:rsidR="00961502" w:rsidRDefault="00961502">
            <w:pPr>
              <w:tabs>
                <w:tab w:val="left" w:pos="284"/>
              </w:tabs>
              <w:spacing w:line="360" w:lineRule="auto"/>
              <w:rPr>
                <w:rFonts w:ascii="Palatino Linotype" w:eastAsia="Palatino Linotype" w:hAnsi="Palatino Linotype" w:cs="Palatino Linotype"/>
              </w:rPr>
            </w:pPr>
          </w:p>
          <w:p w:rsidR="00961502" w:rsidRDefault="005C7094">
            <w:pPr>
              <w:tabs>
                <w:tab w:val="left" w:pos="284"/>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20" w:type="dxa"/>
          </w:tcPr>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w:t>
            </w:r>
            <w:r>
              <w:rPr>
                <w:rFonts w:ascii="Palatino Linotype" w:eastAsia="Palatino Linotype" w:hAnsi="Palatino Linotype" w:cs="Palatino Linotype"/>
                <w:color w:val="000000"/>
              </w:rPr>
              <w:lastRenderedPageBreak/>
              <w:t>autoridad pronuncie en el ejercicio de sus atribuciones, debe expresar los fundamentos legales que le dieron origen y las razones por las que se deben aplicar al caso concreto.</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61502">
        <w:tc>
          <w:tcPr>
            <w:tcW w:w="2880" w:type="dxa"/>
          </w:tcPr>
          <w:p w:rsidR="00961502" w:rsidRDefault="005C7094">
            <w:pPr>
              <w:tabs>
                <w:tab w:val="left" w:pos="284"/>
              </w:tabs>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w:t>
            </w:r>
            <w:r>
              <w:rPr>
                <w:rFonts w:ascii="Palatino Linotype" w:eastAsia="Palatino Linotype" w:hAnsi="Palatino Linotype" w:cs="Palatino Linotype"/>
              </w:rPr>
              <w:lastRenderedPageBreak/>
              <w:t xml:space="preserve">clasificación de la información como confidencial. </w:t>
            </w:r>
          </w:p>
        </w:tc>
        <w:tc>
          <w:tcPr>
            <w:tcW w:w="7020" w:type="dxa"/>
          </w:tcPr>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w:t>
            </w:r>
            <w:r>
              <w:rPr>
                <w:rFonts w:ascii="Palatino Linotype" w:eastAsia="Palatino Linotype" w:hAnsi="Palatino Linotype" w:cs="Palatino Linotype"/>
                <w:color w:val="000000"/>
              </w:rPr>
              <w:lastRenderedPageBreak/>
              <w:t xml:space="preserve">personales, se podrán proporcionar, incluso sin solicitar el consentimiento de su titular. </w:t>
            </w:r>
          </w:p>
          <w:p w:rsidR="00961502" w:rsidRDefault="005C7094">
            <w:pPr>
              <w:tabs>
                <w:tab w:val="left" w:pos="284"/>
              </w:tabs>
              <w:spacing w:line="360" w:lineRule="auto"/>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61502" w:rsidRDefault="005C7094">
            <w:pPr>
              <w:tabs>
                <w:tab w:val="left" w:pos="284"/>
              </w:tabs>
              <w:spacing w:line="360"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61502" w:rsidRDefault="00961502">
      <w:p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p>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961502" w:rsidRDefault="009615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Debido a lo anteriormente expuesto, este Instituto estima que las razones o motivos de inconformidad hechos valer por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devienen fundadas y suficientes para</w:t>
      </w:r>
      <w:r>
        <w:rPr>
          <w:rFonts w:ascii="Palatino Linotype" w:eastAsia="Palatino Linotype" w:hAnsi="Palatino Linotype" w:cs="Palatino Linotype"/>
          <w:b/>
          <w:bCs/>
        </w:rPr>
        <w:t xml:space="preserve"> REVOCAR</w:t>
      </w:r>
      <w:r>
        <w:rPr>
          <w:rFonts w:ascii="Palatino Linotype" w:eastAsia="Palatino Linotype" w:hAnsi="Palatino Linotype" w:cs="Palatino Linotype"/>
        </w:rPr>
        <w:t xml:space="preserve"> las respuestas a las solicitudes de acceso</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que originaron los Recursos de Revisión </w:t>
      </w:r>
      <w:r>
        <w:rPr>
          <w:rFonts w:ascii="Palatino Linotype" w:eastAsia="Palatino Linotype" w:hAnsi="Palatino Linotype" w:cs="Palatino Linotype"/>
          <w:b/>
          <w:bCs/>
        </w:rPr>
        <w:t xml:space="preserve">04953/INFOEM/IP/RR/2026 al 04986/INFOEM/IP/RR/2026, del 04988/INFOEM/IP/RR/2026  al 04992/INFOEM/IP/RR/2026, del 04494/INFOEM/IP/RR/2026 al 05017/INFOEM/IP/RR/2026, 05019/INFOEM/IP/RR/2026 al 05021/INFOEM/IP/RR/2026, 05022/INFOEM/IP/RR/2026, del </w:t>
      </w:r>
      <w:r>
        <w:rPr>
          <w:rFonts w:ascii="Palatino Linotype" w:eastAsia="Palatino Linotype" w:hAnsi="Palatino Linotype" w:cs="Palatino Linotype"/>
          <w:b/>
          <w:bCs/>
        </w:rPr>
        <w:lastRenderedPageBreak/>
        <w:t>05025/INFOEM/IP/RR/2026 al 05029/INFOEM/IP/RR/2026 y del 05031/INFOEM/IP/RR/2026  al 05035/INFOEM/IP/RR/2026.</w:t>
      </w:r>
    </w:p>
    <w:p w:rsidR="00961502" w:rsidRDefault="00961502">
      <w:pPr>
        <w:spacing w:line="360" w:lineRule="auto"/>
        <w:jc w:val="both"/>
        <w:rPr>
          <w:rFonts w:ascii="Palatino Linotype" w:eastAsia="Palatino Linotype" w:hAnsi="Palatino Linotype" w:cs="Palatino Linotype"/>
        </w:rPr>
      </w:pPr>
    </w:p>
    <w:p w:rsidR="00961502" w:rsidRDefault="005C7094">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rPr>
        <w:t xml:space="preserve">Así, con fundamento en lo previsto en los artículos 5, párrafo trigésimo segundo, trigésimo tercero y trigésimo cuarto,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961502" w:rsidRDefault="00961502">
      <w:pPr>
        <w:pBdr>
          <w:top w:val="nil"/>
          <w:left w:val="nil"/>
          <w:bottom w:val="nil"/>
          <w:right w:val="nil"/>
          <w:between w:val="nil"/>
        </w:pBdr>
        <w:spacing w:line="360" w:lineRule="auto"/>
        <w:ind w:right="-518"/>
        <w:jc w:val="both"/>
        <w:rPr>
          <w:rFonts w:ascii="Palatino Linotype" w:eastAsia="Palatino Linotype" w:hAnsi="Palatino Linotype" w:cs="Palatino Linotype"/>
        </w:rPr>
      </w:pPr>
    </w:p>
    <w:p w:rsidR="00961502" w:rsidRDefault="00961502">
      <w:pPr>
        <w:pBdr>
          <w:top w:val="nil"/>
          <w:left w:val="nil"/>
          <w:bottom w:val="nil"/>
          <w:right w:val="nil"/>
          <w:between w:val="nil"/>
        </w:pBdr>
        <w:spacing w:line="360" w:lineRule="auto"/>
        <w:ind w:right="-646"/>
        <w:jc w:val="both"/>
        <w:rPr>
          <w:rFonts w:ascii="Palatino Linotype" w:eastAsia="Palatino Linotype" w:hAnsi="Palatino Linotype" w:cs="Palatino Linotype"/>
        </w:rPr>
      </w:pPr>
    </w:p>
    <w:p w:rsidR="00961502" w:rsidRDefault="005C7094">
      <w:pPr>
        <w:pBdr>
          <w:top w:val="nil"/>
          <w:left w:val="nil"/>
          <w:bottom w:val="nil"/>
          <w:right w:val="nil"/>
          <w:between w:val="nil"/>
        </w:pBdr>
        <w:spacing w:line="360" w:lineRule="auto"/>
        <w:ind w:right="-646"/>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R E S U E L V E </w:t>
      </w:r>
    </w:p>
    <w:p w:rsidR="00961502" w:rsidRDefault="005C7094">
      <w:pPr>
        <w:spacing w:line="360" w:lineRule="auto"/>
        <w:ind w:right="-646"/>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planteadas por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términos del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961502" w:rsidRDefault="00961502">
      <w:pPr>
        <w:spacing w:line="360" w:lineRule="auto"/>
        <w:ind w:right="-646"/>
        <w:jc w:val="both"/>
        <w:rPr>
          <w:rFonts w:ascii="Palatino Linotype" w:eastAsia="Palatino Linotype" w:hAnsi="Palatino Linotype" w:cs="Palatino Linotype"/>
        </w:rPr>
      </w:pPr>
    </w:p>
    <w:p w:rsidR="00961502" w:rsidRPr="001D6F2B" w:rsidRDefault="005C7094">
      <w:pPr>
        <w:spacing w:line="360" w:lineRule="auto"/>
        <w:ind w:right="-64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 xml:space="preserve">REVOCAN </w:t>
      </w:r>
      <w:r>
        <w:rPr>
          <w:rFonts w:ascii="Palatino Linotype" w:eastAsia="Palatino Linotype" w:hAnsi="Palatino Linotype" w:cs="Palatino Linotype"/>
        </w:rPr>
        <w:t>las respuestas proporcionadas por el</w:t>
      </w:r>
      <w:r>
        <w:rPr>
          <w:rFonts w:ascii="Palatino Linotype" w:eastAsia="Palatino Linotype" w:hAnsi="Palatino Linotype" w:cs="Palatino Linotype"/>
          <w:b/>
          <w:bCs/>
        </w:rPr>
        <w:t xml:space="preserve"> Ayuntamiento de Juchitepec </w:t>
      </w:r>
      <w:r>
        <w:rPr>
          <w:rFonts w:ascii="Palatino Linotype" w:eastAsia="Palatino Linotype" w:hAnsi="Palatino Linotype" w:cs="Palatino Linotype"/>
        </w:rPr>
        <w:t>a las solicitudes de información:</w:t>
      </w:r>
      <w:r>
        <w:rPr>
          <w:rFonts w:ascii="Palatino Linotype" w:eastAsia="Palatino Linotype" w:hAnsi="Palatino Linotype" w:cs="Palatino Linotype"/>
          <w:b/>
          <w:bCs/>
        </w:rPr>
        <w:t xml:space="preserve">    00388/JUCHITE/IP/2026, 00389/JUCHITE/IP/2026, 00390/JUCHITE/IP/2026, 00391/JUCHITE/IP/2026, 00392/JUCHITE/IP/2026, 00393/JUCHITE/IP/2026, </w:t>
      </w:r>
      <w:r>
        <w:rPr>
          <w:rFonts w:ascii="Palatino Linotype" w:eastAsia="Palatino Linotype" w:hAnsi="Palatino Linotype" w:cs="Palatino Linotype"/>
          <w:b/>
          <w:bCs/>
          <w:color w:val="000000"/>
        </w:rPr>
        <w:t xml:space="preserve">00394/JUCHITE/IP/2026, 00395/JUCHITE/IP/2026, 00396/JUCHITE/IP/2026, 00397/JUCHITE/IP/2026, 00398/JUCHITE/IP/2026, 00399/JUCHITE/IP/2026, 00400/JUCHITE/IP/2026, 00401/JUCHITE/IP/2026, 00402/JUCHITE/IP/2026, 00403/JUCHITE/IP/2026, 00404/JUCHITE/IP/2026, 00405/JUCHITE/IP/2026, 00406/JUCHITE/IP/2026, 00407/JUCHITE/IP/2026, 00408/JUCHITE/IP/2026, 00409/JUCHITE/IP/2026, 00410/JUCHITE/IP/2026, 00411/JUCHITE/IP/2026, 00413/JUCHITE/IP/2026, 00414/JUCHITE/IP/2026, 00414/JUCHITE/IP/2026, 00416/JUCHITE/IP/2026, </w:t>
      </w:r>
      <w:r>
        <w:rPr>
          <w:rFonts w:ascii="Palatino Linotype" w:eastAsia="Palatino Linotype" w:hAnsi="Palatino Linotype" w:cs="Palatino Linotype"/>
          <w:b/>
          <w:bCs/>
          <w:color w:val="000000"/>
        </w:rPr>
        <w:lastRenderedPageBreak/>
        <w:t>00417/JUCHITE/IP/2026, 00418/JUCHITE/IP/2026, 00419/JUCHITE/IP/2026, 00420/JUCHITE/IP/2026, 00421/JUCHITE/IP/2026, 00422/JUCHITE/IP/2026, 00423/JUCHITE/IP/2026, 00424/JUCHITE/IP/2026, 00437/JUCHITE/IP/2026, 00438/JUCHITE/IP/2026, 00439/JUCHITE/IP/2026, 00440/JUCHITE/IP/2026, 00441/JUCHITE/IP/2026, 00442/JUCHITE/IP/2026, 00443/JUCHITE/IP/2026, 00444/JUCHITE/IP/2026, 00445/JUCHITE/IP/2026, 00446/JUCHITE/IP/2026, 00447/JUCHITE/IP/2026, 00448/JUCHITE/IP/2026, 00449/JUCHITE/IP/2026, 00450/JUCHITE/IP/2026, 00451/JUCHITE/IP/2026, 00452/JUCHITE/IP/2026, 00453/JUCHITE/IP/2026, 00454/JUCHITE/IP/2026, 00455/JUCHITE/IP/2026, 00456/JUCHITE/IP/2026, 00457/JUCHITE/IP/2026, 00458/JUCHITE/IP/2026, 00459/JUCHITE/IP/2026, 00460/JUCHITE/IP/2026, 00461/JUCHITE/IP/2026, 00462/JUCHITE/IP/2026, 00463/JUCHITE/IP/2026, 00464/JUCHITE/IP/2026, 00465/JUCHITE/IP/2026, 00466/JUCHITE/IP/2026, 00467/JUCHITE/IP/2026, 00468/JUCHITE/IP/2026, 00469/JUCHITE/IP/2026, 00470/JUCHITE/IP/2026, 00471/JUCHITE/IP/2026, 00472/JUCHITE/IP/2026, 00473/JUCHITE/IP/2026, 00474/JUCHITE/IP/2026, 00475/JUCHITE/IP/2026 y 00476/JUCHITE/IP/2026</w:t>
      </w:r>
      <w:r>
        <w:rPr>
          <w:rFonts w:ascii="Palatino Linotype" w:eastAsia="Palatino Linotype" w:hAnsi="Palatino Linotype" w:cs="Palatino Linotype"/>
          <w:b/>
          <w:bCs/>
        </w:rPr>
        <w:t xml:space="preserve">, </w:t>
      </w:r>
      <w:r>
        <w:rPr>
          <w:rFonts w:ascii="Palatino Linotype" w:eastAsia="Palatino Linotype" w:hAnsi="Palatino Linotype" w:cs="Palatino Linotype"/>
        </w:rPr>
        <w:t>en términos del considerando</w:t>
      </w:r>
      <w:r>
        <w:rPr>
          <w:rFonts w:ascii="Palatino Linotype" w:eastAsia="Palatino Linotype" w:hAnsi="Palatino Linotype" w:cs="Palatino Linotype"/>
          <w:b/>
          <w:bCs/>
        </w:rPr>
        <w:t xml:space="preserve"> CUARTO </w:t>
      </w:r>
      <w:r>
        <w:rPr>
          <w:rFonts w:ascii="Palatino Linotype" w:eastAsia="Palatino Linotype" w:hAnsi="Palatino Linotype" w:cs="Palatino Linotype"/>
        </w:rPr>
        <w:t xml:space="preserve">de la presente resolución y 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entregue al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previa búsqueda exhaustiva y razonable, de ser procedente en versión pública,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lo siguiente: </w:t>
      </w:r>
    </w:p>
    <w:p w:rsidR="00961502" w:rsidRDefault="005C7094">
      <w:pPr>
        <w:numPr>
          <w:ilvl w:val="0"/>
          <w:numId w:val="5"/>
        </w:numPr>
        <w:pBdr>
          <w:top w:val="nil"/>
          <w:left w:val="nil"/>
          <w:bottom w:val="nil"/>
          <w:right w:val="nil"/>
          <w:between w:val="nil"/>
        </w:pBdr>
        <w:spacing w:line="276" w:lineRule="auto"/>
        <w:ind w:right="-646"/>
        <w:jc w:val="both"/>
        <w:rPr>
          <w:rFonts w:ascii="Palatino Linotype" w:eastAsia="Palatino Linotype" w:hAnsi="Palatino Linotype" w:cs="Palatino Linotype"/>
          <w:b/>
          <w:bCs/>
          <w:color w:val="000000"/>
        </w:rPr>
      </w:pPr>
      <w:bookmarkStart w:id="7" w:name="_heading=h.d8peqtbdynm6" w:colFirst="0" w:colLast="0"/>
      <w:bookmarkEnd w:id="7"/>
      <w:r>
        <w:rPr>
          <w:rFonts w:ascii="Palatino Linotype" w:eastAsia="Palatino Linotype" w:hAnsi="Palatino Linotype" w:cs="Palatino Linotype"/>
          <w:b/>
          <w:bCs/>
          <w:color w:val="000000"/>
        </w:rPr>
        <w:t>Las bitácoras de suministro de combustible de todos los recursos (propios, estatales, federales y otros) las áreas descentralizadas, direcciones, coordinaciones y Defensoría Municipal de los Derechos Humanos, que integran Ayuntamiento de Juchitepec; del año 2020, 2021, 2022, 2023, 2024, 2025 y del uno de enero al diez de abril de dos mil veintiséis.</w:t>
      </w:r>
    </w:p>
    <w:p w:rsidR="00961502" w:rsidRDefault="00961502">
      <w:pPr>
        <w:pBdr>
          <w:top w:val="nil"/>
          <w:left w:val="nil"/>
          <w:bottom w:val="nil"/>
          <w:right w:val="nil"/>
          <w:between w:val="nil"/>
        </w:pBdr>
        <w:spacing w:line="360" w:lineRule="auto"/>
        <w:ind w:left="778" w:right="-646"/>
        <w:jc w:val="both"/>
        <w:rPr>
          <w:rFonts w:ascii="Palatino Linotype" w:eastAsia="Palatino Linotype" w:hAnsi="Palatino Linotype" w:cs="Palatino Linotype"/>
          <w:color w:val="000000"/>
        </w:rPr>
      </w:pPr>
    </w:p>
    <w:p w:rsidR="00961502" w:rsidRDefault="005C7094">
      <w:pPr>
        <w:tabs>
          <w:tab w:val="left" w:pos="8080"/>
        </w:tabs>
        <w:spacing w:line="360" w:lineRule="auto"/>
        <w:ind w:right="-646"/>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documentos que se clasifiquen en su totalidad como confidenciales, objeto de las versiones públicas que se formulen y se pongan a disposición del</w:t>
      </w:r>
      <w:r>
        <w:rPr>
          <w:rFonts w:ascii="Palatino Linotype" w:eastAsia="Palatino Linotype" w:hAnsi="Palatino Linotype" w:cs="Palatino Linotype"/>
          <w:b/>
          <w:bCs/>
        </w:rPr>
        <w:t xml:space="preserve"> RECURRENTE.</w:t>
      </w:r>
    </w:p>
    <w:p w:rsidR="00961502" w:rsidRDefault="00961502">
      <w:pPr>
        <w:spacing w:line="276" w:lineRule="auto"/>
        <w:ind w:right="-646"/>
        <w:jc w:val="both"/>
        <w:rPr>
          <w:rFonts w:ascii="Palatino Linotype" w:eastAsia="Palatino Linotype" w:hAnsi="Palatino Linotype" w:cs="Palatino Linotype"/>
        </w:rPr>
      </w:pPr>
    </w:p>
    <w:p w:rsidR="00961502" w:rsidRDefault="005C7094">
      <w:pPr>
        <w:spacing w:line="360" w:lineRule="auto"/>
        <w:ind w:right="-646"/>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w:t>
      </w:r>
      <w:r>
        <w:rPr>
          <w:rFonts w:ascii="Palatino Linotype" w:eastAsia="Palatino Linotype" w:hAnsi="Palatino Linotype" w:cs="Palatino Linotype"/>
          <w:b/>
          <w:bCs/>
        </w:rPr>
        <w:t>vía 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1D6F2B">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61502" w:rsidRDefault="00961502">
      <w:pPr>
        <w:spacing w:line="360" w:lineRule="auto"/>
        <w:ind w:right="-646"/>
        <w:jc w:val="both"/>
        <w:rPr>
          <w:rFonts w:ascii="Palatino Linotype" w:eastAsia="Palatino Linotype" w:hAnsi="Palatino Linotype" w:cs="Palatino Linotype"/>
        </w:rPr>
      </w:pPr>
    </w:p>
    <w:p w:rsidR="00961502" w:rsidRDefault="005C7094">
      <w:pPr>
        <w:spacing w:line="360" w:lineRule="auto"/>
        <w:ind w:right="-646"/>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961502" w:rsidRDefault="00961502">
      <w:pPr>
        <w:spacing w:line="360" w:lineRule="auto"/>
        <w:ind w:right="-646"/>
        <w:jc w:val="both"/>
        <w:rPr>
          <w:rFonts w:ascii="Palatino Linotype" w:eastAsia="Palatino Linotype" w:hAnsi="Palatino Linotype" w:cs="Palatino Linotype"/>
        </w:rPr>
      </w:pPr>
    </w:p>
    <w:p w:rsidR="00961502" w:rsidRDefault="005C7094">
      <w:pPr>
        <w:spacing w:line="360" w:lineRule="auto"/>
        <w:ind w:right="-646"/>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w:t>
      </w:r>
      <w:r>
        <w:rPr>
          <w:rFonts w:ascii="Palatino Linotype" w:eastAsia="Palatino Linotype" w:hAnsi="Palatino Linotype" w:cs="Palatino Linotype"/>
          <w:b/>
          <w:bCs/>
        </w:rPr>
        <w:t>vía SAIMEX.</w:t>
      </w:r>
    </w:p>
    <w:p w:rsidR="00961502" w:rsidRDefault="00961502">
      <w:pPr>
        <w:spacing w:line="360" w:lineRule="auto"/>
        <w:ind w:right="-646"/>
        <w:jc w:val="both"/>
        <w:rPr>
          <w:rFonts w:ascii="Palatino Linotype" w:eastAsia="Palatino Linotype" w:hAnsi="Palatino Linotype" w:cs="Palatino Linotype"/>
        </w:rPr>
      </w:pPr>
    </w:p>
    <w:p w:rsidR="00961502" w:rsidRDefault="005C7094" w:rsidP="001D6F2B">
      <w:pPr>
        <w:tabs>
          <w:tab w:val="left" w:pos="8080"/>
        </w:tabs>
        <w:spacing w:line="360" w:lineRule="auto"/>
        <w:ind w:right="-646"/>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w:t>
      </w:r>
      <w:r w:rsidR="001D6F2B">
        <w:rPr>
          <w:rFonts w:ascii="Palatino Linotype" w:eastAsia="Palatino Linotype" w:hAnsi="Palatino Linotype" w:cs="Palatino Linotype"/>
        </w:rPr>
        <w:t xml:space="preserve"> </w:t>
      </w:r>
      <w:r>
        <w:rPr>
          <w:rFonts w:ascii="Palatino Linotype" w:eastAsia="Palatino Linotype" w:hAnsi="Palatino Linotype" w:cs="Palatino Linotype"/>
        </w:rPr>
        <w:t>Pública del Estado de México y Municipios, en caso de que considere que la resolución le cause algún perjuicio podrá impugnar, vía juicio de amparo en los</w:t>
      </w:r>
      <w:r w:rsidR="001D6F2B">
        <w:rPr>
          <w:rFonts w:ascii="Palatino Linotype" w:eastAsia="Palatino Linotype" w:hAnsi="Palatino Linotype" w:cs="Palatino Linotype"/>
        </w:rPr>
        <w:t xml:space="preserve"> </w:t>
      </w:r>
      <w:r>
        <w:rPr>
          <w:rFonts w:ascii="Palatino Linotype" w:eastAsia="Palatino Linotype" w:hAnsi="Palatino Linotype" w:cs="Palatino Linotype"/>
        </w:rPr>
        <w:t>Términos de las Leyes aplicables.</w:t>
      </w:r>
    </w:p>
    <w:p w:rsidR="00961502" w:rsidRDefault="00961502">
      <w:pPr>
        <w:shd w:val="clear" w:color="auto" w:fill="FFFFFF"/>
        <w:spacing w:line="360" w:lineRule="auto"/>
        <w:ind w:right="-646"/>
        <w:jc w:val="both"/>
        <w:rPr>
          <w:rFonts w:ascii="Palatino Linotype" w:eastAsia="Palatino Linotype" w:hAnsi="Palatino Linotype" w:cs="Palatino Linotype"/>
        </w:rPr>
      </w:pPr>
    </w:p>
    <w:p w:rsidR="001D6F2B" w:rsidRPr="003E2295" w:rsidRDefault="001D6F2B" w:rsidP="001D6F2B">
      <w:pPr>
        <w:spacing w:before="240" w:after="240" w:line="360" w:lineRule="auto"/>
        <w:ind w:right="-660" w:firstLine="1"/>
        <w:jc w:val="both"/>
        <w:rPr>
          <w:rFonts w:ascii="Palatino Linotype" w:hAnsi="Palatino Linotype"/>
        </w:rPr>
      </w:pPr>
      <w:bookmarkStart w:id="8"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3D32EC">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961502" w:rsidRDefault="00961502">
      <w:p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p>
    <w:p w:rsidR="00961502" w:rsidRDefault="00961502">
      <w:pPr>
        <w:spacing w:after="240" w:line="360" w:lineRule="auto"/>
        <w:ind w:right="-518"/>
        <w:jc w:val="both"/>
        <w:rPr>
          <w:rFonts w:ascii="Palatino Linotype" w:eastAsia="Palatino Linotype" w:hAnsi="Palatino Linotype" w:cs="Palatino Linotype"/>
        </w:rPr>
      </w:pPr>
    </w:p>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p w:rsidR="00961502" w:rsidRDefault="00961502"/>
    <w:sectPr w:rsidR="00961502">
      <w:headerReference w:type="default" r:id="rId8"/>
      <w:footerReference w:type="default" r:id="rId9"/>
      <w:headerReference w:type="first" r:id="rId10"/>
      <w:footerReference w:type="first" r:id="rId11"/>
      <w:pgSz w:w="12240" w:h="15840"/>
      <w:pgMar w:top="2268" w:right="1701"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175" w:rsidRDefault="00A21175">
      <w:r>
        <w:separator/>
      </w:r>
    </w:p>
  </w:endnote>
  <w:endnote w:type="continuationSeparator" w:id="0">
    <w:p w:rsidR="00A21175" w:rsidRDefault="00A2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AC782BB5-28BE-4215-ACC3-8CC5AEABCDA8}"/>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09492AE4-A6B7-42FE-9E2D-B5C91DD08E14}"/>
    <w:embedBold r:id="rId3" w:fontKey="{9A2653BA-9E0D-414C-BEF1-C20AD6613B2A}"/>
    <w:embedItalic r:id="rId4" w:fontKey="{2ACC07BC-3E3F-44CC-9A36-1CC0CAEEC9E0}"/>
    <w:embedBoldItalic r:id="rId5" w:fontKey="{AC43AD1E-64D4-4F00-A61B-4AB2D73685E2}"/>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2969B567-0591-4A0B-80E8-D07EED2660B5}"/>
    <w:embedBold r:id="rId7" w:fontKey="{681EF402-54D9-4A44-931D-26671BC9B127}"/>
    <w:embedItalic r:id="rId8" w:fontKey="{D69D755E-E6B0-4CF0-A994-9BAE3DA09A32}"/>
  </w:font>
  <w:font w:name="Calibri">
    <w:panose1 w:val="020F0502020204030204"/>
    <w:charset w:val="00"/>
    <w:family w:val="swiss"/>
    <w:pitch w:val="variable"/>
    <w:sig w:usb0="E4002EFF" w:usb1="C200247B" w:usb2="00000009" w:usb3="00000000" w:csb0="000001FF" w:csb1="00000000"/>
    <w:embedRegular r:id="rId9" w:fontKey="{2F19F8B9-7F19-405B-8CE6-EFFF35D21B87}"/>
  </w:font>
  <w:font w:name="Georgia">
    <w:panose1 w:val="02040502050405020303"/>
    <w:charset w:val="00"/>
    <w:family w:val="roman"/>
    <w:pitch w:val="variable"/>
    <w:sig w:usb0="00000287" w:usb1="00000000" w:usb2="00000000" w:usb3="00000000" w:csb0="0000009F" w:csb1="00000000"/>
    <w:embedItalic r:id="rId10" w:fontKey="{D7C9EF55-7C4C-4BDE-96A7-BD99619A68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502" w:rsidRDefault="005C7094">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211B5">
      <w:rPr>
        <w:rFonts w:ascii="Palatino Linotype" w:eastAsia="Palatino Linotype" w:hAnsi="Palatino Linotype" w:cs="Palatino Linotype"/>
        <w:b/>
        <w:bCs/>
        <w:noProof/>
        <w:color w:val="000000"/>
        <w:sz w:val="22"/>
        <w:szCs w:val="22"/>
      </w:rPr>
      <w:t>30</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211B5">
      <w:rPr>
        <w:rFonts w:ascii="Palatino Linotype" w:eastAsia="Palatino Linotype" w:hAnsi="Palatino Linotype" w:cs="Palatino Linotype"/>
        <w:b/>
        <w:bCs/>
        <w:noProof/>
        <w:color w:val="000000"/>
        <w:sz w:val="22"/>
        <w:szCs w:val="22"/>
      </w:rPr>
      <w:t>32</w:t>
    </w:r>
    <w:r>
      <w:rPr>
        <w:rFonts w:ascii="Palatino Linotype" w:eastAsia="Palatino Linotype" w:hAnsi="Palatino Linotype" w:cs="Palatino Linotype"/>
        <w:b/>
        <w:bCs/>
        <w:color w:val="000000"/>
        <w:sz w:val="22"/>
        <w:szCs w:val="22"/>
      </w:rPr>
      <w:fldChar w:fldCharType="end"/>
    </w:r>
  </w:p>
  <w:p w:rsidR="00961502" w:rsidRDefault="0096150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502" w:rsidRDefault="005C7094">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4211B5">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4211B5">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961502" w:rsidRDefault="0096150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175" w:rsidRDefault="00A21175">
      <w:r>
        <w:separator/>
      </w:r>
    </w:p>
  </w:footnote>
  <w:footnote w:type="continuationSeparator" w:id="0">
    <w:p w:rsidR="00A21175" w:rsidRDefault="00A21175">
      <w:r>
        <w:continuationSeparator/>
      </w:r>
    </w:p>
  </w:footnote>
  <w:footnote w:id="1">
    <w:p w:rsidR="00961502" w:rsidRDefault="005C7094">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961502" w:rsidRDefault="005C7094">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961502" w:rsidRDefault="005C7094">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rsidR="00961502" w:rsidRDefault="005C7094">
      <w:r>
        <w:rPr>
          <w:vertAlign w:val="superscript"/>
        </w:rPr>
        <w:footnoteRef/>
      </w:r>
    </w:p>
    <w:p w:rsidR="00961502" w:rsidRDefault="00961502">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502" w:rsidRDefault="0096150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0"/>
      <w:tblW w:w="8505" w:type="dxa"/>
      <w:tblInd w:w="1890" w:type="dxa"/>
      <w:tblBorders>
        <w:top w:val="nil"/>
        <w:left w:val="nil"/>
        <w:bottom w:val="nil"/>
        <w:right w:val="nil"/>
        <w:insideH w:val="nil"/>
        <w:insideV w:val="nil"/>
      </w:tblBorders>
      <w:tblLayout w:type="fixed"/>
      <w:tblLook w:val="0400" w:firstRow="0" w:lastRow="0" w:firstColumn="0" w:lastColumn="0" w:noHBand="0" w:noVBand="1"/>
    </w:tblPr>
    <w:tblGrid>
      <w:gridCol w:w="3795"/>
      <w:gridCol w:w="4710"/>
    </w:tblGrid>
    <w:tr w:rsidR="00961502">
      <w:trPr>
        <w:trHeight w:val="138"/>
      </w:trPr>
      <w:tc>
        <w:tcPr>
          <w:tcW w:w="3795" w:type="dxa"/>
          <w:vAlign w:val="center"/>
        </w:tcPr>
        <w:p w:rsidR="00961502" w:rsidRDefault="005C709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10" w:type="dxa"/>
          <w:vAlign w:val="center"/>
        </w:tcPr>
        <w:p w:rsidR="00961502" w:rsidRDefault="005C7094">
          <w:pPr>
            <w:pBdr>
              <w:top w:val="nil"/>
              <w:left w:val="nil"/>
              <w:bottom w:val="nil"/>
              <w:right w:val="nil"/>
              <w:between w:val="nil"/>
            </w:pBdr>
            <w:tabs>
              <w:tab w:val="center" w:pos="4252"/>
              <w:tab w:val="right" w:pos="8504"/>
            </w:tabs>
            <w:ind w:right="-1483"/>
            <w:rPr>
              <w:rFonts w:ascii="Palatino Linotype" w:eastAsia="Palatino Linotype" w:hAnsi="Palatino Linotype" w:cs="Palatino Linotype"/>
              <w:color w:val="000000"/>
            </w:rPr>
          </w:pPr>
          <w:r>
            <w:rPr>
              <w:rFonts w:ascii="Palatino Linotype" w:eastAsia="Palatino Linotype" w:hAnsi="Palatino Linotype" w:cs="Palatino Linotype"/>
              <w:color w:val="000000"/>
            </w:rPr>
            <w:t> 04953/INFOEM/IP/RR/2026 y acumulados</w:t>
          </w:r>
        </w:p>
      </w:tc>
    </w:tr>
    <w:tr w:rsidR="00961502">
      <w:trPr>
        <w:trHeight w:val="233"/>
      </w:trPr>
      <w:tc>
        <w:tcPr>
          <w:tcW w:w="3795" w:type="dxa"/>
          <w:vAlign w:val="center"/>
        </w:tcPr>
        <w:p w:rsidR="00961502" w:rsidRDefault="005C709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10" w:type="dxa"/>
          <w:vAlign w:val="center"/>
        </w:tcPr>
        <w:p w:rsidR="00961502" w:rsidRDefault="005C7094">
          <w:pPr>
            <w:pBdr>
              <w:top w:val="nil"/>
              <w:left w:val="nil"/>
              <w:bottom w:val="nil"/>
              <w:right w:val="nil"/>
              <w:between w:val="nil"/>
            </w:pBdr>
            <w:tabs>
              <w:tab w:val="center" w:pos="4252"/>
              <w:tab w:val="right" w:pos="8504"/>
            </w:tabs>
            <w:ind w:right="-1483"/>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Juchitepec</w:t>
          </w:r>
        </w:p>
      </w:tc>
    </w:tr>
    <w:tr w:rsidR="00961502">
      <w:trPr>
        <w:trHeight w:val="321"/>
      </w:trPr>
      <w:tc>
        <w:tcPr>
          <w:tcW w:w="3795" w:type="dxa"/>
          <w:vAlign w:val="center"/>
        </w:tcPr>
        <w:p w:rsidR="00961502" w:rsidRDefault="005C709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10" w:type="dxa"/>
          <w:vAlign w:val="center"/>
        </w:tcPr>
        <w:p w:rsidR="00961502" w:rsidRDefault="005C7094">
          <w:pPr>
            <w:pBdr>
              <w:top w:val="nil"/>
              <w:left w:val="nil"/>
              <w:bottom w:val="nil"/>
              <w:right w:val="nil"/>
              <w:between w:val="nil"/>
            </w:pBdr>
            <w:tabs>
              <w:tab w:val="center" w:pos="4252"/>
              <w:tab w:val="right" w:pos="8504"/>
            </w:tabs>
            <w:ind w:right="-1483"/>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61502" w:rsidRDefault="005C7094">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simplePos x="0" y="0"/>
          <wp:positionH relativeFrom="page">
            <wp:posOffset>30785</wp:posOffset>
          </wp:positionH>
          <wp:positionV relativeFrom="page">
            <wp:posOffset>30480</wp:posOffset>
          </wp:positionV>
          <wp:extent cx="7695210" cy="10020839"/>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215"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440"/>
      <w:gridCol w:w="5775"/>
    </w:tblGrid>
    <w:tr w:rsidR="00961502" w:rsidTr="004211B5">
      <w:trPr>
        <w:trHeight w:val="138"/>
      </w:trPr>
      <w:tc>
        <w:tcPr>
          <w:tcW w:w="4440" w:type="dxa"/>
          <w:vAlign w:val="center"/>
        </w:tcPr>
        <w:p w:rsidR="00961502" w:rsidRDefault="005C7094">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775" w:type="dxa"/>
          <w:vAlign w:val="center"/>
        </w:tcPr>
        <w:p w:rsidR="00961502" w:rsidRDefault="005C7094" w:rsidP="004211B5">
          <w:pPr>
            <w:pBdr>
              <w:top w:val="nil"/>
              <w:left w:val="nil"/>
              <w:bottom w:val="nil"/>
              <w:right w:val="nil"/>
              <w:between w:val="nil"/>
            </w:pBdr>
            <w:tabs>
              <w:tab w:val="right" w:pos="8504"/>
            </w:tabs>
            <w:ind w:right="-279"/>
            <w:rPr>
              <w:rFonts w:ascii="Palatino Linotype" w:eastAsia="Palatino Linotype" w:hAnsi="Palatino Linotype" w:cs="Palatino Linotype"/>
              <w:color w:val="000000"/>
            </w:rPr>
          </w:pPr>
          <w:r>
            <w:rPr>
              <w:rFonts w:ascii="Palatino Linotype" w:eastAsia="Palatino Linotype" w:hAnsi="Palatino Linotype" w:cs="Palatino Linotype"/>
              <w:color w:val="000000"/>
            </w:rPr>
            <w:t> 04953/INFOEM/IP/RR/2026 y acumulados</w:t>
          </w:r>
        </w:p>
      </w:tc>
    </w:tr>
    <w:tr w:rsidR="00961502" w:rsidTr="004211B5">
      <w:trPr>
        <w:trHeight w:val="233"/>
      </w:trPr>
      <w:tc>
        <w:tcPr>
          <w:tcW w:w="4440" w:type="dxa"/>
          <w:vAlign w:val="center"/>
        </w:tcPr>
        <w:p w:rsidR="00961502" w:rsidRDefault="005C7094">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775" w:type="dxa"/>
        </w:tcPr>
        <w:p w:rsidR="00961502" w:rsidRDefault="004211B5" w:rsidP="004211B5">
          <w:pPr>
            <w:pBdr>
              <w:top w:val="nil"/>
              <w:left w:val="nil"/>
              <w:bottom w:val="nil"/>
              <w:right w:val="nil"/>
              <w:between w:val="nil"/>
            </w:pBdr>
            <w:tabs>
              <w:tab w:val="right" w:pos="8504"/>
            </w:tabs>
            <w:ind w:right="-279"/>
            <w:rPr>
              <w:rFonts w:ascii="Palatino Linotype" w:eastAsia="Palatino Linotype" w:hAnsi="Palatino Linotype" w:cs="Palatino Linotype"/>
              <w:color w:val="FF0000"/>
            </w:rPr>
          </w:pPr>
          <w:r>
            <w:rPr>
              <w:rFonts w:ascii="Palatino Linotype" w:eastAsia="Palatino Linotype" w:hAnsi="Palatino Linotype" w:cs="Palatino Linotype"/>
            </w:rPr>
            <w:t>XXXX</w:t>
          </w:r>
        </w:p>
      </w:tc>
    </w:tr>
    <w:tr w:rsidR="00961502" w:rsidTr="004211B5">
      <w:trPr>
        <w:trHeight w:val="321"/>
      </w:trPr>
      <w:tc>
        <w:tcPr>
          <w:tcW w:w="4440" w:type="dxa"/>
          <w:vAlign w:val="center"/>
        </w:tcPr>
        <w:p w:rsidR="00961502" w:rsidRDefault="005C7094">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775" w:type="dxa"/>
          <w:vAlign w:val="center"/>
        </w:tcPr>
        <w:p w:rsidR="00961502" w:rsidRDefault="005C7094" w:rsidP="004211B5">
          <w:pPr>
            <w:pBdr>
              <w:top w:val="nil"/>
              <w:left w:val="nil"/>
              <w:bottom w:val="nil"/>
              <w:right w:val="nil"/>
              <w:between w:val="nil"/>
            </w:pBdr>
            <w:tabs>
              <w:tab w:val="right" w:pos="8504"/>
            </w:tabs>
            <w:ind w:right="-279"/>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Juchitepec</w:t>
          </w:r>
        </w:p>
      </w:tc>
    </w:tr>
    <w:tr w:rsidR="00961502" w:rsidTr="004211B5">
      <w:trPr>
        <w:trHeight w:val="321"/>
      </w:trPr>
      <w:tc>
        <w:tcPr>
          <w:tcW w:w="4440" w:type="dxa"/>
          <w:vAlign w:val="center"/>
        </w:tcPr>
        <w:p w:rsidR="00961502" w:rsidRDefault="005C7094">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775" w:type="dxa"/>
          <w:vAlign w:val="center"/>
        </w:tcPr>
        <w:p w:rsidR="00961502" w:rsidRDefault="005C7094" w:rsidP="004211B5">
          <w:pPr>
            <w:pBdr>
              <w:top w:val="nil"/>
              <w:left w:val="nil"/>
              <w:bottom w:val="nil"/>
              <w:right w:val="nil"/>
              <w:between w:val="nil"/>
            </w:pBdr>
            <w:tabs>
              <w:tab w:val="right" w:pos="8504"/>
            </w:tabs>
            <w:ind w:right="-279"/>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61502" w:rsidRDefault="004211B5">
    <w:pPr>
      <w:pBdr>
        <w:top w:val="nil"/>
        <w:left w:val="nil"/>
        <w:bottom w:val="nil"/>
        <w:right w:val="nil"/>
        <w:between w:val="nil"/>
      </w:pBdr>
      <w:tabs>
        <w:tab w:val="center" w:pos="4252"/>
        <w:tab w:val="right" w:pos="8504"/>
        <w:tab w:val="left" w:pos="3103"/>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97.7pt;margin-top:-123.95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0BC7"/>
    <w:multiLevelType w:val="multilevel"/>
    <w:tmpl w:val="090C85A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B85EB3"/>
    <w:multiLevelType w:val="multilevel"/>
    <w:tmpl w:val="80A48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AC75B1"/>
    <w:multiLevelType w:val="multilevel"/>
    <w:tmpl w:val="C17E829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47B93DCC"/>
    <w:multiLevelType w:val="multilevel"/>
    <w:tmpl w:val="F364D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233454"/>
    <w:multiLevelType w:val="multilevel"/>
    <w:tmpl w:val="6DF24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CA4E6C"/>
    <w:multiLevelType w:val="multilevel"/>
    <w:tmpl w:val="9BAEE2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DA1744"/>
    <w:multiLevelType w:val="multilevel"/>
    <w:tmpl w:val="828CB29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1"/>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02"/>
    <w:rsid w:val="001D6F2B"/>
    <w:rsid w:val="003D32EC"/>
    <w:rsid w:val="004211B5"/>
    <w:rsid w:val="005C7094"/>
    <w:rsid w:val="00656C1D"/>
    <w:rsid w:val="00666E48"/>
    <w:rsid w:val="00961502"/>
    <w:rsid w:val="009A0F29"/>
    <w:rsid w:val="00A21175"/>
    <w:rsid w:val="00A4210C"/>
    <w:rsid w:val="00D551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57CBFD5-B2F0-4AA3-BC01-00B5EA6B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1D6F2B"/>
    <w:pPr>
      <w:tabs>
        <w:tab w:val="center" w:pos="4419"/>
        <w:tab w:val="right" w:pos="8838"/>
      </w:tabs>
    </w:pPr>
  </w:style>
  <w:style w:type="character" w:customStyle="1" w:styleId="EncabezadoCar">
    <w:name w:val="Encabezado Car"/>
    <w:basedOn w:val="Fuentedeprrafopredeter"/>
    <w:link w:val="Encabezado"/>
    <w:uiPriority w:val="99"/>
    <w:rsid w:val="001D6F2B"/>
  </w:style>
  <w:style w:type="paragraph" w:styleId="Piedepgina">
    <w:name w:val="footer"/>
    <w:basedOn w:val="Normal"/>
    <w:link w:val="PiedepginaCar"/>
    <w:uiPriority w:val="99"/>
    <w:unhideWhenUsed/>
    <w:rsid w:val="001D6F2B"/>
    <w:pPr>
      <w:tabs>
        <w:tab w:val="center" w:pos="4419"/>
        <w:tab w:val="right" w:pos="8838"/>
      </w:tabs>
    </w:pPr>
  </w:style>
  <w:style w:type="character" w:customStyle="1" w:styleId="PiedepginaCar">
    <w:name w:val="Pie de página Car"/>
    <w:basedOn w:val="Fuentedeprrafopredeter"/>
    <w:link w:val="Piedepgina"/>
    <w:uiPriority w:val="99"/>
    <w:rsid w:val="001D6F2B"/>
  </w:style>
  <w:style w:type="paragraph" w:styleId="Prrafodelista">
    <w:name w:val="List Paragraph"/>
    <w:basedOn w:val="Normal"/>
    <w:uiPriority w:val="34"/>
    <w:qFormat/>
    <w:rsid w:val="00421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qm4T2noYQTLRwpBwBcqxWL58Q==">CgMxLjAyDmguZXp0cDh2Y2d0N3EyMg5oLjd0YzRnMzVqYWhzbTIOaC5xbm9iempibzRicWIyDmguajZ1eWd6Y25jcTl2Mg5oLnl4ZXBiNmc2czgycTIOaC5leXNlaGEybm55em8yDmguZDhwZXF0YmR5bm02OAByITFDcVUwTGwzUk10T1hndzdmdUdKc0N3NUJocVh6dnRyQg==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7990</Words>
  <Characters>43949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2026-06-05T16:43:00Z</cp:lastPrinted>
  <dcterms:created xsi:type="dcterms:W3CDTF">2026-06-03T20:17:00Z</dcterms:created>
  <dcterms:modified xsi:type="dcterms:W3CDTF">2026-06-09T23:29:00Z</dcterms:modified>
</cp:coreProperties>
</file>