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2F0" w:rsidRDefault="00047009">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Pr>
          <w:rFonts w:ascii="Palatino Linotype" w:eastAsia="Palatino Linotype" w:hAnsi="Palatino Linotype" w:cs="Palatino Linotype"/>
          <w:b/>
          <w:bCs/>
          <w:sz w:val="22"/>
          <w:szCs w:val="22"/>
        </w:rPr>
        <w:t>a once de marzo de dos mil veintiséis</w:t>
      </w:r>
      <w:r>
        <w:rPr>
          <w:rFonts w:ascii="Palatino Linotype" w:eastAsia="Palatino Linotype" w:hAnsi="Palatino Linotype" w:cs="Palatino Linotype"/>
          <w:sz w:val="22"/>
          <w:szCs w:val="22"/>
        </w:rPr>
        <w:t xml:space="preserve">. </w:t>
      </w:r>
    </w:p>
    <w:p w:rsidR="001C42F0" w:rsidRDefault="00047009">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formado con motivo del recurso de revisión </w:t>
      </w:r>
      <w:r>
        <w:rPr>
          <w:rFonts w:ascii="Palatino Linotype" w:eastAsia="Palatino Linotype" w:hAnsi="Palatino Linotype" w:cs="Palatino Linotype"/>
          <w:b/>
          <w:bCs/>
          <w:sz w:val="22"/>
          <w:szCs w:val="22"/>
        </w:rPr>
        <w:t>00829/INFOEM/IP/RR/2026</w:t>
      </w:r>
      <w:r>
        <w:rPr>
          <w:rFonts w:ascii="Palatino Linotype" w:eastAsia="Palatino Linotype" w:hAnsi="Palatino Linotype" w:cs="Palatino Linotype"/>
          <w:sz w:val="22"/>
          <w:szCs w:val="22"/>
        </w:rPr>
        <w:t>, interpuesto por</w:t>
      </w:r>
      <w:r>
        <w:t xml:space="preserve"> </w:t>
      </w:r>
      <w:r w:rsidR="00390C5C" w:rsidRPr="00390C5C">
        <w:rPr>
          <w:rFonts w:ascii="Palatino Linotype" w:eastAsia="Palatino Linotype" w:hAnsi="Palatino Linotype" w:cs="Palatino Linotype"/>
          <w:b/>
          <w:bCs/>
          <w:sz w:val="22"/>
          <w:szCs w:val="22"/>
        </w:rPr>
        <w:t>XXXXXX XXXXXXXXX XXXXXX</w:t>
      </w:r>
      <w:r>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bCs/>
          <w:sz w:val="22"/>
          <w:szCs w:val="22"/>
        </w:rPr>
        <w:t xml:space="preserve"> 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contra de la respuesta a su solicitud por parte del </w:t>
      </w: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Papalotla</w:t>
      </w:r>
      <w:proofErr w:type="spellEnd"/>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lo sucesi</w:t>
      </w:r>
      <w:r>
        <w:rPr>
          <w:rFonts w:ascii="Palatino Linotype" w:eastAsia="Palatino Linotype" w:hAnsi="Palatino Linotype" w:cs="Palatino Linotype"/>
          <w:sz w:val="22"/>
          <w:szCs w:val="22"/>
        </w:rPr>
        <w:t xml:space="preserve">vo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rsidR="001C42F0" w:rsidRDefault="00047009">
      <w:pPr>
        <w:spacing w:before="240" w:after="240"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 A N T E C E D E N T E S</w:t>
      </w:r>
    </w:p>
    <w:p w:rsidR="001C42F0" w:rsidRDefault="00047009">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diecinueve de noviembre de dos mil veinticinco,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a través del Sistema d</w:t>
      </w:r>
      <w:r>
        <w:rPr>
          <w:rFonts w:ascii="Palatino Linotype" w:eastAsia="Palatino Linotype" w:hAnsi="Palatino Linotype" w:cs="Palatino Linotype"/>
          <w:sz w:val="22"/>
          <w:szCs w:val="22"/>
        </w:rPr>
        <w:t xml:space="preserve">e Acceso a la Información Mexiquense, en lo subsecuente el SAIMEX, formuló ante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la solicitud de acceso a la información pública a la que se le asignó el número</w:t>
      </w:r>
      <w:r>
        <w:t xml:space="preserve"> </w:t>
      </w:r>
      <w:r>
        <w:rPr>
          <w:rFonts w:ascii="Palatino Linotype" w:eastAsia="Palatino Linotype" w:hAnsi="Palatino Linotype" w:cs="Palatino Linotype"/>
          <w:b/>
          <w:bCs/>
          <w:sz w:val="22"/>
          <w:szCs w:val="22"/>
        </w:rPr>
        <w:t>00086/PAPALO/IP/2025;</w:t>
      </w:r>
      <w:r>
        <w:rPr>
          <w:rFonts w:ascii="Palatino Linotype" w:eastAsia="Palatino Linotype" w:hAnsi="Palatino Linotype" w:cs="Palatino Linotype"/>
          <w:sz w:val="22"/>
          <w:szCs w:val="22"/>
        </w:rPr>
        <w:t xml:space="preserve"> mediante la cual requirió la información siguiente: </w:t>
      </w:r>
    </w:p>
    <w:p w:rsidR="001C42F0" w:rsidRDefault="00047009">
      <w:pPr>
        <w:spacing w:before="240" w:after="240"/>
        <w:ind w:left="567" w:right="474"/>
        <w:jc w:val="both"/>
        <w:rPr>
          <w:rFonts w:ascii="Palatino Linotype" w:eastAsia="Palatino Linotype" w:hAnsi="Palatino Linotype" w:cs="Palatino Linotype"/>
          <w:i/>
          <w:iCs/>
          <w:sz w:val="22"/>
          <w:szCs w:val="22"/>
        </w:rPr>
      </w:pPr>
      <w:bookmarkStart w:id="1" w:name="_heading=h.gjdgxs" w:colFirst="0" w:colLast="0"/>
      <w:bookmarkEnd w:id="1"/>
      <w:r>
        <w:rPr>
          <w:rFonts w:ascii="Palatino Linotype" w:eastAsia="Palatino Linotype" w:hAnsi="Palatino Linotype" w:cs="Palatino Linotype"/>
          <w:i/>
          <w:iCs/>
          <w:sz w:val="22"/>
          <w:szCs w:val="22"/>
        </w:rPr>
        <w:t>“</w:t>
      </w:r>
      <w:r>
        <w:rPr>
          <w:rFonts w:ascii="Palatino Linotype" w:eastAsia="Palatino Linotype" w:hAnsi="Palatino Linotype" w:cs="Palatino Linotype"/>
          <w:i/>
          <w:iCs/>
          <w:sz w:val="22"/>
          <w:szCs w:val="22"/>
        </w:rPr>
        <w:t xml:space="preserve">Ver documento de solicitud adjunto” (Sic) </w:t>
      </w:r>
    </w:p>
    <w:p w:rsidR="001C42F0" w:rsidRDefault="00047009">
      <w:pPr>
        <w:spacing w:before="240" w:after="240" w:line="276" w:lineRule="auto"/>
        <w:ind w:left="567" w:right="4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Adjunto a la solicitud de información, la persona solicitante proporcionó el archivo electrónico denominado “</w:t>
      </w:r>
      <w:r>
        <w:rPr>
          <w:rFonts w:ascii="Palatino Linotype" w:eastAsia="Palatino Linotype" w:hAnsi="Palatino Linotype" w:cs="Palatino Linotype"/>
          <w:b/>
          <w:bCs/>
          <w:i/>
          <w:iCs/>
          <w:sz w:val="22"/>
          <w:szCs w:val="22"/>
        </w:rPr>
        <w:t>Solicitud PbRM.pdf</w:t>
      </w:r>
      <w:r>
        <w:rPr>
          <w:rFonts w:ascii="Palatino Linotype" w:eastAsia="Palatino Linotype" w:hAnsi="Palatino Linotype" w:cs="Palatino Linotype"/>
          <w:sz w:val="22"/>
          <w:szCs w:val="22"/>
        </w:rPr>
        <w:t>” que contiene un escrito libre a través del cual se solicitó la siguiente información</w:t>
      </w:r>
      <w:r>
        <w:rPr>
          <w:rFonts w:ascii="Palatino Linotype" w:eastAsia="Palatino Linotype" w:hAnsi="Palatino Linotype" w:cs="Palatino Linotype"/>
          <w:sz w:val="22"/>
          <w:szCs w:val="22"/>
        </w:rPr>
        <w:t>:</w:t>
      </w:r>
    </w:p>
    <w:p w:rsidR="001C42F0" w:rsidRDefault="00047009">
      <w:pPr>
        <w:spacing w:before="240" w:after="240"/>
        <w:ind w:left="567" w:right="474"/>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5267325" cy="552577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67325" cy="5525770"/>
                    </a:xfrm>
                    <a:prstGeom prst="rect">
                      <a:avLst/>
                    </a:prstGeom>
                    <a:ln/>
                  </pic:spPr>
                </pic:pic>
              </a:graphicData>
            </a:graphic>
          </wp:inline>
        </w:drawing>
      </w:r>
    </w:p>
    <w:p w:rsidR="001C42F0" w:rsidRDefault="00047009">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Modalidad de Entrega:</w:t>
      </w:r>
      <w:r>
        <w:rPr>
          <w:rFonts w:ascii="Palatino Linotype" w:eastAsia="Palatino Linotype" w:hAnsi="Palatino Linotype" w:cs="Palatino Linotype"/>
          <w:sz w:val="22"/>
          <w:szCs w:val="22"/>
        </w:rPr>
        <w:t xml:space="preserve"> a través del Sistema de Acceso a la Información Mexiquense (SAIMEX).</w:t>
      </w:r>
    </w:p>
    <w:p w:rsidR="001C42F0" w:rsidRDefault="0004700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2" w:name="_heading=h.3dy6vkm" w:colFirst="0" w:colLast="0"/>
      <w:bookmarkEnd w:id="2"/>
      <w:r>
        <w:rPr>
          <w:rFonts w:ascii="Palatino Linotype" w:eastAsia="Palatino Linotype" w:hAnsi="Palatino Linotype" w:cs="Palatino Linotype"/>
          <w:b/>
          <w:bCs/>
          <w:sz w:val="22"/>
          <w:szCs w:val="22"/>
        </w:rPr>
        <w:t>2.</w:t>
      </w:r>
      <w:r>
        <w:rPr>
          <w:rFonts w:ascii="Palatino Linotype" w:eastAsia="Palatino Linotype" w:hAnsi="Palatino Linotype" w:cs="Palatino Linotype"/>
          <w:b/>
          <w:bCs/>
        </w:rPr>
        <w:t xml:space="preserve"> </w:t>
      </w:r>
      <w:r>
        <w:rPr>
          <w:rFonts w:ascii="Palatino Linotype" w:eastAsia="Palatino Linotype" w:hAnsi="Palatino Linotype" w:cs="Palatino Linotype"/>
          <w:b/>
          <w:bCs/>
          <w:sz w:val="22"/>
          <w:szCs w:val="22"/>
        </w:rPr>
        <w:t xml:space="preserve">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diez de diciembre de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rsidR="001C42F0" w:rsidRDefault="00047009">
      <w:pPr>
        <w:spacing w:before="240" w:after="240"/>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“C. </w:t>
      </w:r>
      <w:r w:rsidR="00390C5C">
        <w:rPr>
          <w:rFonts w:ascii="Palatino Linotype" w:eastAsia="Palatino Linotype" w:hAnsi="Palatino Linotype" w:cs="Palatino Linotype"/>
          <w:i/>
          <w:iCs/>
          <w:sz w:val="22"/>
          <w:szCs w:val="22"/>
        </w:rPr>
        <w:t>XXXXXXXXXXX</w:t>
      </w:r>
      <w:r>
        <w:rPr>
          <w:rFonts w:ascii="Palatino Linotype" w:eastAsia="Palatino Linotype" w:hAnsi="Palatino Linotype" w:cs="Palatino Linotype"/>
          <w:i/>
          <w:iCs/>
          <w:sz w:val="22"/>
          <w:szCs w:val="22"/>
        </w:rPr>
        <w:t xml:space="preserve"> SE ANEXA RESPUESTA A SU SOLICITUD EN FORMATO PDF” (Sic)</w:t>
      </w:r>
    </w:p>
    <w:p w:rsidR="001C42F0" w:rsidRDefault="0004700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Adjunto a la respuesta,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hizo entrega de la siguiente información:</w:t>
      </w:r>
    </w:p>
    <w:p w:rsidR="001C42F0" w:rsidRDefault="001C42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1C42F0" w:rsidRDefault="0004700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del 10 de diciembre de 2025, a través del cual se advierte que la Titular de la UIPPE</w:t>
      </w:r>
      <w:r>
        <w:rPr>
          <w:color w:val="000000"/>
        </w:rPr>
        <w:t xml:space="preserve"> </w:t>
      </w:r>
      <w:r>
        <w:rPr>
          <w:rFonts w:ascii="Palatino Linotype" w:eastAsia="Palatino Linotype" w:hAnsi="Palatino Linotype" w:cs="Palatino Linotype"/>
          <w:color w:val="000000"/>
          <w:sz w:val="22"/>
          <w:szCs w:val="22"/>
        </w:rPr>
        <w:t xml:space="preserve">informó la reserva de información diversa a la requerida, refiriendo que la misma formaba parte de una revisión al cuarto informe trimestral del ejercicio 2025 generado por la Tesorería Municipal, de la cual se está en espera de observaciones y </w:t>
      </w:r>
      <w:proofErr w:type="spellStart"/>
      <w:r>
        <w:rPr>
          <w:rFonts w:ascii="Palatino Linotype" w:eastAsia="Palatino Linotype" w:hAnsi="Palatino Linotype" w:cs="Palatino Linotype"/>
          <w:color w:val="000000"/>
          <w:sz w:val="22"/>
          <w:szCs w:val="22"/>
        </w:rPr>
        <w:t>solventacio</w:t>
      </w:r>
      <w:r>
        <w:rPr>
          <w:rFonts w:ascii="Palatino Linotype" w:eastAsia="Palatino Linotype" w:hAnsi="Palatino Linotype" w:cs="Palatino Linotype"/>
          <w:color w:val="000000"/>
          <w:sz w:val="22"/>
          <w:szCs w:val="22"/>
        </w:rPr>
        <w:t>nes</w:t>
      </w:r>
      <w:proofErr w:type="spellEnd"/>
      <w:r>
        <w:rPr>
          <w:rFonts w:ascii="Palatino Linotype" w:eastAsia="Palatino Linotype" w:hAnsi="Palatino Linotype" w:cs="Palatino Linotype"/>
          <w:color w:val="000000"/>
          <w:sz w:val="22"/>
          <w:szCs w:val="22"/>
        </w:rPr>
        <w:t>, actualizando el supuesto de reserva previsto en el artículo 140 fracción V de la Ley de Transparencia y Acceso a la información Pública del Estado de México y Municipios.</w:t>
      </w:r>
    </w:p>
    <w:p w:rsidR="001C42F0" w:rsidRDefault="001C42F0">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rsidR="001C42F0" w:rsidRDefault="00047009">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w:t>
      </w:r>
      <w:r>
        <w:rPr>
          <w:rFonts w:ascii="Palatino Linotype" w:eastAsia="Palatino Linotype" w:hAnsi="Palatino Linotype" w:cs="Palatino Linotype"/>
          <w:b/>
          <w:bCs/>
          <w:color w:val="000000"/>
          <w:sz w:val="22"/>
          <w:szCs w:val="22"/>
        </w:rPr>
        <w:t>se desarrolla prueba de daño para justificar la reserva respecto de l</w:t>
      </w:r>
      <w:r>
        <w:rPr>
          <w:rFonts w:ascii="Palatino Linotype" w:eastAsia="Palatino Linotype" w:hAnsi="Palatino Linotype" w:cs="Palatino Linotype"/>
          <w:b/>
          <w:bCs/>
          <w:color w:val="000000"/>
          <w:sz w:val="22"/>
          <w:szCs w:val="22"/>
        </w:rPr>
        <w:t xml:space="preserve">o siguiente </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iCs/>
          <w:color w:val="000000"/>
          <w:sz w:val="22"/>
          <w:szCs w:val="22"/>
        </w:rPr>
        <w:t xml:space="preserve">Se solicita una copia digital del </w:t>
      </w:r>
      <w:r>
        <w:rPr>
          <w:rFonts w:ascii="Palatino Linotype" w:eastAsia="Palatino Linotype" w:hAnsi="Palatino Linotype" w:cs="Palatino Linotype"/>
          <w:i/>
          <w:iCs/>
          <w:color w:val="000000"/>
          <w:sz w:val="22"/>
          <w:szCs w:val="22"/>
          <w:u w:val="single"/>
        </w:rPr>
        <w:t>documento donde se DESGLOSE el COSTO FINAL resultante de la celebración de "Día de Muertos", considerando los adornos alusivos a la festividad que se colocaron en el Palacio Municipal, Plaza Morelos y calles d</w:t>
      </w:r>
      <w:r>
        <w:rPr>
          <w:rFonts w:ascii="Palatino Linotype" w:eastAsia="Palatino Linotype" w:hAnsi="Palatino Linotype" w:cs="Palatino Linotype"/>
          <w:i/>
          <w:iCs/>
          <w:color w:val="000000"/>
          <w:sz w:val="22"/>
          <w:szCs w:val="22"/>
          <w:u w:val="single"/>
        </w:rPr>
        <w:t xml:space="preserve">el municipio. Para lo anterior, ténganse en cuenta los días 1 y 2 de noviembre de 2025. Asimismo, se solicita una copia digital del documento que </w:t>
      </w:r>
      <w:proofErr w:type="spellStart"/>
      <w:r>
        <w:rPr>
          <w:rFonts w:ascii="Palatino Linotype" w:eastAsia="Palatino Linotype" w:hAnsi="Palatino Linotype" w:cs="Palatino Linotype"/>
          <w:i/>
          <w:iCs/>
          <w:color w:val="000000"/>
          <w:sz w:val="22"/>
          <w:szCs w:val="22"/>
          <w:u w:val="single"/>
        </w:rPr>
        <w:t>congtenga</w:t>
      </w:r>
      <w:proofErr w:type="spellEnd"/>
      <w:r>
        <w:rPr>
          <w:rFonts w:ascii="Palatino Linotype" w:eastAsia="Palatino Linotype" w:hAnsi="Palatino Linotype" w:cs="Palatino Linotype"/>
          <w:i/>
          <w:iCs/>
          <w:color w:val="000000"/>
          <w:sz w:val="22"/>
          <w:szCs w:val="22"/>
          <w:u w:val="single"/>
        </w:rPr>
        <w:t xml:space="preserve"> la relación de PROVEEDORES que participaron con sus servicios en y para las fechas y festividad alud</w:t>
      </w:r>
      <w:r>
        <w:rPr>
          <w:rFonts w:ascii="Palatino Linotype" w:eastAsia="Palatino Linotype" w:hAnsi="Palatino Linotype" w:cs="Palatino Linotype"/>
          <w:i/>
          <w:iCs/>
          <w:color w:val="000000"/>
          <w:sz w:val="22"/>
          <w:szCs w:val="22"/>
          <w:u w:val="single"/>
        </w:rPr>
        <w:t>idas (incluir NOMBRE O RAZÓN SOCIAL y DOMICILIO FISCAL)</w:t>
      </w:r>
      <w:r>
        <w:rPr>
          <w:rFonts w:ascii="Palatino Linotype" w:eastAsia="Palatino Linotype" w:hAnsi="Palatino Linotype" w:cs="Palatino Linotype"/>
          <w:color w:val="000000"/>
          <w:sz w:val="22"/>
          <w:szCs w:val="22"/>
        </w:rPr>
        <w:t>” (Sic)</w:t>
      </w:r>
    </w:p>
    <w:p w:rsidR="001C42F0" w:rsidRDefault="001C42F0">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rsidR="001C42F0" w:rsidRDefault="0004700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del 10 de diciembre de 2025, a través del cual la Titular de la Unidad de Transparencia refiere remitir la respuesta.</w:t>
      </w:r>
    </w:p>
    <w:p w:rsidR="001C42F0" w:rsidRDefault="00047009">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1C42F0" w:rsidRDefault="0004700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3.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el</w:t>
      </w:r>
      <w:r>
        <w:rPr>
          <w:rFonts w:ascii="Palatino Linotype" w:eastAsia="Palatino Linotype" w:hAnsi="Palatino Linotype" w:cs="Palatino Linotype"/>
          <w:b/>
          <w:bCs/>
          <w:sz w:val="22"/>
          <w:szCs w:val="22"/>
        </w:rPr>
        <w:t xml:space="preserve"> diecinueve de enero de dos mil veintiséis,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bCs/>
          <w:sz w:val="22"/>
          <w:szCs w:val="22"/>
        </w:rPr>
        <w:t xml:space="preserve">SAIMEX, </w:t>
      </w:r>
      <w:r>
        <w:rPr>
          <w:rFonts w:ascii="Palatino Linotype" w:eastAsia="Palatino Linotype" w:hAnsi="Palatino Linotype" w:cs="Palatino Linotype"/>
          <w:sz w:val="22"/>
          <w:szCs w:val="22"/>
        </w:rPr>
        <w:t>en donde se manifestó de la siguiente manera:</w:t>
      </w:r>
    </w:p>
    <w:p w:rsidR="001C42F0" w:rsidRDefault="00047009">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 Acto impugnado: </w:t>
      </w:r>
      <w:r>
        <w:rPr>
          <w:rFonts w:ascii="Palatino Linotype" w:eastAsia="Palatino Linotype" w:hAnsi="Palatino Linotype" w:cs="Palatino Linotype"/>
          <w:i/>
          <w:iCs/>
          <w:sz w:val="22"/>
          <w:szCs w:val="22"/>
        </w:rPr>
        <w:t>“Respuesta del Sujeto Obligado” (Sic)</w:t>
      </w:r>
    </w:p>
    <w:p w:rsidR="001C42F0" w:rsidRDefault="00047009">
      <w:pPr>
        <w:spacing w:line="276" w:lineRule="auto"/>
        <w:ind w:left="567" w:right="900"/>
        <w:jc w:val="both"/>
        <w:rPr>
          <w:rFonts w:ascii="Palatino Linotype" w:eastAsia="Palatino Linotype" w:hAnsi="Palatino Linotype" w:cs="Palatino Linotype"/>
          <w:i/>
          <w:iCs/>
          <w:sz w:val="22"/>
          <w:szCs w:val="22"/>
        </w:rPr>
      </w:pPr>
      <w:bookmarkStart w:id="3" w:name="_heading=h.30j0zll" w:colFirst="0" w:colLast="0"/>
      <w:bookmarkEnd w:id="3"/>
      <w:r>
        <w:rPr>
          <w:rFonts w:ascii="Palatino Linotype" w:eastAsia="Palatino Linotype" w:hAnsi="Palatino Linotype" w:cs="Palatino Linotype"/>
          <w:b/>
          <w:bCs/>
          <w:sz w:val="22"/>
          <w:szCs w:val="22"/>
        </w:rPr>
        <w:t>b) Razones o motivos de inconformidad</w:t>
      </w:r>
      <w:r>
        <w:rPr>
          <w:rFonts w:ascii="Palatino Linotype" w:eastAsia="Palatino Linotype" w:hAnsi="Palatino Linotype" w:cs="Palatino Linotype"/>
          <w:sz w:val="22"/>
          <w:szCs w:val="22"/>
        </w:rPr>
        <w:t>: “</w:t>
      </w:r>
      <w:r>
        <w:rPr>
          <w:rFonts w:ascii="Palatino Linotype" w:eastAsia="Palatino Linotype" w:hAnsi="Palatino Linotype" w:cs="Palatino Linotype"/>
          <w:i/>
          <w:iCs/>
          <w:sz w:val="22"/>
          <w:szCs w:val="22"/>
        </w:rPr>
        <w:t>La clasificación de la información que el Sujeto Obligado (SO) realiza como de reserva, no se apega a derecho en virtud de que la" prueba de daño", que la norm</w:t>
      </w:r>
      <w:r>
        <w:rPr>
          <w:rFonts w:ascii="Palatino Linotype" w:eastAsia="Palatino Linotype" w:hAnsi="Palatino Linotype" w:cs="Palatino Linotype"/>
          <w:i/>
          <w:iCs/>
          <w:sz w:val="22"/>
          <w:szCs w:val="22"/>
        </w:rPr>
        <w:t>atividad en la materia mandata elaborar al SO, no se realizó conforme a la ley. En la "prueba de daño" citada, el SO esgrime argumentos que no se relacionan con el contenido de la solicitud de información que corresponde al folio 00086/PAPALO/IP/2025, dado</w:t>
      </w:r>
      <w:r>
        <w:rPr>
          <w:rFonts w:ascii="Palatino Linotype" w:eastAsia="Palatino Linotype" w:hAnsi="Palatino Linotype" w:cs="Palatino Linotype"/>
          <w:i/>
          <w:iCs/>
          <w:sz w:val="22"/>
          <w:szCs w:val="22"/>
        </w:rPr>
        <w:t xml:space="preserve"> que cita el contenido de otra solicitud de información, la cual no lleva relación alguna con el folio 00086/PAPALO/IP/2025. Bajo este tenor, se solicita -de manera respetuosa- </w:t>
      </w:r>
      <w:proofErr w:type="gramStart"/>
      <w:r>
        <w:rPr>
          <w:rFonts w:ascii="Palatino Linotype" w:eastAsia="Palatino Linotype" w:hAnsi="Palatino Linotype" w:cs="Palatino Linotype"/>
          <w:i/>
          <w:iCs/>
          <w:sz w:val="22"/>
          <w:szCs w:val="22"/>
        </w:rPr>
        <w:t>que</w:t>
      </w:r>
      <w:proofErr w:type="gramEnd"/>
      <w:r>
        <w:rPr>
          <w:rFonts w:ascii="Palatino Linotype" w:eastAsia="Palatino Linotype" w:hAnsi="Palatino Linotype" w:cs="Palatino Linotype"/>
          <w:i/>
          <w:iCs/>
          <w:sz w:val="22"/>
          <w:szCs w:val="22"/>
        </w:rPr>
        <w:t xml:space="preserve"> conforme a derecho, se haga lo conducente a efecto de revocar la clasificac</w:t>
      </w:r>
      <w:r>
        <w:rPr>
          <w:rFonts w:ascii="Palatino Linotype" w:eastAsia="Palatino Linotype" w:hAnsi="Palatino Linotype" w:cs="Palatino Linotype"/>
          <w:i/>
          <w:iCs/>
          <w:sz w:val="22"/>
          <w:szCs w:val="22"/>
        </w:rPr>
        <w:t>ión de la información solicitada, al tiempo de pedir al SO comparta lo solicitado en el folio ya señalado.” (Sic)</w:t>
      </w:r>
    </w:p>
    <w:p w:rsidR="001C42F0" w:rsidRDefault="001C42F0">
      <w:pPr>
        <w:spacing w:line="276" w:lineRule="auto"/>
        <w:ind w:left="567" w:right="900"/>
        <w:jc w:val="both"/>
        <w:rPr>
          <w:rFonts w:ascii="Palatino Linotype" w:eastAsia="Palatino Linotype" w:hAnsi="Palatino Linotype" w:cs="Palatino Linotype"/>
          <w:i/>
          <w:iCs/>
          <w:sz w:val="22"/>
          <w:szCs w:val="22"/>
        </w:rPr>
      </w:pPr>
    </w:p>
    <w:p w:rsidR="001C42F0" w:rsidRDefault="001C42F0">
      <w:pPr>
        <w:spacing w:line="276" w:lineRule="auto"/>
        <w:ind w:right="900"/>
        <w:jc w:val="both"/>
        <w:rPr>
          <w:rFonts w:ascii="Palatino Linotype" w:eastAsia="Palatino Linotype" w:hAnsi="Palatino Linotype" w:cs="Palatino Linotype"/>
          <w:i/>
          <w:iCs/>
          <w:sz w:val="22"/>
          <w:szCs w:val="22"/>
        </w:rPr>
      </w:pPr>
    </w:p>
    <w:p w:rsidR="001C42F0" w:rsidRDefault="00047009">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4. 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w:t>
      </w:r>
      <w:r>
        <w:rPr>
          <w:rFonts w:ascii="Palatino Linotype" w:eastAsia="Palatino Linotype" w:hAnsi="Palatino Linotype" w:cs="Palatino Linotype"/>
          <w:sz w:val="22"/>
          <w:szCs w:val="22"/>
        </w:rPr>
        <w:t xml:space="preserve">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bCs/>
          <w:sz w:val="22"/>
          <w:szCs w:val="22"/>
        </w:rPr>
        <w:t>Guadalupe Ramírez P</w:t>
      </w:r>
      <w:r>
        <w:rPr>
          <w:rFonts w:ascii="Palatino Linotype" w:eastAsia="Palatino Linotype" w:hAnsi="Palatino Linotype" w:cs="Palatino Linotype"/>
          <w:b/>
          <w:bCs/>
          <w:sz w:val="22"/>
          <w:szCs w:val="22"/>
        </w:rPr>
        <w:t xml:space="preserve">eña, </w:t>
      </w:r>
      <w:r>
        <w:rPr>
          <w:rFonts w:ascii="Palatino Linotype" w:eastAsia="Palatino Linotype" w:hAnsi="Palatino Linotype" w:cs="Palatino Linotype"/>
          <w:sz w:val="22"/>
          <w:szCs w:val="22"/>
        </w:rPr>
        <w:t xml:space="preserve">a efecto de que analizara sobre su admisión o su </w:t>
      </w:r>
      <w:proofErr w:type="spellStart"/>
      <w:r>
        <w:rPr>
          <w:rFonts w:ascii="Palatino Linotype" w:eastAsia="Palatino Linotype" w:hAnsi="Palatino Linotype" w:cs="Palatino Linotype"/>
          <w:sz w:val="22"/>
          <w:szCs w:val="22"/>
        </w:rPr>
        <w:t>desechamiento</w:t>
      </w:r>
      <w:proofErr w:type="spellEnd"/>
      <w:r>
        <w:rPr>
          <w:rFonts w:ascii="Palatino Linotype" w:eastAsia="Palatino Linotype" w:hAnsi="Palatino Linotype" w:cs="Palatino Linotype"/>
          <w:sz w:val="22"/>
          <w:szCs w:val="22"/>
        </w:rPr>
        <w:t>.</w:t>
      </w:r>
    </w:p>
    <w:p w:rsidR="001C42F0" w:rsidRDefault="001C42F0">
      <w:pPr>
        <w:spacing w:line="360" w:lineRule="auto"/>
        <w:ind w:right="51"/>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5. Admisión del Recurso de revisión.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veintitrés de enero de dos mil veintiséis, </w:t>
      </w:r>
      <w:r>
        <w:rPr>
          <w:rFonts w:ascii="Palatino Linotype" w:eastAsia="Palatino Linotype" w:hAnsi="Palatino Linotype" w:cs="Palatino Linotype"/>
          <w:sz w:val="22"/>
          <w:szCs w:val="22"/>
        </w:rPr>
        <w:t>este Instituto de Transparencia, Acceso a la Información Pública y Protección de Datos Personales del E</w:t>
      </w:r>
      <w:r>
        <w:rPr>
          <w:rFonts w:ascii="Palatino Linotype" w:eastAsia="Palatino Linotype" w:hAnsi="Palatino Linotype" w:cs="Palatino Linotype"/>
          <w:sz w:val="22"/>
          <w:szCs w:val="22"/>
        </w:rPr>
        <w:t xml:space="preserv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presentara su informe justificado.</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Pr>
          <w:rFonts w:ascii="Palatino Linotype" w:eastAsia="Palatino Linotype" w:hAnsi="Palatino Linotype" w:cs="Palatino Linotype"/>
          <w:b/>
          <w:bCs/>
          <w:sz w:val="22"/>
          <w:szCs w:val="22"/>
        </w:rPr>
        <w:t>6. Manifestaciones</w:t>
      </w:r>
      <w:r>
        <w:rPr>
          <w:rFonts w:ascii="Palatino Linotype" w:eastAsia="Palatino Linotype" w:hAnsi="Palatino Linotype" w:cs="Palatino Linotype"/>
          <w:sz w:val="22"/>
          <w:szCs w:val="22"/>
        </w:rPr>
        <w:t>. De las constancias que integran el expediente en que se actúa se advierte que las partes fueron omisas en hacer valer manifestaciones, como se muestra:</w:t>
      </w:r>
    </w:p>
    <w:p w:rsidR="001C42F0" w:rsidRDefault="001C42F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GoBack"/>
      <w:bookmarkEnd w:id="5"/>
    </w:p>
    <w:p w:rsidR="001C42F0" w:rsidRDefault="0004700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155511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1555115"/>
                    </a:xfrm>
                    <a:prstGeom prst="rect">
                      <a:avLst/>
                    </a:prstGeom>
                    <a:ln/>
                  </pic:spPr>
                </pic:pic>
              </a:graphicData>
            </a:graphic>
          </wp:inline>
        </w:drawing>
      </w:r>
    </w:p>
    <w:p w:rsidR="001C42F0" w:rsidRDefault="001C42F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7. Ampliación del término</w:t>
      </w:r>
      <w:r>
        <w:rPr>
          <w:rFonts w:ascii="Palatino Linotype" w:eastAsia="Palatino Linotype" w:hAnsi="Palatino Linotype" w:cs="Palatino Linotype"/>
          <w:b/>
          <w:bCs/>
          <w:sz w:val="22"/>
          <w:szCs w:val="22"/>
        </w:rPr>
        <w:t xml:space="preserve"> para resolver</w:t>
      </w:r>
      <w:r>
        <w:rPr>
          <w:rFonts w:ascii="Palatino Linotype" w:eastAsia="Palatino Linotype" w:hAnsi="Palatino Linotype" w:cs="Palatino Linotype"/>
          <w:sz w:val="22"/>
          <w:szCs w:val="22"/>
        </w:rPr>
        <w:t xml:space="preserve">. Mediante acuerdo del </w:t>
      </w:r>
      <w:r>
        <w:rPr>
          <w:rFonts w:ascii="Palatino Linotype" w:eastAsia="Palatino Linotype" w:hAnsi="Palatino Linotype" w:cs="Palatino Linotype"/>
          <w:b/>
          <w:bCs/>
          <w:sz w:val="22"/>
          <w:szCs w:val="22"/>
        </w:rPr>
        <w:t>tres de marzo de dos mil veintiséis</w:t>
      </w:r>
      <w:r>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w:t>
      </w:r>
      <w:r>
        <w:rPr>
          <w:rFonts w:ascii="Palatino Linotype" w:eastAsia="Palatino Linotype" w:hAnsi="Palatino Linotype" w:cs="Palatino Linotype"/>
          <w:sz w:val="22"/>
          <w:szCs w:val="22"/>
        </w:rPr>
        <w:t xml:space="preserve">xico y Municipios. </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7.</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bCs/>
          <w:sz w:val="22"/>
          <w:szCs w:val="22"/>
        </w:rPr>
        <w:t>tres de marzo de dos mil veintiséis,</w:t>
      </w:r>
      <w:r>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1C42F0" w:rsidRDefault="001C42F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1C42F0" w:rsidRDefault="0004700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1C42F0" w:rsidRDefault="00047009">
      <w:pPr>
        <w:widowControl w:val="0"/>
        <w:spacing w:before="240" w:after="240"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 C O N S I D E R A N D O S</w:t>
      </w: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 Competencia.</w:t>
      </w:r>
      <w:r>
        <w:rPr>
          <w:rFonts w:ascii="Palatino Linotype" w:eastAsia="Palatino Linotype" w:hAnsi="Palatino Linotype" w:cs="Palatino Linotype"/>
          <w:sz w:val="22"/>
          <w:szCs w:val="22"/>
        </w:rPr>
        <w:t xml:space="preserve"> E</w:t>
      </w:r>
      <w:r>
        <w:rPr>
          <w:rFonts w:ascii="Palatino Linotype" w:eastAsia="Palatino Linotype" w:hAnsi="Palatino Linotype" w:cs="Palatino Linotype"/>
          <w:sz w:val="22"/>
          <w:szCs w:val="22"/>
        </w:rPr>
        <w:t>l Instituto de Transparencia, Acceso a la Información Pública y Protección de Datos Personales del Estado de México y Municipios, es competente para conocer y resolver el presente recurso de revisión interpuesto por la parte recurrente, conforme a lo dispu</w:t>
      </w:r>
      <w:r>
        <w:rPr>
          <w:rFonts w:ascii="Palatino Linotype" w:eastAsia="Palatino Linotype" w:hAnsi="Palatino Linotype" w:cs="Palatino Linotype"/>
          <w:sz w:val="22"/>
          <w:szCs w:val="22"/>
        </w:rPr>
        <w:t>esto en los artículos 6, apartado A de la Constitución Política de los Estados Unidos Mexicanos; 5 párrafos cuadragésimo cuarto, cuadragésimo quinto, cuadragésimo sexto, fracciones IV y V de la Constitución Política del Estado Libre y Soberano de México; T</w:t>
      </w:r>
      <w:r>
        <w:rPr>
          <w:rFonts w:ascii="Palatino Linotype" w:eastAsia="Palatino Linotype" w:hAnsi="Palatino Linotype" w:cs="Palatino Linotype"/>
          <w:sz w:val="22"/>
          <w:szCs w:val="22"/>
        </w:rPr>
        <w:t>ransitorio Cuarto, párrafo segundo del Decreto número 198 de la “LXII” Legislatura del Estado de México; 2, fracción II; 29, 36 fracciones I y II; 176, 178, 181, 185, fracción I, 186 y 188 de la Ley Transparencia y Acceso a la Información Pública del Estad</w:t>
      </w:r>
      <w:r>
        <w:rPr>
          <w:rFonts w:ascii="Palatino Linotype" w:eastAsia="Palatino Linotype" w:hAnsi="Palatino Linotype" w:cs="Palatino Linotype"/>
          <w:sz w:val="22"/>
          <w:szCs w:val="22"/>
        </w:rPr>
        <w:t>o de México y Municipios; 9, fracciones I y XXIII y 11 del Reglamento Interior del Instituto de Transparencia, Acceso a la Información Pública y Protección de Datos Personales del Estado de México y Municipios.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bookmarkStart w:id="6" w:name="_heading=h.tyjcwt" w:colFirst="0" w:colLast="0"/>
      <w:bookmarkEnd w:id="6"/>
      <w:r>
        <w:rPr>
          <w:rFonts w:ascii="Palatino Linotype" w:eastAsia="Palatino Linotype" w:hAnsi="Palatino Linotype" w:cs="Palatino Linotype"/>
          <w:b/>
          <w:bCs/>
          <w:sz w:val="22"/>
          <w:szCs w:val="22"/>
        </w:rPr>
        <w:t xml:space="preserve">Segundo. Oportunidad y </w:t>
      </w:r>
      <w:proofErr w:type="spellStart"/>
      <w:r>
        <w:rPr>
          <w:rFonts w:ascii="Palatino Linotype" w:eastAsia="Palatino Linotype" w:hAnsi="Palatino Linotype" w:cs="Palatino Linotype"/>
          <w:b/>
          <w:bCs/>
          <w:sz w:val="22"/>
          <w:szCs w:val="22"/>
        </w:rPr>
        <w:t>Procedibilidad</w:t>
      </w:r>
      <w:proofErr w:type="spellEnd"/>
      <w:r>
        <w:rPr>
          <w:rFonts w:ascii="Palatino Linotype" w:eastAsia="Palatino Linotype" w:hAnsi="Palatino Linotype" w:cs="Palatino Linotype"/>
          <w:b/>
          <w:bCs/>
          <w:sz w:val="22"/>
          <w:szCs w:val="22"/>
        </w:rPr>
        <w:t xml:space="preserve"> del Re</w:t>
      </w:r>
      <w:r>
        <w:rPr>
          <w:rFonts w:ascii="Palatino Linotype" w:eastAsia="Palatino Linotype" w:hAnsi="Palatino Linotype" w:cs="Palatino Linotype"/>
          <w:b/>
          <w:bCs/>
          <w:sz w:val="22"/>
          <w:szCs w:val="22"/>
        </w:rPr>
        <w:t>curso de Revisión</w:t>
      </w:r>
      <w:r>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Pr>
          <w:rFonts w:ascii="Palatino Linotype" w:eastAsia="Palatino Linotype" w:hAnsi="Palatino Linotype" w:cs="Palatino Linotype"/>
          <w:sz w:val="22"/>
          <w:szCs w:val="22"/>
        </w:rPr>
        <w:t>procedibilidad</w:t>
      </w:r>
      <w:proofErr w:type="spellEnd"/>
      <w:r>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w:t>
      </w:r>
      <w:r>
        <w:rPr>
          <w:rFonts w:ascii="Palatino Linotype" w:eastAsia="Palatino Linotype" w:hAnsi="Palatino Linotype" w:cs="Palatino Linotype"/>
          <w:sz w:val="22"/>
          <w:szCs w:val="22"/>
        </w:rPr>
        <w:t>a Información Pública del Estado de México y Municipios.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dentro del plazo de quince días hábiles, previsto en el artículo 178 de la Ley de Transparencia y Acceso a la Información Pública del Estado de México y Munici</w:t>
      </w:r>
      <w:r>
        <w:rPr>
          <w:rFonts w:ascii="Palatino Linotype" w:eastAsia="Palatino Linotype" w:hAnsi="Palatino Linotype" w:cs="Palatino Linotype"/>
          <w:sz w:val="22"/>
          <w:szCs w:val="22"/>
        </w:rPr>
        <w:t xml:space="preserve">pios, toda vez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remitió la respuesta a la solicitud de información el</w:t>
      </w:r>
      <w:r>
        <w:t xml:space="preserve"> </w:t>
      </w:r>
      <w:r>
        <w:rPr>
          <w:rFonts w:ascii="Palatino Linotype" w:eastAsia="Palatino Linotype" w:hAnsi="Palatino Linotype" w:cs="Palatino Linotype"/>
          <w:b/>
          <w:bCs/>
          <w:sz w:val="22"/>
          <w:szCs w:val="22"/>
        </w:rPr>
        <w:t xml:space="preserve">diez de diciembre de dos mil veinticinco, </w:t>
      </w:r>
      <w:r>
        <w:rPr>
          <w:rFonts w:ascii="Palatino Linotype" w:eastAsia="Palatino Linotype" w:hAnsi="Palatino Linotype" w:cs="Palatino Linotype"/>
          <w:sz w:val="22"/>
          <w:szCs w:val="22"/>
        </w:rPr>
        <w:t xml:space="preserve">mientras que el recurso de revisión interpuesto por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se tuvo por presentado el </w:t>
      </w:r>
      <w:r>
        <w:rPr>
          <w:rFonts w:ascii="Palatino Linotype" w:eastAsia="Palatino Linotype" w:hAnsi="Palatino Linotype" w:cs="Palatino Linotype"/>
          <w:b/>
          <w:bCs/>
          <w:sz w:val="22"/>
          <w:szCs w:val="22"/>
        </w:rPr>
        <w:t xml:space="preserve">diecinueve de enero de </w:t>
      </w:r>
      <w:r>
        <w:rPr>
          <w:rFonts w:ascii="Palatino Linotype" w:eastAsia="Palatino Linotype" w:hAnsi="Palatino Linotype" w:cs="Palatino Linotype"/>
          <w:b/>
          <w:bCs/>
          <w:sz w:val="22"/>
          <w:szCs w:val="22"/>
        </w:rPr>
        <w:t>dos mil veintiséis</w:t>
      </w:r>
      <w:r>
        <w:rPr>
          <w:rFonts w:ascii="Palatino Linotype" w:eastAsia="Palatino Linotype" w:hAnsi="Palatino Linotype" w:cs="Palatino Linotype"/>
          <w:sz w:val="22"/>
          <w:szCs w:val="22"/>
        </w:rPr>
        <w:t xml:space="preserve"> esto es, al </w:t>
      </w:r>
      <w:r>
        <w:rPr>
          <w:rFonts w:ascii="Palatino Linotype" w:eastAsia="Palatino Linotype" w:hAnsi="Palatino Linotype" w:cs="Palatino Linotype"/>
          <w:b/>
          <w:bCs/>
          <w:sz w:val="22"/>
          <w:szCs w:val="22"/>
          <w:u w:val="single"/>
        </w:rPr>
        <w:t>décimo tercer</w:t>
      </w:r>
      <w:r>
        <w:rPr>
          <w:rFonts w:ascii="Palatino Linotype" w:eastAsia="Palatino Linotype" w:hAnsi="Palatino Linotype" w:cs="Palatino Linotype"/>
          <w:sz w:val="22"/>
          <w:szCs w:val="22"/>
        </w:rPr>
        <w:t xml:space="preserve"> día hábil aquel </w:t>
      </w:r>
      <w:r>
        <w:rPr>
          <w:rFonts w:ascii="Palatino Linotype" w:eastAsia="Palatino Linotype" w:hAnsi="Palatino Linotype" w:cs="Palatino Linotype"/>
          <w:b/>
          <w:bCs/>
          <w:sz w:val="22"/>
          <w:szCs w:val="22"/>
        </w:rPr>
        <w:t>en que se tuvo conocimiento de la respuesta impugnada</w:t>
      </w:r>
      <w:r>
        <w:rPr>
          <w:rFonts w:ascii="Palatino Linotype" w:eastAsia="Palatino Linotype" w:hAnsi="Palatino Linotype" w:cs="Palatino Linotype"/>
          <w:sz w:val="22"/>
          <w:szCs w:val="22"/>
        </w:rPr>
        <w:t xml:space="preserve">. </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w:t>
      </w:r>
      <w:r>
        <w:rPr>
          <w:rFonts w:ascii="Palatino Linotype" w:eastAsia="Palatino Linotype" w:hAnsi="Palatino Linotype" w:cs="Palatino Linotype"/>
          <w:sz w:val="22"/>
          <w:szCs w:val="22"/>
        </w:rPr>
        <w:t>ones legales referidas.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Pr>
          <w:rFonts w:ascii="Palatino Linotype" w:eastAsia="Palatino Linotype" w:hAnsi="Palatino Linotype" w:cs="Palatino Linotype"/>
          <w:sz w:val="22"/>
          <w:szCs w:val="22"/>
        </w:rPr>
        <w:t xml:space="preserve">Al mismo tiempo, por cuanto hace a la </w:t>
      </w:r>
      <w:proofErr w:type="spellStart"/>
      <w:r>
        <w:rPr>
          <w:rFonts w:ascii="Palatino Linotype" w:eastAsia="Palatino Linotype" w:hAnsi="Palatino Linotype" w:cs="Palatino Linotype"/>
          <w:sz w:val="22"/>
          <w:szCs w:val="22"/>
        </w:rPr>
        <w:t>procedibilidad</w:t>
      </w:r>
      <w:proofErr w:type="spellEnd"/>
      <w:r>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w:t>
      </w:r>
      <w:r>
        <w:rPr>
          <w:rFonts w:ascii="Palatino Linotype" w:eastAsia="Palatino Linotype" w:hAnsi="Palatino Linotype" w:cs="Palatino Linotype"/>
          <w:sz w:val="22"/>
          <w:szCs w:val="22"/>
        </w:rPr>
        <w:t>ansparencia y Acceso a la Información Pública del Estado de México y Municipios, en atención a que fue presentado mediante el formato visible en el SAIMEX.</w:t>
      </w:r>
    </w:p>
    <w:p w:rsidR="001C42F0" w:rsidRDefault="001C42F0">
      <w:pPr>
        <w:tabs>
          <w:tab w:val="left" w:pos="7938"/>
        </w:tabs>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advierte que resulta procedente la interposición del recurso, según lo manifestado p</w:t>
      </w:r>
      <w:r>
        <w:rPr>
          <w:rFonts w:ascii="Palatino Linotype" w:eastAsia="Palatino Linotype" w:hAnsi="Palatino Linotype" w:cs="Palatino Linotype"/>
          <w:sz w:val="22"/>
          <w:szCs w:val="22"/>
        </w:rPr>
        <w:t xml:space="preserve">or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sus motivos de inconformidad, de acuerdo al artículo 179, fracción II del ordenamiento legal citado, que a la letra dice: </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179.</w:t>
      </w:r>
      <w:r>
        <w:rPr>
          <w:rFonts w:ascii="Palatino Linotype" w:eastAsia="Palatino Linotype" w:hAnsi="Palatino Linotype" w:cs="Palatino Linotype"/>
          <w:i/>
          <w:iCs/>
          <w:sz w:val="22"/>
          <w:szCs w:val="22"/>
        </w:rPr>
        <w:t xml:space="preserve"> El recurso de revisión es un medio de protección que la Ley otorga a los particulares, para</w:t>
      </w:r>
      <w:r>
        <w:rPr>
          <w:rFonts w:ascii="Palatino Linotype" w:eastAsia="Palatino Linotype" w:hAnsi="Palatino Linotype" w:cs="Palatino Linotype"/>
          <w:i/>
          <w:iCs/>
          <w:sz w:val="22"/>
          <w:szCs w:val="22"/>
        </w:rPr>
        <w:t xml:space="preserve"> hacer valer su derecho de acceso a la información pública, y procederá en contra de las siguientes causas:</w:t>
      </w:r>
    </w:p>
    <w:p w:rsidR="001C42F0" w:rsidRDefault="00047009">
      <w:pPr>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1C42F0" w:rsidRDefault="00047009">
      <w:pPr>
        <w:ind w:left="567"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 La clasificación de la información;</w:t>
      </w:r>
    </w:p>
    <w:p w:rsidR="001C42F0" w:rsidRDefault="00047009">
      <w:pPr>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1C42F0">
      <w:pPr>
        <w:ind w:left="567"/>
        <w:rPr>
          <w:rFonts w:ascii="Palatino Linotype" w:eastAsia="Palatino Linotype" w:hAnsi="Palatino Linotype" w:cs="Palatino Linotype"/>
          <w:b/>
          <w:bCs/>
          <w:i/>
          <w:iCs/>
          <w:sz w:val="22"/>
          <w:szCs w:val="22"/>
        </w:rPr>
      </w:pPr>
    </w:p>
    <w:p w:rsidR="001C42F0" w:rsidRDefault="00047009">
      <w:pPr>
        <w:ind w:left="567" w:right="900"/>
        <w:jc w:val="right"/>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(Énfasis añadido)</w:t>
      </w:r>
    </w:p>
    <w:p w:rsidR="001C42F0" w:rsidRDefault="001C42F0">
      <w:pPr>
        <w:ind w:left="567" w:right="900"/>
        <w:jc w:val="right"/>
        <w:rPr>
          <w:rFonts w:ascii="Palatino Linotype" w:eastAsia="Palatino Linotype" w:hAnsi="Palatino Linotype" w:cs="Palatino Linotype"/>
          <w:b/>
          <w:bCs/>
          <w:i/>
          <w:iCs/>
          <w:sz w:val="22"/>
          <w:szCs w:val="22"/>
        </w:rPr>
      </w:pPr>
    </w:p>
    <w:p w:rsidR="001C42F0" w:rsidRDefault="0004700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Tercero. Materia de la revisión. </w:t>
      </w:r>
      <w:r>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bCs/>
          <w:sz w:val="22"/>
          <w:szCs w:val="22"/>
        </w:rPr>
        <w:t>verificar si la información otorgada por el Su</w:t>
      </w:r>
      <w:r>
        <w:rPr>
          <w:rFonts w:ascii="Palatino Linotype" w:eastAsia="Palatino Linotype" w:hAnsi="Palatino Linotype" w:cs="Palatino Linotype"/>
          <w:b/>
          <w:bCs/>
          <w:sz w:val="22"/>
          <w:szCs w:val="22"/>
        </w:rPr>
        <w:t>jeto Obligado es adecuada y suficiente para satisfacer el derecho de acceso a la información pública de la parte Recurrente,</w:t>
      </w:r>
      <w:r>
        <w:rPr>
          <w:rFonts w:ascii="Palatino Linotype" w:eastAsia="Palatino Linotype" w:hAnsi="Palatino Linotype" w:cs="Palatino Linotype"/>
          <w:sz w:val="22"/>
          <w:szCs w:val="22"/>
        </w:rPr>
        <w:t xml:space="preserve"> o en su defecto, en caso de ser procedente, ordenar la entrega de la información oportuna.</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Estudio del asunto. </w:t>
      </w:r>
      <w:r>
        <w:rPr>
          <w:rFonts w:ascii="Palatino Linotype" w:eastAsia="Palatino Linotype" w:hAnsi="Palatino Linotype" w:cs="Palatino Linotype"/>
          <w:sz w:val="22"/>
          <w:szCs w:val="22"/>
        </w:rPr>
        <w:t>Antes de en</w:t>
      </w:r>
      <w:r>
        <w:rPr>
          <w:rFonts w:ascii="Palatino Linotype" w:eastAsia="Palatino Linotype" w:hAnsi="Palatino Linotype" w:cs="Palatino Linotype"/>
          <w:sz w:val="22"/>
          <w:szCs w:val="22"/>
        </w:rPr>
        <w:t xml:space="preserve">trar al análisis de los pronunciamientos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la respuesta proporcionada, es necesario mencionar que el derecho al acceso de la información pública, información que consiste en aquella que sea generada, obtenida, adquirida, transformada, </w:t>
      </w:r>
      <w:r>
        <w:rPr>
          <w:rFonts w:ascii="Palatino Linotype" w:eastAsia="Palatino Linotype" w:hAnsi="Palatino Linotype" w:cs="Palatino Linotype"/>
          <w:sz w:val="22"/>
          <w:szCs w:val="22"/>
        </w:rPr>
        <w:t>administrada o en posesión de los Sujetos Obligados, como así también lo señala la Ley de Transparencia y Acceso a la Información Pública del Estado de México y Municipios en su artículo 4, que toda la información generada, obtenida, adquirida, transformad</w:t>
      </w:r>
      <w:r>
        <w:rPr>
          <w:rFonts w:ascii="Palatino Linotype" w:eastAsia="Palatino Linotype" w:hAnsi="Palatino Linotype" w:cs="Palatino Linotype"/>
          <w:sz w:val="22"/>
          <w:szCs w:val="22"/>
        </w:rPr>
        <w:t>a, administrada o en posesión de los sujetos obligados, es pública y accesible, de manera permanente a cualquier persona, privilegiando el principio de máxima publicidad, como así lo establece dicha determinación, que a continuación se transcribe para un m</w:t>
      </w:r>
      <w:r>
        <w:rPr>
          <w:rFonts w:ascii="Palatino Linotype" w:eastAsia="Palatino Linotype" w:hAnsi="Palatino Linotype" w:cs="Palatino Linotype"/>
          <w:sz w:val="22"/>
          <w:szCs w:val="22"/>
        </w:rPr>
        <w:t>ejor entendimiento:</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C42F0" w:rsidRDefault="001C42F0">
      <w:pPr>
        <w:spacing w:line="276" w:lineRule="auto"/>
        <w:ind w:left="851" w:right="843"/>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Toda la informació</w:t>
      </w:r>
      <w:r>
        <w:rPr>
          <w:rFonts w:ascii="Palatino Linotype" w:eastAsia="Palatino Linotype" w:hAnsi="Palatino Linotype" w:cs="Palatino Linotype"/>
          <w:b/>
          <w:bCs/>
          <w:i/>
          <w:iCs/>
          <w:sz w:val="22"/>
          <w:szCs w:val="22"/>
        </w:rPr>
        <w:t>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iCs/>
          <w:sz w:val="22"/>
          <w:szCs w:val="22"/>
        </w:rPr>
        <w:t xml:space="preserve">, en los términos y condiciones que se establezcan en los tratados internacionales de los que </w:t>
      </w:r>
      <w:r>
        <w:rPr>
          <w:rFonts w:ascii="Palatino Linotype" w:eastAsia="Palatino Linotype" w:hAnsi="Palatino Linotype" w:cs="Palatino Linotype"/>
          <w:i/>
          <w:iCs/>
          <w:sz w:val="22"/>
          <w:szCs w:val="22"/>
        </w:rPr>
        <w:t>el Estado mexicano sea parte, en la Ley General, la presente Ley y demás disposiciones de la materia, privilegiando el principio de máxima publicidad de la información. Solo podrá ser clasificada excepcionalmente Ley de Transparencia y Acceso a la Informac</w:t>
      </w:r>
      <w:r>
        <w:rPr>
          <w:rFonts w:ascii="Palatino Linotype" w:eastAsia="Palatino Linotype" w:hAnsi="Palatino Linotype" w:cs="Palatino Linotype"/>
          <w:i/>
          <w:iCs/>
          <w:sz w:val="22"/>
          <w:szCs w:val="22"/>
        </w:rPr>
        <w:t>ión Pública del Estado de México y Municipios 29 como reservada temporalmente por razones de interés público, en los términos de las causas legítimas y estrictamente necesarias previstas por esta Ley.</w:t>
      </w:r>
    </w:p>
    <w:p w:rsidR="001C42F0" w:rsidRDefault="001C42F0">
      <w:pPr>
        <w:spacing w:line="276" w:lineRule="auto"/>
        <w:ind w:left="851" w:right="843"/>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sujetos obligados deben poner en práctica, polític</w:t>
      </w:r>
      <w:r>
        <w:rPr>
          <w:rFonts w:ascii="Palatino Linotype" w:eastAsia="Palatino Linotype" w:hAnsi="Palatino Linotype" w:cs="Palatino Linotype"/>
          <w:b/>
          <w:bCs/>
          <w:i/>
          <w:iCs/>
          <w:sz w:val="22"/>
          <w:szCs w:val="22"/>
        </w:rPr>
        <w:t>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iCs/>
          <w:sz w:val="22"/>
          <w:szCs w:val="22"/>
        </w:rPr>
        <w:t>.”</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atender las solicitude</w:t>
      </w:r>
      <w:r>
        <w:rPr>
          <w:rFonts w:ascii="Palatino Linotype" w:eastAsia="Palatino Linotype" w:hAnsi="Palatino Linotype" w:cs="Palatino Linotype"/>
          <w:sz w:val="22"/>
          <w:szCs w:val="22"/>
        </w:rPr>
        <w:t>s de acceso a la información pública que se les hagan de su conocimiento y proporcionar la información pública que obren en su poder conforme el estado que se encuentra y no hacer un procesamiento de la misma, ni presentarla conforme al interés del solicit</w:t>
      </w:r>
      <w:r>
        <w:rPr>
          <w:rFonts w:ascii="Palatino Linotype" w:eastAsia="Palatino Linotype" w:hAnsi="Palatino Linotype" w:cs="Palatino Linotype"/>
          <w:sz w:val="22"/>
          <w:szCs w:val="22"/>
        </w:rPr>
        <w:t>ante; como así lo establece el artículo 12 de la Ley de Transparencia y Acceso a la Información Pública del Estado de México y Municipios, que a la letra dice:</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xml:space="preserve"> Quienes generen, recopilen, administren, manejen, procesen, archiven o conserven</w:t>
      </w:r>
      <w:r>
        <w:rPr>
          <w:rFonts w:ascii="Palatino Linotype" w:eastAsia="Palatino Linotype" w:hAnsi="Palatino Linotype" w:cs="Palatino Linotype"/>
          <w:i/>
          <w:iCs/>
          <w:sz w:val="22"/>
          <w:szCs w:val="22"/>
        </w:rPr>
        <w:t xml:space="preserve"> información pública serán responsables de la misma en los términos de las disposiciones jurídicas aplicables. </w:t>
      </w:r>
    </w:p>
    <w:p w:rsidR="001C42F0" w:rsidRDefault="001C42F0">
      <w:pPr>
        <w:ind w:left="851" w:right="843"/>
        <w:jc w:val="both"/>
        <w:rPr>
          <w:rFonts w:ascii="Palatino Linotype" w:eastAsia="Palatino Linotype" w:hAnsi="Palatino Linotype" w:cs="Palatino Linotype"/>
          <w:i/>
          <w:iCs/>
          <w:sz w:val="22"/>
          <w:szCs w:val="22"/>
        </w:rPr>
      </w:pPr>
    </w:p>
    <w:p w:rsidR="001C42F0" w:rsidRDefault="00047009">
      <w:pPr>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w:t>
      </w:r>
      <w:r>
        <w:rPr>
          <w:rFonts w:ascii="Palatino Linotype" w:eastAsia="Palatino Linotype" w:hAnsi="Palatino Linotype" w:cs="Palatino Linotype"/>
          <w:b/>
          <w:bCs/>
          <w:i/>
          <w:iCs/>
          <w:sz w:val="22"/>
          <w:szCs w:val="22"/>
        </w:rPr>
        <w:t>ncuentre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1C42F0" w:rsidRDefault="001C42F0">
      <w:pPr>
        <w:spacing w:line="360" w:lineRule="auto"/>
        <w:ind w:left="567" w:right="616"/>
        <w:jc w:val="both"/>
        <w:rPr>
          <w:rFonts w:ascii="Palatino Linotype" w:eastAsia="Palatino Linotype" w:hAnsi="Palatino Linotype" w:cs="Palatino Linotype"/>
          <w:i/>
          <w:iCs/>
          <w:sz w:val="22"/>
          <w:szCs w:val="22"/>
        </w:rPr>
      </w:pPr>
    </w:p>
    <w:p w:rsidR="001C42F0" w:rsidRDefault="00047009">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w:t>
      </w:r>
      <w:r>
        <w:rPr>
          <w:rFonts w:ascii="Palatino Linotype" w:eastAsia="Palatino Linotype" w:hAnsi="Palatino Linotype" w:cs="Palatino Linotype"/>
          <w:sz w:val="22"/>
          <w:szCs w:val="22"/>
        </w:rPr>
        <w:t>rocedimientos para obtenerla, calcular y practicar investigaciones; en otras palabras, que los Sujetos Obligados solo se concretaran a proporcionar la información solicitada que tengan en su poder en el estado que se encuentran, sin necesidad de concretars</w:t>
      </w:r>
      <w:r>
        <w:rPr>
          <w:rFonts w:ascii="Palatino Linotype" w:eastAsia="Palatino Linotype" w:hAnsi="Palatino Linotype" w:cs="Palatino Linotype"/>
          <w:sz w:val="22"/>
          <w:szCs w:val="22"/>
        </w:rPr>
        <w:t>e al interés o términos específicos del solicitante.</w:t>
      </w:r>
    </w:p>
    <w:p w:rsidR="001C42F0" w:rsidRDefault="001C42F0">
      <w:pPr>
        <w:spacing w:line="360" w:lineRule="auto"/>
        <w:ind w:right="-93"/>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Pr>
          <w:rFonts w:ascii="Palatino Linotype" w:eastAsia="Palatino Linotype" w:hAnsi="Palatino Linotype" w:cs="Palatino Linotype"/>
          <w:b/>
          <w:bCs/>
          <w:sz w:val="22"/>
          <w:szCs w:val="22"/>
        </w:rPr>
        <w:t xml:space="preserve"> </w:t>
      </w:r>
    </w:p>
    <w:p w:rsidR="001C42F0" w:rsidRDefault="001C42F0">
      <w:pPr>
        <w:spacing w:line="360" w:lineRule="auto"/>
        <w:jc w:val="both"/>
        <w:rPr>
          <w:rFonts w:ascii="Palatino Linotype" w:eastAsia="Palatino Linotype" w:hAnsi="Palatino Linotype" w:cs="Palatino Linotype"/>
          <w:b/>
          <w:b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No existe</w:t>
      </w:r>
      <w:r>
        <w:rPr>
          <w:rFonts w:ascii="Palatino Linotype" w:eastAsia="Palatino Linotype" w:hAnsi="Palatino Linotype" w:cs="Palatino Linotype"/>
          <w:b/>
          <w:bCs/>
          <w:i/>
          <w:iCs/>
          <w:sz w:val="22"/>
          <w:szCs w:val="22"/>
        </w:rPr>
        <w:t xml:space="preserve"> obligación de elaborar documentos ad hoc para atender las solicitudes de acceso a la información.</w:t>
      </w:r>
      <w:r>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w:t>
      </w:r>
      <w:r>
        <w:rPr>
          <w:rFonts w:ascii="Palatino Linotype" w:eastAsia="Palatino Linotype" w:hAnsi="Palatino Linotype" w:cs="Palatino Linotype"/>
          <w:i/>
          <w:iCs/>
          <w:sz w:val="22"/>
          <w:szCs w:val="22"/>
        </w:rPr>
        <w:t>a Información Pública, señalan que los sujetos obligados deberán otorgar acceso a los documentos que se encuentren en sus archivos o que estén obligados a documentar, de acuerdo con sus facultades, competencias o funciones, conforme a las características f</w:t>
      </w:r>
      <w:r>
        <w:rPr>
          <w:rFonts w:ascii="Palatino Linotype" w:eastAsia="Palatino Linotype" w:hAnsi="Palatino Linotype" w:cs="Palatino Linotype"/>
          <w:i/>
          <w:iCs/>
          <w:sz w:val="22"/>
          <w:szCs w:val="22"/>
        </w:rPr>
        <w:t>ísicas de la información o del lugar donde se encuentre. Por lo anterior, los sujetos obligados deben garantizar el derecho de acceso a la información del particular, proporcionando la información con la que cuentan en el formato en que la misma obre en su</w:t>
      </w:r>
      <w:r>
        <w:rPr>
          <w:rFonts w:ascii="Palatino Linotype" w:eastAsia="Palatino Linotype" w:hAnsi="Palatino Linotype" w:cs="Palatino Linotype"/>
          <w:i/>
          <w:iCs/>
          <w:sz w:val="22"/>
          <w:szCs w:val="22"/>
        </w:rPr>
        <w:t xml:space="preserve">s archivos; sin necesidad de elaborar documentos ad hoc para atender las solicitudes de información”. </w:t>
      </w:r>
    </w:p>
    <w:p w:rsidR="001C42F0" w:rsidRDefault="001C42F0">
      <w:pPr>
        <w:spacing w:line="360" w:lineRule="auto"/>
        <w:ind w:right="-93"/>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w:t>
      </w:r>
      <w:r>
        <w:rPr>
          <w:rFonts w:ascii="Palatino Linotype" w:eastAsia="Palatino Linotype" w:hAnsi="Palatino Linotype" w:cs="Palatino Linotype"/>
          <w:sz w:val="22"/>
          <w:szCs w:val="22"/>
        </w:rPr>
        <w:t>ca que generen, administren o posean en el ejercicio de sus atribuciones; por consiguiente, la información pública se encuentra a disposición de cualquier persona, lo que implica que es deber de los Sujetos Obligados, garantizar el Derecho de Acceso a la I</w:t>
      </w:r>
      <w:r>
        <w:rPr>
          <w:rFonts w:ascii="Palatino Linotype" w:eastAsia="Palatino Linotype" w:hAnsi="Palatino Linotype" w:cs="Palatino Linotype"/>
          <w:sz w:val="22"/>
          <w:szCs w:val="22"/>
        </w:rPr>
        <w:t>nformación Pública.</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w:t>
      </w:r>
      <w:r>
        <w:rPr>
          <w:rFonts w:ascii="Palatino Linotype" w:eastAsia="Palatino Linotype" w:hAnsi="Palatino Linotype" w:cs="Palatino Linotype"/>
          <w:sz w:val="22"/>
          <w:szCs w:val="22"/>
        </w:rPr>
        <w:t>do clasificatorio del comité de transparencia y la versión pública que emita el servidor público habilitado de cada Sujeto Obligado; como así se establece en la Ley de Transparencia y Acceso a la Información Pública del Estado de México y Municipios.</w:t>
      </w:r>
    </w:p>
    <w:p w:rsidR="001C42F0" w:rsidRDefault="001C42F0">
      <w:pPr>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w:t>
      </w:r>
      <w:r>
        <w:rPr>
          <w:rFonts w:ascii="Palatino Linotype" w:eastAsia="Palatino Linotype" w:hAnsi="Palatino Linotype" w:cs="Palatino Linotype"/>
          <w:sz w:val="22"/>
          <w:szCs w:val="22"/>
        </w:rPr>
        <w:t>onclusión, el derecho de acceso a la información pública, consiste en que la información solicitada conste en un documento en cualquiera de sus formas, a saber: expedientes, reportes, estudios, actas, resoluciones, oficios, correspondencia, acuerdos, direc</w:t>
      </w:r>
      <w:r>
        <w:rPr>
          <w:rFonts w:ascii="Palatino Linotype" w:eastAsia="Palatino Linotype" w:hAnsi="Palatino Linotype" w:cs="Palatino Linotype"/>
          <w:sz w:val="22"/>
          <w:szCs w:val="22"/>
        </w:rPr>
        <w:t>tivas, directrices, circulares, contratos, convenios, instructivos, notas, memorandos, estadísticas o bien, cualquier otro registro que documente el ejercicio de las facultades, funciones y competencias de los Sujetos Obligados; los que, podrán estar en cu</w:t>
      </w:r>
      <w:r>
        <w:rPr>
          <w:rFonts w:ascii="Palatino Linotype" w:eastAsia="Palatino Linotype" w:hAnsi="Palatino Linotype" w:cs="Palatino Linotype"/>
          <w:sz w:val="22"/>
          <w:szCs w:val="22"/>
        </w:rPr>
        <w:t xml:space="preserve">alquier medio, sea escrito, impreso, sonoro, visual, electrónico, informático u holográfico de conformidad con el artículo 3, fracción XI de la Ley de la materia, el cual señala lo siguiente: </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3. </w:t>
      </w:r>
      <w:r>
        <w:rPr>
          <w:rFonts w:ascii="Palatino Linotype" w:eastAsia="Palatino Linotype" w:hAnsi="Palatino Linotype" w:cs="Palatino Linotype"/>
          <w:i/>
          <w:iCs/>
          <w:sz w:val="22"/>
          <w:szCs w:val="22"/>
        </w:rPr>
        <w:t xml:space="preserve">Para los efectos de la presente Ley se entenderá </w:t>
      </w:r>
      <w:r>
        <w:rPr>
          <w:rFonts w:ascii="Palatino Linotype" w:eastAsia="Palatino Linotype" w:hAnsi="Palatino Linotype" w:cs="Palatino Linotype"/>
          <w:i/>
          <w:iCs/>
          <w:sz w:val="22"/>
          <w:szCs w:val="22"/>
        </w:rPr>
        <w:t>por:</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 Documento:</w:t>
      </w:r>
      <w:r>
        <w:rPr>
          <w:rFonts w:ascii="Palatino Linotype" w:eastAsia="Palatino Linotype" w:hAnsi="Palatino Linotype" w:cs="Palatino Linotype"/>
          <w:i/>
          <w:iCs/>
          <w:sz w:val="22"/>
          <w:szCs w:val="22"/>
        </w:rPr>
        <w:t xml:space="preserve"> Los expedientes, reportes, estudios, actas</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w:t>
      </w:r>
      <w:r>
        <w:rPr>
          <w:rFonts w:ascii="Palatino Linotype" w:eastAsia="Palatino Linotype" w:hAnsi="Palatino Linotype" w:cs="Palatino Linotype"/>
          <w:i/>
          <w:iCs/>
          <w:sz w:val="22"/>
          <w:szCs w:val="22"/>
        </w:rPr>
        <w:t xml:space="preserve"> documente el ejercicio de las facultades, funciones y competencias de los sujetos obligados, sus servidores públicos e integrantes, sin importar su fuente o fecha de elaboración. Los documentos podrán estar en cualquier medio, sea escrito, impreso, sonoro</w:t>
      </w:r>
      <w:r>
        <w:rPr>
          <w:rFonts w:ascii="Palatino Linotype" w:eastAsia="Palatino Linotype" w:hAnsi="Palatino Linotype" w:cs="Palatino Linotype"/>
          <w:i/>
          <w:iCs/>
          <w:sz w:val="22"/>
          <w:szCs w:val="22"/>
        </w:rPr>
        <w:t xml:space="preserve">, visual, electrónico, informático u holográfico…” </w:t>
      </w:r>
    </w:p>
    <w:p w:rsidR="001C42F0" w:rsidRDefault="001C42F0">
      <w:pPr>
        <w:spacing w:line="360" w:lineRule="auto"/>
        <w:ind w:left="851" w:right="899"/>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w:t>
      </w:r>
      <w:r>
        <w:rPr>
          <w:rFonts w:ascii="Palatino Linotype" w:eastAsia="Palatino Linotype" w:hAnsi="Palatino Linotype" w:cs="Palatino Linotype"/>
          <w:sz w:val="22"/>
          <w:szCs w:val="22"/>
        </w:rPr>
        <w:t>ico y Municipios; publicado en el Periódico Oficial del Gobierno del Estado Libre y Soberano de México “Gaceta del Gobierno”, el diecinueve de octubre de dos mil once, cuyo rubro y texto refieren lo siguiente:</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276" w:lineRule="auto"/>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 INFORMACIÓN PÚBLICA, CONCE</w:t>
      </w:r>
      <w:r>
        <w:rPr>
          <w:rFonts w:ascii="Palatino Linotype" w:eastAsia="Palatino Linotype" w:hAnsi="Palatino Linotype" w:cs="Palatino Linotype"/>
          <w:b/>
          <w:bCs/>
          <w:i/>
          <w:iCs/>
          <w:sz w:val="22"/>
          <w:szCs w:val="22"/>
        </w:rPr>
        <w:t>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w:t>
      </w:r>
      <w:r>
        <w:rPr>
          <w:rFonts w:ascii="Palatino Linotype" w:eastAsia="Palatino Linotype" w:hAnsi="Palatino Linotype" w:cs="Palatino Linotype"/>
          <w:i/>
          <w:iCs/>
          <w:sz w:val="22"/>
          <w:szCs w:val="22"/>
        </w:rPr>
        <w:t xml:space="preserve"> resultado material, el acceso a los archivos, registros y documentos públicos, administrados, generados o en posesión de los órganos u organismos públicos, en virtud del ejercicio de sus funciones de derecho público, sin importar su fuente, soporte o fech</w:t>
      </w:r>
      <w:r>
        <w:rPr>
          <w:rFonts w:ascii="Palatino Linotype" w:eastAsia="Palatino Linotype" w:hAnsi="Palatino Linotype" w:cs="Palatino Linotype"/>
          <w:i/>
          <w:iCs/>
          <w:sz w:val="22"/>
          <w:szCs w:val="22"/>
        </w:rPr>
        <w:t>a de elaboración.</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w:t>
      </w:r>
      <w:proofErr w:type="gramStart"/>
      <w:r>
        <w:rPr>
          <w:rFonts w:ascii="Palatino Linotype" w:eastAsia="Palatino Linotype" w:hAnsi="Palatino Linotype" w:cs="Palatino Linotype"/>
          <w:i/>
          <w:iCs/>
          <w:sz w:val="22"/>
          <w:szCs w:val="22"/>
        </w:rPr>
        <w:t>consecuencia</w:t>
      </w:r>
      <w:proofErr w:type="gramEnd"/>
      <w:r>
        <w:rPr>
          <w:rFonts w:ascii="Palatino Linotype" w:eastAsia="Palatino Linotype" w:hAnsi="Palatino Linotype" w:cs="Palatino Linotype"/>
          <w:i/>
          <w:iCs/>
          <w:sz w:val="22"/>
          <w:szCs w:val="22"/>
        </w:rPr>
        <w:t xml:space="preserve"> el acceso a la información se refiere a que se cumplan cualquiera de los siguientes tres supuestos:</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 Que se trate de información registrada en cualquier soporte documental, </w:t>
      </w:r>
      <w:proofErr w:type="gramStart"/>
      <w:r>
        <w:rPr>
          <w:rFonts w:ascii="Palatino Linotype" w:eastAsia="Palatino Linotype" w:hAnsi="Palatino Linotype" w:cs="Palatino Linotype"/>
          <w:i/>
          <w:iCs/>
          <w:sz w:val="22"/>
          <w:szCs w:val="22"/>
        </w:rPr>
        <w:t>que</w:t>
      </w:r>
      <w:proofErr w:type="gramEnd"/>
      <w:r>
        <w:rPr>
          <w:rFonts w:ascii="Palatino Linotype" w:eastAsia="Palatino Linotype" w:hAnsi="Palatino Linotype" w:cs="Palatino Linotype"/>
          <w:i/>
          <w:iCs/>
          <w:sz w:val="22"/>
          <w:szCs w:val="22"/>
        </w:rPr>
        <w:t xml:space="preserve"> en ejercicio de las atribuciones conferidas</w:t>
      </w:r>
      <w:r>
        <w:rPr>
          <w:rFonts w:ascii="Palatino Linotype" w:eastAsia="Palatino Linotype" w:hAnsi="Palatino Linotype" w:cs="Palatino Linotype"/>
          <w:i/>
          <w:iCs/>
          <w:sz w:val="22"/>
          <w:szCs w:val="22"/>
        </w:rPr>
        <w:t>, sea generada por los Sujetos Obligados;</w:t>
      </w:r>
    </w:p>
    <w:p w:rsidR="001C42F0" w:rsidRDefault="00047009">
      <w:pPr>
        <w:spacing w:line="276" w:lineRule="auto"/>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Pr>
          <w:rFonts w:ascii="Palatino Linotype" w:eastAsia="Palatino Linotype" w:hAnsi="Palatino Linotype" w:cs="Palatino Linotype"/>
          <w:b/>
          <w:bCs/>
          <w:i/>
          <w:iCs/>
          <w:sz w:val="22"/>
          <w:szCs w:val="22"/>
        </w:rPr>
        <w:t>que</w:t>
      </w:r>
      <w:proofErr w:type="gramEnd"/>
      <w:r>
        <w:rPr>
          <w:rFonts w:ascii="Palatino Linotype" w:eastAsia="Palatino Linotype" w:hAnsi="Palatino Linotype" w:cs="Palatino Linotype"/>
          <w:b/>
          <w:bCs/>
          <w:i/>
          <w:iCs/>
          <w:sz w:val="22"/>
          <w:szCs w:val="22"/>
        </w:rPr>
        <w:t xml:space="preserve"> en ejercicio de las atribuciones conferidas, sea administrada por los Sujetos Obligados, y</w:t>
      </w:r>
    </w:p>
    <w:p w:rsidR="001C42F0" w:rsidRDefault="00047009">
      <w:pPr>
        <w:spacing w:line="276" w:lineRule="auto"/>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3) Que se trate de información registrada en</w:t>
      </w:r>
      <w:r>
        <w:rPr>
          <w:rFonts w:ascii="Palatino Linotype" w:eastAsia="Palatino Linotype" w:hAnsi="Palatino Linotype" w:cs="Palatino Linotype"/>
          <w:b/>
          <w:bCs/>
          <w:i/>
          <w:iCs/>
          <w:sz w:val="22"/>
          <w:szCs w:val="22"/>
        </w:rPr>
        <w:t xml:space="preserve"> cualquier soporte documental, </w:t>
      </w:r>
      <w:proofErr w:type="gramStart"/>
      <w:r>
        <w:rPr>
          <w:rFonts w:ascii="Palatino Linotype" w:eastAsia="Palatino Linotype" w:hAnsi="Palatino Linotype" w:cs="Palatino Linotype"/>
          <w:b/>
          <w:bCs/>
          <w:i/>
          <w:iCs/>
          <w:sz w:val="22"/>
          <w:szCs w:val="22"/>
        </w:rPr>
        <w:t>que</w:t>
      </w:r>
      <w:proofErr w:type="gramEnd"/>
      <w:r>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rsidR="001C42F0" w:rsidRDefault="001C42F0">
      <w:pPr>
        <w:spacing w:line="276" w:lineRule="auto"/>
        <w:ind w:left="567" w:right="616"/>
        <w:jc w:val="both"/>
        <w:rPr>
          <w:rFonts w:ascii="Palatino Linotype" w:eastAsia="Palatino Linotype" w:hAnsi="Palatino Linotype" w:cs="Palatino Linotype"/>
          <w:b/>
          <w:bCs/>
          <w:i/>
          <w:iCs/>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ahí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w:t>
      </w:r>
      <w:r>
        <w:rPr>
          <w:rFonts w:ascii="Palatino Linotype" w:eastAsia="Palatino Linotype" w:hAnsi="Palatino Linotype" w:cs="Palatino Linotype"/>
          <w:sz w:val="22"/>
          <w:szCs w:val="22"/>
        </w:rPr>
        <w:t>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así como de interés público, es decir, aquella que resulta relevante o beneficiosa para</w:t>
      </w:r>
      <w:r>
        <w:rPr>
          <w:rFonts w:ascii="Palatino Linotype" w:eastAsia="Palatino Linotype" w:hAnsi="Palatino Linotype" w:cs="Palatino Linotype"/>
          <w:sz w:val="22"/>
          <w:szCs w:val="22"/>
        </w:rPr>
        <w:t xml:space="preserve">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xml:space="preserve">, como pudiera tratarse de aquella relacionada con las obligaciones de transparencia </w:t>
      </w:r>
      <w:r>
        <w:rPr>
          <w:rFonts w:ascii="Palatino Linotype" w:eastAsia="Palatino Linotype" w:hAnsi="Palatino Linotype" w:cs="Palatino Linotype"/>
          <w:sz w:val="22"/>
          <w:szCs w:val="22"/>
        </w:rPr>
        <w:t>señaladas en los artículos 92 y 100 de la Ley de la Materia.</w:t>
      </w:r>
    </w:p>
    <w:p w:rsidR="001C42F0" w:rsidRDefault="001C42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en el caso se analizará el agravio hecho valer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que actualiza la causal de procedencia prevista en la fracción II del artículo 179 de la Ley de Transparencia y Acceso a la Información del Estado de México y Municipios, relativa a </w:t>
      </w:r>
      <w:r>
        <w:rPr>
          <w:rFonts w:ascii="Palatino Linotype" w:eastAsia="Palatino Linotype" w:hAnsi="Palatino Linotype" w:cs="Palatino Linotype"/>
          <w:b/>
          <w:bCs/>
          <w:sz w:val="22"/>
          <w:szCs w:val="22"/>
          <w:u w:val="single"/>
        </w:rPr>
        <w:t>la clasificación de la información.</w:t>
      </w:r>
    </w:p>
    <w:p w:rsidR="001C42F0" w:rsidRDefault="001C42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ello, conviene iniciar el prese</w:t>
      </w:r>
      <w:r>
        <w:rPr>
          <w:rFonts w:ascii="Palatino Linotype" w:eastAsia="Palatino Linotype" w:hAnsi="Palatino Linotype" w:cs="Palatino Linotype"/>
          <w:sz w:val="22"/>
          <w:szCs w:val="22"/>
        </w:rPr>
        <w:t xml:space="preserve">nte estudio señalando que la persona solicitante requirió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de todas las unidades administrativas de la actual Administración Pública Municipal del Ayuntamiento de </w:t>
      </w:r>
      <w:proofErr w:type="spellStart"/>
      <w:r>
        <w:rPr>
          <w:rFonts w:ascii="Palatino Linotype" w:eastAsia="Palatino Linotype" w:hAnsi="Palatino Linotype" w:cs="Palatino Linotype"/>
          <w:b/>
          <w:bCs/>
          <w:sz w:val="22"/>
          <w:szCs w:val="22"/>
        </w:rPr>
        <w:t>Papalotla</w:t>
      </w:r>
      <w:proofErr w:type="spellEnd"/>
      <w:r>
        <w:rPr>
          <w:rFonts w:ascii="Palatino Linotype" w:eastAsia="Palatino Linotype" w:hAnsi="Palatino Linotype" w:cs="Palatino Linotype"/>
          <w:b/>
          <w:bCs/>
          <w:sz w:val="22"/>
          <w:szCs w:val="22"/>
        </w:rPr>
        <w:t xml:space="preserve"> y del IMCUFIDE, </w:t>
      </w:r>
      <w:r>
        <w:rPr>
          <w:rFonts w:ascii="Palatino Linotype" w:eastAsia="Palatino Linotype" w:hAnsi="Palatino Linotype" w:cs="Palatino Linotype"/>
          <w:sz w:val="22"/>
          <w:szCs w:val="22"/>
        </w:rPr>
        <w:t>medularmente lo siguiente:</w:t>
      </w:r>
    </w:p>
    <w:p w:rsidR="001C42F0" w:rsidRDefault="001C42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1C42F0" w:rsidRDefault="00047009">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del ejerci</w:t>
      </w:r>
      <w:r>
        <w:rPr>
          <w:rFonts w:ascii="Palatino Linotype" w:eastAsia="Palatino Linotype" w:hAnsi="Palatino Linotype" w:cs="Palatino Linotype"/>
          <w:color w:val="000000"/>
          <w:sz w:val="22"/>
          <w:szCs w:val="22"/>
        </w:rPr>
        <w:t xml:space="preserve">cio 2025, los siguientes formatos del Presupuesto Basado en Resultados Municipal: </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PbRM-01a “Programa Anual. Dimensión Administrativa del Gasto”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PbRM-01b “Programa Anual. Descripción del Programa Presupuestario”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PbRM-01c “Metas de Actividad por Proyecto”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PbRM-01d “Programa Anual. Ficha Técnica de Diseño de Indicadores Estratégicos o de Gestión”.</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PbRM-01e “Matriz de Indicadores para Resultados por Programa Presupuestario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PbRM-03a “Presupuesto de Ingresos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PbRM-03b “Carátul</w:t>
      </w:r>
      <w:r>
        <w:rPr>
          <w:rFonts w:ascii="Palatino Linotype" w:eastAsia="Palatino Linotype" w:hAnsi="Palatino Linotype" w:cs="Palatino Linotype"/>
          <w:b/>
          <w:bCs/>
          <w:color w:val="000000"/>
          <w:sz w:val="22"/>
          <w:szCs w:val="22"/>
        </w:rPr>
        <w:t xml:space="preserve">a de Presupuesto de Ingresos”. </w:t>
      </w:r>
    </w:p>
    <w:p w:rsidR="001C42F0" w:rsidRDefault="00047009">
      <w:pPr>
        <w:numPr>
          <w:ilvl w:val="0"/>
          <w:numId w:val="2"/>
        </w:numPr>
        <w:pBdr>
          <w:top w:val="nil"/>
          <w:left w:val="nil"/>
          <w:bottom w:val="nil"/>
          <w:right w:val="nil"/>
          <w:between w:val="nil"/>
        </w:pBdr>
        <w:spacing w:line="360" w:lineRule="auto"/>
        <w:ind w:right="-150"/>
        <w:jc w:val="both"/>
        <w:rPr>
          <w:b/>
          <w:bCs/>
          <w:color w:val="000000"/>
        </w:rPr>
      </w:pPr>
      <w:r>
        <w:rPr>
          <w:rFonts w:ascii="Palatino Linotype" w:eastAsia="Palatino Linotype" w:hAnsi="Palatino Linotype" w:cs="Palatino Linotype"/>
          <w:b/>
          <w:bCs/>
          <w:color w:val="000000"/>
          <w:sz w:val="22"/>
          <w:szCs w:val="22"/>
        </w:rPr>
        <w:t>PbRM-04a “Presupuesto de Egresos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PbRM-04b “Presupuesto de Egresos por Objeto del Gasto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PbRM-04c “Presupuesto de Egresos Global Calendarizado”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PbRM-04d “Carátula del Presupuesto de Egresos”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w:t>
      </w:r>
      <w:r>
        <w:rPr>
          <w:rFonts w:ascii="Palatino Linotype" w:eastAsia="Palatino Linotype" w:hAnsi="Palatino Linotype" w:cs="Palatino Linotype"/>
          <w:b/>
          <w:bCs/>
          <w:color w:val="000000"/>
          <w:sz w:val="22"/>
          <w:szCs w:val="22"/>
        </w:rPr>
        <w:t>bRM-05 “Tabulador de sueldos”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PbRM-06 “Programa Anual de Adquisiciones”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PbRM-07a “Programa Anual de Obra”</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PbRM-07b “Programa Anual de Obra (Reparaciones y Mantenimientos)”</w:t>
      </w:r>
    </w:p>
    <w:p w:rsidR="001C42F0" w:rsidRDefault="001C42F0">
      <w:pPr>
        <w:pBdr>
          <w:top w:val="nil"/>
          <w:left w:val="nil"/>
          <w:bottom w:val="nil"/>
          <w:right w:val="nil"/>
          <w:between w:val="nil"/>
        </w:pBdr>
        <w:spacing w:line="360" w:lineRule="auto"/>
        <w:ind w:left="360" w:right="-150"/>
        <w:jc w:val="both"/>
        <w:rPr>
          <w:rFonts w:ascii="Palatino Linotype" w:eastAsia="Palatino Linotype" w:hAnsi="Palatino Linotype" w:cs="Palatino Linotype"/>
          <w:color w:val="000000"/>
          <w:sz w:val="22"/>
          <w:szCs w:val="22"/>
        </w:rPr>
      </w:pPr>
    </w:p>
    <w:p w:rsidR="001C42F0" w:rsidRDefault="00047009">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Respecto del primer, segundo y tercer trimestre de dos mil veinticinco, el formato del Presupuesto Basado en Resultados Municipal: </w:t>
      </w:r>
      <w:r>
        <w:rPr>
          <w:rFonts w:ascii="Palatino Linotype" w:eastAsia="Palatino Linotype" w:hAnsi="Palatino Linotype" w:cs="Palatino Linotype"/>
          <w:b/>
          <w:bCs/>
          <w:color w:val="000000"/>
          <w:sz w:val="22"/>
          <w:szCs w:val="22"/>
        </w:rPr>
        <w:t>PbRM-02a “Calendarización de metas de Actividad por Proyecto”.</w:t>
      </w:r>
    </w:p>
    <w:p w:rsidR="001C42F0" w:rsidRDefault="001C42F0">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bookmarkStart w:id="8" w:name="_heading=h.1y810tw" w:colFirst="0" w:colLast="0"/>
      <w:bookmarkEnd w:id="8"/>
    </w:p>
    <w:p w:rsidR="001C42F0" w:rsidRDefault="0004700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w:t>
      </w:r>
      <w:r>
        <w:rPr>
          <w:rFonts w:ascii="Palatino Linotype" w:eastAsia="Palatino Linotype" w:hAnsi="Palatino Linotype" w:cs="Palatino Linotype"/>
          <w:b/>
          <w:bCs/>
          <w:sz w:val="22"/>
          <w:szCs w:val="22"/>
        </w:rPr>
        <w:t xml:space="preserve">el Sujeto Obligado </w:t>
      </w:r>
      <w:r>
        <w:rPr>
          <w:rFonts w:ascii="Palatino Linotype" w:eastAsia="Palatino Linotype" w:hAnsi="Palatino Linotype" w:cs="Palatino Linotype"/>
          <w:sz w:val="22"/>
          <w:szCs w:val="22"/>
        </w:rPr>
        <w:t>se pronunció por conducto de la Titular de la UIPPE</w:t>
      </w:r>
      <w:r>
        <w:rPr>
          <w:rFonts w:ascii="Palatino Linotype" w:eastAsia="Palatino Linotype" w:hAnsi="Palatino Linotype" w:cs="Palatino Linotype"/>
        </w:rPr>
        <w:t xml:space="preserve"> </w:t>
      </w:r>
      <w:r>
        <w:rPr>
          <w:rFonts w:ascii="Palatino Linotype" w:eastAsia="Palatino Linotype" w:hAnsi="Palatino Linotype" w:cs="Palatino Linotype"/>
          <w:b/>
          <w:bCs/>
          <w:u w:val="single"/>
        </w:rPr>
        <w:t>quien</w:t>
      </w:r>
      <w:r>
        <w:rPr>
          <w:b/>
          <w:bCs/>
          <w:u w:val="single"/>
        </w:rPr>
        <w:t xml:space="preserve"> </w:t>
      </w:r>
      <w:r>
        <w:rPr>
          <w:rFonts w:ascii="Palatino Linotype" w:eastAsia="Palatino Linotype" w:hAnsi="Palatino Linotype" w:cs="Palatino Linotype"/>
          <w:b/>
          <w:bCs/>
          <w:sz w:val="22"/>
          <w:szCs w:val="22"/>
          <w:u w:val="single"/>
        </w:rPr>
        <w:t>informó la reserva de información diversa a la requerida</w:t>
      </w:r>
      <w:r>
        <w:rPr>
          <w:rFonts w:ascii="Palatino Linotype" w:eastAsia="Palatino Linotype" w:hAnsi="Palatino Linotype" w:cs="Palatino Linotype"/>
          <w:sz w:val="22"/>
          <w:szCs w:val="22"/>
        </w:rPr>
        <w:t>, refiriendo que la misma formaba parte de una revisión al cuarto informe trimestral del ejercicio 2025 generado por la Tesorería Municipal, d</w:t>
      </w:r>
      <w:r>
        <w:rPr>
          <w:rFonts w:ascii="Palatino Linotype" w:eastAsia="Palatino Linotype" w:hAnsi="Palatino Linotype" w:cs="Palatino Linotype"/>
          <w:sz w:val="22"/>
          <w:szCs w:val="22"/>
        </w:rPr>
        <w:t xml:space="preserve">e la cual se está en espera de observaciones y </w:t>
      </w:r>
      <w:proofErr w:type="spellStart"/>
      <w:r>
        <w:rPr>
          <w:rFonts w:ascii="Palatino Linotype" w:eastAsia="Palatino Linotype" w:hAnsi="Palatino Linotype" w:cs="Palatino Linotype"/>
          <w:sz w:val="22"/>
          <w:szCs w:val="22"/>
        </w:rPr>
        <w:t>solventaciones</w:t>
      </w:r>
      <w:proofErr w:type="spellEnd"/>
      <w:r>
        <w:rPr>
          <w:rFonts w:ascii="Palatino Linotype" w:eastAsia="Palatino Linotype" w:hAnsi="Palatino Linotype" w:cs="Palatino Linotype"/>
          <w:sz w:val="22"/>
          <w:szCs w:val="22"/>
        </w:rPr>
        <w:t>, actualizando el supuesto de reserva previsto en el artículo 140 fracción V de la Ley de Transparencia y Acceso a la información Pública del Estado de México y Municipios.</w:t>
      </w:r>
    </w:p>
    <w:p w:rsidR="001C42F0" w:rsidRDefault="001C42F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rsidR="001C42F0" w:rsidRDefault="0004700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w:t>
      </w:r>
      <w:r>
        <w:rPr>
          <w:rFonts w:ascii="Palatino Linotype" w:eastAsia="Palatino Linotype" w:hAnsi="Palatino Linotype" w:cs="Palatino Linotype"/>
          <w:b/>
          <w:bCs/>
          <w:sz w:val="22"/>
          <w:szCs w:val="22"/>
        </w:rPr>
        <w:t>se desarrol</w:t>
      </w:r>
      <w:r>
        <w:rPr>
          <w:rFonts w:ascii="Palatino Linotype" w:eastAsia="Palatino Linotype" w:hAnsi="Palatino Linotype" w:cs="Palatino Linotype"/>
          <w:b/>
          <w:bCs/>
          <w:sz w:val="22"/>
          <w:szCs w:val="22"/>
        </w:rPr>
        <w:t xml:space="preserve">la prueba de daño para justificar la reserva respecto de lo siguiente </w:t>
      </w:r>
      <w:r>
        <w:rPr>
          <w:rFonts w:ascii="Palatino Linotype" w:eastAsia="Palatino Linotype" w:hAnsi="Palatino Linotype" w:cs="Palatino Linotype"/>
          <w:sz w:val="22"/>
          <w:szCs w:val="22"/>
        </w:rPr>
        <w:t>“</w:t>
      </w:r>
      <w:r>
        <w:rPr>
          <w:rFonts w:ascii="Palatino Linotype" w:eastAsia="Palatino Linotype" w:hAnsi="Palatino Linotype" w:cs="Palatino Linotype"/>
          <w:i/>
          <w:iCs/>
          <w:sz w:val="22"/>
          <w:szCs w:val="22"/>
        </w:rPr>
        <w:t xml:space="preserve">Se solicita una copia digital del </w:t>
      </w:r>
      <w:r>
        <w:rPr>
          <w:rFonts w:ascii="Palatino Linotype" w:eastAsia="Palatino Linotype" w:hAnsi="Palatino Linotype" w:cs="Palatino Linotype"/>
          <w:i/>
          <w:iCs/>
          <w:sz w:val="22"/>
          <w:szCs w:val="22"/>
          <w:u w:val="single"/>
        </w:rPr>
        <w:t>documento donde se DESGLOSE el COSTO FINAL resultante de la celebración de "Día de Muertos", considerando los adornos alusivos a la festividad que se c</w:t>
      </w:r>
      <w:r>
        <w:rPr>
          <w:rFonts w:ascii="Palatino Linotype" w:eastAsia="Palatino Linotype" w:hAnsi="Palatino Linotype" w:cs="Palatino Linotype"/>
          <w:i/>
          <w:iCs/>
          <w:sz w:val="22"/>
          <w:szCs w:val="22"/>
          <w:u w:val="single"/>
        </w:rPr>
        <w:t xml:space="preserve">olocaron en el Palacio Municipal, Plaza Morelos y calles del municipio. Para lo anterior, ténganse en cuenta los días 1 y 2 de noviembre de 2025. Asimismo, se solicita una copia digital del documento que </w:t>
      </w:r>
      <w:proofErr w:type="spellStart"/>
      <w:r>
        <w:rPr>
          <w:rFonts w:ascii="Palatino Linotype" w:eastAsia="Palatino Linotype" w:hAnsi="Palatino Linotype" w:cs="Palatino Linotype"/>
          <w:i/>
          <w:iCs/>
          <w:sz w:val="22"/>
          <w:szCs w:val="22"/>
          <w:u w:val="single"/>
        </w:rPr>
        <w:t>congtenga</w:t>
      </w:r>
      <w:proofErr w:type="spellEnd"/>
      <w:r>
        <w:rPr>
          <w:rFonts w:ascii="Palatino Linotype" w:eastAsia="Palatino Linotype" w:hAnsi="Palatino Linotype" w:cs="Palatino Linotype"/>
          <w:i/>
          <w:iCs/>
          <w:sz w:val="22"/>
          <w:szCs w:val="22"/>
          <w:u w:val="single"/>
        </w:rPr>
        <w:t xml:space="preserve"> la relación de PROVEEDORES que participaro</w:t>
      </w:r>
      <w:r>
        <w:rPr>
          <w:rFonts w:ascii="Palatino Linotype" w:eastAsia="Palatino Linotype" w:hAnsi="Palatino Linotype" w:cs="Palatino Linotype"/>
          <w:i/>
          <w:iCs/>
          <w:sz w:val="22"/>
          <w:szCs w:val="22"/>
          <w:u w:val="single"/>
        </w:rPr>
        <w:t>n con sus servicios en y para las fechas y festividad aludidas (incluir NOMBRE O RAZÓN SOCIAL y DOMICILIO FISCAL)</w:t>
      </w:r>
      <w:r>
        <w:rPr>
          <w:rFonts w:ascii="Palatino Linotype" w:eastAsia="Palatino Linotype" w:hAnsi="Palatino Linotype" w:cs="Palatino Linotype"/>
          <w:sz w:val="22"/>
          <w:szCs w:val="22"/>
        </w:rPr>
        <w:t>” (Sic)</w:t>
      </w:r>
    </w:p>
    <w:p w:rsidR="001C42F0" w:rsidRDefault="001C42F0">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Inconforme con la respuesta,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promovió el presente recurso de revisión en el que a manera de motivos de inconformid</w:t>
      </w:r>
      <w:r>
        <w:rPr>
          <w:rFonts w:ascii="Palatino Linotype" w:eastAsia="Palatino Linotype" w:hAnsi="Palatino Linotype" w:cs="Palatino Linotype"/>
          <w:sz w:val="22"/>
          <w:szCs w:val="22"/>
        </w:rPr>
        <w:t xml:space="preserve">ad </w:t>
      </w:r>
      <w:r>
        <w:rPr>
          <w:rFonts w:ascii="Palatino Linotype" w:eastAsia="Palatino Linotype" w:hAnsi="Palatino Linotype" w:cs="Palatino Linotype"/>
          <w:b/>
          <w:bCs/>
          <w:sz w:val="22"/>
          <w:szCs w:val="22"/>
        </w:rPr>
        <w:t>se adolece medularmente de la clasificación de la información requerida.</w:t>
      </w:r>
    </w:p>
    <w:p w:rsidR="001C42F0" w:rsidRDefault="001C42F0">
      <w:pPr>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Admitido el presente recurso de revisión, en términos del artículo 185 fracción II</w:t>
      </w:r>
      <w:r>
        <w:rPr>
          <w:rFonts w:ascii="Palatino Linotype" w:eastAsia="Palatino Linotype" w:hAnsi="Palatino Linotype" w:cs="Palatino Linotype"/>
          <w:sz w:val="22"/>
          <w:szCs w:val="22"/>
          <w:vertAlign w:val="superscript"/>
        </w:rPr>
        <w:footnoteReference w:id="3"/>
      </w:r>
      <w:r>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w:t>
      </w:r>
      <w:r>
        <w:rPr>
          <w:rFonts w:ascii="Palatino Linotype" w:eastAsia="Palatino Linotype" w:hAnsi="Palatino Linotype" w:cs="Palatino Linotype"/>
          <w:sz w:val="22"/>
          <w:szCs w:val="22"/>
        </w:rPr>
        <w:t>onveniente.</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las constancias que integran el expediente en que se actúa se advierte que las partes fueron omisas en realizar manifestaciones.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atendiendo que la información requerida versa en los formatos del Presupuesto basado en Resultados Municipal, que conforman el presupuesto del Sujeto Obligado, conviene señalar que la Ley Orgánica Municipal del Estado </w:t>
      </w:r>
      <w:r>
        <w:rPr>
          <w:rFonts w:ascii="Palatino Linotype" w:eastAsia="Palatino Linotype" w:hAnsi="Palatino Linotype" w:cs="Palatino Linotype"/>
          <w:sz w:val="22"/>
          <w:szCs w:val="22"/>
        </w:rPr>
        <w:t>de México, establece lo siguiente:</w:t>
      </w:r>
    </w:p>
    <w:p w:rsidR="001C42F0" w:rsidRDefault="001C42F0">
      <w:pPr>
        <w:spacing w:line="276" w:lineRule="auto"/>
        <w:ind w:left="851" w:right="616"/>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95.-</w:t>
      </w:r>
      <w:r>
        <w:rPr>
          <w:rFonts w:ascii="Palatino Linotype" w:eastAsia="Palatino Linotype" w:hAnsi="Palatino Linotype" w:cs="Palatino Linotype"/>
          <w:i/>
          <w:iCs/>
          <w:sz w:val="22"/>
          <w:szCs w:val="22"/>
        </w:rPr>
        <w:t xml:space="preserve"> Son atribuciones del </w:t>
      </w:r>
      <w:r>
        <w:rPr>
          <w:rFonts w:ascii="Palatino Linotype" w:eastAsia="Palatino Linotype" w:hAnsi="Palatino Linotype" w:cs="Palatino Linotype"/>
          <w:b/>
          <w:bCs/>
          <w:i/>
          <w:iCs/>
          <w:sz w:val="22"/>
          <w:szCs w:val="22"/>
        </w:rPr>
        <w:t>tesorero municipal</w:t>
      </w:r>
      <w:r>
        <w:rPr>
          <w:rFonts w:ascii="Palatino Linotype" w:eastAsia="Palatino Linotype" w:hAnsi="Palatino Linotype" w:cs="Palatino Linotype"/>
          <w:i/>
          <w:iCs/>
          <w:sz w:val="22"/>
          <w:szCs w:val="22"/>
        </w:rPr>
        <w:t>:</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Proporcionar oportunamente al ayuntamiento todos los datos o informes que sean necesarios para la formulación del Presupuesto de Egresos Municipales, vigilan</w:t>
      </w:r>
      <w:r>
        <w:rPr>
          <w:rFonts w:ascii="Palatino Linotype" w:eastAsia="Palatino Linotype" w:hAnsi="Palatino Linotype" w:cs="Palatino Linotype"/>
          <w:i/>
          <w:iCs/>
          <w:sz w:val="22"/>
          <w:szCs w:val="22"/>
        </w:rPr>
        <w:t>do que se ajuste a las disposiciones de esta Ley y otros ordenamientos aplicables;</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101.-</w:t>
      </w:r>
      <w:r>
        <w:rPr>
          <w:rFonts w:ascii="Palatino Linotype" w:eastAsia="Palatino Linotype" w:hAnsi="Palatino Linotype" w:cs="Palatino Linotype"/>
          <w:i/>
          <w:iCs/>
          <w:sz w:val="22"/>
          <w:szCs w:val="22"/>
        </w:rPr>
        <w:t xml:space="preserve"> El proyecto del presupuesto de egresos se integrará básicamente con:</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Los programas en que se señalen objetivos, metas y unidades responsables para su eje</w:t>
      </w:r>
      <w:r>
        <w:rPr>
          <w:rFonts w:ascii="Palatino Linotype" w:eastAsia="Palatino Linotype" w:hAnsi="Palatino Linotype" w:cs="Palatino Linotype"/>
          <w:i/>
          <w:iCs/>
          <w:sz w:val="22"/>
          <w:szCs w:val="22"/>
        </w:rPr>
        <w:t>cución, así como la valuación estimada del programa;</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1C42F0">
      <w:pPr>
        <w:spacing w:line="276" w:lineRule="auto"/>
        <w:ind w:left="851" w:right="900"/>
        <w:jc w:val="both"/>
        <w:rPr>
          <w:rFonts w:ascii="Palatino Linotype" w:eastAsia="Palatino Linotype" w:hAnsi="Palatino Linotype" w:cs="Palatino Linotype"/>
          <w:i/>
          <w:iCs/>
          <w:sz w:val="22"/>
          <w:szCs w:val="22"/>
        </w:rPr>
      </w:pPr>
    </w:p>
    <w:p w:rsidR="001C42F0" w:rsidRDefault="00047009">
      <w:pPr>
        <w:spacing w:line="360" w:lineRule="auto"/>
        <w:jc w:val="both"/>
        <w:rPr>
          <w:rFonts w:ascii="Palatino Linotype" w:eastAsia="Palatino Linotype" w:hAnsi="Palatino Linotype" w:cs="Palatino Linotype"/>
          <w:b/>
          <w:bCs/>
          <w:sz w:val="22"/>
          <w:szCs w:val="22"/>
          <w:u w:val="single"/>
        </w:rPr>
      </w:pPr>
      <w:r>
        <w:rPr>
          <w:rFonts w:ascii="Palatino Linotype" w:eastAsia="Palatino Linotype" w:hAnsi="Palatino Linotype" w:cs="Palatino Linotype"/>
          <w:sz w:val="22"/>
          <w:szCs w:val="22"/>
        </w:rPr>
        <w:t xml:space="preserve">De conformidad con lo anterior, el Tesorero Municipal es quien proporciona los datos o informes para la formulación del Presupuesto de Egresos, </w:t>
      </w:r>
      <w:r>
        <w:rPr>
          <w:rFonts w:ascii="Palatino Linotype" w:eastAsia="Palatino Linotype" w:hAnsi="Palatino Linotype" w:cs="Palatino Linotype"/>
          <w:b/>
          <w:bCs/>
          <w:sz w:val="22"/>
          <w:szCs w:val="22"/>
          <w:u w:val="single"/>
        </w:rPr>
        <w:t>mismo que estará integrado por programas en que se seña</w:t>
      </w:r>
      <w:r>
        <w:rPr>
          <w:rFonts w:ascii="Palatino Linotype" w:eastAsia="Palatino Linotype" w:hAnsi="Palatino Linotype" w:cs="Palatino Linotype"/>
          <w:b/>
          <w:bCs/>
          <w:sz w:val="22"/>
          <w:szCs w:val="22"/>
          <w:u w:val="single"/>
        </w:rPr>
        <w:t xml:space="preserve">len los objetivos, metas y unidades responsables para su ejecución. </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Código Financiero del Estado de México y Municipios en su artículo 285, en lo medular señala que el Presupuesto de Egresos de los Municipios se constituye en el instrumento jurídico, de política económica y de política de gasto, que aprueba el</w:t>
      </w:r>
      <w:r>
        <w:rPr>
          <w:rFonts w:ascii="Palatino Linotype" w:eastAsia="Palatino Linotype" w:hAnsi="Palatino Linotype" w:cs="Palatino Linotype"/>
          <w:sz w:val="22"/>
          <w:szCs w:val="22"/>
        </w:rPr>
        <w:t xml:space="preserve"> Ayuntamiento en el cual se establece el ejercicio, control y evaluación del gasto público, precepto cuyo texto y sentido literal es el siguiente:</w:t>
      </w:r>
    </w:p>
    <w:p w:rsidR="001C42F0" w:rsidRDefault="001C42F0">
      <w:pPr>
        <w:pBdr>
          <w:top w:val="nil"/>
          <w:left w:val="nil"/>
          <w:bottom w:val="nil"/>
          <w:right w:val="nil"/>
          <w:between w:val="nil"/>
        </w:pBdr>
        <w:spacing w:line="276" w:lineRule="auto"/>
        <w:ind w:left="851" w:right="851"/>
        <w:jc w:val="both"/>
        <w:rPr>
          <w:rFonts w:ascii="Palatino Linotype" w:eastAsia="Palatino Linotype" w:hAnsi="Palatino Linotype" w:cs="Palatino Linotype"/>
          <w:b/>
          <w:bCs/>
          <w:i/>
          <w:iCs/>
          <w:sz w:val="22"/>
          <w:szCs w:val="22"/>
        </w:rPr>
      </w:pPr>
    </w:p>
    <w:p w:rsidR="001C42F0" w:rsidRDefault="00047009">
      <w:pPr>
        <w:pBdr>
          <w:top w:val="nil"/>
          <w:left w:val="nil"/>
          <w:bottom w:val="nil"/>
          <w:right w:val="nil"/>
          <w:between w:val="nil"/>
        </w:pBdr>
        <w:spacing w:line="276" w:lineRule="auto"/>
        <w:ind w:left="851"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285</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El Presupuesto de Egresos</w:t>
      </w:r>
      <w:r>
        <w:rPr>
          <w:rFonts w:ascii="Palatino Linotype" w:eastAsia="Palatino Linotype" w:hAnsi="Palatino Linotype" w:cs="Palatino Linotype"/>
          <w:i/>
          <w:iCs/>
          <w:sz w:val="22"/>
          <w:szCs w:val="22"/>
        </w:rPr>
        <w:t xml:space="preserve"> del Estado </w:t>
      </w:r>
      <w:r>
        <w:rPr>
          <w:rFonts w:ascii="Palatino Linotype" w:eastAsia="Palatino Linotype" w:hAnsi="Palatino Linotype" w:cs="Palatino Linotype"/>
          <w:b/>
          <w:bCs/>
          <w:i/>
          <w:iCs/>
          <w:sz w:val="22"/>
          <w:szCs w:val="22"/>
        </w:rPr>
        <w:t xml:space="preserve">es el instrumento jurídico, de política económica y de </w:t>
      </w:r>
      <w:r>
        <w:rPr>
          <w:rFonts w:ascii="Palatino Linotype" w:eastAsia="Palatino Linotype" w:hAnsi="Palatino Linotype" w:cs="Palatino Linotype"/>
          <w:b/>
          <w:bCs/>
          <w:i/>
          <w:iCs/>
          <w:sz w:val="22"/>
          <w:szCs w:val="22"/>
        </w:rPr>
        <w:t>política de gasto</w:t>
      </w:r>
      <w:r>
        <w:rPr>
          <w:rFonts w:ascii="Palatino Linotype" w:eastAsia="Palatino Linotype" w:hAnsi="Palatino Linotype" w:cs="Palatino Linotype"/>
          <w:i/>
          <w:iCs/>
          <w:sz w:val="22"/>
          <w:szCs w:val="22"/>
        </w:rPr>
        <w:t xml:space="preserve">, que aprueba la Legislatura conforme a la iniciativa que presenta el Gobernador, </w:t>
      </w:r>
      <w:r>
        <w:rPr>
          <w:rFonts w:ascii="Palatino Linotype" w:eastAsia="Palatino Linotype" w:hAnsi="Palatino Linotype" w:cs="Palatino Linotype"/>
          <w:b/>
          <w:bCs/>
          <w:i/>
          <w:iCs/>
          <w:sz w:val="22"/>
          <w:szCs w:val="22"/>
        </w:rPr>
        <w:t>en el cual se establece el ejercicio, control y evaluación del gasto público de las Dependencias</w:t>
      </w:r>
      <w:r>
        <w:rPr>
          <w:rFonts w:ascii="Palatino Linotype" w:eastAsia="Palatino Linotype" w:hAnsi="Palatino Linotype" w:cs="Palatino Linotype"/>
          <w:i/>
          <w:iCs/>
          <w:sz w:val="22"/>
          <w:szCs w:val="22"/>
        </w:rPr>
        <w:t>, Entidades Públicas y Organismos Autónomos a través de los p</w:t>
      </w:r>
      <w:r>
        <w:rPr>
          <w:rFonts w:ascii="Palatino Linotype" w:eastAsia="Palatino Linotype" w:hAnsi="Palatino Linotype" w:cs="Palatino Linotype"/>
          <w:i/>
          <w:iCs/>
          <w:sz w:val="22"/>
          <w:szCs w:val="22"/>
        </w:rPr>
        <w:t>rogramas derivados del Plan de Desarrollo del Estado de México, durante el ejercicio fiscal correspondiente, así como de aquellos de naturaleza multianual propuestos por la Secretaría.</w:t>
      </w:r>
    </w:p>
    <w:p w:rsidR="001C42F0" w:rsidRDefault="00047009">
      <w:pPr>
        <w:pBdr>
          <w:top w:val="nil"/>
          <w:left w:val="nil"/>
          <w:bottom w:val="nil"/>
          <w:right w:val="nil"/>
          <w:between w:val="nil"/>
        </w:pBdr>
        <w:spacing w:line="276" w:lineRule="auto"/>
        <w:ind w:left="851"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pBdr>
          <w:top w:val="nil"/>
          <w:left w:val="nil"/>
          <w:bottom w:val="nil"/>
          <w:right w:val="nil"/>
          <w:between w:val="nil"/>
        </w:pBdr>
        <w:spacing w:line="276" w:lineRule="auto"/>
        <w:ind w:left="851" w:right="851"/>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En el caso de los municipios, el Presupuesto de Egresos, será el que se apruebe por el Ayuntamiento</w:t>
      </w:r>
      <w:proofErr w:type="gramStart"/>
      <w:r>
        <w:rPr>
          <w:rFonts w:ascii="Palatino Linotype" w:eastAsia="Palatino Linotype" w:hAnsi="Palatino Linotype" w:cs="Palatino Linotype"/>
          <w:b/>
          <w:bCs/>
          <w:i/>
          <w:iCs/>
          <w:sz w:val="22"/>
          <w:szCs w:val="22"/>
        </w:rPr>
        <w:t>…”(</w:t>
      </w:r>
      <w:proofErr w:type="gramEnd"/>
      <w:r>
        <w:rPr>
          <w:rFonts w:ascii="Palatino Linotype" w:eastAsia="Palatino Linotype" w:hAnsi="Palatino Linotype" w:cs="Palatino Linotype"/>
          <w:b/>
          <w:bCs/>
          <w:i/>
          <w:iCs/>
          <w:sz w:val="22"/>
          <w:szCs w:val="22"/>
        </w:rPr>
        <w:t>Sic)</w:t>
      </w:r>
    </w:p>
    <w:p w:rsidR="001C42F0" w:rsidRDefault="001C42F0">
      <w:pPr>
        <w:pBdr>
          <w:top w:val="nil"/>
          <w:left w:val="nil"/>
          <w:bottom w:val="nil"/>
          <w:right w:val="nil"/>
          <w:between w:val="nil"/>
        </w:pBdr>
        <w:ind w:left="851" w:right="851" w:hanging="708"/>
        <w:jc w:val="both"/>
        <w:rPr>
          <w:rFonts w:ascii="Palatino Linotype" w:eastAsia="Palatino Linotype" w:hAnsi="Palatino Linotype" w:cs="Palatino Linotype"/>
          <w:i/>
          <w:iCs/>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Manual para la Planeación, Programación y Presupuesto de Egresos Municipal para el ejercicio fiscal 2025 señala: </w:t>
      </w:r>
    </w:p>
    <w:p w:rsidR="001C42F0" w:rsidRDefault="001C42F0">
      <w:pPr>
        <w:spacing w:line="276" w:lineRule="auto"/>
        <w:ind w:left="851" w:right="616"/>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“Definición del P</w:t>
      </w:r>
      <w:r>
        <w:rPr>
          <w:rFonts w:ascii="Palatino Linotype" w:eastAsia="Palatino Linotype" w:hAnsi="Palatino Linotype" w:cs="Palatino Linotype"/>
          <w:i/>
          <w:iCs/>
          <w:sz w:val="22"/>
          <w:szCs w:val="22"/>
        </w:rPr>
        <w:t>resupuesto</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base en lo que establece el artículo 285 del Código Financiero del Estado de México y Municipios, el Presupuesto de Egresos Municipal se conceptualiza como el instrumento jurídico, de política económica y de política de gasto, que aprueba el Cabildo, c</w:t>
      </w:r>
      <w:r>
        <w:rPr>
          <w:rFonts w:ascii="Palatino Linotype" w:eastAsia="Palatino Linotype" w:hAnsi="Palatino Linotype" w:cs="Palatino Linotype"/>
          <w:i/>
          <w:iCs/>
          <w:sz w:val="22"/>
          <w:szCs w:val="22"/>
        </w:rPr>
        <w:t xml:space="preserve">onforme a la propuesta que presenta el C. Presidente Municipal, en el cual se establece el ejercicio, control y evaluación del gasto público de las Dependencias Administrativas y Organismos Municipales Descentralizados, a través de los programas derivados </w:t>
      </w:r>
      <w:r>
        <w:rPr>
          <w:rFonts w:ascii="Palatino Linotype" w:eastAsia="Palatino Linotype" w:hAnsi="Palatino Linotype" w:cs="Palatino Linotype"/>
          <w:i/>
          <w:iCs/>
          <w:sz w:val="22"/>
          <w:szCs w:val="22"/>
        </w:rPr>
        <w:t xml:space="preserve">del Plan de Desarrollo Municipal (PDM), durante el ejercicio fiscal correspondiente. </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las administraciones municipales, el Presupuesto basado en Resultados (</w:t>
      </w:r>
      <w:proofErr w:type="spellStart"/>
      <w:r>
        <w:rPr>
          <w:rFonts w:ascii="Palatino Linotype" w:eastAsia="Palatino Linotype" w:hAnsi="Palatino Linotype" w:cs="Palatino Linotype"/>
          <w:i/>
          <w:iCs/>
          <w:sz w:val="22"/>
          <w:szCs w:val="22"/>
        </w:rPr>
        <w:t>PbR</w:t>
      </w:r>
      <w:proofErr w:type="spellEnd"/>
      <w:r>
        <w:rPr>
          <w:rFonts w:ascii="Palatino Linotype" w:eastAsia="Palatino Linotype" w:hAnsi="Palatino Linotype" w:cs="Palatino Linotype"/>
          <w:i/>
          <w:iCs/>
          <w:sz w:val="22"/>
          <w:szCs w:val="22"/>
        </w:rPr>
        <w:t>), es un instrumento que permite mediante el proceso de evaluación, apoyar las decisiones</w:t>
      </w:r>
      <w:r>
        <w:rPr>
          <w:rFonts w:ascii="Palatino Linotype" w:eastAsia="Palatino Linotype" w:hAnsi="Palatino Linotype" w:cs="Palatino Linotype"/>
          <w:i/>
          <w:iCs/>
          <w:sz w:val="22"/>
          <w:szCs w:val="22"/>
        </w:rPr>
        <w:t xml:space="preserve"> presupuestarias con información sustantiva de los resultados de la aplicación de los recursos públicos, incorporando los principales hallazgos al proceso de programación, del ejercicio fiscal subsecuente a la evaluación, permitiendo establecer compromisos</w:t>
      </w:r>
      <w:r>
        <w:rPr>
          <w:rFonts w:ascii="Palatino Linotype" w:eastAsia="Palatino Linotype" w:hAnsi="Palatino Linotype" w:cs="Palatino Linotype"/>
          <w:i/>
          <w:iCs/>
          <w:sz w:val="22"/>
          <w:szCs w:val="22"/>
        </w:rPr>
        <w:t xml:space="preserve"> a fin de optimizar la calidad del gasto público. </w:t>
      </w:r>
    </w:p>
    <w:p w:rsidR="001C42F0" w:rsidRDefault="001C42F0">
      <w:pPr>
        <w:spacing w:line="276" w:lineRule="auto"/>
        <w:ind w:left="851" w:right="843"/>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w:t>
      </w:r>
      <w:proofErr w:type="spellStart"/>
      <w:r>
        <w:rPr>
          <w:rFonts w:ascii="Palatino Linotype" w:eastAsia="Palatino Linotype" w:hAnsi="Palatino Linotype" w:cs="Palatino Linotype"/>
          <w:i/>
          <w:iCs/>
          <w:sz w:val="22"/>
          <w:szCs w:val="22"/>
        </w:rPr>
        <w:t>PbR</w:t>
      </w:r>
      <w:proofErr w:type="spellEnd"/>
      <w:r>
        <w:rPr>
          <w:rFonts w:ascii="Palatino Linotype" w:eastAsia="Palatino Linotype" w:hAnsi="Palatino Linotype" w:cs="Palatino Linotype"/>
          <w:i/>
          <w:iCs/>
          <w:sz w:val="22"/>
          <w:szCs w:val="22"/>
        </w:rPr>
        <w:t xml:space="preserve"> apoya la asignación objetiva de los recursos públicos para fortalecer las políticas, programas y proyectos para el desempeño gubernamental, a fin de que aporten mejoras sustantivas a las condicione</w:t>
      </w:r>
      <w:r>
        <w:rPr>
          <w:rFonts w:ascii="Palatino Linotype" w:eastAsia="Palatino Linotype" w:hAnsi="Palatino Linotype" w:cs="Palatino Linotype"/>
          <w:i/>
          <w:iCs/>
          <w:sz w:val="22"/>
          <w:szCs w:val="22"/>
        </w:rPr>
        <w:t xml:space="preserve">s de vida de la sociedad. Por ello, fomenta la optimización de los recursos para brindar mayor cantidad y calidad de bienes y servicios públicos. </w:t>
      </w:r>
    </w:p>
    <w:p w:rsidR="001C42F0" w:rsidRDefault="001C42F0">
      <w:pPr>
        <w:spacing w:line="276" w:lineRule="auto"/>
        <w:ind w:left="851" w:right="843"/>
        <w:jc w:val="both"/>
        <w:rPr>
          <w:rFonts w:ascii="Palatino Linotype" w:eastAsia="Palatino Linotype" w:hAnsi="Palatino Linotype" w:cs="Palatino Linotype"/>
          <w:i/>
          <w:iCs/>
          <w:sz w:val="22"/>
          <w:szCs w:val="22"/>
        </w:rPr>
      </w:pPr>
    </w:p>
    <w:p w:rsidR="001C42F0" w:rsidRDefault="00047009">
      <w:pPr>
        <w:spacing w:line="276" w:lineRule="auto"/>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El </w:t>
      </w:r>
      <w:proofErr w:type="spellStart"/>
      <w:r>
        <w:rPr>
          <w:rFonts w:ascii="Palatino Linotype" w:eastAsia="Palatino Linotype" w:hAnsi="Palatino Linotype" w:cs="Palatino Linotype"/>
          <w:b/>
          <w:bCs/>
          <w:i/>
          <w:iCs/>
          <w:sz w:val="22"/>
          <w:szCs w:val="22"/>
        </w:rPr>
        <w:t>PbR</w:t>
      </w:r>
      <w:proofErr w:type="spellEnd"/>
      <w:r>
        <w:rPr>
          <w:rFonts w:ascii="Palatino Linotype" w:eastAsia="Palatino Linotype" w:hAnsi="Palatino Linotype" w:cs="Palatino Linotype"/>
          <w:b/>
          <w:bCs/>
          <w:i/>
          <w:iCs/>
          <w:sz w:val="22"/>
          <w:szCs w:val="22"/>
        </w:rPr>
        <w:t xml:space="preserve"> pretende que la definición de los programas presupuestarios se derive de un proceso secuencial, aline</w:t>
      </w:r>
      <w:r>
        <w:rPr>
          <w:rFonts w:ascii="Palatino Linotype" w:eastAsia="Palatino Linotype" w:hAnsi="Palatino Linotype" w:cs="Palatino Linotype"/>
          <w:b/>
          <w:bCs/>
          <w:i/>
          <w:iCs/>
          <w:sz w:val="22"/>
          <w:szCs w:val="22"/>
        </w:rPr>
        <w:t>ado con la planeación – asignación presupuestal, estableciendo objetivos, metas e indicadores, a efecto de hacer más eficiente la asignación de recursos, considerando la evaluación de los resultados alcanzados y la manera en que las Dependencias y Entidade</w:t>
      </w:r>
      <w:r>
        <w:rPr>
          <w:rFonts w:ascii="Palatino Linotype" w:eastAsia="Palatino Linotype" w:hAnsi="Palatino Linotype" w:cs="Palatino Linotype"/>
          <w:b/>
          <w:bCs/>
          <w:i/>
          <w:iCs/>
          <w:sz w:val="22"/>
          <w:szCs w:val="22"/>
        </w:rPr>
        <w:t>s de la Administración Pública Municipal ejercen los recursos públicos.</w:t>
      </w:r>
    </w:p>
    <w:p w:rsidR="001C42F0" w:rsidRDefault="001C42F0">
      <w:pPr>
        <w:spacing w:line="276" w:lineRule="auto"/>
        <w:ind w:left="851" w:right="843"/>
        <w:jc w:val="both"/>
        <w:rPr>
          <w:rFonts w:ascii="Palatino Linotype" w:eastAsia="Palatino Linotype" w:hAnsi="Palatino Linotype" w:cs="Palatino Linotype"/>
          <w:b/>
          <w:bCs/>
          <w:i/>
          <w:iCs/>
          <w:sz w:val="22"/>
          <w:szCs w:val="22"/>
        </w:rPr>
      </w:pPr>
    </w:p>
    <w:p w:rsidR="001C42F0" w:rsidRDefault="00047009">
      <w:pPr>
        <w:spacing w:line="276" w:lineRule="auto"/>
        <w:ind w:left="851"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3. Elaboración del Presupuesto Integración Presupuestal: </w:t>
      </w:r>
      <w:r>
        <w:rPr>
          <w:rFonts w:ascii="Palatino Linotype" w:eastAsia="Palatino Linotype" w:hAnsi="Palatino Linotype" w:cs="Palatino Linotype"/>
          <w:i/>
          <w:iCs/>
          <w:sz w:val="22"/>
          <w:szCs w:val="22"/>
        </w:rPr>
        <w:t>Se basa en la definición de las estructuras funcional-programática, administrativa y económica del presupuesto, vinculadas ent</w:t>
      </w:r>
      <w:r>
        <w:rPr>
          <w:rFonts w:ascii="Palatino Linotype" w:eastAsia="Palatino Linotype" w:hAnsi="Palatino Linotype" w:cs="Palatino Linotype"/>
          <w:i/>
          <w:iCs/>
          <w:sz w:val="22"/>
          <w:szCs w:val="22"/>
        </w:rPr>
        <w:t xml:space="preserve">re sí con los objetivos institucionales, a partir de la selección de las Categorías Programáticas (Finalidad, Funciones, </w:t>
      </w:r>
      <w:proofErr w:type="spellStart"/>
      <w:r>
        <w:rPr>
          <w:rFonts w:ascii="Palatino Linotype" w:eastAsia="Palatino Linotype" w:hAnsi="Palatino Linotype" w:cs="Palatino Linotype"/>
          <w:i/>
          <w:iCs/>
          <w:sz w:val="22"/>
          <w:szCs w:val="22"/>
        </w:rPr>
        <w:t>Subfunciones</w:t>
      </w:r>
      <w:proofErr w:type="spellEnd"/>
      <w:r>
        <w:rPr>
          <w:rFonts w:ascii="Palatino Linotype" w:eastAsia="Palatino Linotype" w:hAnsi="Palatino Linotype" w:cs="Palatino Linotype"/>
          <w:i/>
          <w:iCs/>
          <w:sz w:val="22"/>
          <w:szCs w:val="22"/>
        </w:rPr>
        <w:t xml:space="preserve">, Programas presupuestarios, Subprogramas y Proyectos) contenidas en la Estructura Programática Municipal, a los cuales se </w:t>
      </w:r>
      <w:r>
        <w:rPr>
          <w:rFonts w:ascii="Palatino Linotype" w:eastAsia="Palatino Linotype" w:hAnsi="Palatino Linotype" w:cs="Palatino Linotype"/>
          <w:i/>
          <w:iCs/>
          <w:sz w:val="22"/>
          <w:szCs w:val="22"/>
        </w:rPr>
        <w:t>orientan recursos para que dichos objetivos puedan llevarse a cabo por las Dependencias Generales y/o Auxiliares, así como por los Organismos Municipale</w:t>
      </w:r>
      <w:r>
        <w:rPr>
          <w:rFonts w:ascii="Palatino Linotype" w:eastAsia="Palatino Linotype" w:hAnsi="Palatino Linotype" w:cs="Palatino Linotype"/>
          <w:b/>
          <w:bCs/>
          <w:i/>
          <w:iCs/>
          <w:sz w:val="22"/>
          <w:szCs w:val="22"/>
        </w:rPr>
        <w:t>s</w:t>
      </w:r>
      <w:r>
        <w:rPr>
          <w:rFonts w:ascii="Palatino Linotype" w:eastAsia="Palatino Linotype" w:hAnsi="Palatino Linotype" w:cs="Palatino Linotype"/>
          <w:i/>
          <w:iCs/>
          <w:sz w:val="22"/>
          <w:szCs w:val="22"/>
        </w:rPr>
        <w:t>.”</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a lo anterior, el Presupuesto basado en Resultados (</w:t>
      </w:r>
      <w:proofErr w:type="spellStart"/>
      <w:r>
        <w:rPr>
          <w:rFonts w:ascii="Palatino Linotype" w:eastAsia="Palatino Linotype" w:hAnsi="Palatino Linotype" w:cs="Palatino Linotype"/>
          <w:sz w:val="22"/>
          <w:szCs w:val="22"/>
        </w:rPr>
        <w:t>PbR</w:t>
      </w:r>
      <w:proofErr w:type="spellEnd"/>
      <w:r>
        <w:rPr>
          <w:rFonts w:ascii="Palatino Linotype" w:eastAsia="Palatino Linotype" w:hAnsi="Palatino Linotype" w:cs="Palatino Linotype"/>
          <w:sz w:val="22"/>
          <w:szCs w:val="22"/>
        </w:rPr>
        <w:t xml:space="preserve">), es un instrumento que permite </w:t>
      </w:r>
      <w:r>
        <w:rPr>
          <w:rFonts w:ascii="Palatino Linotype" w:eastAsia="Palatino Linotype" w:hAnsi="Palatino Linotype" w:cs="Palatino Linotype"/>
          <w:sz w:val="22"/>
          <w:szCs w:val="22"/>
        </w:rPr>
        <w:t xml:space="preserve">realizar las decisiones presupuestarias para la aplicación de los recursos públicos, de acuerdo a su proceso de programación para el ejercicio fiscal subsecuente a la evaluación, a efecto de optimizar la calidad del gasto público; por lo que, el </w:t>
      </w:r>
      <w:proofErr w:type="spellStart"/>
      <w:r>
        <w:rPr>
          <w:rFonts w:ascii="Palatino Linotype" w:eastAsia="Palatino Linotype" w:hAnsi="Palatino Linotype" w:cs="Palatino Linotype"/>
          <w:sz w:val="22"/>
          <w:szCs w:val="22"/>
        </w:rPr>
        <w:t>PbR</w:t>
      </w:r>
      <w:proofErr w:type="spellEnd"/>
      <w:r>
        <w:rPr>
          <w:rFonts w:ascii="Palatino Linotype" w:eastAsia="Palatino Linotype" w:hAnsi="Palatino Linotype" w:cs="Palatino Linotype"/>
          <w:sz w:val="22"/>
          <w:szCs w:val="22"/>
        </w:rPr>
        <w:t xml:space="preserve"> preten</w:t>
      </w:r>
      <w:r>
        <w:rPr>
          <w:rFonts w:ascii="Palatino Linotype" w:eastAsia="Palatino Linotype" w:hAnsi="Palatino Linotype" w:cs="Palatino Linotype"/>
          <w:sz w:val="22"/>
          <w:szCs w:val="22"/>
        </w:rPr>
        <w:t>de que la definición de los programas presupuestarios, considere la evaluación de los resultados alcanzados y la manera en que las Dependencias y Entidades de la Administración Pública Municipal ejercen los recursos públicos.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manera </w:t>
      </w:r>
      <w:proofErr w:type="gramStart"/>
      <w:r>
        <w:rPr>
          <w:rFonts w:ascii="Palatino Linotype" w:eastAsia="Palatino Linotype" w:hAnsi="Palatino Linotype" w:cs="Palatino Linotype"/>
          <w:sz w:val="22"/>
          <w:szCs w:val="22"/>
        </w:rPr>
        <w:t>que</w:t>
      </w:r>
      <w:proofErr w:type="gramEnd"/>
      <w:r>
        <w:rPr>
          <w:rFonts w:ascii="Palatino Linotype" w:eastAsia="Palatino Linotype" w:hAnsi="Palatino Linotype" w:cs="Palatino Linotype"/>
          <w:sz w:val="22"/>
          <w:szCs w:val="22"/>
        </w:rPr>
        <w:t xml:space="preserve"> para la integra</w:t>
      </w:r>
      <w:r>
        <w:rPr>
          <w:rFonts w:ascii="Palatino Linotype" w:eastAsia="Palatino Linotype" w:hAnsi="Palatino Linotype" w:cs="Palatino Linotype"/>
          <w:sz w:val="22"/>
          <w:szCs w:val="22"/>
        </w:rPr>
        <w:t>ción del presupuesto, los municipios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cuentan con el deber de generar diversos formatos denominados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 siendo estos los siguientes de conformidad con el Manual para la Planeación, Programación y Presupuesto de Egresos Municipal, para el ejercicio 2025:</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PbRM-03a Presupuesto de Ingresos Detallado</w:t>
      </w:r>
      <w:r>
        <w:rPr>
          <w:rFonts w:ascii="Palatino Linotype" w:eastAsia="Palatino Linotype" w:hAnsi="Palatino Linotype" w:cs="Palatino Linotype"/>
          <w:sz w:val="22"/>
          <w:szCs w:val="22"/>
        </w:rPr>
        <w:t>. En este formato se registran los ingresos que se estiman recaudar para el siguiente ejercicio, antes de la publicación de la Ley de Ingresos, Participaciones Federales y Programas Federales y Estatales, el cual</w:t>
      </w:r>
      <w:r>
        <w:rPr>
          <w:rFonts w:ascii="Palatino Linotype" w:eastAsia="Palatino Linotype" w:hAnsi="Palatino Linotype" w:cs="Palatino Linotype"/>
          <w:sz w:val="22"/>
          <w:szCs w:val="22"/>
        </w:rPr>
        <w:t xml:space="preserve"> servirá como base para comunicar los techos financieros a cada una de las Dependencias Generales.</w:t>
      </w:r>
    </w:p>
    <w:p w:rsidR="001C42F0" w:rsidRDefault="00047009">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PbRM-03b Carátula de Presupuesto de Ingresos</w:t>
      </w:r>
      <w:r>
        <w:rPr>
          <w:rFonts w:ascii="Palatino Linotype" w:eastAsia="Palatino Linotype" w:hAnsi="Palatino Linotype" w:cs="Palatino Linotype"/>
          <w:sz w:val="22"/>
          <w:szCs w:val="22"/>
        </w:rPr>
        <w:t xml:space="preserve">. Su finalidad consiste en presentar a nivel capítulo el total del Presupuesto Autorizado de Ingresos del municipio para el ejercicio presupuestal. El cual se integra con los datos globales del formato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 xml:space="preserve"> 03a Ingreso detallado.</w:t>
      </w:r>
    </w:p>
    <w:p w:rsidR="001C42F0" w:rsidRDefault="00047009">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Los formatos que conform</w:t>
      </w:r>
      <w:r>
        <w:rPr>
          <w:rFonts w:ascii="Palatino Linotype" w:eastAsia="Palatino Linotype" w:hAnsi="Palatino Linotype" w:cs="Palatino Linotype"/>
          <w:sz w:val="22"/>
          <w:szCs w:val="22"/>
        </w:rPr>
        <w:t xml:space="preserve">an el Programa Anual: </w:t>
      </w:r>
    </w:p>
    <w:p w:rsidR="001C42F0" w:rsidRDefault="00047009">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1.</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PbRM-01a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Dimensión Administrativa del Gasto. </w:t>
      </w:r>
      <w:r>
        <w:rPr>
          <w:rFonts w:ascii="Palatino Linotype" w:eastAsia="Palatino Linotype" w:hAnsi="Palatino Linotype" w:cs="Palatino Linotype"/>
          <w:sz w:val="22"/>
          <w:szCs w:val="22"/>
        </w:rPr>
        <w:t xml:space="preserve">El cual tiene como propósito </w:t>
      </w:r>
      <w:r>
        <w:rPr>
          <w:rFonts w:ascii="Palatino Linotype" w:eastAsia="Palatino Linotype" w:hAnsi="Palatino Linotype" w:cs="Palatino Linotype"/>
          <w:sz w:val="22"/>
          <w:szCs w:val="22"/>
          <w:u w:val="single"/>
        </w:rPr>
        <w:t>identificar a nivel de estructura administrativa los programas y proyectos de los cuales se responsabiliza cada una de las Dependencias</w:t>
      </w:r>
      <w:r>
        <w:rPr>
          <w:rFonts w:ascii="Palatino Linotype" w:eastAsia="Palatino Linotype" w:hAnsi="Palatino Linotype" w:cs="Palatino Linotype"/>
          <w:sz w:val="22"/>
          <w:szCs w:val="22"/>
        </w:rPr>
        <w:t xml:space="preserve"> y Organismos municip</w:t>
      </w:r>
      <w:r>
        <w:rPr>
          <w:rFonts w:ascii="Palatino Linotype" w:eastAsia="Palatino Linotype" w:hAnsi="Palatino Linotype" w:cs="Palatino Linotype"/>
          <w:sz w:val="22"/>
          <w:szCs w:val="22"/>
        </w:rPr>
        <w:t>ales.</w:t>
      </w:r>
      <w:r>
        <w:rPr>
          <w:rFonts w:ascii="Palatino Linotype" w:eastAsia="Palatino Linotype" w:hAnsi="Palatino Linotype" w:cs="Palatino Linotype"/>
          <w:sz w:val="22"/>
          <w:szCs w:val="22"/>
        </w:rPr>
        <w:br/>
      </w:r>
      <w:r>
        <w:rPr>
          <w:rFonts w:ascii="Palatino Linotype" w:eastAsia="Palatino Linotype" w:hAnsi="Palatino Linotype" w:cs="Palatino Linotype"/>
          <w:b/>
          <w:bCs/>
          <w:sz w:val="22"/>
          <w:szCs w:val="22"/>
        </w:rPr>
        <w:t xml:space="preserve">2.  PbRM-01b Descripción del Programa presupuestario. </w:t>
      </w:r>
      <w:r>
        <w:rPr>
          <w:rFonts w:ascii="Palatino Linotype" w:eastAsia="Palatino Linotype" w:hAnsi="Palatino Linotype" w:cs="Palatino Linotype"/>
          <w:sz w:val="22"/>
          <w:szCs w:val="22"/>
        </w:rPr>
        <w:t xml:space="preserve">Tiene como propósito, identificar el diagnóstico del entorno de responsabilidad del programa respectivo para sustentar y justificar la asignación del presupuesto del ejercicio fiscal, </w:t>
      </w:r>
      <w:r>
        <w:rPr>
          <w:rFonts w:ascii="Palatino Linotype" w:eastAsia="Palatino Linotype" w:hAnsi="Palatino Linotype" w:cs="Palatino Linotype"/>
          <w:sz w:val="22"/>
          <w:szCs w:val="22"/>
          <w:u w:val="single"/>
        </w:rPr>
        <w:t xml:space="preserve">definir los </w:t>
      </w:r>
      <w:r>
        <w:rPr>
          <w:rFonts w:ascii="Palatino Linotype" w:eastAsia="Palatino Linotype" w:hAnsi="Palatino Linotype" w:cs="Palatino Linotype"/>
          <w:sz w:val="22"/>
          <w:szCs w:val="22"/>
          <w:u w:val="single"/>
        </w:rPr>
        <w:t>objetivos que se pretenden alcanzar y establecer las estrategias que serán aplicadas para dar viabilidad al logro de dichos objetivos</w:t>
      </w:r>
      <w:r>
        <w:rPr>
          <w:rFonts w:ascii="Palatino Linotype" w:eastAsia="Palatino Linotype" w:hAnsi="Palatino Linotype" w:cs="Palatino Linotype"/>
          <w:sz w:val="22"/>
          <w:szCs w:val="22"/>
        </w:rPr>
        <w:t>.</w:t>
      </w:r>
    </w:p>
    <w:p w:rsidR="001C42F0" w:rsidRDefault="00047009">
      <w:pPr>
        <w:spacing w:line="360" w:lineRule="auto"/>
        <w:ind w:left="56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3. PbRM-01c Programa Anual de Metas de actividad por Proyecto. </w:t>
      </w:r>
      <w:r>
        <w:rPr>
          <w:rFonts w:ascii="Palatino Linotype" w:eastAsia="Palatino Linotype" w:hAnsi="Palatino Linotype" w:cs="Palatino Linotype"/>
          <w:sz w:val="22"/>
          <w:szCs w:val="22"/>
        </w:rPr>
        <w:t xml:space="preserve">Tiene como propósito </w:t>
      </w:r>
      <w:r>
        <w:rPr>
          <w:rFonts w:ascii="Palatino Linotype" w:eastAsia="Palatino Linotype" w:hAnsi="Palatino Linotype" w:cs="Palatino Linotype"/>
          <w:sz w:val="22"/>
          <w:szCs w:val="22"/>
          <w:u w:val="single"/>
        </w:rPr>
        <w:t>establecer las acciones sustantivas p</w:t>
      </w:r>
      <w:r>
        <w:rPr>
          <w:rFonts w:ascii="Palatino Linotype" w:eastAsia="Palatino Linotype" w:hAnsi="Palatino Linotype" w:cs="Palatino Linotype"/>
          <w:sz w:val="22"/>
          <w:szCs w:val="22"/>
          <w:u w:val="single"/>
        </w:rPr>
        <w:t>ara cada proyecto</w:t>
      </w:r>
      <w:r>
        <w:rPr>
          <w:rFonts w:ascii="Palatino Linotype" w:eastAsia="Palatino Linotype" w:hAnsi="Palatino Linotype" w:cs="Palatino Linotype"/>
          <w:sz w:val="22"/>
          <w:szCs w:val="22"/>
        </w:rPr>
        <w:t>, mismas que deberán reflejar la diferencia entre el cumplimiento alcanzado durante el ejercicio fiscal anterior y las cifras programadas que se estimen alcanzar en el ejercicio en curso.</w:t>
      </w:r>
    </w:p>
    <w:p w:rsidR="001C42F0" w:rsidRDefault="00047009">
      <w:pPr>
        <w:spacing w:line="360" w:lineRule="auto"/>
        <w:ind w:left="56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4. PbRM-01d Ficha técnica de diseño de indicadores </w:t>
      </w:r>
      <w:r>
        <w:rPr>
          <w:rFonts w:ascii="Palatino Linotype" w:eastAsia="Palatino Linotype" w:hAnsi="Palatino Linotype" w:cs="Palatino Linotype"/>
          <w:b/>
          <w:bCs/>
          <w:sz w:val="22"/>
          <w:szCs w:val="22"/>
        </w:rPr>
        <w:t xml:space="preserve">estratégicos o de gestión. </w:t>
      </w:r>
      <w:r>
        <w:rPr>
          <w:rFonts w:ascii="Palatino Linotype" w:eastAsia="Palatino Linotype" w:hAnsi="Palatino Linotype" w:cs="Palatino Linotype"/>
          <w:sz w:val="22"/>
          <w:szCs w:val="22"/>
        </w:rPr>
        <w:t>Tiene como finalidad el registro de los indicadores de gestión que se manejan en el Sistema de Evaluación de la Gestión Municipal, SEGEMUN, mismos que deberán estar vinculados directamente a las metas programadas en el formato Pb</w:t>
      </w:r>
      <w:r>
        <w:rPr>
          <w:rFonts w:ascii="Palatino Linotype" w:eastAsia="Palatino Linotype" w:hAnsi="Palatino Linotype" w:cs="Palatino Linotype"/>
          <w:sz w:val="22"/>
          <w:szCs w:val="22"/>
        </w:rPr>
        <w:t>RM-01e.</w:t>
      </w:r>
    </w:p>
    <w:p w:rsidR="001C42F0" w:rsidRDefault="00047009">
      <w:pPr>
        <w:spacing w:line="360" w:lineRule="auto"/>
        <w:ind w:left="56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5. PbRM-01e Matriz de Indicadores para Resultados por Programa presupuestario y Dependencia General. T</w:t>
      </w:r>
      <w:r>
        <w:rPr>
          <w:rFonts w:ascii="Palatino Linotype" w:eastAsia="Palatino Linotype" w:hAnsi="Palatino Linotype" w:cs="Palatino Linotype"/>
          <w:sz w:val="22"/>
          <w:szCs w:val="22"/>
        </w:rPr>
        <w:t>iene relación con el formato PbRM-01d</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 finalidad consiste en conjuntar la totalidad de los indicadores que permitan identificar el logro o bene</w:t>
      </w:r>
      <w:r>
        <w:rPr>
          <w:rFonts w:ascii="Palatino Linotype" w:eastAsia="Palatino Linotype" w:hAnsi="Palatino Linotype" w:cs="Palatino Linotype"/>
          <w:sz w:val="22"/>
          <w:szCs w:val="22"/>
        </w:rPr>
        <w:t>ficio que se espera alcanzar, y que, a través de los procesos de evaluación, se medirán para conocer el nivel de cumplimiento de los objetivos y metas de cada uno de los Programas presupuestarios que comprende el programa anual del ejercicio fiscal</w:t>
      </w:r>
    </w:p>
    <w:p w:rsidR="001C42F0" w:rsidRDefault="00047009">
      <w:pPr>
        <w:spacing w:line="360" w:lineRule="auto"/>
        <w:ind w:left="56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6. PbRM</w:t>
      </w:r>
      <w:r>
        <w:rPr>
          <w:rFonts w:ascii="Palatino Linotype" w:eastAsia="Palatino Linotype" w:hAnsi="Palatino Linotype" w:cs="Palatino Linotype"/>
          <w:b/>
          <w:bCs/>
          <w:sz w:val="22"/>
          <w:szCs w:val="22"/>
        </w:rPr>
        <w:t xml:space="preserve">-02a Calendarización de metas de actividad. </w:t>
      </w:r>
      <w:r>
        <w:rPr>
          <w:rFonts w:ascii="Palatino Linotype" w:eastAsia="Palatino Linotype" w:hAnsi="Palatino Linotype" w:cs="Palatino Linotype"/>
          <w:sz w:val="22"/>
          <w:szCs w:val="22"/>
        </w:rPr>
        <w:t xml:space="preserve">Tiene por objeto </w:t>
      </w:r>
      <w:r>
        <w:rPr>
          <w:rFonts w:ascii="Palatino Linotype" w:eastAsia="Palatino Linotype" w:hAnsi="Palatino Linotype" w:cs="Palatino Linotype"/>
          <w:sz w:val="22"/>
          <w:szCs w:val="22"/>
          <w:u w:val="single"/>
        </w:rPr>
        <w:t>identificar trimestralmente las cantidades de las metas programadas anuales por proyecto,</w:t>
      </w:r>
      <w:r>
        <w:rPr>
          <w:rFonts w:ascii="Palatino Linotype" w:eastAsia="Palatino Linotype" w:hAnsi="Palatino Linotype" w:cs="Palatino Linotype"/>
          <w:sz w:val="22"/>
          <w:szCs w:val="22"/>
        </w:rPr>
        <w:t xml:space="preserve"> mismas que fueron planteadas en el formato PbRM-01c.</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PbRM-04a Presupuesto de Egresos Detallado. </w:t>
      </w:r>
      <w:r>
        <w:rPr>
          <w:rFonts w:ascii="Palatino Linotype" w:eastAsia="Palatino Linotype" w:hAnsi="Palatino Linotype" w:cs="Palatino Linotype"/>
          <w:sz w:val="22"/>
          <w:szCs w:val="22"/>
        </w:rPr>
        <w:t>Su fina</w:t>
      </w:r>
      <w:r>
        <w:rPr>
          <w:rFonts w:ascii="Palatino Linotype" w:eastAsia="Palatino Linotype" w:hAnsi="Palatino Linotype" w:cs="Palatino Linotype"/>
          <w:sz w:val="22"/>
          <w:szCs w:val="22"/>
        </w:rPr>
        <w:t>lidad consiste en registrar los proyectos por partida de gasto, identificando los montos por Partida Específica, Partida Genérica, Concepto y Capítulo del Gasto, de cada proyecto a nivel de Dependencia General y Auxiliar,</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PbRM-04b Presupuesto de Egresos </w:t>
      </w:r>
      <w:r>
        <w:rPr>
          <w:rFonts w:ascii="Palatino Linotype" w:eastAsia="Palatino Linotype" w:hAnsi="Palatino Linotype" w:cs="Palatino Linotype"/>
          <w:b/>
          <w:bCs/>
          <w:sz w:val="22"/>
          <w:szCs w:val="22"/>
        </w:rPr>
        <w:t xml:space="preserve">por Objeto del Gasto y Dependencia General. </w:t>
      </w:r>
      <w:r>
        <w:rPr>
          <w:rFonts w:ascii="Palatino Linotype" w:eastAsia="Palatino Linotype" w:hAnsi="Palatino Linotype" w:cs="Palatino Linotype"/>
          <w:sz w:val="22"/>
          <w:szCs w:val="22"/>
        </w:rPr>
        <w:t>Se integran los conceptos por partida específica, y concentra la suma de los formatos de Presupuesto de Egresos detallado PbRM-04a a nivel de Dependencia General.</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PbRM-04c Presupuesto de Egreso Global Calendari</w:t>
      </w:r>
      <w:r>
        <w:rPr>
          <w:rFonts w:ascii="Palatino Linotype" w:eastAsia="Palatino Linotype" w:hAnsi="Palatino Linotype" w:cs="Palatino Linotype"/>
          <w:b/>
          <w:bCs/>
          <w:sz w:val="22"/>
          <w:szCs w:val="22"/>
        </w:rPr>
        <w:t xml:space="preserve">zado. </w:t>
      </w:r>
      <w:r>
        <w:rPr>
          <w:rFonts w:ascii="Palatino Linotype" w:eastAsia="Palatino Linotype" w:hAnsi="Palatino Linotype" w:cs="Palatino Linotype"/>
          <w:sz w:val="22"/>
          <w:szCs w:val="22"/>
        </w:rPr>
        <w:t>Contiene la suma de los formatos por Partida Específica, Partida Genérica, Concepto y Capítulo del Gasto PbRM-04b, de todas las Dependencias Generales.</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PbRM-04d Carátula de Presupuesto de Egresos. </w:t>
      </w:r>
      <w:r>
        <w:rPr>
          <w:rFonts w:ascii="Palatino Linotype" w:eastAsia="Palatino Linotype" w:hAnsi="Palatino Linotype" w:cs="Palatino Linotype"/>
          <w:sz w:val="22"/>
          <w:szCs w:val="22"/>
        </w:rPr>
        <w:t>Registra los importes del formato por Capítulo de G</w:t>
      </w:r>
      <w:r>
        <w:rPr>
          <w:rFonts w:ascii="Palatino Linotype" w:eastAsia="Palatino Linotype" w:hAnsi="Palatino Linotype" w:cs="Palatino Linotype"/>
          <w:sz w:val="22"/>
          <w:szCs w:val="22"/>
        </w:rPr>
        <w:t>asto PbRM-04c.</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PbRM-05 Tabulador de Sueldos. </w:t>
      </w:r>
      <w:r>
        <w:rPr>
          <w:rFonts w:ascii="Palatino Linotype" w:eastAsia="Palatino Linotype" w:hAnsi="Palatino Linotype" w:cs="Palatino Linotype"/>
          <w:sz w:val="22"/>
          <w:szCs w:val="22"/>
        </w:rPr>
        <w:t>Registra las remuneraciones que se perciben por el empleo, cargo o comisión de cualquier naturaleza por los servidores públicos municipales.</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PbRM-06 Programa Anual de Adquisiciones. </w:t>
      </w:r>
      <w:r>
        <w:rPr>
          <w:rFonts w:ascii="Palatino Linotype" w:eastAsia="Palatino Linotype" w:hAnsi="Palatino Linotype" w:cs="Palatino Linotype"/>
          <w:sz w:val="22"/>
          <w:szCs w:val="22"/>
        </w:rPr>
        <w:t>Describe de manera precis</w:t>
      </w:r>
      <w:r>
        <w:rPr>
          <w:rFonts w:ascii="Palatino Linotype" w:eastAsia="Palatino Linotype" w:hAnsi="Palatino Linotype" w:cs="Palatino Linotype"/>
          <w:sz w:val="22"/>
          <w:szCs w:val="22"/>
        </w:rPr>
        <w:t>a a nivel de capítulo, concepto, partida genérica y partida específica presupuestal, el gasto que el ayuntamiento realice por concepto de adquisiciones directas a nivel de proyecto, los capítulos que básicamente se plasmarán en este formato son los referid</w:t>
      </w:r>
      <w:r>
        <w:rPr>
          <w:rFonts w:ascii="Palatino Linotype" w:eastAsia="Palatino Linotype" w:hAnsi="Palatino Linotype" w:cs="Palatino Linotype"/>
          <w:sz w:val="22"/>
          <w:szCs w:val="22"/>
        </w:rPr>
        <w:t>os a Materiales y Suministros, Servicios Generales y Bienes Muebles, Inmuebles e Intangibles.</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PbRM-07a Programa Anual de Obra. </w:t>
      </w:r>
      <w:r>
        <w:rPr>
          <w:rFonts w:ascii="Palatino Linotype" w:eastAsia="Palatino Linotype" w:hAnsi="Palatino Linotype" w:cs="Palatino Linotype"/>
          <w:sz w:val="22"/>
          <w:szCs w:val="22"/>
        </w:rPr>
        <w:t>Especifica de manera precisa el período de ejecución y presupuesto ejercido de la obra pública de que se trate; así como la fue</w:t>
      </w:r>
      <w:r>
        <w:rPr>
          <w:rFonts w:ascii="Palatino Linotype" w:eastAsia="Palatino Linotype" w:hAnsi="Palatino Linotype" w:cs="Palatino Linotype"/>
          <w:sz w:val="22"/>
          <w:szCs w:val="22"/>
        </w:rPr>
        <w:t>nte de financiamiento con la que ésta se llevará a cabo.</w:t>
      </w: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 PbRM-07b Programa Anual de Obras (Reparaciones y Mantenimiento). </w:t>
      </w:r>
      <w:r>
        <w:rPr>
          <w:rFonts w:ascii="Palatino Linotype" w:eastAsia="Palatino Linotype" w:hAnsi="Palatino Linotype" w:cs="Palatino Linotype"/>
          <w:sz w:val="22"/>
          <w:szCs w:val="22"/>
        </w:rPr>
        <w:t>Especifica de manera precisa el periodo de ejecución y el presupuesto que destina el ayuntamiento por concepto de Reparaciones y Man</w:t>
      </w:r>
      <w:r>
        <w:rPr>
          <w:rFonts w:ascii="Palatino Linotype" w:eastAsia="Palatino Linotype" w:hAnsi="Palatino Linotype" w:cs="Palatino Linotype"/>
          <w:sz w:val="22"/>
          <w:szCs w:val="22"/>
        </w:rPr>
        <w:t>tenimiento; así como la fuente de financiamiento con la que ésta se llevará a cabo.</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advierte, los municipios generan diversos formatos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 xml:space="preserve"> para la integración de su presupuesto; ello, con la finalidad de apoyar la asignación objetiva de los recursos públicos para fortalecer las políticas, programas y proyectos para el desempeño g</w:t>
      </w:r>
      <w:r>
        <w:rPr>
          <w:rFonts w:ascii="Palatino Linotype" w:eastAsia="Palatino Linotype" w:hAnsi="Palatino Linotype" w:cs="Palatino Linotype"/>
          <w:sz w:val="22"/>
          <w:szCs w:val="22"/>
        </w:rPr>
        <w:t xml:space="preserve">ubernamental, </w:t>
      </w:r>
      <w:r>
        <w:rPr>
          <w:rFonts w:ascii="Palatino Linotype" w:eastAsia="Palatino Linotype" w:hAnsi="Palatino Linotype" w:cs="Palatino Linotype"/>
          <w:b/>
          <w:bCs/>
          <w:sz w:val="22"/>
          <w:szCs w:val="22"/>
        </w:rPr>
        <w:t>mismos que corresponden a los peticionados por el particular</w:t>
      </w:r>
      <w:r>
        <w:rPr>
          <w:rFonts w:ascii="Palatino Linotype" w:eastAsia="Palatino Linotype" w:hAnsi="Palatino Linotype" w:cs="Palatino Linotype"/>
          <w:sz w:val="22"/>
          <w:szCs w:val="22"/>
        </w:rPr>
        <w:t xml:space="preserve">, </w:t>
      </w:r>
      <w:proofErr w:type="gramStart"/>
      <w:r>
        <w:rPr>
          <w:rFonts w:ascii="Palatino Linotype" w:eastAsia="Palatino Linotype" w:hAnsi="Palatino Linotype" w:cs="Palatino Linotype"/>
          <w:sz w:val="22"/>
          <w:szCs w:val="22"/>
        </w:rPr>
        <w:t>y</w:t>
      </w:r>
      <w:proofErr w:type="gramEnd"/>
      <w:r>
        <w:rPr>
          <w:rFonts w:ascii="Palatino Linotype" w:eastAsia="Palatino Linotype" w:hAnsi="Palatino Linotype" w:cs="Palatino Linotype"/>
          <w:sz w:val="22"/>
          <w:szCs w:val="22"/>
        </w:rPr>
        <w:t xml:space="preserve"> por tanto,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por conducto de su Tesorería Municipal y la UIPPE tiene atribuciones para conocer sobre lo requerido.</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lo anterior, no escapa de la óptica de este Órgano Garante que el particular requirió uno de los formatos del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 xml:space="preserve"> respecto de los tres primeros trimestres del ejercicio dos mil veinticinco, específicamente el</w:t>
      </w:r>
      <w:r>
        <w:t xml:space="preserve"> </w:t>
      </w:r>
      <w:r>
        <w:rPr>
          <w:rFonts w:ascii="Palatino Linotype" w:eastAsia="Palatino Linotype" w:hAnsi="Palatino Linotype" w:cs="Palatino Linotype"/>
          <w:b/>
          <w:bCs/>
          <w:sz w:val="22"/>
          <w:szCs w:val="22"/>
        </w:rPr>
        <w:t>PbRM-02a Calendarización de metas de activid</w:t>
      </w:r>
      <w:r>
        <w:rPr>
          <w:rFonts w:ascii="Palatino Linotype" w:eastAsia="Palatino Linotype" w:hAnsi="Palatino Linotype" w:cs="Palatino Linotype"/>
          <w:b/>
          <w:bCs/>
          <w:sz w:val="22"/>
          <w:szCs w:val="22"/>
        </w:rPr>
        <w:t>ad</w:t>
      </w:r>
      <w:r>
        <w:rPr>
          <w:rFonts w:ascii="Palatino Linotype" w:eastAsia="Palatino Linotype" w:hAnsi="Palatino Linotype" w:cs="Palatino Linotype"/>
          <w:sz w:val="22"/>
          <w:szCs w:val="22"/>
        </w:rPr>
        <w:t>; sin embargo, conforme lo antes expuesto, dicho formato se genera para integrar el presupuesto, de ahí que el mismo se genera de manera anual, para la integración del presupuesto anual.</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u w:val="single"/>
        </w:rPr>
      </w:pPr>
      <w:r>
        <w:rPr>
          <w:rFonts w:ascii="Palatino Linotype" w:eastAsia="Palatino Linotype" w:hAnsi="Palatino Linotype" w:cs="Palatino Linotype"/>
          <w:b/>
          <w:bCs/>
          <w:sz w:val="22"/>
          <w:szCs w:val="22"/>
          <w:u w:val="single"/>
        </w:rPr>
        <w:t>Por lo que, para efectos del cumplimiento que, en su caso proceda,</w:t>
      </w:r>
      <w:r>
        <w:rPr>
          <w:rFonts w:ascii="Palatino Linotype" w:eastAsia="Palatino Linotype" w:hAnsi="Palatino Linotype" w:cs="Palatino Linotype"/>
          <w:b/>
          <w:bCs/>
          <w:sz w:val="22"/>
          <w:szCs w:val="22"/>
          <w:u w:val="single"/>
        </w:rPr>
        <w:t xml:space="preserve"> se deberá tener que dicho formato del PbRM-02a, será respecto del ejercicio 2025.</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en el caso que nos ocupa, se advierte que quien se pronunció en respuesta fue el Titular de la Unidad de Información, Planeación, Programación y Evaluación, la cual </w:t>
      </w:r>
      <w:r>
        <w:rPr>
          <w:rFonts w:ascii="Palatino Linotype" w:eastAsia="Palatino Linotype" w:hAnsi="Palatino Linotype" w:cs="Palatino Linotype"/>
          <w:sz w:val="22"/>
          <w:szCs w:val="22"/>
        </w:rPr>
        <w:t>es la unidad administrativa responsable de coordinar la integración del presupuesto municipal, asegurando su congruencia con el Plan de Desarrollo Municipal (PDM) mediante el </w:t>
      </w:r>
      <w:hyperlink r:id="rId10">
        <w:r>
          <w:rPr>
            <w:rFonts w:ascii="Palatino Linotype" w:eastAsia="Palatino Linotype" w:hAnsi="Palatino Linotype" w:cs="Palatino Linotype"/>
            <w:color w:val="000000"/>
            <w:sz w:val="22"/>
            <w:szCs w:val="22"/>
          </w:rPr>
          <w:t>Presupuesto basado en Resultados</w:t>
        </w:r>
      </w:hyperlink>
      <w:r>
        <w:rPr>
          <w:rFonts w:ascii="Palatino Linotype" w:eastAsia="Palatino Linotype" w:hAnsi="Palatino Linotype" w:cs="Palatino Linotype"/>
          <w:sz w:val="22"/>
          <w:szCs w:val="22"/>
        </w:rPr>
        <w:t>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w:t>
      </w:r>
    </w:p>
    <w:p w:rsidR="001C42F0" w:rsidRDefault="001C42F0">
      <w:pPr>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se tiene que en el caso </w:t>
      </w:r>
      <w:r>
        <w:rPr>
          <w:rFonts w:ascii="Palatino Linotype" w:eastAsia="Palatino Linotype" w:hAnsi="Palatino Linotype" w:cs="Palatino Linotype"/>
          <w:b/>
          <w:bCs/>
          <w:sz w:val="22"/>
          <w:szCs w:val="22"/>
        </w:rPr>
        <w:t xml:space="preserve">NO </w:t>
      </w:r>
      <w:r>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w:t>
      </w:r>
      <w:r>
        <w:rPr>
          <w:rFonts w:ascii="Palatino Linotype" w:eastAsia="Palatino Linotype" w:hAnsi="Palatino Linotype" w:cs="Palatino Linotype"/>
          <w:sz w:val="22"/>
          <w:szCs w:val="22"/>
        </w:rPr>
        <w:t xml:space="preserve"> Municipios, ya que la Unidad de Transparencia </w:t>
      </w:r>
      <w:r>
        <w:rPr>
          <w:rFonts w:ascii="Palatino Linotype" w:eastAsia="Palatino Linotype" w:hAnsi="Palatino Linotype" w:cs="Palatino Linotype"/>
          <w:b/>
          <w:bCs/>
          <w:sz w:val="22"/>
          <w:szCs w:val="22"/>
        </w:rPr>
        <w:t xml:space="preserve">NO </w:t>
      </w:r>
      <w:r>
        <w:rPr>
          <w:rFonts w:ascii="Palatino Linotype" w:eastAsia="Palatino Linotype" w:hAnsi="Palatino Linotype" w:cs="Palatino Linotype"/>
          <w:sz w:val="22"/>
          <w:szCs w:val="22"/>
        </w:rPr>
        <w:t>turnó la solicitud a todas las áreas que puede conocer de la información requerida, ya que faltó se pronunciara la Tesorería Municipal, de conformidad con la fracción XXXIX del artículo tercero de la legisl</w:t>
      </w:r>
      <w:r>
        <w:rPr>
          <w:rFonts w:ascii="Palatino Linotype" w:eastAsia="Palatino Linotype" w:hAnsi="Palatino Linotype" w:cs="Palatino Linotype"/>
          <w:sz w:val="22"/>
          <w:szCs w:val="22"/>
        </w:rPr>
        <w:t>ación local vigente en materia de transparencia: </w:t>
      </w:r>
    </w:p>
    <w:p w:rsidR="001C42F0" w:rsidRDefault="001C42F0">
      <w:pPr>
        <w:rPr>
          <w:sz w:val="22"/>
          <w:szCs w:val="22"/>
        </w:rPr>
      </w:pPr>
    </w:p>
    <w:p w:rsidR="001C42F0" w:rsidRDefault="00047009">
      <w:pPr>
        <w:pBdr>
          <w:top w:val="nil"/>
          <w:left w:val="nil"/>
          <w:bottom w:val="nil"/>
          <w:right w:val="nil"/>
          <w:between w:val="nil"/>
        </w:pBdr>
        <w:ind w:left="864" w:right="864"/>
        <w:jc w:val="both"/>
        <w:rPr>
          <w:sz w:val="22"/>
          <w:szCs w:val="22"/>
        </w:rPr>
      </w:pPr>
      <w:r>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w:t>
      </w:r>
      <w:r>
        <w:rPr>
          <w:rFonts w:ascii="Palatino Linotype" w:eastAsia="Palatino Linotype" w:hAnsi="Palatino Linotype" w:cs="Palatino Linotype"/>
          <w:i/>
          <w:iCs/>
          <w:sz w:val="22"/>
          <w:szCs w:val="22"/>
        </w:rPr>
        <w:t>ransparencia; respecto de las solicitudes presentadas y aportar en primera instancia el fundamento y motivación de la clasificación de la información. </w:t>
      </w:r>
    </w:p>
    <w:p w:rsidR="001C42F0" w:rsidRDefault="001C42F0">
      <w:pPr>
        <w:rPr>
          <w:sz w:val="22"/>
          <w:szCs w:val="22"/>
        </w:rPr>
      </w:pPr>
    </w:p>
    <w:p w:rsidR="001C42F0" w:rsidRDefault="00047009">
      <w:pPr>
        <w:pBdr>
          <w:top w:val="nil"/>
          <w:left w:val="nil"/>
          <w:bottom w:val="nil"/>
          <w:right w:val="nil"/>
          <w:between w:val="nil"/>
        </w:pBdr>
        <w:shd w:val="clear" w:color="auto" w:fill="FFFFFF"/>
        <w:spacing w:line="360" w:lineRule="auto"/>
        <w:jc w:val="both"/>
        <w:rPr>
          <w:sz w:val="22"/>
          <w:szCs w:val="22"/>
        </w:rPr>
      </w:pPr>
      <w:r>
        <w:rPr>
          <w:rFonts w:ascii="Palatino Linotype" w:eastAsia="Palatino Linotype" w:hAnsi="Palatino Linotype" w:cs="Palatino Linotype"/>
          <w:sz w:val="22"/>
          <w:szCs w:val="22"/>
        </w:rPr>
        <w:t>En este orden de ideas, se advierte que la Unidad de Transparencia no cumplió en su totalidad con lo ex</w:t>
      </w:r>
      <w:r>
        <w:rPr>
          <w:rFonts w:ascii="Palatino Linotype" w:eastAsia="Palatino Linotype" w:hAnsi="Palatino Linotype" w:cs="Palatino Linotype"/>
          <w:sz w:val="22"/>
          <w:szCs w:val="22"/>
        </w:rPr>
        <w:t>presado en el artículo 162 de la Ley de Transparencia y Acceso a la Información Pública del Estado de México y Municipios, el cual menciona lo siguiente:</w:t>
      </w:r>
    </w:p>
    <w:p w:rsidR="001C42F0" w:rsidRDefault="001C42F0">
      <w:pPr>
        <w:rPr>
          <w:sz w:val="22"/>
          <w:szCs w:val="22"/>
        </w:rPr>
      </w:pPr>
    </w:p>
    <w:p w:rsidR="001C42F0" w:rsidRDefault="00047009">
      <w:pPr>
        <w:pBdr>
          <w:top w:val="nil"/>
          <w:left w:val="nil"/>
          <w:bottom w:val="nil"/>
          <w:right w:val="nil"/>
          <w:between w:val="nil"/>
        </w:pBdr>
        <w:ind w:left="864" w:right="864"/>
        <w:jc w:val="both"/>
        <w:rPr>
          <w:sz w:val="22"/>
          <w:szCs w:val="22"/>
        </w:rPr>
      </w:pPr>
      <w:r>
        <w:rPr>
          <w:rFonts w:ascii="Palatino Linotype" w:eastAsia="Palatino Linotype" w:hAnsi="Palatino Linotype" w:cs="Palatino Linotype"/>
          <w:i/>
          <w:iCs/>
          <w:sz w:val="22"/>
          <w:szCs w:val="22"/>
        </w:rPr>
        <w:t xml:space="preserve">“Artículo 162. Las unidades de transparencia deberán garantizar que las solicitudes </w:t>
      </w:r>
      <w:r>
        <w:rPr>
          <w:rFonts w:ascii="Palatino Linotype" w:eastAsia="Palatino Linotype" w:hAnsi="Palatino Linotype" w:cs="Palatino Linotype"/>
          <w:b/>
          <w:bCs/>
          <w:i/>
          <w:iCs/>
          <w:sz w:val="22"/>
          <w:szCs w:val="22"/>
        </w:rPr>
        <w:t>se turnen a todas</w:t>
      </w:r>
      <w:r>
        <w:rPr>
          <w:rFonts w:ascii="Palatino Linotype" w:eastAsia="Palatino Linotype" w:hAnsi="Palatino Linotype" w:cs="Palatino Linotype"/>
          <w:b/>
          <w:bCs/>
          <w:i/>
          <w:iCs/>
          <w:sz w:val="22"/>
          <w:szCs w:val="22"/>
        </w:rPr>
        <w:t xml:space="preserve"> las Áreas competentes </w:t>
      </w:r>
      <w:r>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ahí que se advierte un incumpl</w:t>
      </w:r>
      <w:r>
        <w:rPr>
          <w:rFonts w:ascii="Palatino Linotype" w:eastAsia="Palatino Linotype" w:hAnsi="Palatino Linotype" w:cs="Palatino Linotype"/>
          <w:sz w:val="22"/>
          <w:szCs w:val="22"/>
        </w:rPr>
        <w:t>imiento al derecho de acceso a la información del particular, pues además de que no se turnó la solicitud de información a todas las áreas que pueden conocer de lo solicitado, en respuesta se pretendió clasificar información distinta a la requerida, consis</w:t>
      </w:r>
      <w:r>
        <w:rPr>
          <w:rFonts w:ascii="Palatino Linotype" w:eastAsia="Palatino Linotype" w:hAnsi="Palatino Linotype" w:cs="Palatino Linotype"/>
          <w:sz w:val="22"/>
          <w:szCs w:val="22"/>
        </w:rPr>
        <w:t>tente en: “</w:t>
      </w:r>
      <w:r>
        <w:rPr>
          <w:rFonts w:ascii="Palatino Linotype" w:eastAsia="Palatino Linotype" w:hAnsi="Palatino Linotype" w:cs="Palatino Linotype"/>
          <w:i/>
          <w:iCs/>
          <w:sz w:val="22"/>
          <w:szCs w:val="22"/>
        </w:rPr>
        <w:t xml:space="preserve">Se solicita una copia digital del </w:t>
      </w:r>
      <w:r>
        <w:rPr>
          <w:rFonts w:ascii="Palatino Linotype" w:eastAsia="Palatino Linotype" w:hAnsi="Palatino Linotype" w:cs="Palatino Linotype"/>
          <w:i/>
          <w:iCs/>
          <w:sz w:val="22"/>
          <w:szCs w:val="22"/>
          <w:u w:val="single"/>
        </w:rPr>
        <w:t>documento donde se DESGLOSE el COSTO FINAL resultante de la celebración de "Día de Muertos", considerando los adornos alusivos a la festividad que se colocaron en el Palacio Municipal, Plaza Morelos y calles del</w:t>
      </w:r>
      <w:r>
        <w:rPr>
          <w:rFonts w:ascii="Palatino Linotype" w:eastAsia="Palatino Linotype" w:hAnsi="Palatino Linotype" w:cs="Palatino Linotype"/>
          <w:i/>
          <w:iCs/>
          <w:sz w:val="22"/>
          <w:szCs w:val="22"/>
          <w:u w:val="single"/>
        </w:rPr>
        <w:t xml:space="preserve"> municipio. Para lo anterior, ténganse en cuenta los días 1 y 2 de noviembre de 2025. Asimismo, se solicita una copia digital del documento que </w:t>
      </w:r>
      <w:proofErr w:type="spellStart"/>
      <w:r>
        <w:rPr>
          <w:rFonts w:ascii="Palatino Linotype" w:eastAsia="Palatino Linotype" w:hAnsi="Palatino Linotype" w:cs="Palatino Linotype"/>
          <w:i/>
          <w:iCs/>
          <w:sz w:val="22"/>
          <w:szCs w:val="22"/>
          <w:u w:val="single"/>
        </w:rPr>
        <w:t>congtenga</w:t>
      </w:r>
      <w:proofErr w:type="spellEnd"/>
      <w:r>
        <w:rPr>
          <w:rFonts w:ascii="Palatino Linotype" w:eastAsia="Palatino Linotype" w:hAnsi="Palatino Linotype" w:cs="Palatino Linotype"/>
          <w:i/>
          <w:iCs/>
          <w:sz w:val="22"/>
          <w:szCs w:val="22"/>
          <w:u w:val="single"/>
        </w:rPr>
        <w:t xml:space="preserve"> la relación de PROVEEDORES que participaron con sus servicios en y para las fechas y festividad aludid</w:t>
      </w:r>
      <w:r>
        <w:rPr>
          <w:rFonts w:ascii="Palatino Linotype" w:eastAsia="Palatino Linotype" w:hAnsi="Palatino Linotype" w:cs="Palatino Linotype"/>
          <w:i/>
          <w:iCs/>
          <w:sz w:val="22"/>
          <w:szCs w:val="22"/>
          <w:u w:val="single"/>
        </w:rPr>
        <w:t>as (incluir NOMBRE O RAZÓN SOCIAL y DOMICILIO FISCAL)</w:t>
      </w:r>
      <w:r>
        <w:rPr>
          <w:rFonts w:ascii="Palatino Linotype" w:eastAsia="Palatino Linotype" w:hAnsi="Palatino Linotype" w:cs="Palatino Linotype"/>
          <w:sz w:val="22"/>
          <w:szCs w:val="22"/>
        </w:rPr>
        <w:t>” (Sic)</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ahí que no resulta procedente entrar al análisis a la clasificación de información diversa a la requerida, por no guardar relación con lo requerido por la persona solicitante.</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Máxime que la información a la que pretende acceder el particular, es susceptible de entregarse, dado que la misma rinde cuentas sobre la integración del presupuesto de las unidades administrativas o dependencias que integran el Ayuntamiento de </w:t>
      </w:r>
      <w:proofErr w:type="spellStart"/>
      <w:r>
        <w:rPr>
          <w:rFonts w:ascii="Palatino Linotype" w:eastAsia="Palatino Linotype" w:hAnsi="Palatino Linotype" w:cs="Palatino Linotype"/>
          <w:sz w:val="22"/>
          <w:szCs w:val="22"/>
        </w:rPr>
        <w:t>Papalotla</w:t>
      </w:r>
      <w:proofErr w:type="spellEnd"/>
      <w:r>
        <w:rPr>
          <w:rFonts w:ascii="Palatino Linotype" w:eastAsia="Palatino Linotype" w:hAnsi="Palatino Linotype" w:cs="Palatino Linotype"/>
          <w:sz w:val="22"/>
          <w:szCs w:val="22"/>
        </w:rPr>
        <w:t xml:space="preserve"> y</w:t>
      </w:r>
      <w:r>
        <w:rPr>
          <w:rFonts w:ascii="Palatino Linotype" w:eastAsia="Palatino Linotype" w:hAnsi="Palatino Linotype" w:cs="Palatino Linotype"/>
          <w:sz w:val="22"/>
          <w:szCs w:val="22"/>
        </w:rPr>
        <w:t xml:space="preserve"> el</w:t>
      </w:r>
      <w:r>
        <w:t xml:space="preserve"> </w:t>
      </w:r>
      <w:r>
        <w:rPr>
          <w:rFonts w:ascii="Palatino Linotype" w:eastAsia="Palatino Linotype" w:hAnsi="Palatino Linotype" w:cs="Palatino Linotype"/>
          <w:sz w:val="22"/>
          <w:szCs w:val="22"/>
        </w:rPr>
        <w:t xml:space="preserve">Instituto Municipal de Cultura Física y Deporte de </w:t>
      </w:r>
      <w:proofErr w:type="spellStart"/>
      <w:r>
        <w:rPr>
          <w:rFonts w:ascii="Palatino Linotype" w:eastAsia="Palatino Linotype" w:hAnsi="Palatino Linotype" w:cs="Palatino Linotype"/>
          <w:sz w:val="22"/>
          <w:szCs w:val="22"/>
        </w:rPr>
        <w:t>Papalotla</w:t>
      </w:r>
      <w:proofErr w:type="spellEnd"/>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u w:val="single"/>
        </w:rPr>
        <w:t>este último, además porque en materia de transparencia no se encuentra considerado como sujeto obligado diferente</w:t>
      </w:r>
      <w:r>
        <w:rPr>
          <w:rFonts w:ascii="Palatino Linotype" w:eastAsia="Palatino Linotype" w:hAnsi="Palatino Linotype" w:cs="Palatino Linotype"/>
          <w:sz w:val="22"/>
          <w:szCs w:val="22"/>
        </w:rPr>
        <w:t>).</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spacing w:line="360" w:lineRule="auto"/>
        <w:ind w:right="1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cabe señalar que la información requerida forma parte de las Obli</w:t>
      </w:r>
      <w:r>
        <w:rPr>
          <w:rFonts w:ascii="Palatino Linotype" w:eastAsia="Palatino Linotype" w:hAnsi="Palatino Linotype" w:cs="Palatino Linotype"/>
          <w:sz w:val="22"/>
          <w:szCs w:val="22"/>
        </w:rPr>
        <w:t xml:space="preserve">gaciones de Transparencia Comunes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lo que nos permite traer a colación lo dispuesto por la fracción XXV del artículo 92, de la Ley de Transparencia y Acceso a la Información Pública del Estado de México y Municipios en el cual se apreci</w:t>
      </w:r>
      <w:r>
        <w:rPr>
          <w:rFonts w:ascii="Palatino Linotype" w:eastAsia="Palatino Linotype" w:hAnsi="Palatino Linotype" w:cs="Palatino Linotype"/>
          <w:sz w:val="22"/>
          <w:szCs w:val="22"/>
        </w:rPr>
        <w:t>a lo siguiente:</w:t>
      </w:r>
    </w:p>
    <w:p w:rsidR="001C42F0" w:rsidRDefault="001C42F0">
      <w:pPr>
        <w:spacing w:line="360" w:lineRule="auto"/>
        <w:ind w:right="141"/>
        <w:jc w:val="both"/>
        <w:rPr>
          <w:rFonts w:ascii="Palatino Linotype" w:eastAsia="Palatino Linotype" w:hAnsi="Palatino Linotype" w:cs="Palatino Linotype"/>
          <w:sz w:val="22"/>
          <w:szCs w:val="22"/>
        </w:rPr>
      </w:pPr>
    </w:p>
    <w:p w:rsidR="001C42F0" w:rsidRDefault="00047009">
      <w:pPr>
        <w:tabs>
          <w:tab w:val="left" w:pos="851"/>
        </w:tabs>
        <w:ind w:left="709" w:right="70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Los sujetos obligados deberán poner a disposición del público de manera permanente y actualizada de forma sencilla, precisa y entendible, en los respectivos medios electrónicos</w:t>
      </w:r>
      <w:r>
        <w:rPr>
          <w:rFonts w:ascii="Palatino Linotype" w:eastAsia="Palatino Linotype" w:hAnsi="Palatino Linotype" w:cs="Palatino Linotype"/>
          <w:i/>
          <w:iCs/>
          <w:sz w:val="22"/>
          <w:szCs w:val="22"/>
        </w:rPr>
        <w:t>, de acuerdo con sus facultades, atribuciones, fu</w:t>
      </w:r>
      <w:r>
        <w:rPr>
          <w:rFonts w:ascii="Palatino Linotype" w:eastAsia="Palatino Linotype" w:hAnsi="Palatino Linotype" w:cs="Palatino Linotype"/>
          <w:i/>
          <w:iCs/>
          <w:sz w:val="22"/>
          <w:szCs w:val="22"/>
        </w:rPr>
        <w:t xml:space="preserve">nciones u objeto social, según corresponda, la información, </w:t>
      </w:r>
      <w:r>
        <w:rPr>
          <w:rFonts w:ascii="Palatino Linotype" w:eastAsia="Palatino Linotype" w:hAnsi="Palatino Linotype" w:cs="Palatino Linotype"/>
          <w:b/>
          <w:bCs/>
          <w:i/>
          <w:iCs/>
          <w:sz w:val="22"/>
          <w:szCs w:val="22"/>
          <w:u w:val="single"/>
        </w:rPr>
        <w:t>por lo menos, de los temas, documentos y políticas que a continuación se señalan</w:t>
      </w:r>
      <w:r>
        <w:rPr>
          <w:rFonts w:ascii="Palatino Linotype" w:eastAsia="Palatino Linotype" w:hAnsi="Palatino Linotype" w:cs="Palatino Linotype"/>
          <w:i/>
          <w:iCs/>
          <w:sz w:val="22"/>
          <w:szCs w:val="22"/>
        </w:rPr>
        <w:t>:</w:t>
      </w:r>
    </w:p>
    <w:p w:rsidR="001C42F0" w:rsidRDefault="00047009">
      <w:pPr>
        <w:tabs>
          <w:tab w:val="left" w:pos="851"/>
        </w:tabs>
        <w:ind w:left="709" w:right="70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047009">
      <w:pPr>
        <w:tabs>
          <w:tab w:val="left" w:pos="851"/>
        </w:tabs>
        <w:ind w:left="709" w:right="70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XXV. </w:t>
      </w:r>
      <w:proofErr w:type="gramStart"/>
      <w:r>
        <w:rPr>
          <w:rFonts w:ascii="Palatino Linotype" w:eastAsia="Palatino Linotype" w:hAnsi="Palatino Linotype" w:cs="Palatino Linotype"/>
          <w:i/>
          <w:iCs/>
          <w:sz w:val="22"/>
          <w:szCs w:val="22"/>
        </w:rPr>
        <w:t>La información financiera sobre el presupuesto asignado, así como los informes del ejercicio trimestral d</w:t>
      </w:r>
      <w:r>
        <w:rPr>
          <w:rFonts w:ascii="Palatino Linotype" w:eastAsia="Palatino Linotype" w:hAnsi="Palatino Linotype" w:cs="Palatino Linotype"/>
          <w:i/>
          <w:iCs/>
          <w:sz w:val="22"/>
          <w:szCs w:val="22"/>
        </w:rPr>
        <w:t>el gasto, en términos de la Ley General de Contabilidad Gubernamental y demás disposiciones jurídicas aplicables;</w:t>
      </w:r>
      <w:proofErr w:type="gramEnd"/>
    </w:p>
    <w:p w:rsidR="001C42F0" w:rsidRDefault="00047009">
      <w:pPr>
        <w:tabs>
          <w:tab w:val="left" w:pos="851"/>
        </w:tabs>
        <w:ind w:left="709" w:right="70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esta manera, la información requerida al ser de carácter financiera sobre el presupuesto asignado y al relacionarse con la obligación</w:t>
      </w:r>
      <w:r>
        <w:rPr>
          <w:rFonts w:ascii="Palatino Linotype" w:eastAsia="Palatino Linotype" w:hAnsi="Palatino Linotype" w:cs="Palatino Linotype"/>
          <w:sz w:val="22"/>
          <w:szCs w:val="22"/>
        </w:rPr>
        <w:t xml:space="preserve"> de transparencia común en cita, resulta procedente su entrega, pues permite conocer la asignación objetiva de los recursos públicos para fortalecer las políticas, programas y proyectos para el desempeño gubernamental.</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Bajo las consideraciones expuestas, </w:t>
      </w:r>
      <w:r>
        <w:rPr>
          <w:rFonts w:ascii="Palatino Linotype" w:eastAsia="Palatino Linotype" w:hAnsi="Palatino Linotype" w:cs="Palatino Linotype"/>
          <w:sz w:val="22"/>
          <w:szCs w:val="22"/>
        </w:rPr>
        <w:t xml:space="preserve">a criterio de este Órgano Garante los motivos de inconformidad devienen fundados, siendo procedente </w:t>
      </w:r>
      <w:r>
        <w:rPr>
          <w:rFonts w:ascii="Palatino Linotype" w:eastAsia="Palatino Linotype" w:hAnsi="Palatino Linotype" w:cs="Palatino Linotype"/>
          <w:b/>
          <w:bCs/>
          <w:sz w:val="22"/>
          <w:szCs w:val="22"/>
        </w:rPr>
        <w:t xml:space="preserve">Revocar </w:t>
      </w:r>
      <w:r>
        <w:rPr>
          <w:rFonts w:ascii="Palatino Linotype" w:eastAsia="Palatino Linotype" w:hAnsi="Palatino Linotype" w:cs="Palatino Linotype"/>
          <w:sz w:val="22"/>
          <w:szCs w:val="22"/>
        </w:rPr>
        <w:t>la respuesta y ordenar al ente obligado, previa búsqueda exhaustiva y razonable, lo siguiente:</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formatos que integran el Presupuesto Municipal de Ingresos y Egresos para 2025, consistentes en:</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PbRM-01a “Programa Anual. Dimensión Administrativa del Gasto”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PbRM-01b “Programa Anual. Descripción del Programa Presupuestario”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PbRM-01c “Metas de Activid</w:t>
      </w:r>
      <w:r>
        <w:rPr>
          <w:rFonts w:ascii="Palatino Linotype" w:eastAsia="Palatino Linotype" w:hAnsi="Palatino Linotype" w:cs="Palatino Linotype"/>
          <w:b/>
          <w:bCs/>
          <w:color w:val="000000"/>
          <w:sz w:val="22"/>
          <w:szCs w:val="22"/>
        </w:rPr>
        <w:t>ad por Proyecto”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PbRM-01d “Programa Anual. Ficha Técnica de Diseño de Indicadores Estratégicos o de Gestión”</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PbRM-01e “Matriz de Indicadores para Resultados por Programa Presupuestario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PbRM-02a “Calendarización de metas de Actividad </w:t>
      </w:r>
      <w:r>
        <w:rPr>
          <w:rFonts w:ascii="Palatino Linotype" w:eastAsia="Palatino Linotype" w:hAnsi="Palatino Linotype" w:cs="Palatino Linotype"/>
          <w:b/>
          <w:bCs/>
          <w:color w:val="000000"/>
          <w:sz w:val="22"/>
          <w:szCs w:val="22"/>
        </w:rPr>
        <w:t>por Proyecto”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PbRM-03a “Presupuesto de Ingresos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PbRM-03b “Carátula de Presupuesto de Ingresos”</w:t>
      </w:r>
    </w:p>
    <w:p w:rsidR="001C42F0" w:rsidRDefault="00047009">
      <w:pPr>
        <w:numPr>
          <w:ilvl w:val="0"/>
          <w:numId w:val="2"/>
        </w:numPr>
        <w:pBdr>
          <w:top w:val="nil"/>
          <w:left w:val="nil"/>
          <w:bottom w:val="nil"/>
          <w:right w:val="nil"/>
          <w:between w:val="nil"/>
        </w:pBdr>
        <w:spacing w:line="360" w:lineRule="auto"/>
        <w:ind w:right="-150"/>
        <w:jc w:val="both"/>
        <w:rPr>
          <w:b/>
          <w:bCs/>
          <w:color w:val="000000"/>
        </w:rPr>
      </w:pPr>
      <w:r>
        <w:rPr>
          <w:rFonts w:ascii="Palatino Linotype" w:eastAsia="Palatino Linotype" w:hAnsi="Palatino Linotype" w:cs="Palatino Linotype"/>
          <w:b/>
          <w:bCs/>
          <w:color w:val="000000"/>
          <w:sz w:val="22"/>
          <w:szCs w:val="22"/>
        </w:rPr>
        <w:t>PbRM-04a “Presupuesto de Egresos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PbRM-04b “Presupuesto de Egresos por Objeto del Gasto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PbRM-04c “Presupuesto de Egre</w:t>
      </w:r>
      <w:r>
        <w:rPr>
          <w:rFonts w:ascii="Palatino Linotype" w:eastAsia="Palatino Linotype" w:hAnsi="Palatino Linotype" w:cs="Palatino Linotype"/>
          <w:b/>
          <w:bCs/>
          <w:color w:val="000000"/>
          <w:sz w:val="22"/>
          <w:szCs w:val="22"/>
        </w:rPr>
        <w:t>sos Global Calendarizado”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PbRM-04d “Carátula del Presupuesto de Egresos”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PbRM-05 “Tabulador de sueldos”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PbRM-06 “Programa Anual de Adquisiciones”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PbRM-07a “Programa Anual de Obra”</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PbRM-07b “Programa Anual de Obra (Reparaciones y Mantenimientos)”</w:t>
      </w:r>
    </w:p>
    <w:p w:rsidR="001C42F0" w:rsidRDefault="001C42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w:t>
      </w:r>
      <w:r>
        <w:rPr>
          <w:rFonts w:ascii="Palatino Linotype" w:eastAsia="Palatino Linotype" w:hAnsi="Palatino Linotype" w:cs="Palatino Linotype"/>
          <w:sz w:val="22"/>
          <w:szCs w:val="22"/>
        </w:rPr>
        <w:t>to número 198 de la “LXII” Legislatura del Estado de México; 2, fracción II; 29, 36 fracciones I y II; 176, 178, 181, 185, fracción I, 186, fracción III, así como 188 de la Ley de Transparencia y Acceso a la Información Pública del Estado de México y Munic</w:t>
      </w:r>
      <w:r>
        <w:rPr>
          <w:rFonts w:ascii="Palatino Linotype" w:eastAsia="Palatino Linotype" w:hAnsi="Palatino Linotype" w:cs="Palatino Linotype"/>
          <w:sz w:val="22"/>
          <w:szCs w:val="22"/>
        </w:rPr>
        <w:t>ipios, este Pleno:</w:t>
      </w:r>
    </w:p>
    <w:p w:rsidR="001C42F0" w:rsidRDefault="001C42F0">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rsidR="001C42F0" w:rsidRDefault="0004700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Pr>
          <w:rFonts w:ascii="Palatino Linotype" w:eastAsia="Palatino Linotype" w:hAnsi="Palatino Linotype" w:cs="Palatino Linotype"/>
          <w:b/>
          <w:bCs/>
          <w:sz w:val="22"/>
          <w:szCs w:val="22"/>
        </w:rPr>
        <w:t>III. R E S U E L V E</w:t>
      </w:r>
    </w:p>
    <w:p w:rsidR="001C42F0" w:rsidRDefault="001C42F0">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rsidR="001C42F0" w:rsidRDefault="00047009">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bCs/>
          <w:sz w:val="22"/>
          <w:szCs w:val="22"/>
        </w:rPr>
        <w:t>00829/INFOEM/IP/RR/2026</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bCs/>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bCs/>
          <w:sz w:val="22"/>
          <w:szCs w:val="22"/>
        </w:rPr>
        <w:t xml:space="preserve">Revoca </w:t>
      </w:r>
      <w:r>
        <w:rPr>
          <w:rFonts w:ascii="Palatino Linotype" w:eastAsia="Palatino Linotype" w:hAnsi="Palatino Linotype" w:cs="Palatino Linotype"/>
          <w:sz w:val="22"/>
          <w:szCs w:val="22"/>
        </w:rPr>
        <w:t xml:space="preserve">la respuesta emitida por el </w:t>
      </w:r>
      <w:r>
        <w:rPr>
          <w:rFonts w:ascii="Palatino Linotype" w:eastAsia="Palatino Linotype" w:hAnsi="Palatino Linotype" w:cs="Palatino Linotype"/>
          <w:b/>
          <w:bCs/>
          <w:sz w:val="22"/>
          <w:szCs w:val="22"/>
        </w:rPr>
        <w:t>Sujeto Obligado.</w:t>
      </w:r>
    </w:p>
    <w:p w:rsidR="001C42F0" w:rsidRDefault="001C42F0">
      <w:pPr>
        <w:spacing w:line="360" w:lineRule="auto"/>
        <w:jc w:val="both"/>
        <w:rPr>
          <w:rFonts w:ascii="Palatino Linotype" w:eastAsia="Palatino Linotype" w:hAnsi="Palatino Linotype" w:cs="Palatino Linotype"/>
          <w:b/>
          <w:bCs/>
          <w:sz w:val="22"/>
          <w:szCs w:val="22"/>
        </w:rPr>
      </w:pPr>
    </w:p>
    <w:p w:rsidR="001C42F0" w:rsidRDefault="00047009">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términos de los considerandos </w:t>
      </w:r>
      <w:r>
        <w:rPr>
          <w:rFonts w:ascii="Palatino Linotype" w:eastAsia="Palatino Linotype" w:hAnsi="Palatino Linotype" w:cs="Palatino Linotype"/>
          <w:b/>
          <w:bCs/>
          <w:sz w:val="22"/>
          <w:szCs w:val="22"/>
        </w:rPr>
        <w:t xml:space="preserve">Cuarto y Quinto </w:t>
      </w:r>
      <w:r>
        <w:rPr>
          <w:rFonts w:ascii="Palatino Linotype" w:eastAsia="Palatino Linotype" w:hAnsi="Palatino Linotype" w:cs="Palatino Linotype"/>
          <w:sz w:val="22"/>
          <w:szCs w:val="22"/>
        </w:rPr>
        <w:t xml:space="preserve">de esta resolución, </w:t>
      </w:r>
      <w:r>
        <w:rPr>
          <w:rFonts w:ascii="Palatino Linotype" w:eastAsia="Palatino Linotype" w:hAnsi="Palatino Linotype" w:cs="Palatino Linotype"/>
          <w:b/>
          <w:bCs/>
          <w:sz w:val="22"/>
          <w:szCs w:val="22"/>
        </w:rPr>
        <w:t>haga entrega vía Sistema de Acceso a la Información Mexiquense (SAIMEX),</w:t>
      </w:r>
      <w:r>
        <w:rPr>
          <w:rFonts w:ascii="Palatino Linotype" w:eastAsia="Palatino Linotype" w:hAnsi="Palatino Linotype" w:cs="Palatino Linotype"/>
          <w:b/>
          <w:bCs/>
          <w:sz w:val="22"/>
          <w:szCs w:val="22"/>
        </w:rPr>
        <w:t xml:space="preserve"> previa búsqueda exhaustiva y razonable, </w:t>
      </w:r>
      <w:r>
        <w:rPr>
          <w:rFonts w:ascii="Palatino Linotype" w:eastAsia="Palatino Linotype" w:hAnsi="Palatino Linotype" w:cs="Palatino Linotype"/>
          <w:sz w:val="22"/>
          <w:szCs w:val="22"/>
        </w:rPr>
        <w:t>lo siguiente:</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Respecto de las unidades administrativas o dependencias que integran el Ayuntamiento de </w:t>
      </w:r>
      <w:proofErr w:type="spellStart"/>
      <w:r>
        <w:rPr>
          <w:rFonts w:ascii="Palatino Linotype" w:eastAsia="Palatino Linotype" w:hAnsi="Palatino Linotype" w:cs="Palatino Linotype"/>
          <w:b/>
          <w:bCs/>
          <w:color w:val="000000"/>
          <w:sz w:val="22"/>
          <w:szCs w:val="22"/>
        </w:rPr>
        <w:t>Papalotla</w:t>
      </w:r>
      <w:proofErr w:type="spellEnd"/>
      <w:r>
        <w:rPr>
          <w:rFonts w:ascii="Palatino Linotype" w:eastAsia="Palatino Linotype" w:hAnsi="Palatino Linotype" w:cs="Palatino Linotype"/>
          <w:b/>
          <w:bCs/>
          <w:color w:val="000000"/>
          <w:sz w:val="22"/>
          <w:szCs w:val="22"/>
        </w:rPr>
        <w:t xml:space="preserve"> y el Instituto Municipal de Cultura Física y Deporte de </w:t>
      </w:r>
      <w:proofErr w:type="spellStart"/>
      <w:r>
        <w:rPr>
          <w:rFonts w:ascii="Palatino Linotype" w:eastAsia="Palatino Linotype" w:hAnsi="Palatino Linotype" w:cs="Palatino Linotype"/>
          <w:b/>
          <w:bCs/>
          <w:color w:val="000000"/>
          <w:sz w:val="22"/>
          <w:szCs w:val="22"/>
        </w:rPr>
        <w:t>Papalotla</w:t>
      </w:r>
      <w:proofErr w:type="spellEnd"/>
      <w:r>
        <w:rPr>
          <w:rFonts w:ascii="Palatino Linotype" w:eastAsia="Palatino Linotype" w:hAnsi="Palatino Linotype" w:cs="Palatino Linotype"/>
          <w:b/>
          <w:bCs/>
          <w:color w:val="000000"/>
          <w:sz w:val="22"/>
          <w:szCs w:val="22"/>
        </w:rPr>
        <w:t>, según corresponda, los formatos que</w:t>
      </w:r>
      <w:r>
        <w:rPr>
          <w:rFonts w:ascii="Palatino Linotype" w:eastAsia="Palatino Linotype" w:hAnsi="Palatino Linotype" w:cs="Palatino Linotype"/>
          <w:b/>
          <w:bCs/>
          <w:color w:val="000000"/>
          <w:sz w:val="22"/>
          <w:szCs w:val="22"/>
        </w:rPr>
        <w:t xml:space="preserve"> integran el Presupuesto Municipal de Ingresos y Egresos para 2025, consistentes en:</w:t>
      </w:r>
    </w:p>
    <w:p w:rsidR="001C42F0" w:rsidRDefault="001C42F0">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color w:val="000000"/>
          <w:sz w:val="22"/>
          <w:szCs w:val="22"/>
        </w:rPr>
      </w:pP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PbRM-01a “Programa Anual. Dimensión Administrativa del Gasto”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PbRM-01b “Programa Anual. Descripción del Programa Presupuestario”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PbRM-01c “Metas de Actividad por Proyecto”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PbRM-01d “Programa Anual. Ficha Técnica de Diseño de Indicadores Estratégicos o de Gestión”</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PbRM-01e “Matriz de Indicadores para Resultados por Programa Presupuestario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PbRM-02a “Calendarizac</w:t>
      </w:r>
      <w:r>
        <w:rPr>
          <w:rFonts w:ascii="Palatino Linotype" w:eastAsia="Palatino Linotype" w:hAnsi="Palatino Linotype" w:cs="Palatino Linotype"/>
          <w:b/>
          <w:bCs/>
          <w:color w:val="000000"/>
          <w:sz w:val="22"/>
          <w:szCs w:val="22"/>
        </w:rPr>
        <w:t>ión de metas de Actividad por Proyecto”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PbRM-03a “Presupuesto de Ingresos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PbRM-03b “Carátula de Presupuesto de Ingresos”</w:t>
      </w:r>
    </w:p>
    <w:p w:rsidR="001C42F0" w:rsidRDefault="00047009">
      <w:pPr>
        <w:numPr>
          <w:ilvl w:val="0"/>
          <w:numId w:val="2"/>
        </w:numPr>
        <w:pBdr>
          <w:top w:val="nil"/>
          <w:left w:val="nil"/>
          <w:bottom w:val="nil"/>
          <w:right w:val="nil"/>
          <w:between w:val="nil"/>
        </w:pBdr>
        <w:spacing w:line="360" w:lineRule="auto"/>
        <w:ind w:right="-150"/>
        <w:jc w:val="both"/>
        <w:rPr>
          <w:b/>
          <w:bCs/>
          <w:color w:val="000000"/>
        </w:rPr>
      </w:pPr>
      <w:r>
        <w:rPr>
          <w:rFonts w:ascii="Palatino Linotype" w:eastAsia="Palatino Linotype" w:hAnsi="Palatino Linotype" w:cs="Palatino Linotype"/>
          <w:b/>
          <w:bCs/>
          <w:color w:val="000000"/>
          <w:sz w:val="22"/>
          <w:szCs w:val="22"/>
        </w:rPr>
        <w:t>PbRM-04a “Presupuesto de Egresos Detallado”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PbRM-04b “Presupuesto de Egresos por Objeto del Gasto y Dependencia General”</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PbRM-04c “Presupuesto de Egresos Global Calendarizado”</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PbRM-04d “Carátula del Presupuesto de Egresos”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PbRM-05 “Tabulador de sueldos”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PbRM-06 “Programa Anual de Adquisiciones”</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PbRM-07a “Programa Anual de Obra”</w:t>
      </w:r>
    </w:p>
    <w:p w:rsidR="001C42F0" w:rsidRDefault="00047009">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PbRM-07b “Programa Anual de Obra (Reparaciones </w:t>
      </w:r>
      <w:r>
        <w:rPr>
          <w:rFonts w:ascii="Palatino Linotype" w:eastAsia="Palatino Linotype" w:hAnsi="Palatino Linotype" w:cs="Palatino Linotype"/>
          <w:b/>
          <w:bCs/>
          <w:color w:val="000000"/>
          <w:sz w:val="22"/>
          <w:szCs w:val="22"/>
        </w:rPr>
        <w:t>y Mantenimientos)”</w:t>
      </w:r>
    </w:p>
    <w:p w:rsidR="001C42F0" w:rsidRDefault="001C42F0">
      <w:pPr>
        <w:spacing w:line="360" w:lineRule="auto"/>
        <w:jc w:val="both"/>
        <w:rPr>
          <w:rFonts w:ascii="Palatino Linotype" w:eastAsia="Palatino Linotype" w:hAnsi="Palatino Linotype" w:cs="Palatino Linotype"/>
          <w:b/>
          <w:bCs/>
          <w:i/>
          <w:iCs/>
          <w:sz w:val="22"/>
          <w:szCs w:val="22"/>
        </w:rPr>
      </w:pPr>
    </w:p>
    <w:p w:rsidR="001C42F0" w:rsidRDefault="00047009">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Pr>
          <w:rFonts w:ascii="Palatino Linotype" w:eastAsia="Palatino Linotype" w:hAnsi="Palatino Linotype" w:cs="Palatino Linotype"/>
          <w:b/>
          <w:bCs/>
          <w:sz w:val="22"/>
          <w:szCs w:val="22"/>
        </w:rPr>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w:t>
      </w:r>
      <w:r>
        <w:rPr>
          <w:rFonts w:ascii="Palatino Linotype" w:eastAsia="Palatino Linotype" w:hAnsi="Palatino Linotype" w:cs="Palatino Linotype"/>
          <w:sz w:val="22"/>
          <w:szCs w:val="22"/>
        </w:rPr>
        <w:t>o a la Información Pública del Estado de México y Municipios;  dé cumplimiento a lo ordenado dentro del plazo de diez días hábiles, e informe a este Instituto en un plazo de tres días hábiles siguientes sobre el cumplimiento dado a la presente, y, se le ap</w:t>
      </w:r>
      <w:r>
        <w:rPr>
          <w:rFonts w:ascii="Palatino Linotype" w:eastAsia="Palatino Linotype" w:hAnsi="Palatino Linotype" w:cs="Palatino Linotype"/>
          <w:sz w:val="22"/>
          <w:szCs w:val="22"/>
        </w:rPr>
        <w:t>ercibe que en caso de negarse a cumplir la presente resolución o hacerlo de manera parcial, se le impondrá una medida de apremio de conformidad con lo previsto en los artículos 198, 200, fracción III; 214, 215 y 216 de la Ley  de Transparencia y Acceso a l</w:t>
      </w:r>
      <w:r>
        <w:rPr>
          <w:rFonts w:ascii="Palatino Linotype" w:eastAsia="Palatino Linotype" w:hAnsi="Palatino Linotype" w:cs="Palatino Linotype"/>
          <w:sz w:val="22"/>
          <w:szCs w:val="22"/>
        </w:rPr>
        <w:t>a Información Pública del Estado de México y Municipios.</w:t>
      </w:r>
    </w:p>
    <w:p w:rsidR="001C42F0" w:rsidRDefault="001C42F0">
      <w:pPr>
        <w:spacing w:line="360" w:lineRule="auto"/>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que de conformidad con el artículo 198 de la Ley de Transparencia y Acceso a la Información Pública del</w:t>
      </w:r>
      <w:r>
        <w:rPr>
          <w:rFonts w:ascii="Palatino Linotype" w:eastAsia="Palatino Linotype" w:hAnsi="Palatino Linotype" w:cs="Palatino Linotype"/>
          <w:sz w:val="22"/>
          <w:szCs w:val="22"/>
        </w:rPr>
        <w:t xml:space="preserve"> Estado de México y Municipios, de considerarlo procedente, de manera fundada y motivada, podrá solicitar una ampliación de plazo para el cumplimiento de la presente resolución.</w:t>
      </w:r>
    </w:p>
    <w:p w:rsidR="001C42F0" w:rsidRDefault="001C42F0">
      <w:pPr>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Notifíquese vía SAIMEX, </w:t>
      </w:r>
      <w:r>
        <w:rPr>
          <w:rFonts w:ascii="Palatino Linotype" w:eastAsia="Palatino Linotype" w:hAnsi="Palatino Linotype" w:cs="Palatino Linotype"/>
          <w:sz w:val="22"/>
          <w:szCs w:val="22"/>
        </w:rPr>
        <w:t xml:space="preserve">la presente resolución a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w:t>
      </w:r>
      <w:r>
        <w:rPr>
          <w:rFonts w:ascii="Palatino Linotype" w:eastAsia="Palatino Linotype" w:hAnsi="Palatino Linotype" w:cs="Palatino Linotype"/>
          <w:sz w:val="22"/>
          <w:szCs w:val="22"/>
        </w:rPr>
        <w:t>cia y Acceso a la Información Pública del Estado de México y Municipios.</w:t>
      </w:r>
    </w:p>
    <w:p w:rsidR="001C42F0" w:rsidRDefault="001C42F0">
      <w:pPr>
        <w:spacing w:line="360" w:lineRule="auto"/>
        <w:ind w:right="49"/>
        <w:jc w:val="both"/>
        <w:rPr>
          <w:rFonts w:ascii="Palatino Linotype" w:eastAsia="Palatino Linotype" w:hAnsi="Palatino Linotype" w:cs="Palatino Linotype"/>
          <w:sz w:val="22"/>
          <w:szCs w:val="22"/>
        </w:rPr>
      </w:pPr>
    </w:p>
    <w:p w:rsidR="001C42F0" w:rsidRDefault="00047009">
      <w:pPr>
        <w:spacing w:line="360" w:lineRule="auto"/>
        <w:jc w:val="both"/>
        <w:rPr>
          <w:rFonts w:ascii="Palatino Linotype" w:eastAsia="Palatino Linotype" w:hAnsi="Palatino Linotype" w:cs="Palatino Linotype"/>
          <w:sz w:val="22"/>
          <w:szCs w:val="22"/>
        </w:rPr>
      </w:pPr>
      <w:bookmarkStart w:id="14" w:name="_heading=h.jl2pr8gstly0" w:colFirst="0" w:colLast="0"/>
      <w:bookmarkEnd w:id="14"/>
      <w:r>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w:t>
      </w:r>
      <w:r>
        <w:rPr>
          <w:rFonts w:ascii="Palatino Linotype" w:eastAsia="Palatino Linotype" w:hAnsi="Palatino Linotype" w:cs="Palatino Linotype"/>
          <w:sz w:val="22"/>
          <w:szCs w:val="22"/>
        </w:rPr>
        <w:t xml:space="preserve"> CONFORMADO POR LOS COMISIONADOS JOSÉ MARTÍNEZ VILCHIS, MARÍA DEL ROSARIO MEJÍA AYALA, SHARON CRISTINA MORALES MARTÍNEZ, LUIS GUSTAVO PARRA NORIEGA Y GUADALUPE RAMÍREZ PEÑA; EN LA NOVENA SESIÓN ORDINARIA, CELEBRADA EL ONCE DE MARZO DE DOS MIL VEINTISÉIS, A</w:t>
      </w:r>
      <w:r>
        <w:rPr>
          <w:rFonts w:ascii="Palatino Linotype" w:eastAsia="Palatino Linotype" w:hAnsi="Palatino Linotype" w:cs="Palatino Linotype"/>
          <w:sz w:val="22"/>
          <w:szCs w:val="22"/>
        </w:rPr>
        <w:t xml:space="preserve">NTE EL SECRETARIO TÉCNICO DEL PLENO ALEXIS TAPIA RAMÍREZ. </w:t>
      </w: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rPr>
          <w:rFonts w:ascii="Palatino Linotype" w:eastAsia="Palatino Linotype" w:hAnsi="Palatino Linotype" w:cs="Palatino Linotype"/>
          <w:sz w:val="22"/>
          <w:szCs w:val="22"/>
        </w:rPr>
      </w:pPr>
      <w:bookmarkStart w:id="15" w:name="_heading=h.17dp8vu" w:colFirst="0" w:colLast="0"/>
      <w:bookmarkEnd w:id="15"/>
    </w:p>
    <w:p w:rsidR="001C42F0" w:rsidRDefault="001C42F0">
      <w:pPr>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p w:rsidR="001C42F0" w:rsidRDefault="001C42F0">
      <w:pPr>
        <w:spacing w:line="360" w:lineRule="auto"/>
        <w:jc w:val="both"/>
        <w:rPr>
          <w:rFonts w:ascii="Palatino Linotype" w:eastAsia="Palatino Linotype" w:hAnsi="Palatino Linotype" w:cs="Palatino Linotype"/>
          <w:sz w:val="22"/>
          <w:szCs w:val="22"/>
        </w:rPr>
      </w:pPr>
    </w:p>
    <w:sectPr w:rsidR="001C42F0">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47009">
      <w:r>
        <w:separator/>
      </w:r>
    </w:p>
  </w:endnote>
  <w:endnote w:type="continuationSeparator" w:id="0">
    <w:p w:rsidR="00000000" w:rsidRDefault="0004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4252780-6C32-4A84-9A3B-617C64C6F66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C6749CB-BBD7-48FC-BC33-FC05C495973E}"/>
    <w:embedBold r:id="rId3" w:fontKey="{CFE4E4B4-8D7D-44DE-A09D-E9447A73EF0D}"/>
    <w:embedItalic r:id="rId4" w:fontKey="{025A63B7-2656-4CB4-BD5B-21B380BBD422}"/>
    <w:embedBoldItalic r:id="rId5" w:fontKey="{AC289275-36A9-4C01-BD6A-648AD7C446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2091CFF-9955-4FA8-8833-8582D18CE1E8}"/>
    <w:embedBold r:id="rId7" w:fontKey="{EF0D64DE-5699-4976-8EDD-63CCC1D13716}"/>
  </w:font>
  <w:font w:name="Cambria">
    <w:panose1 w:val="02040503050406030204"/>
    <w:charset w:val="00"/>
    <w:family w:val="roman"/>
    <w:pitch w:val="variable"/>
    <w:sig w:usb0="E00006FF" w:usb1="420024FF" w:usb2="02000000" w:usb3="00000000" w:csb0="0000019F" w:csb1="00000000"/>
    <w:embedRegular r:id="rId8" w:fontKey="{E454B50A-3ECF-436F-B268-C2389ECAA87B}"/>
    <w:embedBold r:id="rId9" w:fontKey="{26AB7D1C-1872-49B3-8593-BC9ABC3FF8C7}"/>
    <w:embedBoldItalic r:id="rId10" w:fontKey="{5A039CA0-71CE-4574-B94F-DCF2F1EE2CA3}"/>
  </w:font>
  <w:font w:name="Segoe UI">
    <w:panose1 w:val="020B0502040204020203"/>
    <w:charset w:val="00"/>
    <w:family w:val="swiss"/>
    <w:pitch w:val="variable"/>
    <w:sig w:usb0="E4002EFF" w:usb1="C000E47F" w:usb2="00000009" w:usb3="00000000" w:csb0="000001FF" w:csb1="00000000"/>
    <w:embedRegular r:id="rId11" w:fontKey="{89ED8C78-2A9D-4BD4-991C-BCFFD27ED806}"/>
  </w:font>
  <w:font w:name="Georgia">
    <w:panose1 w:val="02040502050405020303"/>
    <w:charset w:val="00"/>
    <w:family w:val="roman"/>
    <w:pitch w:val="variable"/>
    <w:sig w:usb0="00000287" w:usb1="00000000" w:usb2="00000000" w:usb3="00000000" w:csb0="0000009F" w:csb1="00000000"/>
    <w:embedItalic r:id="rId12" w:fontKey="{053C44DF-7D1C-45D9-9A4C-DD4D5C253FA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F0" w:rsidRDefault="000470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sidR="00390C5C">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21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sidR="00390C5C">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rsidR="001C42F0" w:rsidRDefault="001C42F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F0" w:rsidRDefault="000470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sidR="00390C5C">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sidR="00390C5C">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rsidR="001C42F0" w:rsidRDefault="001C42F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47009">
      <w:r>
        <w:separator/>
      </w:r>
    </w:p>
  </w:footnote>
  <w:footnote w:type="continuationSeparator" w:id="0">
    <w:p w:rsidR="00000000" w:rsidRDefault="00047009">
      <w:r>
        <w:continuationSeparator/>
      </w:r>
    </w:p>
  </w:footnote>
  <w:footnote w:id="1">
    <w:p w:rsidR="001C42F0" w:rsidRDefault="0004700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w:t>
      </w:r>
      <w:r>
        <w:rPr>
          <w:rFonts w:ascii="Palatino Linotype" w:eastAsia="Palatino Linotype" w:hAnsi="Palatino Linotype" w:cs="Palatino Linotype"/>
          <w:color w:val="000000"/>
          <w:sz w:val="16"/>
          <w:szCs w:val="16"/>
        </w:rPr>
        <w:t>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1C42F0" w:rsidRDefault="0004700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 w:id="3">
    <w:p w:rsidR="001C42F0" w:rsidRDefault="0004700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1C42F0" w:rsidRDefault="0004700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F0" w:rsidRDefault="001C42F0">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1C42F0">
      <w:tc>
        <w:tcPr>
          <w:tcW w:w="2489" w:type="dxa"/>
          <w:shd w:val="clear" w:color="auto" w:fill="auto"/>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rsidR="001C42F0" w:rsidRDefault="0004700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00829/INFOEM/IP/RR/2026</w:t>
          </w:r>
          <w:r>
            <w:rPr>
              <w:noProof/>
            </w:rPr>
            <w:drawing>
              <wp:anchor distT="0" distB="0" distL="0" distR="0" simplePos="0" relativeHeight="251658240" behindDoc="1" locked="0" layoutInCell="1" hidden="0" allowOverlap="1">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1C42F0">
      <w:trPr>
        <w:trHeight w:val="228"/>
      </w:trPr>
      <w:tc>
        <w:tcPr>
          <w:tcW w:w="2489" w:type="dxa"/>
          <w:shd w:val="clear" w:color="auto" w:fill="auto"/>
          <w:vAlign w:val="center"/>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rsidR="001C42F0" w:rsidRDefault="00047009">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Papalotla</w:t>
          </w:r>
          <w:proofErr w:type="spellEnd"/>
        </w:p>
      </w:tc>
    </w:tr>
    <w:tr w:rsidR="001C42F0">
      <w:tc>
        <w:tcPr>
          <w:tcW w:w="2489" w:type="dxa"/>
          <w:shd w:val="clear" w:color="auto" w:fill="auto"/>
          <w:vAlign w:val="center"/>
        </w:tcPr>
        <w:p w:rsidR="001C42F0" w:rsidRDefault="00047009">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rsidR="001C42F0" w:rsidRDefault="0004700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1C42F0" w:rsidRDefault="0004700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F0" w:rsidRDefault="0004700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1C42F0">
      <w:tc>
        <w:tcPr>
          <w:tcW w:w="2551" w:type="dxa"/>
          <w:shd w:val="clear" w:color="auto" w:fill="auto"/>
          <w:vAlign w:val="center"/>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rsidR="001C42F0" w:rsidRDefault="00047009">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00829/INFOEM/IP/RR/2026</w:t>
          </w:r>
        </w:p>
      </w:tc>
    </w:tr>
    <w:tr w:rsidR="001C42F0">
      <w:trPr>
        <w:trHeight w:val="130"/>
      </w:trPr>
      <w:tc>
        <w:tcPr>
          <w:tcW w:w="2551" w:type="dxa"/>
          <w:shd w:val="clear" w:color="auto" w:fill="auto"/>
          <w:vAlign w:val="center"/>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rsidR="001C42F0" w:rsidRDefault="00390C5C" w:rsidP="00390C5C">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XXXXXX XXXXXXXXX XXXXXX</w:t>
          </w:r>
        </w:p>
      </w:tc>
    </w:tr>
    <w:tr w:rsidR="001C42F0">
      <w:trPr>
        <w:trHeight w:val="228"/>
      </w:trPr>
      <w:tc>
        <w:tcPr>
          <w:tcW w:w="2551" w:type="dxa"/>
          <w:shd w:val="clear" w:color="auto" w:fill="auto"/>
          <w:vAlign w:val="center"/>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rsidR="001C42F0" w:rsidRDefault="00047009">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Papalotla</w:t>
          </w:r>
          <w:proofErr w:type="spellEnd"/>
        </w:p>
      </w:tc>
    </w:tr>
    <w:tr w:rsidR="001C42F0">
      <w:tc>
        <w:tcPr>
          <w:tcW w:w="2551" w:type="dxa"/>
          <w:shd w:val="clear" w:color="auto" w:fill="auto"/>
          <w:vAlign w:val="center"/>
        </w:tcPr>
        <w:p w:rsidR="001C42F0" w:rsidRDefault="0004700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rsidR="001C42F0" w:rsidRDefault="00047009">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1C42F0" w:rsidRDefault="001C42F0">
    <w:pPr>
      <w:pBdr>
        <w:top w:val="nil"/>
        <w:left w:val="nil"/>
        <w:bottom w:val="nil"/>
        <w:right w:val="nil"/>
        <w:between w:val="nil"/>
      </w:pBdr>
      <w:tabs>
        <w:tab w:val="center" w:pos="4252"/>
        <w:tab w:val="right" w:pos="8504"/>
      </w:tabs>
      <w:rPr>
        <w:rFonts w:ascii="Cambria" w:eastAsia="Cambria" w:hAnsi="Cambria" w:cs="Cambria"/>
        <w:color w:val="000000"/>
      </w:rPr>
    </w:pPr>
  </w:p>
  <w:p w:rsidR="001C42F0" w:rsidRDefault="001C42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4A48C2"/>
    <w:multiLevelType w:val="multilevel"/>
    <w:tmpl w:val="EB583EDC"/>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E712C53"/>
    <w:multiLevelType w:val="multilevel"/>
    <w:tmpl w:val="67FC9CAC"/>
    <w:lvl w:ilvl="0">
      <w:numFmt w:val="bullet"/>
      <w:lvlText w:val="-"/>
      <w:lvlJc w:val="left"/>
      <w:pPr>
        <w:ind w:left="720" w:hanging="360"/>
      </w:pPr>
      <w:rPr>
        <w:rFonts w:ascii="Palatino Linotype" w:eastAsia="Palatino Linotype" w:hAnsi="Palatino Linotype" w:cs="Palatino Linotype"/>
        <w:b/>
        <w:bC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F0"/>
    <w:rsid w:val="00047009"/>
    <w:rsid w:val="001C42F0"/>
    <w:rsid w:val="00390C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8A9CD"/>
  <w15:docId w15:val="{51880426-088C-427D-BC07-FB2B9FCF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search?q=Presupuesto+basado+en+Resultados&amp;newwindow=1&amp;sca_esv=286534660d0b6d5d&amp;sxsrf=ANbL-n5ZK1ggh1YM90Hkj6DqJYuWB6eqMg%3A1772740013409&amp;ei=rd2paeHcGMXpkPIP3bi3gQ4&amp;biw=1010&amp;bih=910&amp;ved=2ahUKEwib6OyIxImTAxU2D0QIHaW_JLwQgK4QegQIARAB&amp;uact=5&amp;oq=atribuciones+de+la+UIPPE+para+elaboraci%C3%B3n+del+presupuesto+municipal&amp;gs_lp=Egxnd3Mtd2l6LXNlcnAiRGF0cmlidWNpb25lcyBkZSBsYSBVSVBQRSBwYXJhIGVsYWJvcmFjacOzbiBkZWwgcHJlc3VwdWVzdG8gbXVuaWNpcGFsSItsUJQMWKpncAF4AZABAZgB-AGgAdo9qgEGNy41NS4yuAEDyAEA-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&amp;sclient=gws-wiz-serp&amp;mstk=AUtExfCQx1jt0cnbet2c1pnljxlGQqRBY4iaylqa6_xKrT1VjdfmKpwe6eJGjDwMoi0eeM1NbMRFvMrctfXEjALGVR2-T7s89GFE2UJS3YVwkZ69BmZ2TM9QiBxd9ZgGvl8VZLyUFNNAokTWzkecqM7_FW5Qa99q-RWkqQYbmaC7I2wH0DYNCjgsrtLi3f5JGR9iHWdILFvRWIZ6c6zWsIh_VvrDZN_FMVJcAe4FjtkMh0pqRqiIr9xIIrXIl0lUIuEs5C6NE0pbYoxDBmr8hGg-ae2ke0EKBqByxht-_iZl1GWFEw&amp;csui=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FaymVjYTFQaH9vX68vqXimh4wg==">CgMxLjAyCWguNGQzNG9nODIIaC5namRneHMyCWguM2R5NnZrbTIJaC4zMGowemxsMgloLjJzOGV5bzEyCGgudHlqY3d0MgloLjN6bnlzaDcyCWguMXk4MTB0dzIOaC5panY5OHBudGNkNXMyCWguMjZpbjFyZzINaC5oN256Yjc5d2xyYTIJaC4yZXQ5MnAwMg5oLjU5bnB4eXhwb21qZDIOaC5qbDJwcjhnc3RseTAyCWguMTdkcDh2dTIJaC4zcmRjcmpuMgloLjF0M2g1c2Y4AHIhMTZCbFVwOWFFUDZJMVpCdkxOTHNRSnZwVEo1OThBR1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7070</Words>
  <Characters>38889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2026-04-08T17:02:00Z</dcterms:created>
  <dcterms:modified xsi:type="dcterms:W3CDTF">2026-04-08T17:02:00Z</dcterms:modified>
</cp:coreProperties>
</file>