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6DB" w:rsidRPr="001E6B07" w:rsidRDefault="00B316DB" w:rsidP="00B316DB">
      <w:pPr>
        <w:spacing w:line="360" w:lineRule="auto"/>
        <w:jc w:val="both"/>
        <w:rPr>
          <w:rFonts w:ascii="Palatino Linotype" w:eastAsia="Palatino Linotype" w:hAnsi="Palatino Linotype" w:cs="Palatino Linotype"/>
          <w:b/>
        </w:rPr>
      </w:pPr>
      <w:bookmarkStart w:id="0" w:name="_GoBack"/>
      <w:bookmarkEnd w:id="0"/>
      <w:r w:rsidRPr="001E6B07">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1E6B07">
        <w:rPr>
          <w:rFonts w:ascii="Palatino Linotype" w:eastAsia="Palatino Linotype" w:hAnsi="Palatino Linotype" w:cs="Palatino Linotype"/>
          <w:b/>
        </w:rPr>
        <w:t>de fecha dieciocho</w:t>
      </w:r>
      <w:r w:rsidR="001E6B07" w:rsidRPr="001E6B07">
        <w:rPr>
          <w:rFonts w:ascii="Palatino Linotype" w:eastAsia="Palatino Linotype" w:hAnsi="Palatino Linotype" w:cs="Palatino Linotype"/>
          <w:b/>
        </w:rPr>
        <w:t xml:space="preserve"> (18)</w:t>
      </w:r>
      <w:r w:rsidRPr="001E6B07">
        <w:rPr>
          <w:rFonts w:ascii="Palatino Linotype" w:eastAsia="Palatino Linotype" w:hAnsi="Palatino Linotype" w:cs="Palatino Linotype"/>
          <w:b/>
        </w:rPr>
        <w:t xml:space="preserve"> de febrero de dos mil veintiséis. </w:t>
      </w:r>
    </w:p>
    <w:p w:rsidR="00B316DB" w:rsidRPr="001E6B07" w:rsidRDefault="00B316DB" w:rsidP="00B316DB">
      <w:pPr>
        <w:spacing w:line="360" w:lineRule="auto"/>
        <w:jc w:val="both"/>
        <w:rPr>
          <w:rFonts w:ascii="Palatino Linotype" w:eastAsia="Palatino Linotype" w:hAnsi="Palatino Linotype" w:cs="Palatino Linotype"/>
        </w:rPr>
      </w:pPr>
    </w:p>
    <w:p w:rsidR="00B316DB" w:rsidRPr="001E6B07" w:rsidRDefault="00B316DB" w:rsidP="00B316DB">
      <w:pPr>
        <w:spacing w:line="360" w:lineRule="auto"/>
        <w:jc w:val="both"/>
        <w:rPr>
          <w:rFonts w:ascii="Palatino Linotype" w:eastAsia="Palatino Linotype" w:hAnsi="Palatino Linotype" w:cs="Palatino Linotype"/>
        </w:rPr>
      </w:pPr>
      <w:r w:rsidRPr="001E6B07">
        <w:rPr>
          <w:rFonts w:ascii="Palatino Linotype" w:eastAsia="Palatino Linotype" w:hAnsi="Palatino Linotype" w:cs="Palatino Linotype"/>
          <w:b/>
        </w:rPr>
        <w:t>VISTO</w:t>
      </w:r>
      <w:r w:rsidRPr="001E6B07">
        <w:rPr>
          <w:rFonts w:ascii="Palatino Linotype" w:eastAsia="Palatino Linotype" w:hAnsi="Palatino Linotype" w:cs="Palatino Linotype"/>
        </w:rPr>
        <w:t xml:space="preserve"> el expediente electrónico formado con motivo del recurso de revisión </w:t>
      </w:r>
      <w:r w:rsidRPr="001E6B07">
        <w:rPr>
          <w:rFonts w:ascii="Palatino Linotype" w:eastAsia="Palatino Linotype" w:hAnsi="Palatino Linotype" w:cs="Palatino Linotype"/>
          <w:b/>
        </w:rPr>
        <w:t xml:space="preserve">08958/INFOEM/IP/RR/2025, </w:t>
      </w:r>
      <w:r w:rsidRPr="001E6B07">
        <w:rPr>
          <w:rFonts w:ascii="Palatino Linotype" w:eastAsia="Palatino Linotype" w:hAnsi="Palatino Linotype" w:cs="Palatino Linotype"/>
        </w:rPr>
        <w:t xml:space="preserve">promovido por </w:t>
      </w:r>
      <w:r w:rsidRPr="001E6B07">
        <w:rPr>
          <w:rFonts w:ascii="Palatino Linotype" w:eastAsia="Palatino Linotype" w:hAnsi="Palatino Linotype" w:cs="Palatino Linotype"/>
          <w:b/>
          <w:bCs/>
        </w:rPr>
        <w:t>un usuario que no proporcionó nombre</w:t>
      </w:r>
      <w:r w:rsidRPr="001E6B07">
        <w:rPr>
          <w:rFonts w:ascii="Palatino Linotype" w:eastAsia="Palatino Linotype" w:hAnsi="Palatino Linotype" w:cs="Palatino Linotype"/>
          <w:b/>
        </w:rPr>
        <w:t>,</w:t>
      </w:r>
      <w:r w:rsidRPr="001E6B07">
        <w:rPr>
          <w:rFonts w:ascii="Palatino Linotype" w:eastAsia="Palatino Linotype" w:hAnsi="Palatino Linotype" w:cs="Palatino Linotype"/>
        </w:rPr>
        <w:t xml:space="preserve"> </w:t>
      </w:r>
      <w:r w:rsidR="00FB5DE2">
        <w:rPr>
          <w:rFonts w:ascii="Palatino Linotype" w:eastAsia="Palatino Linotype" w:hAnsi="Palatino Linotype" w:cs="Palatino Linotype"/>
        </w:rPr>
        <w:t xml:space="preserve">a </w:t>
      </w:r>
      <w:r w:rsidRPr="001E6B07">
        <w:rPr>
          <w:rFonts w:ascii="Palatino Linotype" w:eastAsia="Palatino Linotype" w:hAnsi="Palatino Linotype" w:cs="Palatino Linotype"/>
        </w:rPr>
        <w:t xml:space="preserve">quien en lo sucesivo se identificará como </w:t>
      </w:r>
      <w:r w:rsidRPr="001E6B07">
        <w:rPr>
          <w:rFonts w:ascii="Palatino Linotype" w:eastAsia="Palatino Linotype" w:hAnsi="Palatino Linotype" w:cs="Palatino Linotype"/>
          <w:b/>
        </w:rPr>
        <w:t>EL RECURRENTE</w:t>
      </w:r>
      <w:r w:rsidRPr="001E6B07">
        <w:rPr>
          <w:rFonts w:ascii="Palatino Linotype" w:eastAsia="Palatino Linotype" w:hAnsi="Palatino Linotype" w:cs="Palatino Linotype"/>
        </w:rPr>
        <w:t xml:space="preserve">, en contra de la respuesta del </w:t>
      </w:r>
      <w:r w:rsidRPr="001E6B07">
        <w:rPr>
          <w:rFonts w:ascii="Palatino Linotype" w:eastAsia="Palatino Linotype" w:hAnsi="Palatino Linotype" w:cs="Palatino Linotype"/>
          <w:b/>
          <w:bCs/>
        </w:rPr>
        <w:t>Ayuntamiento de Toluca</w:t>
      </w:r>
      <w:r w:rsidRPr="001E6B07">
        <w:rPr>
          <w:rFonts w:ascii="Palatino Linotype" w:eastAsia="Palatino Linotype" w:hAnsi="Palatino Linotype" w:cs="Palatino Linotype"/>
          <w:b/>
        </w:rPr>
        <w:t xml:space="preserve">, </w:t>
      </w:r>
      <w:r w:rsidRPr="001E6B07">
        <w:rPr>
          <w:rFonts w:ascii="Palatino Linotype" w:eastAsia="Palatino Linotype" w:hAnsi="Palatino Linotype" w:cs="Palatino Linotype"/>
        </w:rPr>
        <w:t>en adelante el</w:t>
      </w:r>
      <w:r w:rsidRPr="001E6B07">
        <w:rPr>
          <w:rFonts w:ascii="Palatino Linotype" w:eastAsia="Palatino Linotype" w:hAnsi="Palatino Linotype" w:cs="Palatino Linotype"/>
          <w:b/>
        </w:rPr>
        <w:t xml:space="preserve"> SUJETO OBLIGADO</w:t>
      </w:r>
      <w:r w:rsidRPr="001E6B07">
        <w:rPr>
          <w:rFonts w:ascii="Palatino Linotype" w:eastAsia="Palatino Linotype" w:hAnsi="Palatino Linotype" w:cs="Palatino Linotype"/>
        </w:rPr>
        <w:t>, por lo que se procede a dictar la presente resolución, con base en los siguientes:</w:t>
      </w:r>
    </w:p>
    <w:p w:rsidR="00B316DB" w:rsidRPr="001E6B07" w:rsidRDefault="00B316DB" w:rsidP="00B316DB">
      <w:pPr>
        <w:spacing w:line="360" w:lineRule="auto"/>
        <w:jc w:val="both"/>
        <w:rPr>
          <w:rFonts w:ascii="Palatino Linotype" w:eastAsia="Palatino Linotype" w:hAnsi="Palatino Linotype" w:cs="Palatino Linotype"/>
          <w:b/>
        </w:rPr>
      </w:pPr>
    </w:p>
    <w:p w:rsidR="00B316DB" w:rsidRPr="001E6B07" w:rsidRDefault="00B316DB" w:rsidP="00B316DB">
      <w:pPr>
        <w:keepNext/>
        <w:keepLines/>
        <w:spacing w:line="360" w:lineRule="auto"/>
        <w:jc w:val="center"/>
        <w:rPr>
          <w:rFonts w:ascii="Palatino Linotype" w:eastAsia="Palatino Linotype" w:hAnsi="Palatino Linotype" w:cs="Palatino Linotype"/>
          <w:b/>
        </w:rPr>
      </w:pPr>
      <w:bookmarkStart w:id="1" w:name="_heading=h.gjdgxs" w:colFirst="0" w:colLast="0"/>
      <w:bookmarkEnd w:id="1"/>
      <w:r w:rsidRPr="001E6B07">
        <w:rPr>
          <w:rFonts w:ascii="Palatino Linotype" w:eastAsia="Palatino Linotype" w:hAnsi="Palatino Linotype" w:cs="Palatino Linotype"/>
          <w:b/>
        </w:rPr>
        <w:t>A N T E C E D E N T E S</w:t>
      </w:r>
    </w:p>
    <w:p w:rsidR="00B316DB" w:rsidRPr="001E6B07" w:rsidRDefault="00B316DB" w:rsidP="00B316DB">
      <w:pPr>
        <w:spacing w:line="360" w:lineRule="auto"/>
        <w:rPr>
          <w:rFonts w:ascii="Palatino Linotype" w:eastAsia="Palatino Linotype" w:hAnsi="Palatino Linotype" w:cs="Palatino Linotype"/>
        </w:rPr>
      </w:pPr>
    </w:p>
    <w:p w:rsidR="00B316DB" w:rsidRPr="001E6B07" w:rsidRDefault="00B316DB" w:rsidP="00B316D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t xml:space="preserve">El </w:t>
      </w:r>
      <w:r w:rsidRPr="001E6B07">
        <w:rPr>
          <w:rFonts w:ascii="Palatino Linotype" w:eastAsia="Palatino Linotype" w:hAnsi="Palatino Linotype" w:cs="Palatino Linotype"/>
          <w:b/>
        </w:rPr>
        <w:t>veintiséis de junio de dos mil veinticinco</w:t>
      </w:r>
      <w:r w:rsidRPr="001E6B07">
        <w:rPr>
          <w:rFonts w:ascii="Palatino Linotype" w:eastAsia="Palatino Linotype" w:hAnsi="Palatino Linotype" w:cs="Palatino Linotype"/>
        </w:rPr>
        <w:t xml:space="preserve">, </w:t>
      </w:r>
      <w:r w:rsidRPr="001E6B07">
        <w:rPr>
          <w:rFonts w:ascii="Palatino Linotype" w:eastAsia="Palatino Linotype" w:hAnsi="Palatino Linotype" w:cs="Palatino Linotype"/>
          <w:b/>
        </w:rPr>
        <w:t>EL RECURRENTE,</w:t>
      </w:r>
      <w:r w:rsidRPr="001E6B07">
        <w:rPr>
          <w:rFonts w:ascii="Palatino Linotype" w:eastAsia="Palatino Linotype" w:hAnsi="Palatino Linotype" w:cs="Palatino Linotype"/>
        </w:rPr>
        <w:t xml:space="preserve"> ante el </w:t>
      </w:r>
      <w:r w:rsidRPr="001E6B07">
        <w:rPr>
          <w:rFonts w:ascii="Palatino Linotype" w:eastAsia="Palatino Linotype" w:hAnsi="Palatino Linotype" w:cs="Palatino Linotype"/>
          <w:b/>
        </w:rPr>
        <w:t>SUJETO OBLIGADO</w:t>
      </w:r>
      <w:r w:rsidRPr="001E6B07">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sidRPr="001E6B07">
        <w:rPr>
          <w:rFonts w:ascii="Palatino Linotype" w:eastAsia="Palatino Linotype" w:hAnsi="Palatino Linotype" w:cs="Palatino Linotype"/>
          <w:b/>
          <w:bCs/>
        </w:rPr>
        <w:t>03675/TOLUCA/IP/2025</w:t>
      </w:r>
      <w:r w:rsidRPr="001E6B07">
        <w:rPr>
          <w:rFonts w:ascii="Palatino Linotype" w:eastAsia="Palatino Linotype" w:hAnsi="Palatino Linotype" w:cs="Palatino Linotype"/>
          <w:b/>
        </w:rPr>
        <w:t xml:space="preserve">, </w:t>
      </w:r>
      <w:r w:rsidRPr="001E6B07">
        <w:rPr>
          <w:rFonts w:ascii="Palatino Linotype" w:eastAsia="Palatino Linotype" w:hAnsi="Palatino Linotype" w:cs="Palatino Linotype"/>
        </w:rPr>
        <w:t>en la que se solicitó lo siguiente:</w:t>
      </w:r>
    </w:p>
    <w:p w:rsidR="00B316DB" w:rsidRPr="001E6B07" w:rsidRDefault="00B316DB" w:rsidP="00B316DB">
      <w:pPr>
        <w:pBdr>
          <w:top w:val="nil"/>
          <w:left w:val="nil"/>
          <w:bottom w:val="nil"/>
          <w:right w:val="nil"/>
          <w:between w:val="nil"/>
        </w:pBdr>
        <w:spacing w:line="360" w:lineRule="auto"/>
        <w:jc w:val="both"/>
        <w:rPr>
          <w:rFonts w:ascii="Palatino Linotype" w:eastAsia="Palatino Linotype" w:hAnsi="Palatino Linotype" w:cs="Palatino Linotype"/>
        </w:rPr>
      </w:pPr>
    </w:p>
    <w:p w:rsidR="00B316DB" w:rsidRPr="001E6B07" w:rsidRDefault="00B316DB" w:rsidP="00B316DB">
      <w:pPr>
        <w:pBdr>
          <w:top w:val="nil"/>
          <w:left w:val="nil"/>
          <w:bottom w:val="nil"/>
          <w:right w:val="nil"/>
          <w:between w:val="nil"/>
        </w:pBdr>
        <w:spacing w:line="360" w:lineRule="auto"/>
        <w:ind w:left="720" w:right="822"/>
        <w:jc w:val="both"/>
        <w:rPr>
          <w:rFonts w:ascii="Palatino Linotype" w:eastAsia="Palatino Linotype" w:hAnsi="Palatino Linotype" w:cs="Palatino Linotype"/>
          <w:i/>
        </w:rPr>
      </w:pPr>
      <w:r w:rsidRPr="001E6B07">
        <w:rPr>
          <w:rFonts w:ascii="Palatino Linotype" w:eastAsia="Palatino Linotype" w:hAnsi="Palatino Linotype" w:cs="Palatino Linotype"/>
          <w:i/>
        </w:rPr>
        <w:t xml:space="preserve">“Cuantas lámparas inteligentes se adquirieron el proceso de adquisicion el contrato el estudios para determinar donde se van a colocar y caul será su destino final donde se van a colocar la aprobación de cabildo para la compra de esta lámparas inteligente no podrían aprobar servidores públicos inteligentes por que su administración es ma nefasta y deficiente ojalá lo aprueben si son inteligente.” (Sic) </w:t>
      </w:r>
    </w:p>
    <w:p w:rsidR="00B316DB" w:rsidRPr="001E6B07" w:rsidRDefault="00B316DB" w:rsidP="00B316DB">
      <w:pPr>
        <w:pBdr>
          <w:top w:val="nil"/>
          <w:left w:val="nil"/>
          <w:bottom w:val="nil"/>
          <w:right w:val="nil"/>
          <w:between w:val="nil"/>
        </w:pBdr>
        <w:spacing w:line="360" w:lineRule="auto"/>
        <w:jc w:val="both"/>
        <w:rPr>
          <w:rFonts w:ascii="Palatino Linotype" w:eastAsia="Palatino Linotype" w:hAnsi="Palatino Linotype" w:cs="Palatino Linotype"/>
        </w:rPr>
      </w:pPr>
    </w:p>
    <w:p w:rsidR="00B316DB" w:rsidRPr="001E6B07" w:rsidRDefault="00B316DB" w:rsidP="00B316D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t xml:space="preserve">Se señaló como modalidad de entrega a través de SAIMEX.  </w:t>
      </w:r>
    </w:p>
    <w:p w:rsidR="00B316DB" w:rsidRPr="001E6B07" w:rsidRDefault="00B316DB" w:rsidP="00B316DB">
      <w:pPr>
        <w:pBdr>
          <w:top w:val="nil"/>
          <w:left w:val="nil"/>
          <w:bottom w:val="nil"/>
          <w:right w:val="nil"/>
          <w:between w:val="nil"/>
        </w:pBdr>
        <w:spacing w:line="360" w:lineRule="auto"/>
        <w:jc w:val="both"/>
        <w:rPr>
          <w:rFonts w:ascii="Palatino Linotype" w:eastAsia="Palatino Linotype" w:hAnsi="Palatino Linotype" w:cs="Palatino Linotype"/>
        </w:rPr>
      </w:pPr>
    </w:p>
    <w:p w:rsidR="00B316DB" w:rsidRPr="001E6B07" w:rsidRDefault="00B316DB" w:rsidP="00B316D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lastRenderedPageBreak/>
        <w:t xml:space="preserve">El </w:t>
      </w:r>
      <w:r w:rsidRPr="001E6B07">
        <w:rPr>
          <w:rFonts w:ascii="Palatino Linotype" w:eastAsia="Palatino Linotype" w:hAnsi="Palatino Linotype" w:cs="Palatino Linotype"/>
          <w:b/>
        </w:rPr>
        <w:t>veintiséis de junio de dos mil veinticinco,</w:t>
      </w:r>
      <w:r w:rsidRPr="001E6B07">
        <w:rPr>
          <w:rFonts w:ascii="Palatino Linotype" w:eastAsia="Palatino Linotype" w:hAnsi="Palatino Linotype" w:cs="Palatino Linotype"/>
        </w:rPr>
        <w:t xml:space="preserve"> se realizó un requerimiento de información al servidor público habilitado. </w:t>
      </w:r>
    </w:p>
    <w:p w:rsidR="00B316DB" w:rsidRPr="001E6B07" w:rsidRDefault="00B316DB" w:rsidP="00B316DB">
      <w:pPr>
        <w:pBdr>
          <w:top w:val="nil"/>
          <w:left w:val="nil"/>
          <w:bottom w:val="nil"/>
          <w:right w:val="nil"/>
          <w:between w:val="nil"/>
        </w:pBdr>
        <w:spacing w:line="360" w:lineRule="auto"/>
        <w:jc w:val="both"/>
        <w:rPr>
          <w:rFonts w:ascii="Palatino Linotype" w:eastAsia="Palatino Linotype" w:hAnsi="Palatino Linotype" w:cs="Palatino Linotype"/>
        </w:rPr>
      </w:pPr>
    </w:p>
    <w:p w:rsidR="00B316DB" w:rsidRPr="001E6B07" w:rsidRDefault="00B316DB" w:rsidP="00B316D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t xml:space="preserve">El </w:t>
      </w:r>
      <w:r w:rsidRPr="001E6B07">
        <w:rPr>
          <w:rFonts w:ascii="Palatino Linotype" w:eastAsia="Palatino Linotype" w:hAnsi="Palatino Linotype" w:cs="Palatino Linotype"/>
          <w:b/>
        </w:rPr>
        <w:t>diecisiete de julio de dos mil veinticinco</w:t>
      </w:r>
      <w:r w:rsidRPr="001E6B07">
        <w:rPr>
          <w:rFonts w:ascii="Palatino Linotype" w:eastAsia="Palatino Linotype" w:hAnsi="Palatino Linotype" w:cs="Palatino Linotype"/>
        </w:rPr>
        <w:t>, el Sujeto Obligado dio respuesta a la solicitud de información en los siguientes términos:</w:t>
      </w:r>
    </w:p>
    <w:tbl>
      <w:tblPr>
        <w:tblW w:w="7593" w:type="dxa"/>
        <w:jc w:val="center"/>
        <w:tblCellSpacing w:w="0" w:type="dxa"/>
        <w:tblCellMar>
          <w:left w:w="0" w:type="dxa"/>
          <w:right w:w="0" w:type="dxa"/>
        </w:tblCellMar>
        <w:tblLook w:val="04A0" w:firstRow="1" w:lastRow="0" w:firstColumn="1" w:lastColumn="0" w:noHBand="0" w:noVBand="1"/>
      </w:tblPr>
      <w:tblGrid>
        <w:gridCol w:w="7593"/>
      </w:tblGrid>
      <w:tr w:rsidR="00B316DB" w:rsidRPr="001E6B07" w:rsidTr="00B316DB">
        <w:trPr>
          <w:trHeight w:val="276"/>
          <w:tblCellSpacing w:w="0" w:type="dxa"/>
          <w:jc w:val="center"/>
        </w:trPr>
        <w:tc>
          <w:tcPr>
            <w:tcW w:w="0" w:type="auto"/>
            <w:vAlign w:val="center"/>
            <w:hideMark/>
          </w:tcPr>
          <w:p w:rsidR="00B316DB" w:rsidRPr="001E6B07" w:rsidRDefault="00B316DB" w:rsidP="00B316DB">
            <w:pPr>
              <w:jc w:val="right"/>
              <w:rPr>
                <w:rFonts w:ascii="Palatino Linotype" w:hAnsi="Palatino Linotype"/>
                <w:i/>
              </w:rPr>
            </w:pPr>
            <w:r w:rsidRPr="001E6B07">
              <w:rPr>
                <w:rFonts w:ascii="Palatino Linotype" w:hAnsi="Palatino Linotype"/>
                <w:i/>
              </w:rPr>
              <w:br/>
              <w:t>“Toluca, México a 17 de Julio de 2025</w:t>
            </w:r>
          </w:p>
        </w:tc>
      </w:tr>
      <w:tr w:rsidR="00B316DB" w:rsidRPr="001E6B07" w:rsidTr="00B316DB">
        <w:trPr>
          <w:trHeight w:val="276"/>
          <w:tblCellSpacing w:w="0" w:type="dxa"/>
          <w:jc w:val="center"/>
        </w:trPr>
        <w:tc>
          <w:tcPr>
            <w:tcW w:w="0" w:type="auto"/>
            <w:vAlign w:val="center"/>
            <w:hideMark/>
          </w:tcPr>
          <w:p w:rsidR="00B316DB" w:rsidRPr="001E6B07" w:rsidRDefault="00B316DB" w:rsidP="00B316DB">
            <w:pPr>
              <w:jc w:val="right"/>
              <w:rPr>
                <w:rFonts w:ascii="Palatino Linotype" w:hAnsi="Palatino Linotype"/>
                <w:i/>
              </w:rPr>
            </w:pPr>
            <w:r w:rsidRPr="001E6B07">
              <w:rPr>
                <w:rFonts w:ascii="Palatino Linotype" w:hAnsi="Palatino Linotype"/>
                <w:i/>
              </w:rPr>
              <w:t>Nombre del solicitante: C. Solicitante</w:t>
            </w:r>
          </w:p>
        </w:tc>
      </w:tr>
      <w:tr w:rsidR="00B316DB" w:rsidRPr="001E6B07" w:rsidTr="00B316DB">
        <w:trPr>
          <w:trHeight w:val="276"/>
          <w:tblCellSpacing w:w="0" w:type="dxa"/>
          <w:jc w:val="center"/>
        </w:trPr>
        <w:tc>
          <w:tcPr>
            <w:tcW w:w="0" w:type="auto"/>
            <w:vAlign w:val="center"/>
            <w:hideMark/>
          </w:tcPr>
          <w:p w:rsidR="00B316DB" w:rsidRPr="001E6B07" w:rsidRDefault="00B316DB" w:rsidP="00B316DB">
            <w:pPr>
              <w:jc w:val="right"/>
              <w:rPr>
                <w:rFonts w:ascii="Palatino Linotype" w:hAnsi="Palatino Linotype"/>
                <w:i/>
              </w:rPr>
            </w:pPr>
            <w:r w:rsidRPr="001E6B07">
              <w:rPr>
                <w:rFonts w:ascii="Palatino Linotype" w:hAnsi="Palatino Linotype"/>
                <w:i/>
              </w:rPr>
              <w:t>Folio de la solicitud: 03675/TOLUCA/IP/2025</w:t>
            </w:r>
          </w:p>
        </w:tc>
      </w:tr>
      <w:tr w:rsidR="00B316DB" w:rsidRPr="001E6B07" w:rsidTr="00B316DB">
        <w:trPr>
          <w:trHeight w:val="414"/>
          <w:tblCellSpacing w:w="0" w:type="dxa"/>
          <w:jc w:val="center"/>
        </w:trPr>
        <w:tc>
          <w:tcPr>
            <w:tcW w:w="0" w:type="auto"/>
            <w:vAlign w:val="center"/>
            <w:hideMark/>
          </w:tcPr>
          <w:p w:rsidR="00B316DB" w:rsidRPr="001E6B07" w:rsidRDefault="00B316DB" w:rsidP="00B316DB">
            <w:pPr>
              <w:jc w:val="right"/>
              <w:rPr>
                <w:rFonts w:ascii="Palatino Linotype" w:hAnsi="Palatino Linotype"/>
                <w:i/>
              </w:rPr>
            </w:pPr>
          </w:p>
        </w:tc>
      </w:tr>
      <w:tr w:rsidR="00B316DB" w:rsidRPr="001E6B07" w:rsidTr="00B316DB">
        <w:trPr>
          <w:trHeight w:val="138"/>
          <w:tblCellSpacing w:w="0" w:type="dxa"/>
          <w:jc w:val="center"/>
        </w:trPr>
        <w:tc>
          <w:tcPr>
            <w:tcW w:w="0" w:type="auto"/>
            <w:vAlign w:val="center"/>
            <w:hideMark/>
          </w:tcPr>
          <w:p w:rsidR="00B316DB" w:rsidRPr="001E6B07" w:rsidRDefault="00B316DB" w:rsidP="00B316DB">
            <w:pPr>
              <w:rPr>
                <w:rFonts w:ascii="Palatino Linotype" w:hAnsi="Palatino Linotype"/>
                <w:i/>
              </w:rPr>
            </w:pPr>
            <w:r w:rsidRPr="001E6B07">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B316DB" w:rsidRPr="001E6B07" w:rsidTr="00B316DB">
        <w:trPr>
          <w:trHeight w:val="345"/>
          <w:tblCellSpacing w:w="0" w:type="dxa"/>
          <w:jc w:val="center"/>
        </w:trPr>
        <w:tc>
          <w:tcPr>
            <w:tcW w:w="0" w:type="auto"/>
            <w:vAlign w:val="center"/>
            <w:hideMark/>
          </w:tcPr>
          <w:p w:rsidR="00B316DB" w:rsidRPr="001E6B07" w:rsidRDefault="00B316DB" w:rsidP="00B316DB">
            <w:pPr>
              <w:rPr>
                <w:rFonts w:ascii="Palatino Linotype" w:hAnsi="Palatino Linotype"/>
                <w:i/>
              </w:rPr>
            </w:pPr>
          </w:p>
        </w:tc>
      </w:tr>
      <w:tr w:rsidR="00B316DB" w:rsidRPr="001E6B07" w:rsidTr="00B316DB">
        <w:trPr>
          <w:trHeight w:val="138"/>
          <w:tblCellSpacing w:w="0" w:type="dxa"/>
          <w:jc w:val="center"/>
        </w:trPr>
        <w:tc>
          <w:tcPr>
            <w:tcW w:w="0" w:type="auto"/>
            <w:vAlign w:val="center"/>
            <w:hideMark/>
          </w:tcPr>
          <w:p w:rsidR="00B316DB" w:rsidRPr="001E6B07" w:rsidRDefault="00B316DB" w:rsidP="00B316DB">
            <w:pPr>
              <w:rPr>
                <w:rFonts w:ascii="Palatino Linotype" w:hAnsi="Palatino Linotype"/>
                <w:i/>
              </w:rPr>
            </w:pPr>
            <w:r w:rsidRPr="001E6B07">
              <w:rPr>
                <w:rFonts w:ascii="Palatino Linotype" w:hAnsi="Palatino Linotype"/>
                <w:i/>
              </w:rPr>
              <w:t>En atención a la solicitud con folio 03675/TOLUCA/IP/2025, me permito adjuntar al presente la respuesta correspondiente, Sin más por el momento, reciba un saludo.</w:t>
            </w:r>
          </w:p>
        </w:tc>
      </w:tr>
      <w:tr w:rsidR="00B316DB" w:rsidRPr="001E6B07" w:rsidTr="00B316DB">
        <w:trPr>
          <w:trHeight w:val="345"/>
          <w:tblCellSpacing w:w="0" w:type="dxa"/>
          <w:jc w:val="center"/>
        </w:trPr>
        <w:tc>
          <w:tcPr>
            <w:tcW w:w="0" w:type="auto"/>
            <w:vAlign w:val="center"/>
            <w:hideMark/>
          </w:tcPr>
          <w:p w:rsidR="00B316DB" w:rsidRPr="001E6B07" w:rsidRDefault="00B316DB" w:rsidP="00B316DB">
            <w:pPr>
              <w:rPr>
                <w:rFonts w:ascii="Palatino Linotype" w:hAnsi="Palatino Linotype"/>
                <w:i/>
              </w:rPr>
            </w:pPr>
          </w:p>
        </w:tc>
      </w:tr>
      <w:tr w:rsidR="00B316DB" w:rsidRPr="001E6B07" w:rsidTr="00B316DB">
        <w:trPr>
          <w:trHeight w:val="138"/>
          <w:tblCellSpacing w:w="0" w:type="dxa"/>
          <w:jc w:val="center"/>
        </w:trPr>
        <w:tc>
          <w:tcPr>
            <w:tcW w:w="0" w:type="auto"/>
            <w:vAlign w:val="center"/>
            <w:hideMark/>
          </w:tcPr>
          <w:p w:rsidR="00B316DB" w:rsidRPr="001E6B07" w:rsidRDefault="00B316DB" w:rsidP="00B316DB">
            <w:pPr>
              <w:jc w:val="center"/>
              <w:rPr>
                <w:rFonts w:ascii="Palatino Linotype" w:hAnsi="Palatino Linotype"/>
                <w:i/>
              </w:rPr>
            </w:pPr>
          </w:p>
        </w:tc>
      </w:tr>
      <w:tr w:rsidR="00B316DB" w:rsidRPr="001E6B07" w:rsidTr="00B316DB">
        <w:trPr>
          <w:trHeight w:val="138"/>
          <w:tblCellSpacing w:w="0" w:type="dxa"/>
          <w:jc w:val="center"/>
        </w:trPr>
        <w:tc>
          <w:tcPr>
            <w:tcW w:w="0" w:type="auto"/>
            <w:vAlign w:val="center"/>
            <w:hideMark/>
          </w:tcPr>
          <w:p w:rsidR="00B316DB" w:rsidRPr="001E6B07" w:rsidRDefault="00B316DB" w:rsidP="00B316DB">
            <w:pPr>
              <w:rPr>
                <w:rFonts w:ascii="Palatino Linotype" w:hAnsi="Palatino Linotype"/>
                <w:i/>
              </w:rPr>
            </w:pPr>
          </w:p>
        </w:tc>
      </w:tr>
      <w:tr w:rsidR="00B316DB" w:rsidRPr="001E6B07" w:rsidTr="00B316DB">
        <w:trPr>
          <w:trHeight w:val="138"/>
          <w:tblCellSpacing w:w="0" w:type="dxa"/>
          <w:jc w:val="center"/>
        </w:trPr>
        <w:tc>
          <w:tcPr>
            <w:tcW w:w="0" w:type="auto"/>
            <w:vAlign w:val="center"/>
            <w:hideMark/>
          </w:tcPr>
          <w:p w:rsidR="00B316DB" w:rsidRPr="001E6B07" w:rsidRDefault="00B316DB" w:rsidP="00B316DB">
            <w:pPr>
              <w:rPr>
                <w:rFonts w:ascii="Palatino Linotype" w:hAnsi="Palatino Linotype"/>
                <w:i/>
              </w:rPr>
            </w:pPr>
            <w:r w:rsidRPr="001E6B07">
              <w:rPr>
                <w:rFonts w:ascii="Palatino Linotype" w:hAnsi="Palatino Linotype"/>
                <w:i/>
              </w:rPr>
              <w:t>ATENTAMENTE</w:t>
            </w:r>
          </w:p>
        </w:tc>
      </w:tr>
      <w:tr w:rsidR="00B316DB" w:rsidRPr="001E6B07" w:rsidTr="00B316DB">
        <w:trPr>
          <w:trHeight w:val="207"/>
          <w:tblCellSpacing w:w="0" w:type="dxa"/>
          <w:jc w:val="center"/>
        </w:trPr>
        <w:tc>
          <w:tcPr>
            <w:tcW w:w="0" w:type="auto"/>
            <w:vAlign w:val="center"/>
            <w:hideMark/>
          </w:tcPr>
          <w:p w:rsidR="00B316DB" w:rsidRPr="001E6B07" w:rsidRDefault="00B316DB" w:rsidP="00B316DB">
            <w:pPr>
              <w:rPr>
                <w:rFonts w:ascii="Palatino Linotype" w:hAnsi="Palatino Linotype"/>
                <w:i/>
              </w:rPr>
            </w:pPr>
          </w:p>
        </w:tc>
      </w:tr>
      <w:tr w:rsidR="00B316DB" w:rsidRPr="001E6B07" w:rsidTr="00B316DB">
        <w:trPr>
          <w:trHeight w:val="138"/>
          <w:tblCellSpacing w:w="0" w:type="dxa"/>
          <w:jc w:val="center"/>
        </w:trPr>
        <w:tc>
          <w:tcPr>
            <w:tcW w:w="0" w:type="auto"/>
            <w:vAlign w:val="center"/>
            <w:hideMark/>
          </w:tcPr>
          <w:p w:rsidR="00B316DB" w:rsidRPr="001E6B07" w:rsidRDefault="00B316DB" w:rsidP="00B316DB">
            <w:pPr>
              <w:rPr>
                <w:rFonts w:ascii="Palatino Linotype" w:hAnsi="Palatino Linotype"/>
                <w:i/>
              </w:rPr>
            </w:pPr>
            <w:r w:rsidRPr="001E6B07">
              <w:rPr>
                <w:rFonts w:ascii="Palatino Linotype" w:hAnsi="Palatino Linotype"/>
                <w:i/>
              </w:rPr>
              <w:t>Dr. Nahum Miguel Mendoza Morales”</w:t>
            </w:r>
          </w:p>
        </w:tc>
      </w:tr>
    </w:tbl>
    <w:p w:rsidR="00B316DB" w:rsidRPr="001E6B07" w:rsidRDefault="00B316DB" w:rsidP="00B316DB">
      <w:pPr>
        <w:spacing w:line="360" w:lineRule="auto"/>
        <w:jc w:val="both"/>
        <w:rPr>
          <w:rFonts w:ascii="Palatino Linotype" w:eastAsia="Palatino Linotype" w:hAnsi="Palatino Linotype" w:cs="Palatino Linotype"/>
        </w:rPr>
      </w:pPr>
    </w:p>
    <w:p w:rsidR="00B316DB" w:rsidRPr="001E6B07" w:rsidRDefault="00B316DB" w:rsidP="00B316D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rPr>
      </w:pPr>
      <w:r w:rsidRPr="001E6B07">
        <w:rPr>
          <w:rFonts w:ascii="Palatino Linotype" w:eastAsia="Palatino Linotype" w:hAnsi="Palatino Linotype" w:cs="Palatino Linotype"/>
        </w:rPr>
        <w:t>A la respuesta se adjuntaron los archivos electrónicos que se describen en seguida:</w:t>
      </w:r>
    </w:p>
    <w:p w:rsidR="00B316DB" w:rsidRPr="001E6B07" w:rsidRDefault="00EE0637" w:rsidP="00B316DB">
      <w:pPr>
        <w:pStyle w:val="Prrafodelista"/>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hyperlink r:id="rId7" w:tgtFrame="_blank" w:history="1">
        <w:r w:rsidR="00B316DB" w:rsidRPr="001E6B07">
          <w:rPr>
            <w:rStyle w:val="Hipervnculo"/>
            <w:rFonts w:ascii="Palatino Linotype" w:eastAsiaTheme="majorEastAsia" w:hAnsi="Palatino Linotype" w:cs="Arial"/>
            <w:b/>
            <w:bCs/>
            <w:color w:val="auto"/>
          </w:rPr>
          <w:t>SAIMEX 3675.pdf</w:t>
        </w:r>
      </w:hyperlink>
      <w:r w:rsidR="00B316DB" w:rsidRPr="001E6B07">
        <w:rPr>
          <w:rFonts w:ascii="Palatino Linotype" w:hAnsi="Palatino Linotype"/>
        </w:rPr>
        <w:t xml:space="preserve">: consta de un oficio número 208010000/0712/2025 de fecha diez de julio de dos mil veinticinco, suscrito por el Director General de Servicios Públicos, quien señaló que se anexa respuesta del Director de Alumbrado Público; oficio número 208011000/1044/2025 de fecha dos de julio de dos mil veinticinco suscrito por el Director de Alumbrado Público, quien señaló que envía la información que compete al Departamento de Mantenimiento de Alumbrado Público; documento de </w:t>
      </w:r>
      <w:r w:rsidR="00B316DB" w:rsidRPr="001E6B07">
        <w:rPr>
          <w:rFonts w:ascii="Palatino Linotype" w:hAnsi="Palatino Linotype"/>
        </w:rPr>
        <w:lastRenderedPageBreak/>
        <w:t xml:space="preserve">respuesta del Director General de Servicios Públicos, quien señaló que la información solicitada no es de su competencia. </w:t>
      </w:r>
    </w:p>
    <w:p w:rsidR="00B316DB" w:rsidRPr="001E6B07" w:rsidRDefault="00EE0637" w:rsidP="00B316DB">
      <w:pPr>
        <w:pStyle w:val="Prrafodelista"/>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hyperlink r:id="rId8" w:tgtFrame="_blank" w:history="1">
        <w:r w:rsidR="00B316DB" w:rsidRPr="001E6B07">
          <w:rPr>
            <w:rStyle w:val="Hipervnculo"/>
            <w:rFonts w:ascii="Palatino Linotype" w:eastAsiaTheme="majorEastAsia" w:hAnsi="Palatino Linotype" w:cs="Arial"/>
            <w:b/>
            <w:bCs/>
            <w:color w:val="auto"/>
          </w:rPr>
          <w:t>R. 03675_25.pdf</w:t>
        </w:r>
      </w:hyperlink>
      <w:r w:rsidR="00B316DB" w:rsidRPr="001E6B07">
        <w:rPr>
          <w:rFonts w:ascii="Palatino Linotype" w:hAnsi="Palatino Linotype"/>
        </w:rPr>
        <w:t xml:space="preserve">: oficio de respuesta del Titular de la Unidad de Transparencia </w:t>
      </w:r>
      <w:r w:rsidR="00C805D4" w:rsidRPr="001E6B07">
        <w:rPr>
          <w:rFonts w:ascii="Palatino Linotype" w:hAnsi="Palatino Linotype"/>
        </w:rPr>
        <w:t xml:space="preserve">quien señaló que parte de la solicitud ("... no podrían aprobar servidores públicos inteligentes por que su administración es ma nefasta y deficiente ojalá lo aprueben si son inteligente."), no es un derecho de acceso a la información. </w:t>
      </w:r>
    </w:p>
    <w:p w:rsidR="00B316DB" w:rsidRPr="001E6B07" w:rsidRDefault="00EE0637" w:rsidP="00B316DB">
      <w:pPr>
        <w:pStyle w:val="Prrafodelista"/>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hyperlink r:id="rId9" w:tgtFrame="_blank" w:history="1">
        <w:r w:rsidR="00B316DB" w:rsidRPr="001E6B07">
          <w:rPr>
            <w:rStyle w:val="Hipervnculo"/>
            <w:rFonts w:ascii="Palatino Linotype" w:eastAsiaTheme="majorEastAsia" w:hAnsi="Palatino Linotype" w:cs="Arial"/>
            <w:b/>
            <w:bCs/>
            <w:color w:val="auto"/>
          </w:rPr>
          <w:t>NOTIF. CIUDADANO S. 3675.pdf</w:t>
        </w:r>
      </w:hyperlink>
      <w:r w:rsidR="00C805D4" w:rsidRPr="001E6B07">
        <w:rPr>
          <w:rFonts w:ascii="Palatino Linotype" w:hAnsi="Palatino Linotype"/>
        </w:rPr>
        <w:t xml:space="preserve">: oficio número 206010000/4195/2025 de fecha dieciséis de julio de dos mil veinticinco, suscrito por la Directora General de Administración, quien señaló que la información solicitada se encuentra en una liga electrónica que remitió en datos abiertos. </w:t>
      </w:r>
    </w:p>
    <w:p w:rsidR="00B316DB" w:rsidRPr="001E6B07" w:rsidRDefault="00EE0637" w:rsidP="00B316DB">
      <w:pPr>
        <w:pStyle w:val="Prrafodelista"/>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hyperlink r:id="rId10" w:tgtFrame="_blank" w:history="1">
        <w:r w:rsidR="00B316DB" w:rsidRPr="001E6B07">
          <w:rPr>
            <w:rStyle w:val="Hipervnculo"/>
            <w:rFonts w:ascii="Palatino Linotype" w:eastAsiaTheme="majorEastAsia" w:hAnsi="Palatino Linotype" w:cs="Arial"/>
            <w:b/>
            <w:bCs/>
            <w:color w:val="auto"/>
          </w:rPr>
          <w:t>R. 03675. 2025.pdf</w:t>
        </w:r>
      </w:hyperlink>
      <w:r w:rsidR="00C805D4" w:rsidRPr="001E6B07">
        <w:rPr>
          <w:rFonts w:ascii="Palatino Linotype" w:hAnsi="Palatino Linotype"/>
        </w:rPr>
        <w:t xml:space="preserve">: oficio de respuesta de fecha diecisiete de julio de dos mil veinticinco, suscrito por el Titular de la Unidad de Transparencia, quien señaló que se entrega información de los servidores públicos habilitados. </w:t>
      </w:r>
    </w:p>
    <w:p w:rsidR="00B316DB" w:rsidRPr="001E6B07" w:rsidRDefault="00B316DB" w:rsidP="00B316DB">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rPr>
      </w:pPr>
    </w:p>
    <w:p w:rsidR="00B316DB" w:rsidRPr="001E6B07" w:rsidRDefault="00B316DB" w:rsidP="00B316D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t xml:space="preserve">El </w:t>
      </w:r>
      <w:r w:rsidR="00C805D4" w:rsidRPr="001E6B07">
        <w:rPr>
          <w:rFonts w:ascii="Palatino Linotype" w:eastAsia="Palatino Linotype" w:hAnsi="Palatino Linotype" w:cs="Palatino Linotype"/>
          <w:b/>
        </w:rPr>
        <w:t>veintidós de julio</w:t>
      </w:r>
      <w:r w:rsidRPr="001E6B07">
        <w:rPr>
          <w:rFonts w:ascii="Palatino Linotype" w:eastAsia="Palatino Linotype" w:hAnsi="Palatino Linotype" w:cs="Palatino Linotype"/>
          <w:b/>
        </w:rPr>
        <w:t xml:space="preserve"> de dos mil veinticinco</w:t>
      </w:r>
      <w:r w:rsidRPr="001E6B07">
        <w:rPr>
          <w:rFonts w:ascii="Palatino Linotype" w:eastAsia="Palatino Linotype" w:hAnsi="Palatino Linotype" w:cs="Palatino Linotype"/>
        </w:rPr>
        <w:t xml:space="preserve">, </w:t>
      </w:r>
      <w:r w:rsidRPr="001E6B07">
        <w:rPr>
          <w:rFonts w:ascii="Palatino Linotype" w:eastAsia="Palatino Linotype" w:hAnsi="Palatino Linotype" w:cs="Palatino Linotype"/>
          <w:b/>
        </w:rPr>
        <w:t>El Recurrente</w:t>
      </w:r>
      <w:r w:rsidRPr="001E6B07">
        <w:rPr>
          <w:rFonts w:ascii="Palatino Linotype" w:eastAsia="Palatino Linotype" w:hAnsi="Palatino Linotype" w:cs="Palatino Linotype"/>
        </w:rPr>
        <w:t xml:space="preserve"> interpuso el recurso de revisión, en contra de la respuesta, señalando como:</w:t>
      </w:r>
    </w:p>
    <w:p w:rsidR="00B316DB" w:rsidRPr="001E6B07" w:rsidRDefault="00B316DB" w:rsidP="00B316DB">
      <w:pPr>
        <w:pBdr>
          <w:top w:val="nil"/>
          <w:left w:val="nil"/>
          <w:bottom w:val="nil"/>
          <w:right w:val="nil"/>
          <w:between w:val="nil"/>
        </w:pBdr>
        <w:spacing w:line="360" w:lineRule="auto"/>
        <w:jc w:val="both"/>
        <w:rPr>
          <w:rFonts w:ascii="Palatino Linotype" w:eastAsia="Palatino Linotype" w:hAnsi="Palatino Linotype" w:cs="Palatino Linotype"/>
        </w:rPr>
      </w:pPr>
    </w:p>
    <w:p w:rsidR="00B316DB" w:rsidRPr="001E6B07" w:rsidRDefault="00FB5DE2" w:rsidP="00B316DB">
      <w:pPr>
        <w:numPr>
          <w:ilvl w:val="0"/>
          <w:numId w:val="1"/>
        </w:numPr>
        <w:spacing w:line="360" w:lineRule="auto"/>
        <w:ind w:left="851" w:right="822" w:firstLine="0"/>
        <w:jc w:val="both"/>
      </w:pPr>
      <w:r w:rsidRPr="001E6B07">
        <w:rPr>
          <w:rFonts w:ascii="Palatino Linotype" w:eastAsia="Palatino Linotype" w:hAnsi="Palatino Linotype" w:cs="Palatino Linotype"/>
          <w:b/>
        </w:rPr>
        <w:t>ACTO IMPUGNADO</w:t>
      </w:r>
      <w:r w:rsidRPr="001E6B07">
        <w:rPr>
          <w:rFonts w:ascii="Palatino Linotype" w:eastAsia="Palatino Linotype" w:hAnsi="Palatino Linotype" w:cs="Palatino Linotype"/>
          <w:b/>
          <w:i/>
        </w:rPr>
        <w:t>:</w:t>
      </w:r>
      <w:r w:rsidRPr="001E6B07">
        <w:rPr>
          <w:rFonts w:ascii="Palatino Linotype" w:eastAsia="Palatino Linotype" w:hAnsi="Palatino Linotype" w:cs="Palatino Linotype"/>
          <w:i/>
        </w:rPr>
        <w:t xml:space="preserve"> </w:t>
      </w:r>
      <w:r w:rsidR="00B316DB" w:rsidRPr="001E6B07">
        <w:rPr>
          <w:rFonts w:ascii="Palatino Linotype" w:eastAsia="Palatino Linotype" w:hAnsi="Palatino Linotype" w:cs="Palatino Linotype"/>
          <w:i/>
        </w:rPr>
        <w:t>"</w:t>
      </w:r>
      <w:r w:rsidR="00C805D4" w:rsidRPr="001E6B07">
        <w:rPr>
          <w:rFonts w:ascii="Palatino Linotype" w:hAnsi="Palatino Linotype"/>
          <w:i/>
          <w:color w:val="000000"/>
        </w:rPr>
        <w:t>NO ENTREGA LA INFORMACIÓN QUE ES PUBLICA</w:t>
      </w:r>
      <w:r w:rsidR="00B316DB" w:rsidRPr="001E6B07">
        <w:rPr>
          <w:rFonts w:ascii="Palatino Linotype" w:eastAsia="Palatino Linotype" w:hAnsi="Palatino Linotype" w:cs="Palatino Linotype"/>
          <w:i/>
        </w:rPr>
        <w:t>" (Sic)</w:t>
      </w:r>
    </w:p>
    <w:p w:rsidR="00B316DB" w:rsidRPr="001E6B07" w:rsidRDefault="00B316DB" w:rsidP="00B316DB">
      <w:pPr>
        <w:spacing w:line="360" w:lineRule="auto"/>
        <w:ind w:left="851" w:right="822"/>
        <w:jc w:val="both"/>
      </w:pPr>
    </w:p>
    <w:p w:rsidR="00B316DB" w:rsidRPr="001E6B07" w:rsidRDefault="00FB5DE2" w:rsidP="00B316DB">
      <w:pPr>
        <w:numPr>
          <w:ilvl w:val="0"/>
          <w:numId w:val="1"/>
        </w:numPr>
        <w:spacing w:line="360" w:lineRule="auto"/>
        <w:ind w:left="851" w:right="822" w:firstLine="0"/>
        <w:jc w:val="both"/>
        <w:rPr>
          <w:rFonts w:ascii="Palatino Linotype" w:eastAsia="Palatino Linotype" w:hAnsi="Palatino Linotype" w:cs="Palatino Linotype"/>
        </w:rPr>
      </w:pPr>
      <w:r w:rsidRPr="001E6B07">
        <w:rPr>
          <w:rFonts w:ascii="Palatino Linotype" w:eastAsia="Palatino Linotype" w:hAnsi="Palatino Linotype" w:cs="Palatino Linotype"/>
          <w:b/>
        </w:rPr>
        <w:t>RAZONES O MOTIVOS DE INCONFORMIDAD</w:t>
      </w:r>
      <w:r w:rsidR="00B316DB" w:rsidRPr="001E6B07">
        <w:rPr>
          <w:rFonts w:ascii="Palatino Linotype" w:eastAsia="Palatino Linotype" w:hAnsi="Palatino Linotype" w:cs="Palatino Linotype"/>
          <w:b/>
        </w:rPr>
        <w:t>: “</w:t>
      </w:r>
      <w:r w:rsidR="00C805D4" w:rsidRPr="001E6B07">
        <w:rPr>
          <w:rFonts w:ascii="Palatino Linotype" w:eastAsia="Palatino Linotype" w:hAnsi="Palatino Linotype" w:cs="Palatino Linotype"/>
          <w:i/>
        </w:rPr>
        <w:t>NO ENTREGA LA INFORMACIÓN QUE ES PUBLICA</w:t>
      </w:r>
      <w:r w:rsidR="00B316DB" w:rsidRPr="001E6B07">
        <w:rPr>
          <w:rFonts w:ascii="Palatino Linotype" w:eastAsia="Palatino Linotype" w:hAnsi="Palatino Linotype" w:cs="Palatino Linotype"/>
          <w:i/>
        </w:rPr>
        <w:t>" (Sic)</w:t>
      </w:r>
    </w:p>
    <w:p w:rsidR="00B316DB" w:rsidRPr="001E6B07" w:rsidRDefault="00B316DB" w:rsidP="00B316DB">
      <w:pPr>
        <w:spacing w:line="360" w:lineRule="auto"/>
        <w:jc w:val="both"/>
        <w:rPr>
          <w:rFonts w:ascii="Palatino Linotype" w:eastAsia="Palatino Linotype" w:hAnsi="Palatino Linotype" w:cs="Palatino Linotype"/>
        </w:rPr>
      </w:pPr>
    </w:p>
    <w:p w:rsidR="00B316DB" w:rsidRPr="001E6B07" w:rsidRDefault="00B316DB" w:rsidP="00B316D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1E6B07">
        <w:rPr>
          <w:rFonts w:ascii="Palatino Linotype" w:eastAsia="Palatino Linotype" w:hAnsi="Palatino Linotype" w:cs="Palatino Linotype"/>
          <w:b/>
        </w:rPr>
        <w:t xml:space="preserve">Ley de </w:t>
      </w:r>
      <w:r w:rsidRPr="001E6B07">
        <w:rPr>
          <w:rFonts w:ascii="Palatino Linotype" w:eastAsia="Palatino Linotype" w:hAnsi="Palatino Linotype" w:cs="Palatino Linotype"/>
          <w:b/>
        </w:rPr>
        <w:lastRenderedPageBreak/>
        <w:t xml:space="preserve">Transparencia y Acceso a la Información Pública del Estado de México y Municipios </w:t>
      </w:r>
      <w:r w:rsidRPr="001E6B07">
        <w:rPr>
          <w:rFonts w:ascii="Palatino Linotype" w:eastAsia="Palatino Linotype" w:hAnsi="Palatino Linotype" w:cs="Palatino Linotype"/>
        </w:rPr>
        <w:t xml:space="preserve">se turna a la </w:t>
      </w:r>
      <w:r w:rsidRPr="001E6B07">
        <w:rPr>
          <w:rFonts w:ascii="Palatino Linotype" w:eastAsia="Palatino Linotype" w:hAnsi="Palatino Linotype" w:cs="Palatino Linotype"/>
          <w:b/>
        </w:rPr>
        <w:t xml:space="preserve">Comisionada María del Rosario Mejía Ayala, </w:t>
      </w:r>
      <w:r w:rsidRPr="001E6B07">
        <w:rPr>
          <w:rFonts w:ascii="Palatino Linotype" w:eastAsia="Palatino Linotype" w:hAnsi="Palatino Linotype" w:cs="Palatino Linotype"/>
        </w:rPr>
        <w:t xml:space="preserve">para su análisis. </w:t>
      </w:r>
    </w:p>
    <w:p w:rsidR="00B316DB" w:rsidRPr="001E6B07" w:rsidRDefault="00B316DB" w:rsidP="00B316DB">
      <w:pPr>
        <w:pBdr>
          <w:top w:val="nil"/>
          <w:left w:val="nil"/>
          <w:bottom w:val="nil"/>
          <w:right w:val="nil"/>
          <w:between w:val="nil"/>
        </w:pBdr>
        <w:spacing w:line="360" w:lineRule="auto"/>
        <w:jc w:val="both"/>
        <w:rPr>
          <w:rFonts w:ascii="Palatino Linotype" w:eastAsia="Palatino Linotype" w:hAnsi="Palatino Linotype" w:cs="Palatino Linotype"/>
        </w:rPr>
      </w:pPr>
    </w:p>
    <w:p w:rsidR="00B316DB" w:rsidRPr="001E6B07" w:rsidRDefault="00FB5DE2" w:rsidP="00B316D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La Comisionada p</w:t>
      </w:r>
      <w:r w:rsidR="00B316DB" w:rsidRPr="001E6B07">
        <w:rPr>
          <w:rFonts w:ascii="Palatino Linotype" w:eastAsia="Palatino Linotype" w:hAnsi="Palatino Linotype" w:cs="Palatino Linotype"/>
        </w:rPr>
        <w:t xml:space="preserve">onente con fundamento en lo dispuesto por el artículo 185 fracción II de la ley de la materia, a través del acuerdo de admisión del </w:t>
      </w:r>
      <w:r w:rsidR="00C805D4" w:rsidRPr="001E6B07">
        <w:rPr>
          <w:rFonts w:ascii="Palatino Linotype" w:eastAsia="Palatino Linotype" w:hAnsi="Palatino Linotype" w:cs="Palatino Linotype"/>
          <w:b/>
        </w:rPr>
        <w:t>cinco de agosto</w:t>
      </w:r>
      <w:r w:rsidR="00B316DB" w:rsidRPr="001E6B07">
        <w:rPr>
          <w:rFonts w:ascii="Palatino Linotype" w:eastAsia="Palatino Linotype" w:hAnsi="Palatino Linotype" w:cs="Palatino Linotype"/>
          <w:b/>
        </w:rPr>
        <w:t xml:space="preserve"> de dos mil veinticinco</w:t>
      </w:r>
      <w:r w:rsidR="00B316DB" w:rsidRPr="001E6B07">
        <w:rPr>
          <w:rFonts w:ascii="Palatino Linotype" w:eastAsia="Palatino Linotype" w:hAnsi="Palatino Linotype" w:cs="Palatino Linotype"/>
        </w:rPr>
        <w:t xml:space="preserve">, puso a disposición de las partes el expediente electrónico vía </w:t>
      </w:r>
      <w:r w:rsidR="00B316DB" w:rsidRPr="001E6B07">
        <w:rPr>
          <w:rFonts w:ascii="Palatino Linotype" w:eastAsia="Palatino Linotype" w:hAnsi="Palatino Linotype" w:cs="Palatino Linotype"/>
          <w:b/>
        </w:rPr>
        <w:t xml:space="preserve">SAIMEX </w:t>
      </w:r>
      <w:r w:rsidR="00B316DB" w:rsidRPr="001E6B07">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B316DB" w:rsidRPr="001E6B07">
        <w:rPr>
          <w:rFonts w:ascii="Palatino Linotype" w:eastAsia="Palatino Linotype" w:hAnsi="Palatino Linotype" w:cs="Palatino Linotype"/>
          <w:b/>
        </w:rPr>
        <w:t>SUJETO OBLIGADO</w:t>
      </w:r>
      <w:r w:rsidR="00B316DB" w:rsidRPr="001E6B07">
        <w:rPr>
          <w:rFonts w:ascii="Palatino Linotype" w:eastAsia="Palatino Linotype" w:hAnsi="Palatino Linotype" w:cs="Palatino Linotype"/>
        </w:rPr>
        <w:t xml:space="preserve"> presentará el informe justificado procedente. </w:t>
      </w:r>
    </w:p>
    <w:p w:rsidR="00B316DB" w:rsidRPr="001E6B07" w:rsidRDefault="00B316DB" w:rsidP="00B316DB">
      <w:pPr>
        <w:pBdr>
          <w:top w:val="nil"/>
          <w:left w:val="nil"/>
          <w:bottom w:val="nil"/>
          <w:right w:val="nil"/>
          <w:between w:val="nil"/>
        </w:pBdr>
        <w:ind w:left="720"/>
        <w:rPr>
          <w:rFonts w:ascii="Palatino Linotype" w:eastAsia="Palatino Linotype" w:hAnsi="Palatino Linotype" w:cs="Palatino Linotype"/>
        </w:rPr>
      </w:pPr>
    </w:p>
    <w:p w:rsidR="00C805D4" w:rsidRPr="001E6B07" w:rsidRDefault="00B316DB" w:rsidP="00B316DB">
      <w:pPr>
        <w:numPr>
          <w:ilvl w:val="0"/>
          <w:numId w:val="2"/>
        </w:numPr>
        <w:pBdr>
          <w:top w:val="nil"/>
          <w:left w:val="nil"/>
          <w:bottom w:val="nil"/>
          <w:right w:val="nil"/>
          <w:between w:val="nil"/>
        </w:pBdr>
        <w:spacing w:line="360" w:lineRule="auto"/>
        <w:ind w:left="0" w:firstLine="0"/>
        <w:jc w:val="both"/>
        <w:rPr>
          <w:rStyle w:val="Hipervnculo"/>
          <w:rFonts w:ascii="Palatino Linotype" w:eastAsia="Palatino Linotype" w:hAnsi="Palatino Linotype" w:cs="Palatino Linotype"/>
          <w:b/>
          <w:i/>
          <w:color w:val="auto"/>
          <w:u w:val="none"/>
        </w:rPr>
      </w:pPr>
      <w:r w:rsidRPr="001E6B07">
        <w:rPr>
          <w:rFonts w:ascii="Palatino Linotype" w:eastAsia="Palatino Linotype" w:hAnsi="Palatino Linotype" w:cs="Palatino Linotype"/>
        </w:rPr>
        <w:t xml:space="preserve">De las constancias del expediente electrónico SAIMEX se advierte que el Recurrente no realizó manifestaciones; por su parte, el Sujeto Obligado entregó informe justificado el </w:t>
      </w:r>
      <w:r w:rsidR="00C805D4" w:rsidRPr="001E6B07">
        <w:rPr>
          <w:rFonts w:ascii="Palatino Linotype" w:eastAsia="Palatino Linotype" w:hAnsi="Palatino Linotype" w:cs="Palatino Linotype"/>
          <w:b/>
        </w:rPr>
        <w:t>ocho y catorce de agosto</w:t>
      </w:r>
      <w:r w:rsidRPr="001E6B07">
        <w:rPr>
          <w:rFonts w:ascii="Palatino Linotype" w:eastAsia="Palatino Linotype" w:hAnsi="Palatino Linotype" w:cs="Palatino Linotype"/>
          <w:b/>
        </w:rPr>
        <w:t xml:space="preserve"> de dos mil veinticinco</w:t>
      </w:r>
      <w:r w:rsidRPr="001E6B07">
        <w:rPr>
          <w:rFonts w:ascii="Palatino Linotype" w:eastAsia="Palatino Linotype" w:hAnsi="Palatino Linotype" w:cs="Palatino Linotype"/>
        </w:rPr>
        <w:t xml:space="preserve">, el cual se puso a la vista del particular el </w:t>
      </w:r>
      <w:r w:rsidR="00C805D4" w:rsidRPr="001E6B07">
        <w:rPr>
          <w:rFonts w:ascii="Palatino Linotype" w:eastAsia="Palatino Linotype" w:hAnsi="Palatino Linotype" w:cs="Palatino Linotype"/>
          <w:b/>
        </w:rPr>
        <w:t>diez de febrero de dos mil veintiséis</w:t>
      </w:r>
      <w:r w:rsidRPr="001E6B07">
        <w:rPr>
          <w:rFonts w:ascii="Palatino Linotype" w:eastAsia="Palatino Linotype" w:hAnsi="Palatino Linotype" w:cs="Palatino Linotype"/>
        </w:rPr>
        <w:t xml:space="preserve">, </w:t>
      </w:r>
      <w:r w:rsidR="00C805D4" w:rsidRPr="001E6B07">
        <w:rPr>
          <w:rFonts w:ascii="Palatino Linotype" w:eastAsia="Palatino Linotype" w:hAnsi="Palatino Linotype" w:cs="Palatino Linotype"/>
        </w:rPr>
        <w:t xml:space="preserve">en el que de forma medular se ratificó la respuesta. </w:t>
      </w:r>
    </w:p>
    <w:p w:rsidR="00B316DB" w:rsidRPr="001E6B07" w:rsidRDefault="00B316DB" w:rsidP="00B316DB">
      <w:pPr>
        <w:rPr>
          <w:rFonts w:ascii="Palatino Linotype" w:eastAsia="Palatino Linotype" w:hAnsi="Palatino Linotype" w:cs="Palatino Linotype"/>
        </w:rPr>
      </w:pPr>
    </w:p>
    <w:p w:rsidR="00C805D4" w:rsidRPr="001E6B07" w:rsidRDefault="00C805D4" w:rsidP="00B316D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t xml:space="preserve">El </w:t>
      </w:r>
      <w:r w:rsidRPr="001E6B07">
        <w:rPr>
          <w:rFonts w:ascii="Palatino Linotype" w:eastAsia="Palatino Linotype" w:hAnsi="Palatino Linotype" w:cs="Palatino Linotype"/>
          <w:b/>
        </w:rPr>
        <w:t>veintiséis de enero de dos mil veintiséis,</w:t>
      </w:r>
      <w:r w:rsidRPr="001E6B07">
        <w:rPr>
          <w:rFonts w:ascii="Palatino Linotype" w:eastAsia="Palatino Linotype" w:hAnsi="Palatino Linotype" w:cs="Palatino Linotype"/>
        </w:rPr>
        <w:t xml:space="preserve"> se notificó el acuerdo mediante el cual se aprobó la ampliación de plazo para emitir resolución. </w:t>
      </w:r>
    </w:p>
    <w:p w:rsidR="00C805D4" w:rsidRPr="001E6B07" w:rsidRDefault="00C805D4" w:rsidP="00C805D4">
      <w:pPr>
        <w:pStyle w:val="Prrafodelista"/>
        <w:rPr>
          <w:rFonts w:ascii="Palatino Linotype" w:eastAsia="Palatino Linotype" w:hAnsi="Palatino Linotype" w:cs="Palatino Linotype"/>
        </w:rPr>
      </w:pPr>
    </w:p>
    <w:p w:rsidR="00B316DB" w:rsidRDefault="00B316DB" w:rsidP="00B316D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t xml:space="preserve">El </w:t>
      </w:r>
      <w:r w:rsidR="00C805D4" w:rsidRPr="001E6B07">
        <w:rPr>
          <w:rFonts w:ascii="Palatino Linotype" w:eastAsia="Palatino Linotype" w:hAnsi="Palatino Linotype" w:cs="Palatino Linotype"/>
          <w:b/>
        </w:rPr>
        <w:t>dieciséis de febrero</w:t>
      </w:r>
      <w:r w:rsidRPr="001E6B07">
        <w:rPr>
          <w:rFonts w:ascii="Palatino Linotype" w:eastAsia="Palatino Linotype" w:hAnsi="Palatino Linotype" w:cs="Palatino Linotype"/>
          <w:b/>
        </w:rPr>
        <w:t xml:space="preserve"> de dos mil veinticinco</w:t>
      </w:r>
      <w:r w:rsidRPr="001E6B07">
        <w:rPr>
          <w:rFonts w:ascii="Palatino Linotype" w:eastAsia="Palatino Linotype" w:hAnsi="Palatino Linotype" w:cs="Palatino Linotype"/>
        </w:rPr>
        <w:t xml:space="preserve">, se notificó el acuerdo mediante el cual se decretó el cierre de instrucción. </w:t>
      </w:r>
      <w:r w:rsidR="00FB5DE2">
        <w:rPr>
          <w:rFonts w:ascii="Palatino Linotype" w:eastAsia="Palatino Linotype" w:hAnsi="Palatino Linotype" w:cs="Palatino Linotype"/>
        </w:rPr>
        <w:t>------------------------------------------------------------------------------</w:t>
      </w:r>
    </w:p>
    <w:p w:rsidR="00FB5DE2" w:rsidRDefault="00FB5DE2" w:rsidP="00FB5DE2">
      <w:pPr>
        <w:pStyle w:val="Prrafodelista"/>
        <w:rPr>
          <w:rFonts w:ascii="Palatino Linotype" w:eastAsia="Palatino Linotype" w:hAnsi="Palatino Linotype" w:cs="Palatino Linotype"/>
        </w:rPr>
      </w:pPr>
    </w:p>
    <w:p w:rsidR="00FB5DE2" w:rsidRDefault="00FB5DE2" w:rsidP="00FB5DE2">
      <w:pPr>
        <w:pBdr>
          <w:top w:val="nil"/>
          <w:left w:val="nil"/>
          <w:bottom w:val="nil"/>
          <w:right w:val="nil"/>
          <w:between w:val="nil"/>
        </w:pBdr>
        <w:spacing w:line="360" w:lineRule="auto"/>
        <w:jc w:val="both"/>
        <w:rPr>
          <w:rFonts w:ascii="Palatino Linotype" w:eastAsia="Palatino Linotype" w:hAnsi="Palatino Linotype" w:cs="Palatino Linotype"/>
        </w:rPr>
      </w:pPr>
    </w:p>
    <w:p w:rsidR="00FB5DE2" w:rsidRDefault="00FB5DE2" w:rsidP="00FB5DE2">
      <w:pPr>
        <w:pBdr>
          <w:top w:val="nil"/>
          <w:left w:val="nil"/>
          <w:bottom w:val="nil"/>
          <w:right w:val="nil"/>
          <w:between w:val="nil"/>
        </w:pBdr>
        <w:spacing w:line="360" w:lineRule="auto"/>
        <w:jc w:val="both"/>
        <w:rPr>
          <w:rFonts w:ascii="Palatino Linotype" w:eastAsia="Palatino Linotype" w:hAnsi="Palatino Linotype" w:cs="Palatino Linotype"/>
        </w:rPr>
      </w:pPr>
    </w:p>
    <w:p w:rsidR="00FB5DE2" w:rsidRDefault="00FB5DE2" w:rsidP="00FB5DE2">
      <w:pPr>
        <w:pBdr>
          <w:top w:val="nil"/>
          <w:left w:val="nil"/>
          <w:bottom w:val="nil"/>
          <w:right w:val="nil"/>
          <w:between w:val="nil"/>
        </w:pBdr>
        <w:spacing w:line="360" w:lineRule="auto"/>
        <w:jc w:val="both"/>
        <w:rPr>
          <w:rFonts w:ascii="Palatino Linotype" w:eastAsia="Palatino Linotype" w:hAnsi="Palatino Linotype" w:cs="Palatino Linotype"/>
        </w:rPr>
      </w:pPr>
    </w:p>
    <w:p w:rsidR="00FB5DE2" w:rsidRPr="001E6B07" w:rsidRDefault="00FB5DE2" w:rsidP="00FB5DE2">
      <w:pPr>
        <w:pBdr>
          <w:top w:val="nil"/>
          <w:left w:val="nil"/>
          <w:bottom w:val="nil"/>
          <w:right w:val="nil"/>
          <w:between w:val="nil"/>
        </w:pBdr>
        <w:spacing w:line="360" w:lineRule="auto"/>
        <w:jc w:val="both"/>
        <w:rPr>
          <w:rFonts w:ascii="Palatino Linotype" w:eastAsia="Palatino Linotype" w:hAnsi="Palatino Linotype" w:cs="Palatino Linotype"/>
        </w:rPr>
      </w:pPr>
    </w:p>
    <w:p w:rsidR="00B316DB" w:rsidRPr="001E6B07" w:rsidRDefault="00B316DB" w:rsidP="00B316DB">
      <w:pPr>
        <w:spacing w:line="360" w:lineRule="auto"/>
        <w:rPr>
          <w:rFonts w:ascii="Palatino Linotype" w:eastAsia="Palatino Linotype" w:hAnsi="Palatino Linotype" w:cs="Palatino Linotype"/>
        </w:rPr>
      </w:pPr>
    </w:p>
    <w:p w:rsidR="00B316DB" w:rsidRPr="001E6B07" w:rsidRDefault="00B316DB" w:rsidP="00B316DB">
      <w:pPr>
        <w:spacing w:line="360" w:lineRule="auto"/>
        <w:jc w:val="center"/>
        <w:rPr>
          <w:rFonts w:ascii="Palatino Linotype" w:eastAsia="Palatino Linotype" w:hAnsi="Palatino Linotype" w:cs="Palatino Linotype"/>
        </w:rPr>
      </w:pPr>
      <w:bookmarkStart w:id="2" w:name="_heading=h.1fob9te" w:colFirst="0" w:colLast="0"/>
      <w:bookmarkEnd w:id="2"/>
      <w:r w:rsidRPr="001E6B07">
        <w:rPr>
          <w:rFonts w:ascii="Palatino Linotype" w:eastAsia="Palatino Linotype" w:hAnsi="Palatino Linotype" w:cs="Palatino Linotype"/>
          <w:b/>
        </w:rPr>
        <w:lastRenderedPageBreak/>
        <w:t>C O N S I D E R A N D O</w:t>
      </w:r>
    </w:p>
    <w:p w:rsidR="00B316DB" w:rsidRPr="001E6B07" w:rsidRDefault="00B316DB" w:rsidP="00B316DB">
      <w:pPr>
        <w:spacing w:line="360" w:lineRule="auto"/>
        <w:jc w:val="center"/>
        <w:rPr>
          <w:rFonts w:ascii="Palatino Linotype" w:eastAsia="Palatino Linotype" w:hAnsi="Palatino Linotype" w:cs="Palatino Linotype"/>
        </w:rPr>
      </w:pPr>
    </w:p>
    <w:p w:rsidR="00B316DB" w:rsidRPr="001E6B07" w:rsidRDefault="00B316DB" w:rsidP="00B316DB">
      <w:pPr>
        <w:spacing w:line="360" w:lineRule="auto"/>
        <w:jc w:val="both"/>
        <w:rPr>
          <w:rFonts w:ascii="Palatino Linotype" w:eastAsia="Palatino Linotype" w:hAnsi="Palatino Linotype" w:cs="Palatino Linotype"/>
          <w:b/>
        </w:rPr>
      </w:pPr>
      <w:bookmarkStart w:id="3" w:name="_heading=h.3znysh7" w:colFirst="0" w:colLast="0"/>
      <w:bookmarkEnd w:id="3"/>
      <w:r w:rsidRPr="001E6B07">
        <w:rPr>
          <w:rFonts w:ascii="Palatino Linotype" w:eastAsia="Palatino Linotype" w:hAnsi="Palatino Linotype" w:cs="Palatino Linotype"/>
          <w:b/>
        </w:rPr>
        <w:t>PRIMERO. De la competencia</w:t>
      </w:r>
    </w:p>
    <w:p w:rsidR="00B316DB" w:rsidRPr="001E6B07" w:rsidRDefault="00B316DB" w:rsidP="00B316DB">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rsidR="00B316DB" w:rsidRPr="001E6B07" w:rsidRDefault="00B316DB" w:rsidP="00B316DB">
      <w:pPr>
        <w:keepNext/>
        <w:keepLines/>
        <w:spacing w:line="360" w:lineRule="auto"/>
        <w:rPr>
          <w:rFonts w:ascii="Palatino Linotype" w:eastAsia="Palatino Linotype" w:hAnsi="Palatino Linotype" w:cs="Palatino Linotype"/>
        </w:rPr>
      </w:pPr>
      <w:bookmarkStart w:id="4" w:name="_heading=h.2et92p0" w:colFirst="0" w:colLast="0"/>
      <w:bookmarkEnd w:id="4"/>
    </w:p>
    <w:p w:rsidR="00B316DB" w:rsidRPr="001E6B07" w:rsidRDefault="00B316DB" w:rsidP="00B316DB">
      <w:pPr>
        <w:keepNext/>
        <w:keepLines/>
        <w:spacing w:line="360" w:lineRule="auto"/>
        <w:rPr>
          <w:rFonts w:ascii="Palatino Linotype" w:eastAsia="Palatino Linotype" w:hAnsi="Palatino Linotype" w:cs="Palatino Linotype"/>
          <w:b/>
        </w:rPr>
      </w:pPr>
      <w:r w:rsidRPr="001E6B07">
        <w:rPr>
          <w:rFonts w:ascii="Palatino Linotype" w:eastAsia="Palatino Linotype" w:hAnsi="Palatino Linotype" w:cs="Palatino Linotype"/>
          <w:b/>
        </w:rPr>
        <w:t>SEGUNDO. De la oportunidad y procedencia.</w:t>
      </w:r>
    </w:p>
    <w:p w:rsidR="00B316DB" w:rsidRPr="001E6B07" w:rsidRDefault="00B316DB" w:rsidP="00B316D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t xml:space="preserve">El medio de impugnación fue presentado a través del </w:t>
      </w:r>
      <w:r w:rsidRPr="001E6B07">
        <w:rPr>
          <w:rFonts w:ascii="Palatino Linotype" w:eastAsia="Palatino Linotype" w:hAnsi="Palatino Linotype" w:cs="Palatino Linotype"/>
          <w:b/>
        </w:rPr>
        <w:t>SAIMEX,</w:t>
      </w:r>
      <w:r w:rsidRPr="001E6B07">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1E6B07">
        <w:rPr>
          <w:rFonts w:ascii="Palatino Linotype" w:eastAsia="Palatino Linotype" w:hAnsi="Palatino Linotype" w:cs="Palatino Linotype"/>
          <w:b/>
        </w:rPr>
        <w:t>SUJETO OBLIGADO</w:t>
      </w:r>
      <w:r w:rsidRPr="001E6B07">
        <w:rPr>
          <w:rFonts w:ascii="Palatino Linotype" w:eastAsia="Palatino Linotype" w:hAnsi="Palatino Linotype" w:cs="Palatino Linotype"/>
        </w:rPr>
        <w:t xml:space="preserve"> entregó respuesta a la solicitud el </w:t>
      </w:r>
      <w:r w:rsidR="00C805D4" w:rsidRPr="001E6B07">
        <w:rPr>
          <w:rFonts w:ascii="Palatino Linotype" w:eastAsia="Palatino Linotype" w:hAnsi="Palatino Linotype" w:cs="Palatino Linotype"/>
          <w:b/>
        </w:rPr>
        <w:t>diecisiete de julio</w:t>
      </w:r>
      <w:r w:rsidRPr="001E6B07">
        <w:rPr>
          <w:rFonts w:ascii="Palatino Linotype" w:eastAsia="Palatino Linotype" w:hAnsi="Palatino Linotype" w:cs="Palatino Linotype"/>
          <w:b/>
        </w:rPr>
        <w:t xml:space="preserve"> de dos mil veinticinco</w:t>
      </w:r>
      <w:r w:rsidRPr="001E6B07">
        <w:rPr>
          <w:rFonts w:ascii="Palatino Linotype" w:eastAsia="Palatino Linotype" w:hAnsi="Palatino Linotype" w:cs="Palatino Linotype"/>
        </w:rPr>
        <w:t>, de tal forma que el plazo para interponer el recurso de revisión transcurrió del</w:t>
      </w:r>
      <w:r w:rsidRPr="001E6B07">
        <w:rPr>
          <w:rFonts w:ascii="Palatino Linotype" w:eastAsia="Palatino Linotype" w:hAnsi="Palatino Linotype" w:cs="Palatino Linotype"/>
          <w:b/>
        </w:rPr>
        <w:t xml:space="preserve"> </w:t>
      </w:r>
      <w:r w:rsidR="00C805D4" w:rsidRPr="001E6B07">
        <w:rPr>
          <w:rFonts w:ascii="Palatino Linotype" w:eastAsia="Palatino Linotype" w:hAnsi="Palatino Linotype" w:cs="Palatino Linotype"/>
          <w:b/>
        </w:rPr>
        <w:t>dieciocho de julio al veinte de agosto</w:t>
      </w:r>
      <w:r w:rsidRPr="001E6B07">
        <w:rPr>
          <w:rFonts w:ascii="Palatino Linotype" w:eastAsia="Palatino Linotype" w:hAnsi="Palatino Linotype" w:cs="Palatino Linotype"/>
          <w:b/>
        </w:rPr>
        <w:t xml:space="preserve"> de dos mil veinticinco</w:t>
      </w:r>
      <w:r w:rsidRPr="001E6B07">
        <w:rPr>
          <w:rFonts w:ascii="Palatino Linotype" w:eastAsia="Palatino Linotype" w:hAnsi="Palatino Linotype" w:cs="Palatino Linotype"/>
        </w:rPr>
        <w:t xml:space="preserve">; en consecuencia, presentó su inconformidad el día </w:t>
      </w:r>
      <w:r w:rsidR="00C805D4" w:rsidRPr="001E6B07">
        <w:rPr>
          <w:rFonts w:ascii="Palatino Linotype" w:eastAsia="Palatino Linotype" w:hAnsi="Palatino Linotype" w:cs="Palatino Linotype"/>
          <w:b/>
        </w:rPr>
        <w:t>cuatro de agosto</w:t>
      </w:r>
      <w:r w:rsidRPr="001E6B07">
        <w:rPr>
          <w:rFonts w:ascii="Palatino Linotype" w:eastAsia="Palatino Linotype" w:hAnsi="Palatino Linotype" w:cs="Palatino Linotype"/>
          <w:b/>
        </w:rPr>
        <w:t xml:space="preserve"> de dos mil veinticinco</w:t>
      </w:r>
      <w:r w:rsidRPr="001E6B07">
        <w:rPr>
          <w:rFonts w:ascii="Palatino Linotype" w:eastAsia="Palatino Linotype" w:hAnsi="Palatino Linotype" w:cs="Palatino Linotype"/>
        </w:rPr>
        <w:t xml:space="preserve">, por lo que se encuentra dentro de los márgenes temporales previstos en el artículo 178 de la </w:t>
      </w:r>
      <w:r w:rsidRPr="001E6B07">
        <w:rPr>
          <w:rFonts w:ascii="Palatino Linotype" w:eastAsia="Palatino Linotype" w:hAnsi="Palatino Linotype" w:cs="Palatino Linotype"/>
          <w:b/>
        </w:rPr>
        <w:t xml:space="preserve">Ley de Transparencia y Acceso a la Información Pública del Estado de México y Municipios </w:t>
      </w:r>
      <w:r w:rsidRPr="001E6B07">
        <w:rPr>
          <w:rFonts w:ascii="Palatino Linotype" w:eastAsia="Palatino Linotype" w:hAnsi="Palatino Linotype" w:cs="Palatino Linotype"/>
        </w:rPr>
        <w:t>vigente.</w:t>
      </w:r>
    </w:p>
    <w:p w:rsidR="00B316DB" w:rsidRPr="001E6B07" w:rsidRDefault="00B316DB" w:rsidP="00B316DB">
      <w:pPr>
        <w:numPr>
          <w:ilvl w:val="0"/>
          <w:numId w:val="2"/>
        </w:numPr>
        <w:spacing w:line="360" w:lineRule="auto"/>
        <w:ind w:left="0" w:firstLine="0"/>
        <w:contextualSpacing/>
        <w:jc w:val="both"/>
        <w:rPr>
          <w:rFonts w:ascii="Palatino Linotype" w:eastAsia="Calibri" w:hAnsi="Palatino Linotype" w:cs="Arial"/>
          <w:lang w:val="es-ES_tradnl" w:eastAsia="es-ES"/>
        </w:rPr>
      </w:pPr>
      <w:r w:rsidRPr="001E6B07">
        <w:rPr>
          <w:rFonts w:ascii="Palatino Linotype" w:eastAsia="Calibri" w:hAnsi="Palatino Linotype" w:cs="Arial"/>
          <w:lang w:val="es-ES_tradnl" w:eastAsia="es-ES"/>
        </w:rPr>
        <w:lastRenderedPageBreak/>
        <w:t xml:space="preserve">Por otra parte, de la revisión al expediente electrónico del </w:t>
      </w:r>
      <w:r w:rsidRPr="001E6B07">
        <w:rPr>
          <w:rFonts w:ascii="Palatino Linotype" w:eastAsia="Calibri" w:hAnsi="Palatino Linotype" w:cs="Arial"/>
          <w:b/>
          <w:lang w:val="es-ES_tradnl" w:eastAsia="es-ES"/>
        </w:rPr>
        <w:t>SAIMEX</w:t>
      </w:r>
      <w:r w:rsidRPr="001E6B07">
        <w:rPr>
          <w:rFonts w:ascii="Palatino Linotype" w:eastAsia="Calibri" w:hAnsi="Palatino Linotype" w:cs="Arial"/>
          <w:lang w:val="es-ES_tradnl" w:eastAsia="es-ES"/>
        </w:rPr>
        <w:t xml:space="preserve"> se desprende que la parte solicitante en ejercicio de su derecho de acceso a la información pública en el expediente que se revisa, tanto en la solicitud de información como en el recurso de revisión no proporciona su nombre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B316DB" w:rsidRPr="001E6B07" w:rsidRDefault="00B316DB" w:rsidP="00B316DB">
      <w:pPr>
        <w:pStyle w:val="Prrafodelista"/>
        <w:ind w:left="0"/>
        <w:rPr>
          <w:rFonts w:ascii="Palatino Linotype" w:eastAsia="Calibri" w:hAnsi="Palatino Linotype" w:cs="Arial"/>
          <w:lang w:val="es-ES_tradnl" w:eastAsia="es-ES"/>
        </w:rPr>
      </w:pPr>
    </w:p>
    <w:p w:rsidR="00B316DB" w:rsidRPr="001E6B07" w:rsidRDefault="00B316DB" w:rsidP="00B316DB">
      <w:pPr>
        <w:numPr>
          <w:ilvl w:val="0"/>
          <w:numId w:val="2"/>
        </w:numPr>
        <w:spacing w:line="360" w:lineRule="auto"/>
        <w:ind w:left="0" w:firstLine="0"/>
        <w:contextualSpacing/>
        <w:jc w:val="both"/>
        <w:rPr>
          <w:rFonts w:ascii="Palatino Linotype" w:eastAsia="Calibri" w:hAnsi="Palatino Linotype" w:cs="Arial"/>
          <w:lang w:val="es-ES_tradnl" w:eastAsia="es-ES"/>
        </w:rPr>
      </w:pPr>
      <w:r w:rsidRPr="001E6B07">
        <w:rPr>
          <w:rFonts w:ascii="Palatino Linotype" w:eastAsia="Calibri" w:hAnsi="Palatino Linotype" w:cs="Arial"/>
          <w:lang w:val="es-ES_tradnl" w:eastAsia="es-ES"/>
        </w:rPr>
        <w:t xml:space="preserve">Esto es así, ya que de conformidad con los artículos 6, Apartado A, fracciones III y IV de la Constitución Política de los Estados Unidos Mexicanos y </w:t>
      </w:r>
      <w:r w:rsidRPr="001E6B07">
        <w:rPr>
          <w:rFonts w:ascii="Palatino Linotype" w:eastAsia="Calibri" w:hAnsi="Palatino Linotype" w:cs="Arial"/>
          <w:bCs/>
          <w:lang w:val="es-ES" w:eastAsia="es-ES"/>
        </w:rPr>
        <w:t>5, párrafos vigésimo, vigésimo primero y vigésimo segundo fracciones IV y V </w:t>
      </w:r>
      <w:r w:rsidRPr="001E6B07">
        <w:rPr>
          <w:rFonts w:ascii="Palatino Linotype" w:eastAsia="Calibri" w:hAnsi="Palatino Linotype" w:cs="Arial"/>
          <w:lang w:val="es-ES_tradnl" w:eastAsia="es-ES"/>
        </w:rPr>
        <w:t>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B316DB" w:rsidRPr="001E6B07" w:rsidRDefault="00B316DB" w:rsidP="00B316DB">
      <w:pPr>
        <w:pStyle w:val="Prrafodelista"/>
        <w:ind w:left="0"/>
        <w:rPr>
          <w:rFonts w:ascii="Palatino Linotype" w:eastAsia="Calibri" w:hAnsi="Palatino Linotype" w:cs="Arial"/>
          <w:lang w:val="es-ES_tradnl" w:eastAsia="es-ES"/>
        </w:rPr>
      </w:pPr>
    </w:p>
    <w:p w:rsidR="00B316DB" w:rsidRPr="001E6B07" w:rsidRDefault="00B316DB" w:rsidP="00B316DB">
      <w:pPr>
        <w:numPr>
          <w:ilvl w:val="0"/>
          <w:numId w:val="2"/>
        </w:numPr>
        <w:spacing w:line="360" w:lineRule="auto"/>
        <w:ind w:left="0" w:firstLine="0"/>
        <w:contextualSpacing/>
        <w:jc w:val="both"/>
        <w:rPr>
          <w:rFonts w:ascii="Palatino Linotype" w:eastAsia="Calibri" w:hAnsi="Palatino Linotype" w:cs="Arial"/>
          <w:lang w:val="es-ES_tradnl" w:eastAsia="es-ES"/>
        </w:rPr>
      </w:pPr>
      <w:r w:rsidRPr="001E6B07">
        <w:rPr>
          <w:rFonts w:ascii="Palatino Linotype" w:eastAsia="Calibri" w:hAnsi="Palatino Linotype" w:cs="Arial"/>
          <w:lang w:val="es-ES_tradnl" w:eastAsia="es-ES"/>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w:t>
      </w:r>
      <w:r w:rsidRPr="001E6B07">
        <w:rPr>
          <w:rFonts w:ascii="Palatino Linotype" w:eastAsia="Calibri" w:hAnsi="Palatino Linotype" w:cs="Arial"/>
          <w:lang w:val="es-ES_tradnl" w:eastAsia="es-ES"/>
        </w:rPr>
        <w:lastRenderedPageBreak/>
        <w:t>acceso a la información pueda ser anónima o no contener un nombre que identifique al solicitante o que permita tener certeza sobre su identidad.</w:t>
      </w:r>
    </w:p>
    <w:p w:rsidR="00B316DB" w:rsidRPr="001E6B07" w:rsidRDefault="00B316DB" w:rsidP="00B316DB">
      <w:pPr>
        <w:pStyle w:val="Prrafodelista"/>
        <w:ind w:left="0"/>
        <w:rPr>
          <w:rFonts w:ascii="Palatino Linotype" w:eastAsia="Calibri" w:hAnsi="Palatino Linotype" w:cs="Arial"/>
          <w:lang w:val="es-ES_tradnl" w:eastAsia="es-ES"/>
        </w:rPr>
      </w:pPr>
    </w:p>
    <w:p w:rsidR="00B316DB" w:rsidRPr="001E6B07" w:rsidRDefault="00B316DB" w:rsidP="00B316DB">
      <w:pPr>
        <w:numPr>
          <w:ilvl w:val="0"/>
          <w:numId w:val="2"/>
        </w:numPr>
        <w:spacing w:line="360" w:lineRule="auto"/>
        <w:ind w:left="0" w:firstLine="0"/>
        <w:contextualSpacing/>
        <w:jc w:val="both"/>
        <w:rPr>
          <w:rFonts w:ascii="Palatino Linotype" w:eastAsia="Calibri" w:hAnsi="Palatino Linotype" w:cs="Arial"/>
          <w:lang w:val="es-ES_tradnl" w:eastAsia="es-ES"/>
        </w:rPr>
      </w:pPr>
      <w:r w:rsidRPr="001E6B07">
        <w:rPr>
          <w:rFonts w:ascii="Palatino Linotype" w:eastAsia="Calibri" w:hAnsi="Palatino Linotype" w:cs="Arial"/>
          <w:lang w:val="es-ES_tradnl" w:eastAsia="es-ES"/>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B316DB" w:rsidRPr="001E6B07" w:rsidRDefault="00B316DB" w:rsidP="00B316DB">
      <w:pPr>
        <w:pStyle w:val="Prrafodelista"/>
        <w:ind w:left="0"/>
        <w:rPr>
          <w:rFonts w:ascii="Palatino Linotype" w:eastAsia="Calibri" w:hAnsi="Palatino Linotype" w:cs="Arial"/>
          <w:lang w:val="es-ES_tradnl" w:eastAsia="es-ES"/>
        </w:rPr>
      </w:pPr>
    </w:p>
    <w:p w:rsidR="00B316DB" w:rsidRPr="001E6B07" w:rsidRDefault="00B316DB" w:rsidP="00B316DB">
      <w:pPr>
        <w:numPr>
          <w:ilvl w:val="0"/>
          <w:numId w:val="2"/>
        </w:numPr>
        <w:spacing w:line="360" w:lineRule="auto"/>
        <w:ind w:left="0" w:firstLine="0"/>
        <w:contextualSpacing/>
        <w:jc w:val="both"/>
        <w:rPr>
          <w:rFonts w:ascii="Palatino Linotype" w:eastAsia="Calibri" w:hAnsi="Palatino Linotype" w:cs="Arial"/>
          <w:lang w:val="es-ES_tradnl" w:eastAsia="es-ES"/>
        </w:rPr>
      </w:pPr>
      <w:r w:rsidRPr="001E6B07">
        <w:rPr>
          <w:rFonts w:ascii="Palatino Linotype" w:eastAsia="Calibri" w:hAnsi="Palatino Linotype" w:cs="Arial"/>
          <w:lang w:val="es-ES_tradnl" w:eastAsia="es-ES"/>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B316DB" w:rsidRPr="001E6B07" w:rsidRDefault="00B316DB" w:rsidP="00B316DB">
      <w:pPr>
        <w:pBdr>
          <w:top w:val="nil"/>
          <w:left w:val="nil"/>
          <w:bottom w:val="nil"/>
          <w:right w:val="nil"/>
          <w:between w:val="nil"/>
        </w:pBdr>
        <w:spacing w:line="360" w:lineRule="auto"/>
        <w:jc w:val="both"/>
        <w:rPr>
          <w:rFonts w:ascii="Palatino Linotype" w:eastAsia="Palatino Linotype" w:hAnsi="Palatino Linotype" w:cs="Palatino Linotype"/>
        </w:rPr>
      </w:pPr>
    </w:p>
    <w:p w:rsidR="00B316DB" w:rsidRPr="001E6B07" w:rsidRDefault="00B316DB" w:rsidP="00B316D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B316DB" w:rsidRPr="001E6B07" w:rsidRDefault="00B316DB" w:rsidP="00B316DB">
      <w:pPr>
        <w:pBdr>
          <w:top w:val="nil"/>
          <w:left w:val="nil"/>
          <w:bottom w:val="nil"/>
          <w:right w:val="nil"/>
          <w:between w:val="nil"/>
        </w:pBdr>
        <w:ind w:left="720"/>
        <w:rPr>
          <w:rFonts w:ascii="Palatino Linotype" w:eastAsia="Palatino Linotype" w:hAnsi="Palatino Linotype" w:cs="Palatino Linotype"/>
        </w:rPr>
      </w:pPr>
    </w:p>
    <w:p w:rsidR="00B316DB" w:rsidRPr="001E6B07" w:rsidRDefault="00B316DB" w:rsidP="00B316DB">
      <w:pPr>
        <w:pStyle w:val="Ttulo1"/>
        <w:rPr>
          <w:rFonts w:ascii="Palatino Linotype" w:eastAsia="MS Mincho" w:hAnsi="Palatino Linotype" w:cs="Times New Roman"/>
          <w:b/>
          <w:color w:val="auto"/>
          <w:sz w:val="24"/>
          <w:szCs w:val="24"/>
        </w:rPr>
      </w:pPr>
      <w:r w:rsidRPr="001E6B07">
        <w:rPr>
          <w:rFonts w:ascii="Palatino Linotype" w:hAnsi="Palatino Linotype"/>
          <w:b/>
          <w:color w:val="auto"/>
          <w:sz w:val="24"/>
          <w:szCs w:val="24"/>
        </w:rPr>
        <w:t xml:space="preserve">TERCERO. Planteamiento de la Litis </w:t>
      </w:r>
    </w:p>
    <w:p w:rsidR="00B316DB" w:rsidRPr="001E6B07" w:rsidRDefault="00B316DB" w:rsidP="00B316DB">
      <w:pPr>
        <w:pStyle w:val="Prrafodelista"/>
        <w:numPr>
          <w:ilvl w:val="0"/>
          <w:numId w:val="2"/>
        </w:numPr>
        <w:spacing w:before="240" w:after="240" w:line="360" w:lineRule="auto"/>
        <w:ind w:left="0" w:right="49" w:firstLine="0"/>
        <w:jc w:val="both"/>
        <w:rPr>
          <w:rFonts w:ascii="Palatino Linotype" w:hAnsi="Palatino Linotype"/>
          <w:i/>
        </w:rPr>
      </w:pPr>
      <w:r w:rsidRPr="001E6B07">
        <w:rPr>
          <w:rFonts w:ascii="Palatino Linotype" w:hAnsi="Palatino Linotype"/>
          <w:bCs/>
        </w:rPr>
        <w:t xml:space="preserve">El recurrente solicitó </w:t>
      </w:r>
      <w:r w:rsidR="0035018E" w:rsidRPr="001E6B07">
        <w:rPr>
          <w:rFonts w:ascii="Palatino Linotype" w:eastAsia="Palatino Linotype" w:hAnsi="Palatino Linotype" w:cs="Palatino Linotype"/>
        </w:rPr>
        <w:t xml:space="preserve">el número de lámparas inteligentes que fueron adquiridas, el proceso de adquisición, el contrato, los estudios para determinar en donde se van colocar, aprobación de cabildo para la adquisición. </w:t>
      </w:r>
    </w:p>
    <w:p w:rsidR="00B316DB" w:rsidRPr="001E6B07" w:rsidRDefault="00B316DB" w:rsidP="00B316DB">
      <w:pPr>
        <w:pStyle w:val="Prrafodelista"/>
        <w:spacing w:before="240" w:after="240" w:line="360" w:lineRule="auto"/>
        <w:ind w:left="0" w:right="49"/>
        <w:jc w:val="both"/>
        <w:rPr>
          <w:rFonts w:ascii="Palatino Linotype" w:hAnsi="Palatino Linotype"/>
          <w:i/>
        </w:rPr>
      </w:pPr>
    </w:p>
    <w:p w:rsidR="00B316DB" w:rsidRPr="001E6B07" w:rsidRDefault="00B316DB" w:rsidP="009B11CC">
      <w:pPr>
        <w:pStyle w:val="Prrafodelista"/>
        <w:numPr>
          <w:ilvl w:val="0"/>
          <w:numId w:val="2"/>
        </w:numPr>
        <w:spacing w:before="240" w:after="240" w:line="360" w:lineRule="auto"/>
        <w:ind w:left="0" w:right="49" w:firstLine="0"/>
        <w:jc w:val="both"/>
        <w:rPr>
          <w:rFonts w:ascii="Palatino Linotype" w:hAnsi="Palatino Linotype"/>
          <w:i/>
        </w:rPr>
      </w:pPr>
      <w:r w:rsidRPr="001E6B07">
        <w:rPr>
          <w:rFonts w:ascii="Palatino Linotype" w:eastAsia="Palatino Linotype" w:hAnsi="Palatino Linotype" w:cs="Palatino Linotype"/>
        </w:rPr>
        <w:t xml:space="preserve">En respuesta, el Sujeto Obligado señaló </w:t>
      </w:r>
      <w:r w:rsidR="006A71CA" w:rsidRPr="001E6B07">
        <w:rPr>
          <w:rFonts w:ascii="Palatino Linotype" w:eastAsia="Palatino Linotype" w:hAnsi="Palatino Linotype" w:cs="Palatino Linotype"/>
        </w:rPr>
        <w:t>que la información solicitad podía consultarse en una liga electrónica que entregó</w:t>
      </w:r>
      <w:r w:rsidRPr="001E6B07">
        <w:rPr>
          <w:rFonts w:ascii="Palatino Linotype" w:eastAsia="Palatino Linotype" w:hAnsi="Palatino Linotype" w:cs="Palatino Linotype"/>
        </w:rPr>
        <w:t xml:space="preserve">; posteriormente, el Recurrente se inconformó, de forma medular, por la negativa de la información.   </w:t>
      </w:r>
    </w:p>
    <w:p w:rsidR="00B316DB" w:rsidRPr="001E6B07" w:rsidRDefault="00B316DB" w:rsidP="00B316DB">
      <w:pPr>
        <w:pStyle w:val="Prrafodelista"/>
        <w:numPr>
          <w:ilvl w:val="0"/>
          <w:numId w:val="2"/>
        </w:numPr>
        <w:spacing w:before="240" w:after="240" w:line="360" w:lineRule="auto"/>
        <w:ind w:left="0" w:right="49" w:firstLine="0"/>
        <w:jc w:val="both"/>
        <w:rPr>
          <w:rFonts w:ascii="Palatino Linotype" w:hAnsi="Palatino Linotype"/>
          <w:i/>
        </w:rPr>
      </w:pPr>
      <w:r w:rsidRPr="001E6B07">
        <w:rPr>
          <w:rFonts w:ascii="Palatino Linotype" w:eastAsiaTheme="minorEastAsia" w:hAnsi="Palatino Linotype" w:cs="Arial"/>
          <w:lang w:val="es-ES_tradnl"/>
        </w:rPr>
        <w:lastRenderedPageBreak/>
        <w:t xml:space="preserve">Por lo tanto, el presente recurso de revisión se circunscribe en determinar si se </w:t>
      </w:r>
      <w:r w:rsidRPr="001E6B07">
        <w:rPr>
          <w:rFonts w:ascii="Palatino Linotype" w:hAnsi="Palatino Linotype"/>
          <w:lang w:val="es-ES_tradnl"/>
        </w:rPr>
        <w:t>actualiza la causal de procedencia</w:t>
      </w:r>
      <w:r w:rsidRPr="001E6B07">
        <w:rPr>
          <w:rFonts w:ascii="Palatino Linotype" w:hAnsi="Palatino Linotype"/>
          <w:b/>
          <w:lang w:val="es-ES_tradnl"/>
        </w:rPr>
        <w:t xml:space="preserve"> </w:t>
      </w:r>
      <w:r w:rsidRPr="001E6B07">
        <w:rPr>
          <w:rFonts w:ascii="Palatino Linotype" w:hAnsi="Palatino Linotype" w:cs="Arial"/>
          <w:lang w:val="es-ES_tradnl"/>
        </w:rPr>
        <w:t xml:space="preserve">contenida en </w:t>
      </w:r>
      <w:r w:rsidR="0035018E" w:rsidRPr="001E6B07">
        <w:rPr>
          <w:rFonts w:ascii="Palatino Linotype" w:hAnsi="Palatino Linotype" w:cs="Arial"/>
          <w:lang w:val="es-ES"/>
        </w:rPr>
        <w:t xml:space="preserve">el artículo 179 fracción </w:t>
      </w:r>
      <w:r w:rsidRPr="001E6B07">
        <w:rPr>
          <w:rFonts w:ascii="Palatino Linotype" w:hAnsi="Palatino Linotype" w:cs="Arial"/>
          <w:lang w:val="es-ES"/>
        </w:rPr>
        <w:t xml:space="preserve">I, de la </w:t>
      </w:r>
      <w:r w:rsidRPr="001E6B07">
        <w:rPr>
          <w:rFonts w:ascii="Palatino Linotype" w:eastAsia="Calibri" w:hAnsi="Palatino Linotype" w:cs="Arial"/>
          <w:b/>
          <w:lang w:val="es-ES"/>
        </w:rPr>
        <w:t>Ley de Transparencia y Acceso a la Información Pública del Estado de México y Municipios</w:t>
      </w:r>
      <w:r w:rsidRPr="001E6B07">
        <w:rPr>
          <w:rFonts w:ascii="Palatino Linotype" w:hAnsi="Palatino Linotype" w:cs="Arial"/>
          <w:lang w:val="es-ES"/>
        </w:rPr>
        <w:t>, relativo a la negativa de la información.</w:t>
      </w:r>
    </w:p>
    <w:p w:rsidR="00B316DB" w:rsidRPr="001E6B07" w:rsidRDefault="00B316DB" w:rsidP="00B316DB">
      <w:pPr>
        <w:pStyle w:val="Ttulo2"/>
        <w:tabs>
          <w:tab w:val="left" w:pos="426"/>
        </w:tabs>
        <w:rPr>
          <w:rFonts w:ascii="Palatino Linotype" w:hAnsi="Palatino Linotype" w:cs="Arial"/>
          <w:b/>
          <w:color w:val="auto"/>
          <w:sz w:val="24"/>
          <w:szCs w:val="24"/>
        </w:rPr>
      </w:pPr>
      <w:bookmarkStart w:id="5" w:name="_Toc87456489"/>
      <w:r w:rsidRPr="001E6B07">
        <w:rPr>
          <w:rFonts w:ascii="Palatino Linotype" w:hAnsi="Palatino Linotype" w:cs="Arial"/>
          <w:b/>
          <w:color w:val="auto"/>
          <w:sz w:val="24"/>
          <w:szCs w:val="24"/>
        </w:rPr>
        <w:t>CUARTO. Estudio y Resolución del asunto.</w:t>
      </w:r>
      <w:bookmarkEnd w:id="5"/>
    </w:p>
    <w:p w:rsidR="00B316DB" w:rsidRPr="001E6B07" w:rsidRDefault="00B316DB" w:rsidP="00B316DB">
      <w:pPr>
        <w:pStyle w:val="Prrafodelista"/>
        <w:numPr>
          <w:ilvl w:val="0"/>
          <w:numId w:val="2"/>
        </w:numPr>
        <w:spacing w:line="360" w:lineRule="auto"/>
        <w:ind w:left="0" w:firstLine="0"/>
        <w:jc w:val="both"/>
        <w:rPr>
          <w:rFonts w:ascii="Palatino Linotype" w:eastAsia="Calibri" w:hAnsi="Palatino Linotype" w:cs="Arial"/>
        </w:rPr>
      </w:pPr>
      <w:r w:rsidRPr="001E6B07">
        <w:rPr>
          <w:rFonts w:ascii="Palatino Linotype" w:eastAsia="Calibri" w:hAnsi="Palatino Linotype" w:cs="Arial"/>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B316DB" w:rsidRPr="001E6B07" w:rsidRDefault="00B316DB" w:rsidP="00B316DB">
      <w:pPr>
        <w:pStyle w:val="Prrafodelista"/>
        <w:spacing w:line="360" w:lineRule="auto"/>
        <w:ind w:left="0"/>
        <w:jc w:val="both"/>
        <w:rPr>
          <w:rFonts w:ascii="Palatino Linotype" w:eastAsia="Calibri" w:hAnsi="Palatino Linotype" w:cs="Arial"/>
        </w:rPr>
      </w:pPr>
    </w:p>
    <w:p w:rsidR="00F82678" w:rsidRPr="001E6B07" w:rsidRDefault="00B316DB" w:rsidP="00F82678">
      <w:pPr>
        <w:pStyle w:val="Prrafodelista"/>
        <w:numPr>
          <w:ilvl w:val="0"/>
          <w:numId w:val="2"/>
        </w:numPr>
        <w:spacing w:line="360" w:lineRule="auto"/>
        <w:ind w:left="0" w:firstLine="0"/>
        <w:jc w:val="both"/>
        <w:rPr>
          <w:rFonts w:ascii="Palatino Linotype" w:eastAsia="Calibri" w:hAnsi="Palatino Linotype" w:cs="Arial"/>
        </w:rPr>
      </w:pPr>
      <w:r w:rsidRPr="001E6B07">
        <w:rPr>
          <w:rFonts w:ascii="Palatino Linotype" w:eastAsia="Palatino Linotype" w:hAnsi="Palatino Linotype" w:cs="Palatino Linotype"/>
        </w:rPr>
        <w:t xml:space="preserve">En el presente caso, el Recurrente solicitó </w:t>
      </w:r>
      <w:r w:rsidR="00F82678" w:rsidRPr="001E6B07">
        <w:rPr>
          <w:rFonts w:ascii="Palatino Linotype" w:eastAsia="Palatino Linotype" w:hAnsi="Palatino Linotype" w:cs="Palatino Linotype"/>
        </w:rPr>
        <w:t>el número de lámparas inteligentes que fueron adquiridas, el proceso de adquisición, el contrato, los estudios para determinar en donde se van colocar, aprobación de cabildo para la adquisición. En respuesta, el Sujeto Obligado señaló que la información solicitad podía consultarse en una liga electrónica que entregó</w:t>
      </w:r>
    </w:p>
    <w:p w:rsidR="00F82678" w:rsidRPr="001E6B07" w:rsidRDefault="00F82678" w:rsidP="00F82678">
      <w:pPr>
        <w:pStyle w:val="Prrafodelista"/>
        <w:rPr>
          <w:rFonts w:ascii="Palatino Linotype" w:hAnsi="Palatino Linotype"/>
        </w:rPr>
      </w:pPr>
    </w:p>
    <w:p w:rsidR="00F82678" w:rsidRPr="001E6B07" w:rsidRDefault="00F82678" w:rsidP="00F82678">
      <w:pPr>
        <w:pStyle w:val="Prrafodelista"/>
        <w:numPr>
          <w:ilvl w:val="0"/>
          <w:numId w:val="2"/>
        </w:numPr>
        <w:spacing w:line="360" w:lineRule="auto"/>
        <w:ind w:left="0" w:firstLine="0"/>
        <w:jc w:val="both"/>
        <w:rPr>
          <w:rFonts w:ascii="Palatino Linotype" w:eastAsia="Calibri" w:hAnsi="Palatino Linotype" w:cs="Arial"/>
        </w:rPr>
      </w:pPr>
      <w:r w:rsidRPr="001E6B07">
        <w:rPr>
          <w:rFonts w:ascii="Palatino Linotype" w:hAnsi="Palatino Linotype"/>
        </w:rPr>
        <w:t xml:space="preserve">Primeramente, se precisa que se obvia el análisis de la competencia por parte del </w:t>
      </w:r>
      <w:r w:rsidRPr="001E6B07">
        <w:rPr>
          <w:rFonts w:ascii="Palatino Linotype" w:hAnsi="Palatino Linotype"/>
          <w:b/>
          <w:bCs/>
        </w:rPr>
        <w:t>SUJETO OBLIGADO</w:t>
      </w:r>
      <w:r w:rsidRPr="001E6B07">
        <w:rPr>
          <w:rFonts w:ascii="Palatino Linotype" w:hAnsi="Palatino Linotype"/>
        </w:rPr>
        <w:t xml:space="preserve">, para generar, administrar o poseer la información solicitada, dado que éste ha asumido la misma, en razón de que en su respuesta admitió contar con dicha información. En efecto, el hecho de que </w:t>
      </w:r>
      <w:r w:rsidRPr="001E6B07">
        <w:rPr>
          <w:rFonts w:ascii="Palatino Linotype" w:hAnsi="Palatino Linotype"/>
          <w:b/>
          <w:bCs/>
        </w:rPr>
        <w:t>EL SUJETO OBLIGADO</w:t>
      </w:r>
      <w:r w:rsidRPr="001E6B07">
        <w:rPr>
          <w:rFonts w:ascii="Palatino Linotype" w:hAnsi="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F82678" w:rsidRPr="001E6B07" w:rsidRDefault="00F82678" w:rsidP="00F82678">
      <w:pPr>
        <w:pStyle w:val="Prrafodelista"/>
        <w:numPr>
          <w:ilvl w:val="0"/>
          <w:numId w:val="2"/>
        </w:numPr>
        <w:spacing w:line="360" w:lineRule="auto"/>
        <w:ind w:left="0" w:firstLine="0"/>
        <w:jc w:val="both"/>
        <w:rPr>
          <w:rFonts w:ascii="Palatino Linotype" w:eastAsia="Calibri" w:hAnsi="Palatino Linotype" w:cs="Arial"/>
        </w:rPr>
      </w:pPr>
      <w:r w:rsidRPr="001E6B07">
        <w:rPr>
          <w:rFonts w:ascii="Palatino Linotype" w:hAnsi="Palatino Linotype"/>
        </w:rPr>
        <w:lastRenderedPageBreak/>
        <w:t>Así, el estudio de la naturaleza jurídica de la información pública solicitada, tiene por objeto determinar si ésta la genera, posee o administra </w:t>
      </w:r>
      <w:r w:rsidRPr="001E6B07">
        <w:rPr>
          <w:rFonts w:ascii="Palatino Linotype" w:hAnsi="Palatino Linotype"/>
          <w:b/>
          <w:bCs/>
        </w:rPr>
        <w:t>EL SUJETO OBLIGADO</w:t>
      </w:r>
      <w:r w:rsidRPr="001E6B07">
        <w:rPr>
          <w:rFonts w:ascii="Palatino Linotype" w:hAnsi="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B316DB" w:rsidRPr="001E6B07" w:rsidRDefault="00B316DB" w:rsidP="00F82678">
      <w:pPr>
        <w:pStyle w:val="Prrafodelista"/>
        <w:spacing w:line="360" w:lineRule="auto"/>
        <w:ind w:left="0"/>
        <w:jc w:val="both"/>
        <w:rPr>
          <w:rFonts w:ascii="Palatino Linotype" w:eastAsia="Calibri" w:hAnsi="Palatino Linotype" w:cs="Arial"/>
        </w:rPr>
      </w:pPr>
    </w:p>
    <w:p w:rsidR="00B316DB" w:rsidRPr="001E6B07" w:rsidRDefault="00B316DB" w:rsidP="00B316DB">
      <w:pPr>
        <w:pStyle w:val="Prrafodelista"/>
        <w:numPr>
          <w:ilvl w:val="0"/>
          <w:numId w:val="2"/>
        </w:numPr>
        <w:spacing w:line="360" w:lineRule="auto"/>
        <w:ind w:left="0" w:firstLine="0"/>
        <w:jc w:val="both"/>
        <w:rPr>
          <w:rFonts w:ascii="Palatino Linotype" w:eastAsia="Arial Unicode MS" w:hAnsi="Palatino Linotype" w:cs="Arial"/>
          <w:lang w:eastAsia="en-US"/>
        </w:rPr>
      </w:pPr>
      <w:r w:rsidRPr="001E6B07">
        <w:rPr>
          <w:rFonts w:ascii="Palatino Linotype" w:eastAsia="Arial Unicode MS" w:hAnsi="Palatino Linotype" w:cs="Arial"/>
          <w:lang w:eastAsia="en-US"/>
        </w:rPr>
        <w:t>Ahora bien, recordemos que en respuesta, el Sujeto Obligado señaló que la información podía ser localizada en un</w:t>
      </w:r>
      <w:r w:rsidR="00F82678" w:rsidRPr="001E6B07">
        <w:rPr>
          <w:rFonts w:ascii="Palatino Linotype" w:eastAsia="Arial Unicode MS" w:hAnsi="Palatino Linotype" w:cs="Arial"/>
          <w:lang w:eastAsia="en-US"/>
        </w:rPr>
        <w:t>a liga electrónica que adjuntó, sin embargo, la liga electrónica no fue entregada</w:t>
      </w:r>
      <w:r w:rsidRPr="001E6B07">
        <w:rPr>
          <w:rFonts w:ascii="Palatino Linotype" w:eastAsia="Arial Unicode MS" w:hAnsi="Palatino Linotype" w:cs="Arial"/>
          <w:lang w:eastAsia="en-US"/>
        </w:rPr>
        <w:t xml:space="preserve"> en datos abiertos. Ante tal circunstancia, conviene señalar que el artículo 161 de la Ley de Transparencia y Acceso a la Información Pública del Estado de México y Municipios establece </w:t>
      </w:r>
      <w:r w:rsidRPr="001E6B07">
        <w:rPr>
          <w:rFonts w:ascii="Palatino Linotype" w:hAnsi="Palatino Linotype"/>
          <w:lang w:val="es-ES"/>
        </w:rPr>
        <w:t>los siguiente:</w:t>
      </w:r>
    </w:p>
    <w:p w:rsidR="00B316DB" w:rsidRPr="001E6B07" w:rsidRDefault="00B316DB" w:rsidP="00B316DB">
      <w:pPr>
        <w:pStyle w:val="Prrafodelista"/>
        <w:spacing w:line="276" w:lineRule="auto"/>
        <w:ind w:left="851" w:right="822"/>
        <w:jc w:val="both"/>
        <w:rPr>
          <w:rFonts w:ascii="Palatino Linotype" w:eastAsia="Arial Unicode MS" w:hAnsi="Palatino Linotype" w:cs="Arial"/>
          <w:i/>
          <w:lang w:val="es-ES" w:eastAsia="en-US"/>
        </w:rPr>
      </w:pPr>
      <w:r w:rsidRPr="001E6B07">
        <w:rPr>
          <w:rFonts w:ascii="Palatino Linotype" w:eastAsia="Arial Unicode MS" w:hAnsi="Palatino Linotype" w:cs="Arial"/>
          <w:b/>
          <w:bCs/>
          <w:i/>
          <w:lang w:eastAsia="en-US"/>
        </w:rPr>
        <w:t xml:space="preserve">Artículo 161. </w:t>
      </w:r>
      <w:r w:rsidRPr="001E6B07">
        <w:rPr>
          <w:rFonts w:ascii="Palatino Linotype" w:eastAsia="Arial Unicode MS" w:hAnsi="Palatino Linotype" w:cs="Arial"/>
          <w:b/>
          <w:i/>
          <w:lang w:eastAsia="en-US"/>
        </w:rPr>
        <w:t>Cuando la información requerida por el solicitante ya esté disponible</w:t>
      </w:r>
      <w:r w:rsidRPr="001E6B07">
        <w:rPr>
          <w:rFonts w:ascii="Palatino Linotype" w:eastAsia="Arial Unicode MS" w:hAnsi="Palatino Linotype" w:cs="Arial"/>
          <w:i/>
          <w:lang w:eastAsia="en-US"/>
        </w:rPr>
        <w:t xml:space="preserve"> al público en medios impresos, tales como libros, compendios, trípticos, registros públicos, </w:t>
      </w:r>
      <w:r w:rsidRPr="001E6B07">
        <w:rPr>
          <w:rFonts w:ascii="Palatino Linotype" w:eastAsia="Arial Unicode MS" w:hAnsi="Palatino Linotype" w:cs="Arial"/>
          <w:b/>
          <w:i/>
          <w:lang w:eastAsia="en-US"/>
        </w:rPr>
        <w:t xml:space="preserve">en formatos electrónicos disponibles en Internet </w:t>
      </w:r>
      <w:r w:rsidRPr="001E6B07">
        <w:rPr>
          <w:rFonts w:ascii="Palatino Linotype" w:eastAsia="Arial Unicode MS" w:hAnsi="Palatino Linotype" w:cs="Arial"/>
          <w:i/>
          <w:lang w:eastAsia="en-US"/>
        </w:rPr>
        <w:t xml:space="preserve">o en cualquier otro medio, se le hará saber por el medio requerido por el solicitante la fuente, el lugar y la forma en que puede consultar, reproducir o adquirir dicha información </w:t>
      </w:r>
      <w:r w:rsidRPr="001E6B07">
        <w:rPr>
          <w:rFonts w:ascii="Palatino Linotype" w:eastAsia="Arial Unicode MS" w:hAnsi="Palatino Linotype" w:cs="Arial"/>
          <w:b/>
          <w:i/>
          <w:lang w:eastAsia="en-US"/>
        </w:rPr>
        <w:t>en un plazo no mayor a cinco días hábiles</w:t>
      </w:r>
      <w:r w:rsidRPr="001E6B07">
        <w:rPr>
          <w:rFonts w:ascii="Palatino Linotype" w:eastAsia="Arial Unicode MS" w:hAnsi="Palatino Linotype" w:cs="Arial"/>
          <w:i/>
          <w:lang w:eastAsia="en-US"/>
        </w:rPr>
        <w:t xml:space="preserve">. </w:t>
      </w:r>
      <w:r w:rsidRPr="001E6B07">
        <w:rPr>
          <w:rFonts w:ascii="Palatino Linotype" w:eastAsia="Arial Unicode MS" w:hAnsi="Palatino Linotype" w:cs="Arial"/>
          <w:b/>
          <w:i/>
          <w:lang w:eastAsia="en-US"/>
        </w:rPr>
        <w:t>La fuente deberá ser precisa y concreta y no debe implicar que el solicitante realice una búsqueda en toda la información que se encuentre disponible</w:t>
      </w:r>
      <w:r w:rsidRPr="001E6B07">
        <w:rPr>
          <w:rFonts w:ascii="Palatino Linotype" w:eastAsia="Arial Unicode MS" w:hAnsi="Palatino Linotype" w:cs="Arial"/>
          <w:i/>
          <w:lang w:eastAsia="en-US"/>
        </w:rPr>
        <w:t>.</w:t>
      </w:r>
    </w:p>
    <w:p w:rsidR="00B316DB" w:rsidRPr="001E6B07" w:rsidRDefault="00B316DB" w:rsidP="00B316DB">
      <w:pPr>
        <w:pStyle w:val="Prrafodelista"/>
        <w:tabs>
          <w:tab w:val="left" w:pos="851"/>
        </w:tabs>
        <w:spacing w:before="240" w:after="240" w:line="360" w:lineRule="auto"/>
        <w:ind w:left="0" w:right="49"/>
        <w:jc w:val="both"/>
        <w:rPr>
          <w:rFonts w:ascii="Palatino Linotype" w:hAnsi="Palatino Linotype"/>
          <w:lang w:val="es-ES"/>
        </w:rPr>
      </w:pPr>
    </w:p>
    <w:p w:rsidR="00F82678" w:rsidRDefault="00B316DB" w:rsidP="00F82678">
      <w:pPr>
        <w:pStyle w:val="Prrafodelista"/>
        <w:numPr>
          <w:ilvl w:val="0"/>
          <w:numId w:val="2"/>
        </w:numPr>
        <w:spacing w:line="360" w:lineRule="auto"/>
        <w:ind w:left="0" w:firstLine="0"/>
        <w:jc w:val="both"/>
        <w:rPr>
          <w:rFonts w:ascii="Palatino Linotype" w:eastAsia="Arial Unicode MS" w:hAnsi="Palatino Linotype" w:cs="Arial"/>
          <w:lang w:eastAsia="en-US"/>
        </w:rPr>
      </w:pPr>
      <w:r w:rsidRPr="001E6B07">
        <w:rPr>
          <w:rFonts w:ascii="Palatino Linotype" w:eastAsia="Arial Unicode MS" w:hAnsi="Palatino Linotype" w:cs="Arial"/>
          <w:lang w:eastAsia="en-US"/>
        </w:rPr>
        <w:t xml:space="preserve">Es así que, toda aquella información que sea requerida por los particulares pero que, previamente se encuentre disponible en sitios electrónicos, como puede ser de manera enunciativa más no limitativa, el sitio oficial del Sujeto Obligado o el portal IPOMEX o las páginas institucionales, los Sujetos Obligados pueden indicar la dirección electrónica donde obra la información solicitada, sin embargo, esta dirección electrónica debe ser precisa, de tal </w:t>
      </w:r>
      <w:r w:rsidRPr="001E6B07">
        <w:rPr>
          <w:rFonts w:ascii="Palatino Linotype" w:eastAsia="Arial Unicode MS" w:hAnsi="Palatino Linotype" w:cs="Arial"/>
          <w:lang w:eastAsia="en-US"/>
        </w:rPr>
        <w:lastRenderedPageBreak/>
        <w:t xml:space="preserve">modo que no implique realizar una búsqueda en toda la información que ahí se encuentre. Además, debe ir acompañada del procedimiento a seguir, en caso de que la información se encuentre en distintos puntos del sitio electrónico referido, situación que </w:t>
      </w:r>
      <w:r w:rsidR="00F82678" w:rsidRPr="001E6B07">
        <w:rPr>
          <w:rFonts w:ascii="Palatino Linotype" w:eastAsia="Arial Unicode MS" w:hAnsi="Palatino Linotype" w:cs="Arial"/>
          <w:lang w:eastAsia="en-US"/>
        </w:rPr>
        <w:t>no ocurrió en el presente caso.</w:t>
      </w:r>
    </w:p>
    <w:p w:rsidR="00FB5DE2" w:rsidRPr="001E6B07" w:rsidRDefault="00FB5DE2" w:rsidP="00FB5DE2">
      <w:pPr>
        <w:pStyle w:val="Prrafodelista"/>
        <w:spacing w:line="360" w:lineRule="auto"/>
        <w:ind w:left="0"/>
        <w:jc w:val="both"/>
        <w:rPr>
          <w:rFonts w:ascii="Palatino Linotype" w:eastAsia="Arial Unicode MS" w:hAnsi="Palatino Linotype" w:cs="Arial"/>
          <w:lang w:eastAsia="en-US"/>
        </w:rPr>
      </w:pPr>
    </w:p>
    <w:p w:rsidR="00B316DB" w:rsidRPr="001E6B07" w:rsidRDefault="00B316DB" w:rsidP="00B316DB">
      <w:pPr>
        <w:pStyle w:val="Prrafodelista"/>
        <w:numPr>
          <w:ilvl w:val="0"/>
          <w:numId w:val="2"/>
        </w:numPr>
        <w:spacing w:line="360" w:lineRule="auto"/>
        <w:ind w:left="0" w:firstLine="0"/>
        <w:jc w:val="both"/>
        <w:rPr>
          <w:rFonts w:ascii="Palatino Linotype" w:eastAsia="Arial Unicode MS" w:hAnsi="Palatino Linotype" w:cs="Arial"/>
          <w:lang w:eastAsia="en-US"/>
        </w:rPr>
      </w:pPr>
      <w:r w:rsidRPr="001E6B07">
        <w:rPr>
          <w:rFonts w:ascii="Palatino Linotype" w:eastAsia="Palatino Linotype" w:hAnsi="Palatino Linotype" w:cs="Palatino Linotype"/>
          <w:color w:val="222222"/>
        </w:rPr>
        <w:t>En ese sentido, es oportuno mencionar lo que debemos entender por datos abiertos, siendo estos los datos digitales de carácter público que pueden ser usados, reutilizados y redistribuidos por cualquier interesado y que tienen como característica ser accesibles, integrales, gratuitos, no discriminatorios, oportunos, permanentes, primarios, legibles por las máquinas, en formatos abiertos y de libre uso.  En este mismo sentido, nuestra Ley de Transparencia y Acceso a la Información Pública del Estado de México y Municipios, expresa en su artículo 3, de manera textual lo siguiente:</w:t>
      </w:r>
    </w:p>
    <w:p w:rsidR="00B316DB" w:rsidRPr="001E6B07" w:rsidRDefault="00B316DB" w:rsidP="00B316D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1E6B07">
        <w:rPr>
          <w:rFonts w:ascii="Palatino Linotype" w:eastAsia="Palatino Linotype" w:hAnsi="Palatino Linotype" w:cs="Palatino Linotype"/>
          <w:b/>
          <w:i/>
          <w:color w:val="222222"/>
        </w:rPr>
        <w:t>“VIII. Datos abiertos: Los datos digitales de carácter público que son accesibles en línea que pueden ser usados, reutilizados y redistribuidos por cualquier interesado y que tienen las siguientes características:</w:t>
      </w:r>
    </w:p>
    <w:p w:rsidR="00B316DB" w:rsidRPr="001E6B07" w:rsidRDefault="00B316DB" w:rsidP="00B316D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1E6B07">
        <w:rPr>
          <w:rFonts w:ascii="Palatino Linotype" w:eastAsia="Palatino Linotype" w:hAnsi="Palatino Linotype" w:cs="Palatino Linotype"/>
          <w:i/>
          <w:color w:val="222222"/>
        </w:rPr>
        <w:t>a) Accesibles: Los datos están disponibles para la gama más amplia de usuarios, para cualquier propósito;</w:t>
      </w:r>
    </w:p>
    <w:p w:rsidR="00B316DB" w:rsidRPr="001E6B07" w:rsidRDefault="00B316DB" w:rsidP="00B316D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1E6B07">
        <w:rPr>
          <w:rFonts w:ascii="Palatino Linotype" w:eastAsia="Palatino Linotype" w:hAnsi="Palatino Linotype" w:cs="Palatino Linotype"/>
          <w:i/>
          <w:color w:val="222222"/>
        </w:rPr>
        <w:t>b) Integrales: Contienen el tema que describen a detalle y con los metadatos necesarios;</w:t>
      </w:r>
    </w:p>
    <w:p w:rsidR="00B316DB" w:rsidRPr="001E6B07" w:rsidRDefault="00B316DB" w:rsidP="00B316D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1E6B07">
        <w:rPr>
          <w:rFonts w:ascii="Palatino Linotype" w:eastAsia="Palatino Linotype" w:hAnsi="Palatino Linotype" w:cs="Palatino Linotype"/>
          <w:i/>
          <w:color w:val="222222"/>
        </w:rPr>
        <w:t>c) Gratuitos: Se obtienen sin entregar a cambio contraprestación alguna;</w:t>
      </w:r>
    </w:p>
    <w:p w:rsidR="00B316DB" w:rsidRPr="001E6B07" w:rsidRDefault="00B316DB" w:rsidP="00B316D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1E6B07">
        <w:rPr>
          <w:rFonts w:ascii="Palatino Linotype" w:eastAsia="Palatino Linotype" w:hAnsi="Palatino Linotype" w:cs="Palatino Linotype"/>
          <w:i/>
          <w:color w:val="222222"/>
        </w:rPr>
        <w:t>d) No discriminatorios: Los datos están disponibles para cualquier persona, sin necesidad de registro;</w:t>
      </w:r>
    </w:p>
    <w:p w:rsidR="00B316DB" w:rsidRPr="001E6B07" w:rsidRDefault="00B316DB" w:rsidP="00B316D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1E6B07">
        <w:rPr>
          <w:rFonts w:ascii="Palatino Linotype" w:eastAsia="Palatino Linotype" w:hAnsi="Palatino Linotype" w:cs="Palatino Linotype"/>
          <w:i/>
          <w:color w:val="222222"/>
        </w:rPr>
        <w:t>e) Oportunos: Son actualizados, periódicamente, conforme se generen;</w:t>
      </w:r>
    </w:p>
    <w:p w:rsidR="00B316DB" w:rsidRPr="001E6B07" w:rsidRDefault="00B316DB" w:rsidP="00B316D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1E6B07">
        <w:rPr>
          <w:rFonts w:ascii="Palatino Linotype" w:eastAsia="Palatino Linotype" w:hAnsi="Palatino Linotype" w:cs="Palatino Linotype"/>
          <w:i/>
          <w:color w:val="222222"/>
        </w:rPr>
        <w:t>f) Permanentes: Se conservan en el tiempo, para lo cual, las versiones históricas relevantes para uso público se mantendrán disponibles con identificadores adecuados al efecto;</w:t>
      </w:r>
    </w:p>
    <w:p w:rsidR="00B316DB" w:rsidRPr="001E6B07" w:rsidRDefault="00B316DB" w:rsidP="00B316D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1E6B07">
        <w:rPr>
          <w:rFonts w:ascii="Palatino Linotype" w:eastAsia="Palatino Linotype" w:hAnsi="Palatino Linotype" w:cs="Palatino Linotype"/>
          <w:i/>
          <w:color w:val="222222"/>
        </w:rPr>
        <w:t>g) Primarios: Provienen de la fuente de origen con el máximo nivel de desagregación posible;</w:t>
      </w:r>
    </w:p>
    <w:p w:rsidR="00B316DB" w:rsidRPr="001E6B07" w:rsidRDefault="00B316DB" w:rsidP="00B316D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1E6B07">
        <w:rPr>
          <w:rFonts w:ascii="Palatino Linotype" w:eastAsia="Palatino Linotype" w:hAnsi="Palatino Linotype" w:cs="Palatino Linotype"/>
          <w:i/>
          <w:color w:val="222222"/>
        </w:rPr>
        <w:lastRenderedPageBreak/>
        <w:t>h) Legibles por máquinas: Deberán estar estructurados, total o parcialmente, para ser procesados e interpretados por equipos electrónicos de manera automática;</w:t>
      </w:r>
    </w:p>
    <w:p w:rsidR="00B316DB" w:rsidRPr="001E6B07" w:rsidRDefault="00B316DB" w:rsidP="00B316D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1E6B07">
        <w:rPr>
          <w:rFonts w:ascii="Palatino Linotype" w:eastAsia="Palatino Linotype" w:hAnsi="Palatino Linotype" w:cs="Palatino Linotype"/>
          <w:b/>
          <w:i/>
          <w:color w:val="222222"/>
        </w:rPr>
        <w:t>i) En formatos abiertos: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w:t>
      </w:r>
      <w:r w:rsidRPr="001E6B07">
        <w:rPr>
          <w:rFonts w:ascii="Palatino Linotype" w:eastAsia="Palatino Linotype" w:hAnsi="Palatino Linotype" w:cs="Palatino Linotype"/>
          <w:i/>
          <w:color w:val="222222"/>
        </w:rPr>
        <w:t>; y</w:t>
      </w:r>
    </w:p>
    <w:p w:rsidR="00B316DB" w:rsidRPr="001E6B07" w:rsidRDefault="00B316DB" w:rsidP="00B316D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1E6B07">
        <w:rPr>
          <w:rFonts w:ascii="Palatino Linotype" w:eastAsia="Palatino Linotype" w:hAnsi="Palatino Linotype" w:cs="Palatino Linotype"/>
          <w:i/>
          <w:color w:val="222222"/>
        </w:rPr>
        <w:t>j) De libre uso: Citan la fuente de origen como único requerimiento para ser utilizados libremente.</w:t>
      </w:r>
    </w:p>
    <w:p w:rsidR="00B316DB" w:rsidRPr="001E6B07" w:rsidRDefault="00B316DB" w:rsidP="00B316D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i/>
          <w:color w:val="222222"/>
        </w:rPr>
      </w:pPr>
      <w:r w:rsidRPr="001E6B07">
        <w:rPr>
          <w:rFonts w:ascii="Palatino Linotype" w:eastAsia="Palatino Linotype" w:hAnsi="Palatino Linotype" w:cs="Palatino Linotype"/>
          <w:i/>
          <w:color w:val="222222"/>
        </w:rPr>
        <w:t>(Énfasis añadido)</w:t>
      </w:r>
    </w:p>
    <w:p w:rsidR="00B316DB" w:rsidRPr="001E6B07" w:rsidRDefault="00B316DB" w:rsidP="00B316DB">
      <w:pPr>
        <w:pStyle w:val="Prrafodelista"/>
        <w:spacing w:line="360" w:lineRule="auto"/>
        <w:ind w:left="0"/>
        <w:jc w:val="both"/>
        <w:rPr>
          <w:rFonts w:ascii="Palatino Linotype" w:eastAsia="Palatino Linotype" w:hAnsi="Palatino Linotype" w:cs="Palatino Linotype"/>
          <w:b/>
        </w:rPr>
      </w:pPr>
    </w:p>
    <w:p w:rsidR="0037602A" w:rsidRPr="001E6B07" w:rsidRDefault="00B316DB" w:rsidP="0037602A">
      <w:pPr>
        <w:pStyle w:val="Prrafodelista"/>
        <w:numPr>
          <w:ilvl w:val="0"/>
          <w:numId w:val="2"/>
        </w:numPr>
        <w:spacing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t>El dispositivo legal estatal aplicable a la materia, establece en su artículo 41 que el Instituto promoverá la publicación de la información en datos abiertos y accesibles, de tal manera que este Órgano Garante se encuentra en posibilidades de ordenar al Sujeto Obligado, en caso de tener la información en formatos abiertos entregar la misma en el formato solicitado. Por lo tanto, con la información entrega por el Sujeto Obligado en respuesta, no colma el requerimiento del Recurrente.</w:t>
      </w:r>
    </w:p>
    <w:p w:rsidR="0037602A" w:rsidRPr="001E6B07" w:rsidRDefault="0037602A" w:rsidP="0037602A">
      <w:pPr>
        <w:pStyle w:val="Prrafodelista"/>
        <w:spacing w:line="360" w:lineRule="auto"/>
        <w:ind w:left="0"/>
        <w:jc w:val="both"/>
        <w:rPr>
          <w:rFonts w:ascii="Palatino Linotype" w:eastAsia="Palatino Linotype" w:hAnsi="Palatino Linotype" w:cs="Palatino Linotype"/>
        </w:rPr>
      </w:pPr>
    </w:p>
    <w:p w:rsidR="0037602A" w:rsidRPr="001E6B07" w:rsidRDefault="0037602A" w:rsidP="0037602A">
      <w:pPr>
        <w:pStyle w:val="Prrafodelista"/>
        <w:numPr>
          <w:ilvl w:val="0"/>
          <w:numId w:val="2"/>
        </w:numPr>
        <w:spacing w:line="360" w:lineRule="auto"/>
        <w:ind w:left="0" w:firstLine="0"/>
        <w:jc w:val="both"/>
        <w:rPr>
          <w:rFonts w:ascii="Palatino Linotype" w:eastAsia="Palatino Linotype" w:hAnsi="Palatino Linotype" w:cs="Palatino Linotype"/>
        </w:rPr>
      </w:pPr>
      <w:r w:rsidRPr="001E6B07">
        <w:rPr>
          <w:rFonts w:ascii="Palatino Linotype" w:eastAsia="MS Mincho" w:hAnsi="Palatino Linotype" w:cs="Arial"/>
          <w:lang w:val="es-ES_tradnl" w:eastAsia="es-ES"/>
        </w:rPr>
        <w:t>Finalmente relativo a los planteamientos señalados de la siguiente forma “</w:t>
      </w:r>
      <w:r w:rsidRPr="001E6B07">
        <w:rPr>
          <w:rFonts w:ascii="Palatino Linotype" w:eastAsia="MS Mincho" w:hAnsi="Palatino Linotype" w:cs="Arial"/>
          <w:i/>
          <w:lang w:eastAsia="es-ES"/>
        </w:rPr>
        <w:t>no podrían aprobar servidores públicos inteligentes por que su administración es ma nefasta y deficiente ojalá lo aprueben si son inteligente”</w:t>
      </w:r>
      <w:r w:rsidRPr="001E6B07">
        <w:rPr>
          <w:rFonts w:ascii="Palatino Linotype" w:eastAsia="MS Mincho" w:hAnsi="Palatino Linotype" w:cs="Arial"/>
          <w:lang w:val="es-ES_tradnl"/>
        </w:rPr>
        <w:t xml:space="preserve">, </w:t>
      </w:r>
      <w:r w:rsidRPr="001E6B07">
        <w:rPr>
          <w:rFonts w:ascii="Palatino Linotype" w:eastAsia="MS Mincho" w:hAnsi="Palatino Linotype"/>
          <w:lang w:val="es-ES_tradnl"/>
        </w:rPr>
        <w:t xml:space="preserve">este Órgano Garante advierte que </w:t>
      </w:r>
      <w:r w:rsidRPr="001E6B07">
        <w:rPr>
          <w:rFonts w:ascii="Palatino Linotype" w:eastAsia="MS Mincho" w:hAnsi="Palatino Linotype" w:cs="Arial"/>
          <w:lang w:val="es-ES_tradnl" w:eastAsia="es-ES"/>
        </w:rPr>
        <w:t xml:space="preserve">dicha solicitud no constituye un derecho de acceso a la información pública, sino más bien un derecho de petición, debido a que se tratan de manifestaciones subjetivas vertidas por el entonces solicitante, interrogantes y declaraciones que no se colman con la entrega de documentos, situación que conlleva a afirmar que se está en presencia del ejercicio del derecho enunciado. Bajo ese contexto, es </w:t>
      </w:r>
      <w:r w:rsidRPr="001E6B07">
        <w:rPr>
          <w:rFonts w:ascii="Palatino Linotype" w:eastAsia="MS Mincho" w:hAnsi="Palatino Linotype" w:cs="Arial"/>
          <w:lang w:val="es-ES_tradnl" w:eastAsia="es-ES"/>
        </w:rPr>
        <w:lastRenderedPageBreak/>
        <w:t>importante dejar en claro lo que debe entenderse por derecho de petición y por derecho de acceso a la información pública.</w:t>
      </w:r>
      <w:r w:rsidRPr="001E6B07">
        <w:rPr>
          <w:rFonts w:ascii="Palatino Linotype" w:eastAsia="Palatino Linotype" w:hAnsi="Palatino Linotype" w:cs="Palatino Linotype"/>
        </w:rPr>
        <w:t xml:space="preserve"> </w:t>
      </w:r>
    </w:p>
    <w:p w:rsidR="0037602A" w:rsidRPr="001E6B07" w:rsidRDefault="0037602A" w:rsidP="0037602A">
      <w:pPr>
        <w:pStyle w:val="Prrafodelista"/>
        <w:rPr>
          <w:rFonts w:ascii="Palatino Linotype" w:eastAsia="MS Mincho" w:hAnsi="Palatino Linotype" w:cs="Arial"/>
          <w:lang w:val="es-ES_tradnl" w:eastAsia="es-ES"/>
        </w:rPr>
      </w:pPr>
    </w:p>
    <w:p w:rsidR="0037602A" w:rsidRPr="001E6B07" w:rsidRDefault="0037602A" w:rsidP="0037602A">
      <w:pPr>
        <w:pStyle w:val="Prrafodelista"/>
        <w:numPr>
          <w:ilvl w:val="0"/>
          <w:numId w:val="2"/>
        </w:numPr>
        <w:spacing w:line="360" w:lineRule="auto"/>
        <w:ind w:left="0" w:firstLine="0"/>
        <w:jc w:val="both"/>
        <w:rPr>
          <w:rFonts w:ascii="Palatino Linotype" w:eastAsia="Palatino Linotype" w:hAnsi="Palatino Linotype" w:cs="Palatino Linotype"/>
        </w:rPr>
      </w:pPr>
      <w:r w:rsidRPr="001E6B07">
        <w:rPr>
          <w:rFonts w:ascii="Palatino Linotype" w:eastAsia="MS Mincho" w:hAnsi="Palatino Linotype" w:cs="Arial"/>
          <w:lang w:val="es-ES_tradnl" w:eastAsia="es-ES"/>
        </w:rPr>
        <w:t xml:space="preserve">Por lo que respecta a la definición de Derecho de Petición, el Maestro Ignacio Burgoa Orihuela refiere: </w:t>
      </w:r>
    </w:p>
    <w:p w:rsidR="0037602A" w:rsidRPr="001E6B07" w:rsidRDefault="0037602A" w:rsidP="0037602A">
      <w:pPr>
        <w:autoSpaceDE w:val="0"/>
        <w:autoSpaceDN w:val="0"/>
        <w:adjustRightInd w:val="0"/>
        <w:spacing w:line="360" w:lineRule="auto"/>
        <w:ind w:left="851" w:right="901"/>
        <w:jc w:val="both"/>
        <w:rPr>
          <w:rFonts w:ascii="Palatino Linotype" w:eastAsia="MS Mincho" w:hAnsi="Palatino Linotype" w:cs="Arial"/>
          <w:i/>
          <w:lang w:val="es-ES_tradnl" w:eastAsia="es-ES"/>
        </w:rPr>
      </w:pPr>
      <w:r w:rsidRPr="001E6B07">
        <w:rPr>
          <w:rFonts w:ascii="Palatino Linotype" w:eastAsia="MS Mincho" w:hAnsi="Palatino Linotype" w:cs="Arial"/>
          <w:b/>
          <w:lang w:val="es-ES_tradnl" w:eastAsia="es-ES"/>
        </w:rPr>
        <w:t>“</w:t>
      </w:r>
      <w:r w:rsidRPr="001E6B07">
        <w:rPr>
          <w:rFonts w:ascii="Palatino Linotype" w:eastAsia="MS Mincho" w:hAnsi="Palatino Linotype" w:cs="Arial"/>
          <w:lang w:val="es-ES_tradnl" w:eastAsia="es-ES"/>
        </w:rPr>
        <w:t>…</w:t>
      </w:r>
      <w:r w:rsidRPr="001E6B07">
        <w:rPr>
          <w:rFonts w:ascii="Palatino Linotype" w:eastAsia="MS Mincho" w:hAnsi="Palatino Linotype" w:cs="Arial"/>
          <w:i/>
          <w:lang w:val="es-ES_tradnl" w:eastAsia="es-ES"/>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1E6B07">
        <w:rPr>
          <w:rFonts w:ascii="Palatino Linotype" w:eastAsia="MS Mincho" w:hAnsi="Palatino Linotype"/>
          <w:b/>
          <w:i/>
          <w:lang w:val="es-ES_tradnl" w:eastAsia="es-ES"/>
        </w:rPr>
        <w:t>“</w:t>
      </w:r>
      <w:r w:rsidRPr="001E6B07">
        <w:rPr>
          <w:rFonts w:ascii="Palatino Linotype" w:eastAsia="MS Mincho" w:hAnsi="Palatino Linotype" w:cs="Arial"/>
          <w:i/>
          <w:lang w:val="es-ES_tradnl" w:eastAsia="es-ES"/>
        </w:rPr>
        <w:t xml:space="preserve"> (sic)</w:t>
      </w:r>
    </w:p>
    <w:p w:rsidR="0037602A" w:rsidRPr="001E6B07" w:rsidRDefault="0037602A" w:rsidP="0037602A">
      <w:pPr>
        <w:autoSpaceDE w:val="0"/>
        <w:autoSpaceDN w:val="0"/>
        <w:adjustRightInd w:val="0"/>
        <w:spacing w:line="276" w:lineRule="auto"/>
        <w:ind w:left="720" w:right="901"/>
        <w:contextualSpacing/>
        <w:jc w:val="both"/>
        <w:rPr>
          <w:rFonts w:ascii="Palatino Linotype" w:eastAsia="MS Mincho" w:hAnsi="Palatino Linotype" w:cs="Arial"/>
          <w:i/>
          <w:lang w:val="es-ES_tradnl" w:eastAsia="es-ES"/>
        </w:rPr>
      </w:pPr>
    </w:p>
    <w:p w:rsidR="0037602A" w:rsidRPr="001E6B07" w:rsidRDefault="0037602A" w:rsidP="0037602A">
      <w:pPr>
        <w:numPr>
          <w:ilvl w:val="0"/>
          <w:numId w:val="2"/>
        </w:numPr>
        <w:spacing w:before="240" w:after="240" w:line="360" w:lineRule="auto"/>
        <w:ind w:left="0" w:firstLine="0"/>
        <w:contextualSpacing/>
        <w:jc w:val="both"/>
        <w:rPr>
          <w:rFonts w:ascii="Palatino Linotype" w:eastAsia="MS Mincho" w:hAnsi="Palatino Linotype" w:cs="Arial"/>
          <w:lang w:val="es-ES_tradnl" w:eastAsia="es-ES"/>
        </w:rPr>
      </w:pPr>
      <w:r w:rsidRPr="001E6B07">
        <w:rPr>
          <w:rFonts w:ascii="Palatino Linotype" w:eastAsia="MS Mincho" w:hAnsi="Palatino Linotype" w:cs="Arial"/>
          <w:lang w:val="es-ES_tradnl" w:eastAsia="es-ES"/>
        </w:rPr>
        <w:t xml:space="preserve"> A este respecto, para diferenciar el derecho de petición al derecho de acceso a la información, resulta conducente señalar que José Guadalupe Robles, conceptualiza el derecho a la información como: </w:t>
      </w:r>
    </w:p>
    <w:p w:rsidR="0037602A" w:rsidRPr="001E6B07" w:rsidRDefault="0037602A" w:rsidP="0037602A">
      <w:pPr>
        <w:autoSpaceDE w:val="0"/>
        <w:autoSpaceDN w:val="0"/>
        <w:adjustRightInd w:val="0"/>
        <w:spacing w:before="240" w:after="240" w:line="360" w:lineRule="auto"/>
        <w:ind w:left="851" w:right="616"/>
        <w:contextualSpacing/>
        <w:jc w:val="both"/>
        <w:rPr>
          <w:rFonts w:ascii="Palatino Linotype" w:eastAsia="MS Mincho" w:hAnsi="Palatino Linotype" w:cs="Arial"/>
          <w:i/>
          <w:lang w:val="es-ES_tradnl" w:eastAsia="es-ES"/>
        </w:rPr>
      </w:pPr>
      <w:r w:rsidRPr="001E6B07">
        <w:rPr>
          <w:rFonts w:ascii="Palatino Linotype" w:eastAsia="MS Mincho" w:hAnsi="Palatino Linotype" w:cs="Arial"/>
          <w:b/>
          <w:i/>
          <w:lang w:val="es-ES_tradnl" w:eastAsia="es-ES"/>
        </w:rPr>
        <w:t>“</w:t>
      </w:r>
      <w:r w:rsidRPr="001E6B07">
        <w:rPr>
          <w:rFonts w:ascii="Palatino Linotype" w:eastAsia="MS Mincho" w:hAnsi="Palatino Linotype" w:cs="Arial"/>
          <w:i/>
          <w:lang w:val="es-ES_tradnl" w:eastAsia="es-ES"/>
        </w:rPr>
        <w:t>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w:t>
      </w:r>
      <w:r w:rsidRPr="001E6B07">
        <w:rPr>
          <w:rFonts w:ascii="Palatino Linotype" w:eastAsia="MS Mincho" w:hAnsi="Palatino Linotype" w:cs="Arial"/>
          <w:b/>
          <w:i/>
          <w:lang w:val="es-ES_tradnl" w:eastAsia="es-ES"/>
        </w:rPr>
        <w:t>”</w:t>
      </w:r>
      <w:r w:rsidRPr="001E6B07">
        <w:rPr>
          <w:rFonts w:ascii="Palatino Linotype" w:eastAsia="MS Mincho" w:hAnsi="Palatino Linotype" w:cs="Arial"/>
          <w:i/>
          <w:lang w:val="es-ES_tradnl" w:eastAsia="es-ES"/>
        </w:rPr>
        <w:t xml:space="preserve"> (sic) </w:t>
      </w:r>
    </w:p>
    <w:p w:rsidR="0037602A" w:rsidRPr="001E6B07" w:rsidRDefault="0037602A" w:rsidP="0037602A">
      <w:pPr>
        <w:spacing w:line="360" w:lineRule="auto"/>
        <w:ind w:left="720" w:right="902"/>
        <w:contextualSpacing/>
        <w:jc w:val="both"/>
        <w:rPr>
          <w:rFonts w:ascii="Palatino Linotype" w:eastAsia="MS Mincho" w:hAnsi="Palatino Linotype" w:cs="Arial"/>
          <w:i/>
          <w:lang w:val="es-ES_tradnl" w:eastAsia="es-ES"/>
        </w:rPr>
      </w:pPr>
    </w:p>
    <w:p w:rsidR="0037602A" w:rsidRPr="001E6B07" w:rsidRDefault="0037602A" w:rsidP="0037602A">
      <w:pPr>
        <w:numPr>
          <w:ilvl w:val="0"/>
          <w:numId w:val="2"/>
        </w:numPr>
        <w:spacing w:before="240" w:after="240" w:line="360" w:lineRule="auto"/>
        <w:ind w:left="0" w:firstLine="0"/>
        <w:contextualSpacing/>
        <w:jc w:val="both"/>
        <w:rPr>
          <w:rFonts w:ascii="Palatino Linotype" w:eastAsia="MS Mincho" w:hAnsi="Palatino Linotype" w:cs="Arial"/>
          <w:b/>
          <w:u w:val="single"/>
          <w:lang w:val="es-ES_tradnl" w:eastAsia="es-ES"/>
        </w:rPr>
      </w:pPr>
      <w:r w:rsidRPr="001E6B07">
        <w:rPr>
          <w:rFonts w:ascii="Palatino Linotype" w:eastAsia="MS Mincho" w:hAnsi="Palatino Linotype" w:cs="Arial"/>
          <w:lang w:val="es-ES_tradnl" w:eastAsia="es-ES"/>
        </w:rPr>
        <w:t xml:space="preserve">De lo anterior, se puede concluir que la distinción entre el derecho de petición y el derecho de acceso a la información estriba principalmente en que en el primero de ellos, </w:t>
      </w:r>
      <w:r w:rsidRPr="001E6B07">
        <w:rPr>
          <w:rFonts w:ascii="Palatino Linotype" w:eastAsia="MS Mincho" w:hAnsi="Palatino Linotype" w:cs="Arial"/>
          <w:color w:val="000000"/>
          <w:lang w:val="es-ES_tradnl"/>
        </w:rPr>
        <w:t xml:space="preserve">la pretensión del peticionario consiste generalmente en obligar a la autoridad responsable a que actúe en el sentido de contestar lo solicitado, mientras que en el </w:t>
      </w:r>
      <w:r w:rsidRPr="001E6B07">
        <w:rPr>
          <w:rFonts w:ascii="Palatino Linotype" w:eastAsia="MS Mincho" w:hAnsi="Palatino Linotype" w:cs="Arial"/>
          <w:bCs/>
          <w:lang w:val="es-ES_tradnl" w:eastAsia="es-CO"/>
        </w:rPr>
        <w:t xml:space="preserve">segundo supuesto </w:t>
      </w:r>
      <w:r w:rsidRPr="001E6B07">
        <w:rPr>
          <w:rFonts w:ascii="Palatino Linotype" w:eastAsia="MS Mincho" w:hAnsi="Palatino Linotype" w:cs="Arial"/>
          <w:b/>
          <w:bCs/>
          <w:u w:val="single"/>
          <w:lang w:val="es-ES_tradnl" w:eastAsia="es-CO"/>
        </w:rPr>
        <w:t>la solicitud de acceso a la información pública se encamina primordialmente a</w:t>
      </w:r>
      <w:r w:rsidRPr="001E6B07">
        <w:rPr>
          <w:rFonts w:ascii="Palatino Linotype" w:eastAsia="MS Mincho" w:hAnsi="Palatino Linotype" w:cs="Arial"/>
          <w:b/>
          <w:u w:val="single"/>
          <w:lang w:val="es-ES_tradnl" w:eastAsia="es-ES"/>
        </w:rPr>
        <w:t xml:space="preserve"> permitir el </w:t>
      </w:r>
      <w:r w:rsidRPr="001E6B07">
        <w:rPr>
          <w:rFonts w:ascii="Palatino Linotype" w:eastAsia="MS Mincho" w:hAnsi="Palatino Linotype" w:cs="Arial"/>
          <w:b/>
          <w:u w:val="single"/>
          <w:lang w:val="es-ES_tradnl" w:eastAsia="es-CO"/>
        </w:rPr>
        <w:t xml:space="preserve">acceso a </w:t>
      </w:r>
      <w:r w:rsidRPr="001E6B07">
        <w:rPr>
          <w:rFonts w:ascii="Palatino Linotype" w:eastAsia="MS Mincho" w:hAnsi="Palatino Linotype" w:cs="Arial"/>
          <w:b/>
          <w:u w:val="single"/>
          <w:lang w:val="es-ES_tradnl" w:eastAsia="es-CO"/>
        </w:rPr>
        <w:lastRenderedPageBreak/>
        <w:t xml:space="preserve">datos, registros y todo tipo de información pública que conste en documentos, sea generada o se encuentre en posesión de </w:t>
      </w:r>
      <w:r w:rsidRPr="001E6B07">
        <w:rPr>
          <w:rFonts w:ascii="Palatino Linotype" w:eastAsia="MS Mincho" w:hAnsi="Palatino Linotype" w:cs="Arial"/>
          <w:b/>
          <w:u w:val="single"/>
          <w:lang w:val="es-ES_tradnl" w:eastAsia="es-ES"/>
        </w:rPr>
        <w:t xml:space="preserve">la autoridad. </w:t>
      </w:r>
    </w:p>
    <w:p w:rsidR="0037602A" w:rsidRPr="001E6B07" w:rsidRDefault="0037602A" w:rsidP="0037602A">
      <w:pPr>
        <w:spacing w:line="360" w:lineRule="auto"/>
        <w:contextualSpacing/>
        <w:jc w:val="both"/>
        <w:rPr>
          <w:rFonts w:ascii="Palatino Linotype" w:eastAsia="MS Mincho" w:hAnsi="Palatino Linotype" w:cs="Arial"/>
          <w:lang w:val="es-ES_tradnl" w:eastAsia="es-ES"/>
        </w:rPr>
      </w:pPr>
    </w:p>
    <w:p w:rsidR="00B316DB" w:rsidRPr="00FB5DE2" w:rsidRDefault="0037602A" w:rsidP="0037602A">
      <w:pPr>
        <w:numPr>
          <w:ilvl w:val="0"/>
          <w:numId w:val="2"/>
        </w:numPr>
        <w:spacing w:before="240" w:after="240" w:line="360" w:lineRule="auto"/>
        <w:ind w:left="0" w:firstLine="0"/>
        <w:contextualSpacing/>
        <w:jc w:val="both"/>
        <w:rPr>
          <w:rFonts w:ascii="Palatino Linotype" w:eastAsia="MS Mincho" w:hAnsi="Palatino Linotype" w:cs="Arial"/>
          <w:lang w:val="es-ES_tradnl" w:eastAsia="es-ES"/>
        </w:rPr>
      </w:pPr>
      <w:r w:rsidRPr="001E6B07">
        <w:rPr>
          <w:rFonts w:ascii="Palatino Linotype" w:eastAsia="MS Mincho" w:hAnsi="Palatino Linotype" w:cs="Arial"/>
          <w:lang w:val="es-ES_tradnl" w:eastAsia="es-ES"/>
        </w:rPr>
        <w:t xml:space="preserve">Por lo que la entrega de una razón o un razonamiento por parte de </w:t>
      </w:r>
      <w:r w:rsidRPr="001E6B07">
        <w:rPr>
          <w:rFonts w:ascii="Palatino Linotype" w:eastAsia="MS Mincho" w:hAnsi="Palatino Linotype" w:cs="Arial"/>
          <w:b/>
        </w:rPr>
        <w:t>EL SUJETO OBLIGADO</w:t>
      </w:r>
      <w:r w:rsidRPr="001E6B07">
        <w:rPr>
          <w:rFonts w:ascii="Palatino Linotype" w:eastAsia="MS Mincho" w:hAnsi="Palatino Linotype" w:cs="Arial"/>
          <w:lang w:val="es-ES_tradnl" w:eastAsia="es-ES"/>
        </w:rPr>
        <w:t xml:space="preserve"> no es algo que la ley establezca como atribución, derecho, o facultad; pues ello implicaría un juicio de valor referente a un cuestionamiento realizado, los cuales, al constituir interrogantes, inquietudes y manifestaciones se satisfacen vía </w:t>
      </w:r>
      <w:r w:rsidRPr="00FB5DE2">
        <w:rPr>
          <w:rFonts w:ascii="Palatino Linotype" w:eastAsia="MS Mincho" w:hAnsi="Palatino Linotype" w:cs="Arial"/>
          <w:lang w:val="es-ES_tradnl" w:eastAsia="es-ES"/>
        </w:rPr>
        <w:t xml:space="preserve">derecho de petición. </w:t>
      </w:r>
    </w:p>
    <w:p w:rsidR="00B316DB" w:rsidRPr="001E6B07" w:rsidRDefault="00B316DB" w:rsidP="00B316DB">
      <w:pPr>
        <w:pStyle w:val="Prrafodelista"/>
        <w:numPr>
          <w:ilvl w:val="0"/>
          <w:numId w:val="2"/>
        </w:numPr>
        <w:spacing w:line="360" w:lineRule="auto"/>
        <w:ind w:left="0" w:firstLine="0"/>
        <w:jc w:val="both"/>
        <w:rPr>
          <w:rFonts w:ascii="Palatino Linotype" w:eastAsia="Palatino Linotype" w:hAnsi="Palatino Linotype" w:cs="Palatino Linotype"/>
        </w:rPr>
      </w:pPr>
      <w:r w:rsidRPr="001E6B07">
        <w:rPr>
          <w:rFonts w:ascii="Palatino Linotype" w:eastAsia="Palatino Linotype" w:hAnsi="Palatino Linotype" w:cs="Palatino Linotype"/>
        </w:rPr>
        <w:t xml:space="preserve">Por lo tanto, con lo expuesto en líneas anteriores y con fundamento en el artículo 186, fracción III, de la Ley de Transparencia y Acceso a la Información Pública del Estado de México y Municipios, este Instituto considera procedente </w:t>
      </w:r>
      <w:r w:rsidRPr="001E6B07">
        <w:rPr>
          <w:rFonts w:ascii="Palatino Linotype" w:eastAsia="Palatino Linotype" w:hAnsi="Palatino Linotype" w:cs="Palatino Linotype"/>
          <w:b/>
        </w:rPr>
        <w:t xml:space="preserve">REVOCAR </w:t>
      </w:r>
      <w:r w:rsidRPr="001E6B07">
        <w:rPr>
          <w:rFonts w:ascii="Palatino Linotype" w:eastAsia="Palatino Linotype" w:hAnsi="Palatino Linotype" w:cs="Palatino Linotype"/>
        </w:rPr>
        <w:t xml:space="preserve">la respuesta otorgada por el Sujeto Obligado, y determina que es dable </w:t>
      </w:r>
      <w:r w:rsidRPr="001E6B07">
        <w:rPr>
          <w:rFonts w:ascii="Palatino Linotype" w:eastAsia="Palatino Linotype" w:hAnsi="Palatino Linotype" w:cs="Palatino Linotype"/>
          <w:b/>
        </w:rPr>
        <w:t>ORDENAR</w:t>
      </w:r>
      <w:r w:rsidRPr="001E6B07">
        <w:rPr>
          <w:rFonts w:ascii="Palatino Linotype" w:eastAsia="Palatino Linotype" w:hAnsi="Palatino Linotype" w:cs="Palatino Linotype"/>
        </w:rPr>
        <w:t xml:space="preserve">, de ser procedente en versión pública, el soporte documental donde conste o se advierta, </w:t>
      </w:r>
      <w:r w:rsidR="006B4CF3" w:rsidRPr="001E6B07">
        <w:rPr>
          <w:rFonts w:ascii="Palatino Linotype" w:eastAsia="Palatino Linotype" w:hAnsi="Palatino Linotype" w:cs="Palatino Linotype"/>
        </w:rPr>
        <w:t xml:space="preserve">a la fecha de la solicitud, </w:t>
      </w:r>
      <w:r w:rsidRPr="001E6B07">
        <w:rPr>
          <w:rFonts w:ascii="Palatino Linotype" w:eastAsia="Palatino Linotype" w:hAnsi="Palatino Linotype" w:cs="Palatino Linotype"/>
        </w:rPr>
        <w:t>la siguiente información:</w:t>
      </w:r>
      <w:r w:rsidRPr="001E6B07">
        <w:rPr>
          <w:rFonts w:ascii="Palatino Linotype" w:eastAsia="Palatino Linotype" w:hAnsi="Palatino Linotype" w:cs="Palatino Linotype"/>
          <w:b/>
        </w:rPr>
        <w:t xml:space="preserve"> </w:t>
      </w:r>
    </w:p>
    <w:p w:rsidR="00B316DB" w:rsidRPr="001E6B07" w:rsidRDefault="00F82678" w:rsidP="00B316DB">
      <w:pPr>
        <w:pStyle w:val="Prrafodelista"/>
        <w:numPr>
          <w:ilvl w:val="1"/>
          <w:numId w:val="4"/>
        </w:numPr>
        <w:spacing w:line="360" w:lineRule="auto"/>
        <w:ind w:right="822"/>
        <w:jc w:val="both"/>
        <w:rPr>
          <w:rFonts w:ascii="Palatino Linotype" w:hAnsi="Palatino Linotype" w:cs="Arial"/>
          <w:b/>
          <w:noProof/>
        </w:rPr>
      </w:pPr>
      <w:r w:rsidRPr="001E6B07">
        <w:rPr>
          <w:rFonts w:ascii="Palatino Linotype" w:hAnsi="Palatino Linotype" w:cs="Arial"/>
          <w:b/>
          <w:noProof/>
        </w:rPr>
        <w:t>Número de lamparas inteligentes adquiridas</w:t>
      </w:r>
      <w:r w:rsidR="006B4CF3" w:rsidRPr="001E6B07">
        <w:rPr>
          <w:rFonts w:ascii="Palatino Linotype" w:hAnsi="Palatino Linotype" w:cs="Arial"/>
          <w:b/>
          <w:noProof/>
        </w:rPr>
        <w:t>, el proceso de adquisición, contrato de adquisición, estudio para determinar en donde seran colocadas;</w:t>
      </w:r>
    </w:p>
    <w:p w:rsidR="00F25D9B" w:rsidRDefault="006B4CF3" w:rsidP="00F25D9B">
      <w:pPr>
        <w:pStyle w:val="Prrafodelista"/>
        <w:numPr>
          <w:ilvl w:val="1"/>
          <w:numId w:val="4"/>
        </w:numPr>
        <w:spacing w:line="360" w:lineRule="auto"/>
        <w:ind w:right="822"/>
        <w:jc w:val="both"/>
        <w:rPr>
          <w:rFonts w:ascii="Palatino Linotype" w:hAnsi="Palatino Linotype" w:cs="Arial"/>
          <w:b/>
          <w:noProof/>
        </w:rPr>
      </w:pPr>
      <w:r w:rsidRPr="001E6B07">
        <w:rPr>
          <w:rFonts w:ascii="Palatino Linotype" w:hAnsi="Palatino Linotype" w:cs="Arial"/>
          <w:b/>
          <w:noProof/>
        </w:rPr>
        <w:t xml:space="preserve">Aprobación del cabildo para la adquisición de las lamparas inteligentes. </w:t>
      </w:r>
    </w:p>
    <w:p w:rsidR="00F25D9B" w:rsidRPr="00F25D9B" w:rsidRDefault="00F25D9B" w:rsidP="00F25D9B">
      <w:pPr>
        <w:pStyle w:val="Prrafodelista"/>
        <w:spacing w:line="360" w:lineRule="auto"/>
        <w:ind w:left="1440" w:right="822"/>
        <w:jc w:val="both"/>
        <w:rPr>
          <w:rFonts w:ascii="Palatino Linotype" w:hAnsi="Palatino Linotype" w:cs="Arial"/>
          <w:b/>
          <w:noProof/>
        </w:rPr>
      </w:pPr>
    </w:p>
    <w:p w:rsidR="00B316DB" w:rsidRPr="001E6B07" w:rsidRDefault="00B316DB" w:rsidP="00B316DB">
      <w:pPr>
        <w:pStyle w:val="Ttulo1"/>
        <w:rPr>
          <w:rFonts w:ascii="Palatino Linotype" w:hAnsi="Palatino Linotype"/>
          <w:b/>
          <w:color w:val="auto"/>
          <w:sz w:val="24"/>
          <w:szCs w:val="24"/>
          <w:lang w:val="es-ES_tradnl"/>
        </w:rPr>
      </w:pPr>
      <w:bookmarkStart w:id="6" w:name="_Toc87549682"/>
      <w:r w:rsidRPr="001E6B07">
        <w:rPr>
          <w:rFonts w:ascii="Palatino Linotype" w:hAnsi="Palatino Linotype"/>
          <w:b/>
          <w:color w:val="auto"/>
          <w:sz w:val="24"/>
          <w:szCs w:val="24"/>
          <w:lang w:val="es-ES_tradnl"/>
        </w:rPr>
        <w:t>QUINTO. De la versión pública.</w:t>
      </w:r>
      <w:bookmarkEnd w:id="6"/>
    </w:p>
    <w:p w:rsidR="00B316DB" w:rsidRPr="001E6B07" w:rsidRDefault="00B316DB" w:rsidP="00B316DB">
      <w:pPr>
        <w:rPr>
          <w:rFonts w:ascii="Palatino Linotype" w:hAnsi="Palatino Linotype"/>
          <w:lang w:val="es-ES_tradnl"/>
        </w:rPr>
      </w:pPr>
    </w:p>
    <w:p w:rsidR="00B316DB" w:rsidRPr="001E6B07" w:rsidRDefault="00B316DB" w:rsidP="00B316DB">
      <w:pPr>
        <w:pStyle w:val="Prrafodelista"/>
        <w:numPr>
          <w:ilvl w:val="0"/>
          <w:numId w:val="2"/>
        </w:numPr>
        <w:tabs>
          <w:tab w:val="left" w:pos="0"/>
        </w:tabs>
        <w:spacing w:line="360" w:lineRule="auto"/>
        <w:ind w:left="0" w:right="49" w:firstLine="0"/>
        <w:jc w:val="both"/>
        <w:rPr>
          <w:rFonts w:ascii="Palatino Linotype" w:hAnsi="Palatino Linotype" w:cs="Arial"/>
        </w:rPr>
      </w:pPr>
      <w:r w:rsidRPr="001E6B07">
        <w:rPr>
          <w:rFonts w:ascii="Palatino Linotype" w:hAnsi="Palatino Linotype" w:cs="Arial"/>
        </w:rPr>
        <w:t>Debe destacarse que, debido a la naturaleza de la información solicitada</w:t>
      </w:r>
      <w:r w:rsidRPr="001E6B07">
        <w:rPr>
          <w:rFonts w:ascii="Palatino Linotype" w:hAnsi="Palatino Linotype" w:cs="Arial"/>
          <w:b/>
        </w:rPr>
        <w:t xml:space="preserve">, </w:t>
      </w:r>
      <w:r w:rsidRPr="001E6B07">
        <w:rPr>
          <w:rFonts w:ascii="Palatino Linotype" w:hAnsi="Palatino Linotype" w:cs="Arial"/>
        </w:rPr>
        <w:t xml:space="preserve">eventualmente pudiera obrar datos personales susceptibles de protegerse, así como información susceptible de clasificarse como reservada, el </w:t>
      </w:r>
      <w:r w:rsidRPr="001E6B07">
        <w:rPr>
          <w:rFonts w:ascii="Palatino Linotype" w:hAnsi="Palatino Linotype" w:cs="Arial"/>
          <w:b/>
          <w:bCs/>
        </w:rPr>
        <w:t xml:space="preserve">Sujeto Obligado </w:t>
      </w:r>
      <w:r w:rsidRPr="001E6B07">
        <w:rPr>
          <w:rFonts w:ascii="Palatino Linotype" w:hAnsi="Palatino Linotype" w:cs="Arial"/>
        </w:rPr>
        <w:t xml:space="preserve">deberá de hacer </w:t>
      </w:r>
      <w:r w:rsidRPr="001E6B07">
        <w:rPr>
          <w:rFonts w:ascii="Palatino Linotype" w:hAnsi="Palatino Linotype" w:cs="Arial"/>
        </w:rPr>
        <w:lastRenderedPageBreak/>
        <w:t xml:space="preserve">la adecuada versión pública, protegiendo los datos que no son susceptibles de ser proporcionados. </w:t>
      </w:r>
    </w:p>
    <w:p w:rsidR="00B316DB" w:rsidRPr="001E6B07" w:rsidRDefault="00B316DB" w:rsidP="00B316DB">
      <w:pPr>
        <w:pStyle w:val="Prrafodelista"/>
        <w:tabs>
          <w:tab w:val="left" w:pos="0"/>
          <w:tab w:val="left" w:pos="284"/>
        </w:tabs>
        <w:spacing w:line="360" w:lineRule="auto"/>
        <w:ind w:left="0" w:right="49"/>
        <w:jc w:val="both"/>
        <w:rPr>
          <w:rFonts w:ascii="Palatino Linotype" w:eastAsia="MS Mincho" w:hAnsi="Palatino Linotype"/>
          <w:lang w:val="es-ES"/>
        </w:rPr>
      </w:pPr>
    </w:p>
    <w:p w:rsidR="00B316DB" w:rsidRPr="001E6B07" w:rsidRDefault="00B316DB" w:rsidP="00B316DB">
      <w:pPr>
        <w:numPr>
          <w:ilvl w:val="0"/>
          <w:numId w:val="2"/>
        </w:numPr>
        <w:tabs>
          <w:tab w:val="left" w:pos="284"/>
        </w:tabs>
        <w:spacing w:line="360" w:lineRule="auto"/>
        <w:ind w:left="0" w:right="49" w:firstLine="0"/>
        <w:contextualSpacing/>
        <w:jc w:val="both"/>
        <w:rPr>
          <w:rFonts w:ascii="Palatino Linotype" w:hAnsi="Palatino Linotype" w:cs="Arial"/>
        </w:rPr>
      </w:pPr>
      <w:r w:rsidRPr="001E6B07">
        <w:rPr>
          <w:rFonts w:ascii="Palatino Linotype" w:hAnsi="Palatino Linotype" w:cs="Arial"/>
        </w:rPr>
        <w:t xml:space="preserve">No pasa desapercibido para este Órgano Garante que los </w:t>
      </w:r>
      <w:r w:rsidRPr="001E6B07">
        <w:rPr>
          <w:rFonts w:ascii="Palatino Linotype" w:hAnsi="Palatino Linotype" w:cs="Arial"/>
          <w:b/>
          <w:bCs/>
        </w:rPr>
        <w:t xml:space="preserve">Sujetos Obligados </w:t>
      </w:r>
      <w:r w:rsidRPr="001E6B07">
        <w:rPr>
          <w:rFonts w:ascii="Palatino Linotype" w:hAnsi="Palatino Linotype" w:cs="Arial"/>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B316DB" w:rsidRPr="001E6B07" w:rsidRDefault="00B316DB" w:rsidP="00B316DB">
      <w:pPr>
        <w:tabs>
          <w:tab w:val="left" w:pos="284"/>
        </w:tabs>
        <w:spacing w:line="360" w:lineRule="auto"/>
        <w:ind w:right="49"/>
        <w:contextualSpacing/>
        <w:jc w:val="both"/>
        <w:rPr>
          <w:rFonts w:ascii="Palatino Linotype" w:hAnsi="Palatino Linotype" w:cs="Arial"/>
        </w:rPr>
      </w:pPr>
    </w:p>
    <w:tbl>
      <w:tblPr>
        <w:tblStyle w:val="Tablanormal1"/>
        <w:tblW w:w="9781" w:type="dxa"/>
        <w:tblInd w:w="137" w:type="dxa"/>
        <w:tblLook w:val="04A0" w:firstRow="1" w:lastRow="0" w:firstColumn="1" w:lastColumn="0" w:noHBand="0" w:noVBand="1"/>
      </w:tblPr>
      <w:tblGrid>
        <w:gridCol w:w="2835"/>
        <w:gridCol w:w="6946"/>
      </w:tblGrid>
      <w:tr w:rsidR="00B316DB" w:rsidRPr="001E6B07" w:rsidTr="00F25D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hideMark/>
          </w:tcPr>
          <w:p w:rsidR="00B316DB" w:rsidRPr="001E6B07" w:rsidRDefault="00B316DB" w:rsidP="00B316DB">
            <w:pPr>
              <w:tabs>
                <w:tab w:val="left" w:pos="284"/>
              </w:tabs>
              <w:spacing w:line="360" w:lineRule="auto"/>
              <w:rPr>
                <w:rFonts w:ascii="Palatino Linotype" w:hAnsi="Palatino Linotype"/>
                <w:bCs w:val="0"/>
              </w:rPr>
            </w:pPr>
            <w:r w:rsidRPr="001E6B07">
              <w:rPr>
                <w:rFonts w:ascii="Palatino Linotype" w:hAnsi="Palatino Linotype" w:cstheme="majorBidi"/>
              </w:rPr>
              <w:t>a) Requisitos previos.</w:t>
            </w:r>
          </w:p>
        </w:tc>
        <w:tc>
          <w:tcPr>
            <w:tcW w:w="6946" w:type="dxa"/>
            <w:hideMark/>
          </w:tcPr>
          <w:p w:rsidR="00B316DB" w:rsidRPr="001E6B07" w:rsidRDefault="00B316DB" w:rsidP="00B316DB">
            <w:pPr>
              <w:tabs>
                <w:tab w:val="left" w:pos="284"/>
              </w:tabs>
              <w:spacing w:line="360" w:lineRule="auto"/>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b w:val="0"/>
                <w:bCs w:val="0"/>
              </w:rPr>
            </w:pPr>
            <w:r w:rsidRPr="001E6B07">
              <w:rPr>
                <w:rFonts w:ascii="Palatino Linotype" w:hAnsi="Palatino Linotype" w:cs="Arial"/>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B316DB" w:rsidRPr="001E6B07" w:rsidRDefault="00B316DB" w:rsidP="00B316DB">
            <w:pPr>
              <w:tabs>
                <w:tab w:val="left" w:pos="284"/>
              </w:tabs>
              <w:spacing w:line="360" w:lineRule="auto"/>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b w:val="0"/>
                <w:bCs w:val="0"/>
              </w:rPr>
            </w:pPr>
            <w:r w:rsidRPr="001E6B07">
              <w:rPr>
                <w:rFonts w:ascii="Palatino Linotype" w:hAnsi="Palatino Linotype" w:cs="Arial"/>
              </w:rPr>
              <w:t>Al hacerlo tienen que precisar de qué información se trata, señalando el supuesto de clasificación (confidencialidad o reserva).</w:t>
            </w:r>
          </w:p>
          <w:p w:rsidR="00B316DB" w:rsidRPr="001E6B07" w:rsidRDefault="00B316DB" w:rsidP="00B316DB">
            <w:pPr>
              <w:tabs>
                <w:tab w:val="left" w:pos="284"/>
              </w:tabs>
              <w:spacing w:line="360" w:lineRule="auto"/>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b w:val="0"/>
                <w:bCs w:val="0"/>
              </w:rPr>
            </w:pPr>
            <w:r w:rsidRPr="001E6B07">
              <w:rPr>
                <w:rFonts w:ascii="Palatino Linotype" w:hAnsi="Palatino Linotype" w:cs="Arial"/>
              </w:rPr>
              <w:t>Además, se debe señalar el procedimiento, de los tres que establecen los artículos 132 y 106 de la Ley Estatal y General, respectivamente.</w:t>
            </w:r>
          </w:p>
          <w:p w:rsidR="00B316DB" w:rsidRPr="001E6B07" w:rsidRDefault="00B316DB" w:rsidP="00B316DB">
            <w:pPr>
              <w:tabs>
                <w:tab w:val="left" w:pos="284"/>
              </w:tabs>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1E6B07">
              <w:rPr>
                <w:rFonts w:ascii="Palatino Linotype" w:hAnsi="Palatino Linotype" w:cs="Arial"/>
              </w:rPr>
              <w:t xml:space="preserve">El último de estos requisitos previos consiste en que no se pueden emitir acuerdos de carácter general ni particular, esto es, </w:t>
            </w:r>
            <w:r w:rsidRPr="001E6B07">
              <w:rPr>
                <w:rFonts w:ascii="Palatino Linotype" w:hAnsi="Palatino Linotype" w:cs="Arial"/>
                <w:u w:val="single"/>
              </w:rPr>
              <w:t xml:space="preserve">no se puede hacer un acuerdo para clasificar de manera </w:t>
            </w:r>
            <w:r w:rsidRPr="001E6B07">
              <w:rPr>
                <w:rFonts w:ascii="Palatino Linotype" w:hAnsi="Palatino Linotype" w:cs="Arial"/>
                <w:u w:val="single"/>
              </w:rPr>
              <w:lastRenderedPageBreak/>
              <w:t>general todos los documentos de un expediente o área, sin</w:t>
            </w:r>
            <w:r w:rsidRPr="001E6B07">
              <w:rPr>
                <w:rFonts w:ascii="Palatino Linotype" w:hAnsi="Palatino Linotype" w:cs="Arial"/>
              </w:rPr>
              <w:t xml:space="preserve"> individualizar su análisis y tampoco se puede hacer un acuerdo por cada dato que se vaya a clasificar dentro de un documento con diez datos, por ejemplo, susceptibles de ser clasificados.</w:t>
            </w:r>
          </w:p>
        </w:tc>
      </w:tr>
      <w:tr w:rsidR="00B316DB" w:rsidRPr="001E6B07" w:rsidTr="00F25D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hideMark/>
          </w:tcPr>
          <w:p w:rsidR="00B316DB" w:rsidRPr="001E6B07" w:rsidRDefault="00B316DB" w:rsidP="00B316DB">
            <w:pPr>
              <w:tabs>
                <w:tab w:val="left" w:pos="284"/>
              </w:tabs>
              <w:spacing w:line="360" w:lineRule="auto"/>
              <w:rPr>
                <w:rFonts w:ascii="Palatino Linotype" w:hAnsi="Palatino Linotype"/>
                <w:bCs w:val="0"/>
              </w:rPr>
            </w:pPr>
            <w:r w:rsidRPr="001E6B07">
              <w:rPr>
                <w:rFonts w:ascii="Palatino Linotype" w:hAnsi="Palatino Linotype" w:cstheme="majorBidi"/>
              </w:rPr>
              <w:lastRenderedPageBreak/>
              <w:t>b) Supuestos de clasificación.</w:t>
            </w:r>
          </w:p>
        </w:tc>
        <w:tc>
          <w:tcPr>
            <w:tcW w:w="6946" w:type="dxa"/>
            <w:hideMark/>
          </w:tcPr>
          <w:p w:rsidR="00B316DB" w:rsidRPr="001E6B07" w:rsidRDefault="00B316DB" w:rsidP="00B316DB">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1E6B07">
              <w:rPr>
                <w:rFonts w:ascii="Palatino Linotype" w:hAnsi="Palatino Linotype" w:cs="Arial"/>
              </w:rPr>
              <w:t>Las disposiciones constitucionales y legales en la materia establecen los dos supuestos generales para clasificar la información: por reserva y por confidencialidad.</w:t>
            </w:r>
          </w:p>
          <w:p w:rsidR="00B316DB" w:rsidRPr="001E6B07" w:rsidRDefault="00B316DB" w:rsidP="00B316DB">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1E6B07">
              <w:rPr>
                <w:rFonts w:ascii="Palatino Linotype" w:hAnsi="Palatino Linotype" w:cs="Arial"/>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B316DB" w:rsidRPr="001E6B07" w:rsidRDefault="00B316DB" w:rsidP="00B316DB">
            <w:pPr>
              <w:tabs>
                <w:tab w:val="left" w:pos="284"/>
              </w:tabs>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1E6B07">
              <w:rPr>
                <w:rFonts w:ascii="Palatino Linotype" w:hAnsi="Palatino Linotype" w:cs="Arial"/>
              </w:rPr>
              <w:t xml:space="preserve">El </w:t>
            </w:r>
            <w:r w:rsidRPr="001E6B07">
              <w:rPr>
                <w:rFonts w:ascii="Palatino Linotype" w:hAnsi="Palatino Linotype" w:cs="Arial"/>
                <w:b/>
              </w:rPr>
              <w:t>Sujeto Obligado</w:t>
            </w:r>
            <w:r w:rsidRPr="001E6B07">
              <w:rPr>
                <w:rFonts w:ascii="Palatino Linotype" w:hAnsi="Palatino Linotype" w:cs="Arial"/>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316DB" w:rsidRPr="001E6B07" w:rsidTr="00F25D9B">
        <w:tc>
          <w:tcPr>
            <w:cnfStyle w:val="001000000000" w:firstRow="0" w:lastRow="0" w:firstColumn="1" w:lastColumn="0" w:oddVBand="0" w:evenVBand="0" w:oddHBand="0" w:evenHBand="0" w:firstRowFirstColumn="0" w:firstRowLastColumn="0" w:lastRowFirstColumn="0" w:lastRowLastColumn="0"/>
            <w:tcW w:w="2835" w:type="dxa"/>
            <w:hideMark/>
          </w:tcPr>
          <w:p w:rsidR="00B316DB" w:rsidRPr="001E6B07" w:rsidRDefault="00B316DB" w:rsidP="00B316DB">
            <w:pPr>
              <w:tabs>
                <w:tab w:val="left" w:pos="284"/>
              </w:tabs>
              <w:spacing w:line="360" w:lineRule="auto"/>
              <w:rPr>
                <w:rFonts w:ascii="Palatino Linotype" w:hAnsi="Palatino Linotype"/>
                <w:bCs w:val="0"/>
              </w:rPr>
            </w:pPr>
            <w:r w:rsidRPr="001E6B07">
              <w:rPr>
                <w:rFonts w:ascii="Palatino Linotype" w:hAnsi="Palatino Linotype" w:cstheme="majorBidi"/>
              </w:rPr>
              <w:lastRenderedPageBreak/>
              <w:t>c) Formalidades para emitir el acuerdo de clasificación.</w:t>
            </w:r>
          </w:p>
        </w:tc>
        <w:tc>
          <w:tcPr>
            <w:tcW w:w="6946" w:type="dxa"/>
            <w:hideMark/>
          </w:tcPr>
          <w:p w:rsidR="00B316DB" w:rsidRPr="001E6B07" w:rsidRDefault="00B316DB" w:rsidP="00B316DB">
            <w:pPr>
              <w:tabs>
                <w:tab w:val="left" w:pos="284"/>
              </w:tabs>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r w:rsidRPr="001E6B07">
              <w:rPr>
                <w:rFonts w:ascii="Palatino Linotype" w:hAnsi="Palatino Linotype" w:cs="Arial"/>
              </w:rPr>
              <w:t xml:space="preserve">El Comité de Transparencia, según lo dispuesto en los artículos cuenta con las facultades para aprobar, modificar o revocar la clasificación de la información que haya propuesto. </w:t>
            </w:r>
          </w:p>
          <w:p w:rsidR="00B316DB" w:rsidRPr="001E6B07" w:rsidRDefault="00B316DB" w:rsidP="00B316DB">
            <w:pPr>
              <w:tabs>
                <w:tab w:val="left" w:pos="284"/>
              </w:tabs>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r w:rsidRPr="001E6B07">
              <w:rPr>
                <w:rFonts w:ascii="Palatino Linotype" w:hAnsi="Palatino Linotype" w:cs="Arial"/>
              </w:rPr>
              <w:t xml:space="preserve">Es necesario que </w:t>
            </w:r>
            <w:r w:rsidRPr="001E6B07">
              <w:rPr>
                <w:rFonts w:ascii="Palatino Linotype" w:hAnsi="Palatino Linotype" w:cs="Arial"/>
                <w:b/>
                <w:u w:val="single"/>
              </w:rPr>
              <w:t>el acto reúna con los requisitos elementales</w:t>
            </w:r>
            <w:r w:rsidRPr="001E6B07">
              <w:rPr>
                <w:rFonts w:ascii="Palatino Linotype" w:hAnsi="Palatino Linotype" w:cs="Arial"/>
              </w:rPr>
              <w:t>, entre ellos, que la autoridad que va a emitir el acto de autoridad sea la legalmente facultada para ello.</w:t>
            </w:r>
          </w:p>
          <w:p w:rsidR="00B316DB" w:rsidRPr="001E6B07" w:rsidRDefault="00B316DB" w:rsidP="00B316DB">
            <w:pPr>
              <w:tabs>
                <w:tab w:val="left" w:pos="284"/>
              </w:tabs>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1E6B07">
              <w:rPr>
                <w:rFonts w:ascii="Palatino Linotype" w:hAnsi="Palatino Linotype" w:cs="Arial"/>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B316DB" w:rsidRPr="001E6B07" w:rsidTr="00F25D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B316DB" w:rsidRPr="001E6B07" w:rsidRDefault="00B316DB" w:rsidP="00B316DB">
            <w:pPr>
              <w:tabs>
                <w:tab w:val="left" w:pos="284"/>
              </w:tabs>
              <w:spacing w:line="360" w:lineRule="auto"/>
              <w:rPr>
                <w:rFonts w:ascii="Palatino Linotype" w:hAnsi="Palatino Linotype"/>
                <w:b w:val="0"/>
              </w:rPr>
            </w:pPr>
          </w:p>
          <w:p w:rsidR="00B316DB" w:rsidRPr="001E6B07" w:rsidRDefault="00B316DB" w:rsidP="00B316DB">
            <w:pPr>
              <w:tabs>
                <w:tab w:val="left" w:pos="284"/>
              </w:tabs>
              <w:spacing w:line="360" w:lineRule="auto"/>
              <w:jc w:val="both"/>
              <w:rPr>
                <w:rFonts w:ascii="Palatino Linotype" w:hAnsi="Palatino Linotype"/>
                <w:bCs w:val="0"/>
              </w:rPr>
            </w:pPr>
            <w:r w:rsidRPr="001E6B07">
              <w:rPr>
                <w:rFonts w:ascii="Palatino Linotype" w:hAnsi="Palatino Linotype" w:cs="Arial"/>
              </w:rPr>
              <w:t xml:space="preserve">d) Requisitos de fondo del acuerdo de clasificación. </w:t>
            </w:r>
          </w:p>
        </w:tc>
        <w:tc>
          <w:tcPr>
            <w:tcW w:w="6946" w:type="dxa"/>
            <w:hideMark/>
          </w:tcPr>
          <w:p w:rsidR="00B316DB" w:rsidRPr="001E6B07" w:rsidRDefault="00B316DB" w:rsidP="00B316DB">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1E6B07">
              <w:rPr>
                <w:rFonts w:ascii="Palatino Linotype" w:hAnsi="Palatino Linotype" w:cs="Arial"/>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1E6B07">
              <w:rPr>
                <w:rFonts w:ascii="Palatino Linotype" w:hAnsi="Palatino Linotype" w:cs="Arial"/>
                <w:b/>
              </w:rPr>
              <w:t>Sujetos Obligados</w:t>
            </w:r>
            <w:r w:rsidRPr="001E6B07">
              <w:rPr>
                <w:rFonts w:ascii="Palatino Linotype" w:hAnsi="Palatino Linotype" w:cs="Arial"/>
              </w:rPr>
              <w:t xml:space="preserve">, por lo que deberán fundar y motivar debidamente la clasificación. </w:t>
            </w:r>
          </w:p>
          <w:p w:rsidR="00B316DB" w:rsidRPr="001E6B07" w:rsidRDefault="00B316DB" w:rsidP="00B316DB">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1E6B07">
              <w:rPr>
                <w:rFonts w:ascii="Palatino Linotype" w:hAnsi="Palatino Linotype" w:cs="Arial"/>
              </w:rPr>
              <w:lastRenderedPageBreak/>
              <w:t xml:space="preserve">De lo anterior, se desprende que para una correcta </w:t>
            </w:r>
            <w:r w:rsidRPr="001E6B07">
              <w:rPr>
                <w:rFonts w:ascii="Palatino Linotype" w:hAnsi="Palatino Linotype" w:cs="Arial"/>
                <w:b/>
              </w:rPr>
              <w:t>clasificación total o parcial</w:t>
            </w:r>
            <w:r w:rsidRPr="001E6B07">
              <w:rPr>
                <w:rFonts w:ascii="Palatino Linotype" w:hAnsi="Palatino Linotype" w:cs="Arial"/>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B316DB" w:rsidRPr="001E6B07" w:rsidRDefault="00B316DB" w:rsidP="00B316DB">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1E6B07">
              <w:rPr>
                <w:rFonts w:ascii="Palatino Linotype" w:hAnsi="Palatino Linotype" w:cs="Arial"/>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B316DB" w:rsidRPr="001E6B07" w:rsidRDefault="00B316DB" w:rsidP="00B316DB">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1E6B07">
              <w:rPr>
                <w:rFonts w:ascii="Palatino Linotype" w:hAnsi="Palatino Linotype" w:cs="Arial"/>
              </w:rPr>
              <w:t>En ese mismo sentido, el numeral trigésimo tercero fracción V de los Lineamientos Generales, precisa que para motivar la clasificación se deben acreditar las circunstancias de tiempo, modo y lugar.</w:t>
            </w:r>
          </w:p>
          <w:p w:rsidR="00B316DB" w:rsidRPr="001E6B07" w:rsidRDefault="00B316DB" w:rsidP="00B316DB">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1E6B07">
              <w:rPr>
                <w:rFonts w:ascii="Palatino Linotype" w:hAnsi="Palatino Linotype" w:cs="Arial"/>
              </w:rPr>
              <w:t xml:space="preserve">Ahora bien, </w:t>
            </w:r>
            <w:r w:rsidRPr="001E6B07">
              <w:rPr>
                <w:rFonts w:ascii="Palatino Linotype" w:hAnsi="Palatino Linotype" w:cs="Arial"/>
                <w:b/>
                <w:u w:val="single"/>
              </w:rPr>
              <w:t>para cada caso además de fundar y motivar</w:t>
            </w:r>
            <w:r w:rsidRPr="001E6B07">
              <w:rPr>
                <w:rFonts w:ascii="Palatino Linotype" w:hAnsi="Palatino Linotype" w:cs="Arial"/>
              </w:rPr>
              <w:t xml:space="preserve">, se debe identificar con claridad que datos contenidos en las documentales que son susceptibles de suprimirse, por ejemplo; </w:t>
            </w:r>
            <w:r w:rsidRPr="001E6B07">
              <w:rPr>
                <w:rFonts w:ascii="Palatino Linotype" w:hAnsi="Palatino Linotype" w:cs="Arial"/>
                <w:lang w:val="es-ES"/>
              </w:rPr>
              <w:t xml:space="preserve">Clave Única de Registro de Población (CURP), Registro Federal de Contribuyentes (R.F.C.), claves de seguros, préstamos o </w:t>
            </w:r>
            <w:r w:rsidRPr="001E6B07">
              <w:rPr>
                <w:rFonts w:ascii="Palatino Linotype" w:hAnsi="Palatino Linotype" w:cs="Arial"/>
                <w:lang w:val="es-ES"/>
              </w:rPr>
              <w:lastRenderedPageBreak/>
              <w:t>descuentos personales, secretos bancario, fiduciario, industrial, comercial, fiscal, bursátil y postal, cuya titularidad corresponda a particulares, entre otros.</w:t>
            </w:r>
          </w:p>
        </w:tc>
      </w:tr>
      <w:tr w:rsidR="00B316DB" w:rsidRPr="001E6B07" w:rsidTr="00F25D9B">
        <w:tc>
          <w:tcPr>
            <w:cnfStyle w:val="001000000000" w:firstRow="0" w:lastRow="0" w:firstColumn="1" w:lastColumn="0" w:oddVBand="0" w:evenVBand="0" w:oddHBand="0" w:evenHBand="0" w:firstRowFirstColumn="0" w:firstRowLastColumn="0" w:lastRowFirstColumn="0" w:lastRowLastColumn="0"/>
            <w:tcW w:w="2835" w:type="dxa"/>
          </w:tcPr>
          <w:p w:rsidR="00B316DB" w:rsidRPr="001E6B07" w:rsidRDefault="00B316DB" w:rsidP="00B316DB">
            <w:pPr>
              <w:tabs>
                <w:tab w:val="left" w:pos="284"/>
              </w:tabs>
              <w:spacing w:line="360" w:lineRule="auto"/>
              <w:ind w:right="49"/>
              <w:jc w:val="both"/>
              <w:rPr>
                <w:rFonts w:ascii="Palatino Linotype" w:hAnsi="Palatino Linotype" w:cs="Arial"/>
                <w:bCs w:val="0"/>
              </w:rPr>
            </w:pPr>
            <w:r w:rsidRPr="001E6B07">
              <w:rPr>
                <w:rFonts w:ascii="Palatino Linotype" w:eastAsia="MS Gothic" w:hAnsi="Palatino Linotype"/>
              </w:rPr>
              <w:lastRenderedPageBreak/>
              <w:t xml:space="preserve">e) Condiciones especiales de la clasificación de la información como confidencial. </w:t>
            </w:r>
          </w:p>
        </w:tc>
        <w:tc>
          <w:tcPr>
            <w:tcW w:w="6946" w:type="dxa"/>
            <w:hideMark/>
          </w:tcPr>
          <w:p w:rsidR="00B316DB" w:rsidRPr="001E6B07" w:rsidRDefault="00B316DB" w:rsidP="00B316DB">
            <w:pPr>
              <w:tabs>
                <w:tab w:val="left" w:pos="284"/>
              </w:tabs>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r w:rsidRPr="001E6B07">
              <w:rPr>
                <w:rFonts w:ascii="Palatino Linotype" w:hAnsi="Palatino Linotype" w:cs="Arial"/>
              </w:rPr>
              <w:t xml:space="preserve">Los artículos 148 y 120 de la Ley Estatal y de la Ley General, respectivamente, establecen que aun tratándose de datos personales, se podrán proporcionar, incluso sin solicitar el consentimiento de su titular. </w:t>
            </w:r>
          </w:p>
          <w:p w:rsidR="00B316DB" w:rsidRPr="001E6B07" w:rsidRDefault="00B316DB" w:rsidP="00B316DB">
            <w:pPr>
              <w:tabs>
                <w:tab w:val="left" w:pos="284"/>
              </w:tabs>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r w:rsidRPr="001E6B07">
              <w:rPr>
                <w:rFonts w:ascii="Palatino Linotype" w:hAnsi="Palatino Linotype" w:cs="Arial"/>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B316DB" w:rsidRPr="001E6B07" w:rsidRDefault="00B316DB" w:rsidP="00B316DB">
            <w:pPr>
              <w:tabs>
                <w:tab w:val="left" w:pos="284"/>
              </w:tabs>
              <w:spacing w:line="36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1E6B07">
              <w:rPr>
                <w:rFonts w:ascii="Palatino Linotype" w:hAnsi="Palatino Linotype" w:cs="Arial"/>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B316DB" w:rsidRDefault="00B316DB" w:rsidP="00B316DB">
      <w:pPr>
        <w:pStyle w:val="Prrafodelista"/>
        <w:tabs>
          <w:tab w:val="left" w:pos="284"/>
        </w:tabs>
        <w:ind w:left="0"/>
        <w:rPr>
          <w:rFonts w:ascii="Palatino Linotype" w:hAnsi="Palatino Linotype" w:cs="Arial"/>
        </w:rPr>
      </w:pPr>
    </w:p>
    <w:p w:rsidR="00F25D9B" w:rsidRPr="001E6B07" w:rsidRDefault="00F25D9B" w:rsidP="00B316DB">
      <w:pPr>
        <w:pStyle w:val="Prrafodelista"/>
        <w:tabs>
          <w:tab w:val="left" w:pos="284"/>
        </w:tabs>
        <w:ind w:left="0"/>
        <w:rPr>
          <w:rFonts w:ascii="Palatino Linotype" w:hAnsi="Palatino Linotype" w:cs="Arial"/>
        </w:rPr>
      </w:pPr>
    </w:p>
    <w:p w:rsidR="00B316DB" w:rsidRPr="001E6B07" w:rsidRDefault="00B316DB" w:rsidP="00B316DB">
      <w:pPr>
        <w:pStyle w:val="Prrafodelista"/>
        <w:numPr>
          <w:ilvl w:val="0"/>
          <w:numId w:val="2"/>
        </w:numPr>
        <w:spacing w:line="360" w:lineRule="auto"/>
        <w:ind w:left="0" w:firstLine="0"/>
        <w:jc w:val="both"/>
        <w:rPr>
          <w:rFonts w:ascii="Palatino Linotype" w:hAnsi="Palatino Linotype" w:cs="Arial"/>
          <w:lang w:val="es-ES"/>
        </w:rPr>
      </w:pPr>
      <w:r w:rsidRPr="001E6B07">
        <w:rPr>
          <w:rFonts w:ascii="Palatino Linotype" w:hAnsi="Palatino Linotype" w:cs="Arial"/>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B316DB" w:rsidRPr="001E6B07" w:rsidRDefault="00B316DB" w:rsidP="00B316DB">
      <w:pPr>
        <w:pStyle w:val="Prrafodelista"/>
        <w:tabs>
          <w:tab w:val="left" w:pos="0"/>
        </w:tabs>
        <w:spacing w:line="360" w:lineRule="auto"/>
        <w:ind w:left="0" w:right="51"/>
        <w:jc w:val="both"/>
        <w:rPr>
          <w:rFonts w:ascii="Palatino Linotype" w:hAnsi="Palatino Linotype" w:cs="Arial"/>
          <w:noProof/>
        </w:rPr>
      </w:pPr>
    </w:p>
    <w:p w:rsidR="00B316DB" w:rsidRPr="001E6B07" w:rsidRDefault="00B316DB" w:rsidP="00B316DB">
      <w:pPr>
        <w:pStyle w:val="Prrafodelista"/>
        <w:numPr>
          <w:ilvl w:val="0"/>
          <w:numId w:val="2"/>
        </w:numPr>
        <w:tabs>
          <w:tab w:val="left" w:pos="0"/>
        </w:tabs>
        <w:spacing w:line="360" w:lineRule="auto"/>
        <w:ind w:left="0" w:right="51" w:firstLine="0"/>
        <w:jc w:val="both"/>
        <w:rPr>
          <w:rFonts w:ascii="Palatino Linotype" w:hAnsi="Palatino Linotype" w:cs="Arial"/>
          <w:noProof/>
        </w:rPr>
      </w:pPr>
      <w:r w:rsidRPr="001E6B07">
        <w:rPr>
          <w:rFonts w:ascii="Palatino Linotype" w:hAnsi="Palatino Linotype" w:cs="Arial"/>
        </w:rPr>
        <w:lastRenderedPageBreak/>
        <w:t xml:space="preserve">Por lo anteriormente expuesto y fundado, este </w:t>
      </w:r>
      <w:r w:rsidRPr="001E6B07">
        <w:rPr>
          <w:rFonts w:ascii="Palatino Linotype" w:hAnsi="Palatino Linotype" w:cs="Arial"/>
          <w:b/>
          <w:bCs/>
        </w:rPr>
        <w:t>ÓRGANO GARANTE</w:t>
      </w:r>
      <w:r w:rsidRPr="001E6B07">
        <w:rPr>
          <w:rFonts w:ascii="Palatino Linotype" w:hAnsi="Palatino Linotype" w:cs="Arial"/>
        </w:rPr>
        <w:t xml:space="preserve"> emite los siguientes:</w:t>
      </w:r>
    </w:p>
    <w:p w:rsidR="00B316DB" w:rsidRPr="001E6B07" w:rsidRDefault="00B316DB" w:rsidP="00B316DB">
      <w:pPr>
        <w:pStyle w:val="Prrafodelista"/>
        <w:tabs>
          <w:tab w:val="left" w:pos="0"/>
        </w:tabs>
        <w:spacing w:line="360" w:lineRule="auto"/>
        <w:ind w:left="0" w:right="51"/>
        <w:jc w:val="both"/>
        <w:rPr>
          <w:rFonts w:ascii="Palatino Linotype" w:hAnsi="Palatino Linotype" w:cs="Arial"/>
          <w:noProof/>
        </w:rPr>
      </w:pPr>
    </w:p>
    <w:p w:rsidR="00B316DB" w:rsidRPr="001E6B07" w:rsidRDefault="00B316DB" w:rsidP="00B316DB">
      <w:pPr>
        <w:pStyle w:val="Ttulo1"/>
        <w:jc w:val="center"/>
        <w:rPr>
          <w:rFonts w:ascii="Palatino Linotype" w:hAnsi="Palatino Linotype"/>
          <w:b/>
          <w:color w:val="auto"/>
          <w:sz w:val="24"/>
          <w:szCs w:val="24"/>
        </w:rPr>
      </w:pPr>
      <w:bookmarkStart w:id="7" w:name="_Toc4061692"/>
      <w:bookmarkStart w:id="8" w:name="_Toc486525261"/>
      <w:bookmarkStart w:id="9" w:name="_Toc445745148"/>
      <w:bookmarkStart w:id="10" w:name="_Toc447699324"/>
      <w:bookmarkStart w:id="11" w:name="_Toc87549684"/>
      <w:r w:rsidRPr="001E6B07">
        <w:rPr>
          <w:rFonts w:ascii="Palatino Linotype" w:hAnsi="Palatino Linotype"/>
          <w:b/>
          <w:color w:val="auto"/>
          <w:sz w:val="24"/>
          <w:szCs w:val="24"/>
        </w:rPr>
        <w:t>R E S O L U T I V O S</w:t>
      </w:r>
      <w:bookmarkEnd w:id="7"/>
      <w:bookmarkEnd w:id="8"/>
      <w:bookmarkEnd w:id="9"/>
      <w:bookmarkEnd w:id="10"/>
      <w:bookmarkEnd w:id="11"/>
    </w:p>
    <w:p w:rsidR="00B316DB" w:rsidRPr="001E6B07" w:rsidRDefault="00B316DB" w:rsidP="00B316DB">
      <w:pPr>
        <w:keepNext/>
        <w:keepLines/>
        <w:spacing w:line="360" w:lineRule="auto"/>
        <w:jc w:val="center"/>
        <w:outlineLvl w:val="0"/>
        <w:rPr>
          <w:rFonts w:ascii="Palatino Linotype" w:hAnsi="Palatino Linotype" w:cstheme="majorBidi"/>
          <w:b/>
          <w:bCs/>
        </w:rPr>
      </w:pPr>
    </w:p>
    <w:p w:rsidR="00B316DB" w:rsidRPr="001E6B07" w:rsidRDefault="00B316DB" w:rsidP="00B316DB">
      <w:pPr>
        <w:spacing w:line="360" w:lineRule="auto"/>
        <w:jc w:val="both"/>
        <w:rPr>
          <w:rFonts w:ascii="Palatino Linotype" w:hAnsi="Palatino Linotype"/>
        </w:rPr>
      </w:pPr>
      <w:r w:rsidRPr="001E6B07">
        <w:rPr>
          <w:rFonts w:ascii="Palatino Linotype" w:hAnsi="Palatino Linotype" w:cs="Arial"/>
          <w:b/>
        </w:rPr>
        <w:t xml:space="preserve">PRIMERO. </w:t>
      </w:r>
      <w:r w:rsidRPr="001E6B07">
        <w:rPr>
          <w:rFonts w:ascii="Palatino Linotype" w:hAnsi="Palatino Linotype" w:cs="Arial"/>
        </w:rPr>
        <w:t>Resultan fundadas las</w:t>
      </w:r>
      <w:r w:rsidRPr="001E6B07">
        <w:rPr>
          <w:rFonts w:ascii="Palatino Linotype" w:hAnsi="Palatino Linotype" w:cs="Arial"/>
          <w:b/>
        </w:rPr>
        <w:t xml:space="preserve"> </w:t>
      </w:r>
      <w:r w:rsidRPr="001E6B07">
        <w:rPr>
          <w:rFonts w:ascii="Palatino Linotype" w:hAnsi="Palatino Linotype" w:cs="Arial"/>
          <w:lang w:val="es-ES"/>
        </w:rPr>
        <w:t xml:space="preserve">razones o motivos de inconformidad hechos valer </w:t>
      </w:r>
      <w:r w:rsidRPr="001E6B07">
        <w:rPr>
          <w:rFonts w:ascii="Palatino Linotype" w:eastAsia="Calibri" w:hAnsi="Palatino Linotype" w:cs="Arial"/>
          <w:lang w:val="es-ES"/>
        </w:rPr>
        <w:t xml:space="preserve">en el recurso de revisión </w:t>
      </w:r>
      <w:r w:rsidR="006B4CF3" w:rsidRPr="001E6B07">
        <w:rPr>
          <w:rFonts w:ascii="Palatino Linotype" w:eastAsia="Calibri" w:hAnsi="Palatino Linotype" w:cs="Tahoma"/>
          <w:b/>
          <w:lang w:eastAsia="en-US"/>
        </w:rPr>
        <w:t>08958</w:t>
      </w:r>
      <w:r w:rsidRPr="001E6B07">
        <w:rPr>
          <w:rFonts w:ascii="Palatino Linotype" w:eastAsia="Calibri" w:hAnsi="Palatino Linotype" w:cs="Tahoma"/>
          <w:b/>
          <w:lang w:eastAsia="en-US"/>
        </w:rPr>
        <w:t>/INFOEM/IP/RR/2025</w:t>
      </w:r>
      <w:r w:rsidRPr="001E6B07">
        <w:rPr>
          <w:rFonts w:ascii="Palatino Linotype" w:hAnsi="Palatino Linotype"/>
          <w:b/>
        </w:rPr>
        <w:t xml:space="preserve"> </w:t>
      </w:r>
      <w:r w:rsidRPr="001E6B07">
        <w:rPr>
          <w:rFonts w:ascii="Palatino Linotype" w:hAnsi="Palatino Linotype"/>
        </w:rPr>
        <w:t>en términos de los</w:t>
      </w:r>
      <w:r w:rsidRPr="001E6B07">
        <w:rPr>
          <w:rFonts w:ascii="Palatino Linotype" w:hAnsi="Palatino Linotype"/>
          <w:b/>
          <w:bCs/>
        </w:rPr>
        <w:t xml:space="preserve"> Considerandos</w:t>
      </w:r>
      <w:r w:rsidRPr="001E6B07">
        <w:rPr>
          <w:rFonts w:ascii="Palatino Linotype" w:hAnsi="Palatino Linotype"/>
        </w:rPr>
        <w:t xml:space="preserve"> </w:t>
      </w:r>
      <w:r w:rsidRPr="001E6B07">
        <w:rPr>
          <w:rFonts w:ascii="Palatino Linotype" w:hAnsi="Palatino Linotype"/>
          <w:b/>
        </w:rPr>
        <w:t>CUARTO y QUINTO</w:t>
      </w:r>
      <w:r w:rsidRPr="001E6B07">
        <w:rPr>
          <w:rFonts w:ascii="Palatino Linotype" w:hAnsi="Palatino Linotype"/>
        </w:rPr>
        <w:t xml:space="preserve"> de la presente resolución.</w:t>
      </w:r>
    </w:p>
    <w:p w:rsidR="00B316DB" w:rsidRPr="001E6B07" w:rsidRDefault="00B316DB" w:rsidP="00B316DB">
      <w:pPr>
        <w:spacing w:line="360" w:lineRule="auto"/>
        <w:contextualSpacing/>
        <w:jc w:val="both"/>
        <w:rPr>
          <w:rFonts w:ascii="Palatino Linotype" w:eastAsia="Calibri" w:hAnsi="Palatino Linotype" w:cs="Arial"/>
          <w:b/>
          <w:bCs/>
          <w:lang w:val="es-ES"/>
        </w:rPr>
      </w:pPr>
    </w:p>
    <w:p w:rsidR="00B316DB" w:rsidRPr="001E6B07" w:rsidRDefault="00B316DB" w:rsidP="00B316DB">
      <w:pPr>
        <w:pStyle w:val="Sinespaciado"/>
        <w:spacing w:line="360" w:lineRule="auto"/>
        <w:ind w:left="0" w:right="0"/>
        <w:rPr>
          <w:rFonts w:ascii="Palatino Linotype" w:eastAsia="Calibri" w:hAnsi="Palatino Linotype" w:cs="Arial"/>
          <w:bCs/>
          <w:sz w:val="24"/>
          <w:lang w:val="es-ES"/>
        </w:rPr>
      </w:pPr>
      <w:r w:rsidRPr="001E6B07">
        <w:rPr>
          <w:rFonts w:ascii="Palatino Linotype" w:eastAsia="Calibri" w:hAnsi="Palatino Linotype" w:cs="Arial"/>
          <w:b/>
          <w:bCs/>
          <w:sz w:val="24"/>
          <w:lang w:val="es-ES"/>
        </w:rPr>
        <w:t xml:space="preserve">SEGUNDO. </w:t>
      </w:r>
      <w:r w:rsidRPr="001E6B07">
        <w:rPr>
          <w:rFonts w:ascii="Palatino Linotype" w:eastAsia="Calibri" w:hAnsi="Palatino Linotype" w:cs="Arial"/>
          <w:bCs/>
          <w:sz w:val="24"/>
          <w:lang w:val="es-ES"/>
        </w:rPr>
        <w:t xml:space="preserve">Se </w:t>
      </w:r>
      <w:r w:rsidRPr="001E6B07">
        <w:rPr>
          <w:rFonts w:ascii="Palatino Linotype" w:eastAsia="Calibri" w:hAnsi="Palatino Linotype" w:cs="Arial"/>
          <w:b/>
          <w:bCs/>
          <w:sz w:val="24"/>
          <w:lang w:val="es-ES"/>
        </w:rPr>
        <w:t>REVOCA</w:t>
      </w:r>
      <w:r w:rsidRPr="001E6B07">
        <w:rPr>
          <w:rFonts w:ascii="Palatino Linotype" w:eastAsia="Calibri" w:hAnsi="Palatino Linotype" w:cs="Arial"/>
          <w:bCs/>
          <w:sz w:val="24"/>
          <w:lang w:val="es-ES"/>
        </w:rPr>
        <w:t xml:space="preserve"> la respuesta y se </w:t>
      </w:r>
      <w:r w:rsidRPr="001E6B07">
        <w:rPr>
          <w:rFonts w:ascii="Palatino Linotype" w:eastAsia="Calibri" w:hAnsi="Palatino Linotype" w:cs="Arial"/>
          <w:b/>
          <w:bCs/>
          <w:sz w:val="24"/>
          <w:lang w:val="es-ES"/>
        </w:rPr>
        <w:t xml:space="preserve">ORDENA </w:t>
      </w:r>
      <w:r w:rsidRPr="001E6B07">
        <w:rPr>
          <w:rFonts w:ascii="Palatino Linotype" w:eastAsia="Calibri" w:hAnsi="Palatino Linotype" w:cs="Arial"/>
          <w:bCs/>
          <w:sz w:val="24"/>
          <w:lang w:val="es-ES"/>
        </w:rPr>
        <w:t xml:space="preserve">al </w:t>
      </w:r>
      <w:r w:rsidR="006B4CF3" w:rsidRPr="001E6B07">
        <w:rPr>
          <w:rFonts w:ascii="Palatino Linotype" w:eastAsia="Calibri" w:hAnsi="Palatino Linotype" w:cs="Arial"/>
          <w:b/>
          <w:bCs/>
          <w:sz w:val="24"/>
        </w:rPr>
        <w:t>Ayuntamiento de Toluca</w:t>
      </w:r>
      <w:r w:rsidRPr="001E6B07">
        <w:rPr>
          <w:rFonts w:ascii="Palatino Linotype" w:eastAsia="Calibri" w:hAnsi="Palatino Linotype" w:cs="Arial"/>
          <w:b/>
          <w:bCs/>
          <w:sz w:val="24"/>
          <w:lang w:val="es-ES"/>
        </w:rPr>
        <w:t>,</w:t>
      </w:r>
      <w:r w:rsidRPr="001E6B07">
        <w:rPr>
          <w:rFonts w:ascii="Palatino Linotype" w:eastAsia="Calibri" w:hAnsi="Palatino Linotype" w:cs="Arial"/>
          <w:b/>
          <w:sz w:val="24"/>
        </w:rPr>
        <w:t xml:space="preserve"> </w:t>
      </w:r>
      <w:r w:rsidRPr="001E6B07">
        <w:rPr>
          <w:rFonts w:ascii="Palatino Linotype" w:eastAsia="Calibri" w:hAnsi="Palatino Linotype" w:cs="Arial"/>
          <w:bCs/>
          <w:sz w:val="24"/>
          <w:lang w:val="es-ES"/>
        </w:rPr>
        <w:t>entregar vía Sistema de Acceso a la Información Mexiquense (SAIMEX)</w:t>
      </w:r>
      <w:r w:rsidRPr="001E6B07">
        <w:rPr>
          <w:rFonts w:ascii="Palatino Linotype" w:eastAsia="MS Mincho" w:hAnsi="Palatino Linotype" w:cs="Arial"/>
          <w:b/>
          <w:sz w:val="24"/>
        </w:rPr>
        <w:t>,</w:t>
      </w:r>
      <w:r w:rsidRPr="001E6B07">
        <w:rPr>
          <w:rFonts w:ascii="Palatino Linotype" w:eastAsia="Calibri" w:hAnsi="Palatino Linotype" w:cs="Arial"/>
          <w:bCs/>
          <w:sz w:val="24"/>
          <w:lang w:val="es-ES"/>
        </w:rPr>
        <w:t xml:space="preserve"> </w:t>
      </w:r>
      <w:r w:rsidRPr="001E6B07">
        <w:rPr>
          <w:rFonts w:ascii="Palatino Linotype" w:eastAsia="Palatino Linotype" w:hAnsi="Palatino Linotype" w:cs="Palatino Linotype"/>
          <w:sz w:val="24"/>
        </w:rPr>
        <w:t xml:space="preserve">de ser procedente en versión pública, </w:t>
      </w:r>
      <w:r w:rsidR="006B4CF3" w:rsidRPr="001E6B07">
        <w:rPr>
          <w:rFonts w:ascii="Palatino Linotype" w:eastAsia="Palatino Linotype" w:hAnsi="Palatino Linotype" w:cs="Palatino Linotype"/>
          <w:sz w:val="24"/>
        </w:rPr>
        <w:t xml:space="preserve">a la fecha de la solicitud, </w:t>
      </w:r>
      <w:r w:rsidRPr="001E6B07">
        <w:rPr>
          <w:rFonts w:ascii="Palatino Linotype" w:eastAsia="Palatino Linotype" w:hAnsi="Palatino Linotype" w:cs="Palatino Linotype"/>
          <w:sz w:val="24"/>
        </w:rPr>
        <w:t>el soporte documental donde conste la siguiente información:</w:t>
      </w:r>
      <w:r w:rsidRPr="001E6B07">
        <w:rPr>
          <w:rFonts w:ascii="Palatino Linotype" w:eastAsia="Palatino Linotype" w:hAnsi="Palatino Linotype" w:cs="Palatino Linotype"/>
          <w:b/>
          <w:sz w:val="24"/>
        </w:rPr>
        <w:t xml:space="preserve"> </w:t>
      </w:r>
    </w:p>
    <w:p w:rsidR="00B316DB" w:rsidRPr="001E6B07" w:rsidRDefault="00B316DB" w:rsidP="00B316DB">
      <w:pPr>
        <w:pStyle w:val="Prrafodelista"/>
        <w:spacing w:line="360" w:lineRule="auto"/>
        <w:ind w:left="0"/>
        <w:jc w:val="both"/>
        <w:rPr>
          <w:rFonts w:ascii="Palatino Linotype" w:eastAsia="Palatino Linotype" w:hAnsi="Palatino Linotype" w:cs="Palatino Linotype"/>
          <w:b/>
        </w:rPr>
      </w:pPr>
    </w:p>
    <w:p w:rsidR="006B4CF3" w:rsidRPr="001E6B07" w:rsidRDefault="006B4CF3" w:rsidP="006B4CF3">
      <w:pPr>
        <w:pStyle w:val="Prrafodelista"/>
        <w:numPr>
          <w:ilvl w:val="1"/>
          <w:numId w:val="8"/>
        </w:numPr>
        <w:spacing w:line="360" w:lineRule="auto"/>
        <w:ind w:right="822"/>
        <w:jc w:val="both"/>
        <w:rPr>
          <w:rFonts w:ascii="Palatino Linotype" w:hAnsi="Palatino Linotype" w:cs="Arial"/>
          <w:b/>
          <w:noProof/>
        </w:rPr>
      </w:pPr>
      <w:r w:rsidRPr="001E6B07">
        <w:rPr>
          <w:rFonts w:ascii="Palatino Linotype" w:hAnsi="Palatino Linotype" w:cs="Arial"/>
          <w:b/>
          <w:noProof/>
        </w:rPr>
        <w:t>Número de lamparas inteligentes adquiridas, el proceso de adquisición, contrato de adquisición, estudio para determinar en donde seran colocadas;</w:t>
      </w:r>
    </w:p>
    <w:p w:rsidR="006B4CF3" w:rsidRPr="001E6B07" w:rsidRDefault="006B4CF3" w:rsidP="006B4CF3">
      <w:pPr>
        <w:pStyle w:val="Prrafodelista"/>
        <w:numPr>
          <w:ilvl w:val="1"/>
          <w:numId w:val="8"/>
        </w:numPr>
        <w:spacing w:line="360" w:lineRule="auto"/>
        <w:ind w:right="822"/>
        <w:jc w:val="both"/>
        <w:rPr>
          <w:rFonts w:ascii="Palatino Linotype" w:hAnsi="Palatino Linotype" w:cs="Arial"/>
          <w:b/>
          <w:noProof/>
        </w:rPr>
      </w:pPr>
      <w:r w:rsidRPr="001E6B07">
        <w:rPr>
          <w:rFonts w:ascii="Palatino Linotype" w:hAnsi="Palatino Linotype" w:cs="Arial"/>
          <w:b/>
          <w:noProof/>
        </w:rPr>
        <w:t xml:space="preserve">Aprobación del cabildo para la adquisición de las lamparas inteligentes. </w:t>
      </w:r>
    </w:p>
    <w:p w:rsidR="00B316DB" w:rsidRPr="001E6B07" w:rsidRDefault="00B316DB" w:rsidP="00B316DB">
      <w:pPr>
        <w:spacing w:line="360" w:lineRule="auto"/>
        <w:ind w:right="822"/>
        <w:jc w:val="both"/>
        <w:rPr>
          <w:rFonts w:ascii="Palatino Linotype" w:eastAsia="Palatino Linotype" w:hAnsi="Palatino Linotype" w:cs="Palatino Linotype"/>
          <w:b/>
        </w:rPr>
      </w:pPr>
    </w:p>
    <w:p w:rsidR="00F25D9B" w:rsidRDefault="00B316DB" w:rsidP="00B316DB">
      <w:pPr>
        <w:spacing w:after="160" w:line="360" w:lineRule="auto"/>
        <w:ind w:right="113"/>
        <w:jc w:val="both"/>
        <w:rPr>
          <w:rFonts w:ascii="Palatino Linotype" w:eastAsia="Calibri" w:hAnsi="Palatino Linotype" w:cs="Arial"/>
        </w:rPr>
      </w:pPr>
      <w:r w:rsidRPr="001E6B07">
        <w:rPr>
          <w:rFonts w:ascii="Palatino Linotype" w:eastAsia="Calibri" w:hAnsi="Palatino Linotype" w:cs="Arial"/>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w:t>
      </w:r>
      <w:r w:rsidRPr="001E6B07">
        <w:rPr>
          <w:rFonts w:ascii="Palatino Linotype" w:eastAsia="Calibri" w:hAnsi="Palatino Linotype" w:cs="Arial"/>
        </w:rPr>
        <w:lastRenderedPageBreak/>
        <w:t xml:space="preserve">objeto de las versiones públicas que se formulen y se ponga a disposición de la parte recurrente. </w:t>
      </w:r>
    </w:p>
    <w:p w:rsidR="00F25D9B" w:rsidRPr="001E6B07" w:rsidRDefault="00F25D9B" w:rsidP="00B316DB">
      <w:pPr>
        <w:spacing w:after="160" w:line="360" w:lineRule="auto"/>
        <w:ind w:right="113"/>
        <w:jc w:val="both"/>
        <w:rPr>
          <w:rFonts w:ascii="Palatino Linotype" w:eastAsia="Calibri" w:hAnsi="Palatino Linotype" w:cs="Arial"/>
        </w:rPr>
      </w:pPr>
    </w:p>
    <w:p w:rsidR="00B316DB" w:rsidRPr="001E6B07" w:rsidRDefault="00B316DB" w:rsidP="00B316DB">
      <w:pPr>
        <w:tabs>
          <w:tab w:val="left" w:pos="284"/>
          <w:tab w:val="left" w:pos="8080"/>
        </w:tabs>
        <w:spacing w:line="360" w:lineRule="auto"/>
        <w:ind w:right="49"/>
        <w:contextualSpacing/>
        <w:jc w:val="both"/>
        <w:rPr>
          <w:rFonts w:ascii="Palatino Linotype" w:hAnsi="Palatino Linotype" w:cs="Arial"/>
          <w:shd w:val="clear" w:color="auto" w:fill="FFFFFF"/>
        </w:rPr>
      </w:pPr>
      <w:r w:rsidRPr="001E6B07">
        <w:rPr>
          <w:rFonts w:ascii="Palatino Linotype" w:eastAsia="Palatino Linotype" w:hAnsi="Palatino Linotype" w:cs="Palatino Linotype"/>
          <w:b/>
          <w:lang w:val="es-ES_tradnl"/>
        </w:rPr>
        <w:t xml:space="preserve">TERCERO. </w:t>
      </w:r>
      <w:r w:rsidRPr="001E6B07">
        <w:rPr>
          <w:rFonts w:ascii="Palatino Linotype" w:hAnsi="Palatino Linotype" w:cs="Arial"/>
          <w:b/>
          <w:shd w:val="clear" w:color="auto" w:fill="FFFFFF"/>
        </w:rPr>
        <w:t>NOTIFÍQUESE</w:t>
      </w:r>
      <w:r w:rsidRPr="001E6B07">
        <w:rPr>
          <w:rFonts w:ascii="Palatino Linotype" w:hAnsi="Palatino Linotype" w:cs="Arial"/>
          <w:shd w:val="clear" w:color="auto" w:fill="FFFFFF"/>
        </w:rPr>
        <w:t xml:space="preserve"> la presente resolución al Titular de la Unidad de Transparencia del Sujeto Obligado </w:t>
      </w:r>
      <w:r w:rsidRPr="001E6B07">
        <w:rPr>
          <w:rFonts w:ascii="Palatino Linotype" w:hAnsi="Palatino Linotype" w:cs="Arial"/>
          <w:b/>
          <w:shd w:val="clear" w:color="auto" w:fill="FFFFFF"/>
        </w:rPr>
        <w:t>vía SAIMEX</w:t>
      </w:r>
      <w:r w:rsidRPr="001E6B07">
        <w:rPr>
          <w:rFonts w:ascii="Palatino Linotype" w:hAnsi="Palatino Linotype" w:cs="Arial"/>
          <w:shd w:val="clear" w:color="auto" w:fill="FFFFFF"/>
        </w:rPr>
        <w:t>, para que conforme al artículo 186 último párrafo, 189 segundo párrafo y 194 de la Ley de Transparencia y Acceso a la Información Pública del Estado de México y Municipios</w:t>
      </w:r>
      <w:r w:rsidRPr="001E6B07">
        <w:rPr>
          <w:rFonts w:ascii="Palatino Linotype" w:hAnsi="Palatino Linotype" w:cs="Arial"/>
          <w:b/>
          <w:shd w:val="clear" w:color="auto" w:fill="FFFFFF"/>
        </w:rPr>
        <w:t>; dé cumplimiento a lo ordenado dentro del plazo de diez días hábiles</w:t>
      </w:r>
      <w:r w:rsidRPr="001E6B07">
        <w:rPr>
          <w:rFonts w:ascii="Palatino Linotype" w:hAnsi="Palatino Linotype" w:cs="Arial"/>
          <w:shd w:val="clear" w:color="auto" w:fill="FFFFFF"/>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B316DB" w:rsidRPr="001E6B07" w:rsidRDefault="00B316DB" w:rsidP="00B316DB">
      <w:pPr>
        <w:tabs>
          <w:tab w:val="left" w:pos="284"/>
          <w:tab w:val="left" w:pos="8080"/>
        </w:tabs>
        <w:spacing w:line="360" w:lineRule="auto"/>
        <w:ind w:right="49"/>
        <w:contextualSpacing/>
        <w:jc w:val="both"/>
        <w:rPr>
          <w:rFonts w:ascii="Palatino Linotype" w:eastAsiaTheme="minorEastAsia" w:hAnsi="Palatino Linotype"/>
          <w:shd w:val="clear" w:color="auto" w:fill="FFFFFF"/>
          <w:lang w:val="es-ES_tradnl"/>
        </w:rPr>
      </w:pPr>
    </w:p>
    <w:p w:rsidR="00B316DB" w:rsidRPr="001E6B07" w:rsidRDefault="00B316DB" w:rsidP="00B316DB">
      <w:pPr>
        <w:tabs>
          <w:tab w:val="left" w:pos="284"/>
        </w:tabs>
        <w:spacing w:line="360" w:lineRule="auto"/>
        <w:jc w:val="both"/>
        <w:rPr>
          <w:rFonts w:ascii="Palatino Linotype" w:eastAsia="MS Mincho" w:hAnsi="Palatino Linotype"/>
          <w:lang w:val="es-ES_tradnl"/>
        </w:rPr>
      </w:pPr>
      <w:r w:rsidRPr="001E6B07">
        <w:rPr>
          <w:rFonts w:ascii="Palatino Linotype" w:hAnsi="Palatino Linotype" w:cs="Arial"/>
          <w:b/>
          <w:lang w:val="es-ES_tradnl"/>
        </w:rPr>
        <w:t xml:space="preserve">CUARTO. </w:t>
      </w:r>
      <w:r w:rsidRPr="001E6B07">
        <w:rPr>
          <w:rFonts w:ascii="Palatino Linotype" w:hAnsi="Palatino Linotype"/>
          <w:b/>
          <w:bCs/>
          <w:lang w:val="es-ES"/>
        </w:rPr>
        <w:t xml:space="preserve">Notifíquese </w:t>
      </w:r>
      <w:r w:rsidRPr="001E6B07">
        <w:rPr>
          <w:rFonts w:ascii="Palatino Linotype" w:hAnsi="Palatino Linotype"/>
          <w:bCs/>
          <w:lang w:val="es-ES"/>
        </w:rPr>
        <w:t xml:space="preserve">al </w:t>
      </w:r>
      <w:r w:rsidRPr="001E6B07">
        <w:rPr>
          <w:rFonts w:ascii="Palatino Linotype" w:hAnsi="Palatino Linotype"/>
          <w:b/>
          <w:bCs/>
          <w:lang w:val="es-ES"/>
        </w:rPr>
        <w:t>RECURRENTE</w:t>
      </w:r>
      <w:r w:rsidRPr="001E6B07">
        <w:rPr>
          <w:rFonts w:ascii="Palatino Linotype" w:hAnsi="Palatino Linotype"/>
          <w:b/>
          <w:lang w:val="es-ES"/>
        </w:rPr>
        <w:t xml:space="preserve"> </w:t>
      </w:r>
      <w:r w:rsidRPr="001E6B07">
        <w:rPr>
          <w:rFonts w:ascii="Palatino Linotype" w:eastAsiaTheme="minorEastAsia" w:hAnsi="Palatino Linotype"/>
          <w:lang w:val="es-ES_tradnl"/>
        </w:rPr>
        <w:t>la presente resolución</w:t>
      </w:r>
      <w:r w:rsidRPr="001E6B07">
        <w:rPr>
          <w:rFonts w:ascii="Palatino Linotype" w:eastAsia="MS Mincho" w:hAnsi="Palatino Linotype"/>
          <w:lang w:val="es-ES_tradnl"/>
        </w:rPr>
        <w:t xml:space="preserve"> a través del Sistema de Acceso a la Información Mexiquense (SAIMEX).</w:t>
      </w:r>
    </w:p>
    <w:p w:rsidR="00B316DB" w:rsidRPr="001E6B07" w:rsidRDefault="00B316DB" w:rsidP="00B316DB">
      <w:pPr>
        <w:tabs>
          <w:tab w:val="left" w:pos="284"/>
        </w:tabs>
        <w:spacing w:line="360" w:lineRule="auto"/>
        <w:jc w:val="both"/>
        <w:rPr>
          <w:rFonts w:ascii="Palatino Linotype" w:eastAsia="MS Mincho" w:hAnsi="Palatino Linotype"/>
          <w:lang w:val="es-ES_tradnl"/>
        </w:rPr>
      </w:pPr>
    </w:p>
    <w:p w:rsidR="00B316DB" w:rsidRPr="001E6B07" w:rsidRDefault="00B316DB" w:rsidP="00B316DB">
      <w:pPr>
        <w:spacing w:line="360" w:lineRule="auto"/>
        <w:jc w:val="both"/>
        <w:rPr>
          <w:rFonts w:ascii="Palatino Linotype" w:eastAsia="Calibri" w:hAnsi="Palatino Linotype" w:cs="Arial"/>
          <w:bCs/>
        </w:rPr>
      </w:pPr>
      <w:r w:rsidRPr="001E6B07">
        <w:rPr>
          <w:rFonts w:ascii="Palatino Linotype" w:hAnsi="Palatino Linotype" w:cs="Arial"/>
          <w:b/>
        </w:rPr>
        <w:t xml:space="preserve">QUINTO. </w:t>
      </w:r>
      <w:r w:rsidRPr="001E6B07">
        <w:rPr>
          <w:rFonts w:ascii="Palatino Linotype" w:eastAsia="Calibri" w:hAnsi="Palatino Linotype" w:cs="Arial"/>
          <w:bC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B316DB" w:rsidRPr="001E6B07" w:rsidRDefault="00B316DB" w:rsidP="00B316DB">
      <w:pPr>
        <w:spacing w:before="240" w:after="360" w:line="360" w:lineRule="auto"/>
        <w:jc w:val="both"/>
        <w:rPr>
          <w:rFonts w:ascii="Palatino Linotype" w:hAnsi="Palatino Linotype"/>
          <w:lang w:val="es-ES"/>
        </w:rPr>
      </w:pPr>
      <w:r w:rsidRPr="001E6B07">
        <w:rPr>
          <w:rFonts w:ascii="Palatino Linotype" w:hAnsi="Palatino Linotype"/>
          <w:b/>
        </w:rPr>
        <w:t>SEXTO.</w:t>
      </w:r>
      <w:r w:rsidRPr="001E6B07">
        <w:rPr>
          <w:rFonts w:ascii="Palatino Linotype" w:hAnsi="Palatino Linotype"/>
          <w:lang w:val="es-ES"/>
        </w:rPr>
        <w:t xml:space="preserve"> </w:t>
      </w:r>
      <w:r w:rsidRPr="001E6B07">
        <w:rPr>
          <w:rFonts w:ascii="Palatino Linotype" w:eastAsia="MS Mincho" w:hAnsi="Palatino Linotype"/>
          <w:lang w:val="es-ES"/>
        </w:rPr>
        <w:t xml:space="preserve">Se hace del conocimiento del </w:t>
      </w:r>
      <w:r w:rsidRPr="001E6B07">
        <w:rPr>
          <w:rFonts w:ascii="Palatino Linotype" w:eastAsia="MS Mincho" w:hAnsi="Palatino Linotype"/>
          <w:b/>
          <w:lang w:val="es-ES"/>
        </w:rPr>
        <w:t>Recurrente</w:t>
      </w:r>
      <w:r w:rsidRPr="001E6B07">
        <w:rPr>
          <w:rFonts w:ascii="Palatino Linotype" w:eastAsia="MS Mincho" w:hAnsi="Palatino Linotype"/>
          <w:b/>
          <w:lang w:val="es-ES_tradnl"/>
        </w:rPr>
        <w:t xml:space="preserve"> </w:t>
      </w:r>
      <w:r w:rsidRPr="001E6B07">
        <w:rPr>
          <w:rFonts w:ascii="Palatino Linotype" w:eastAsia="MS Mincho" w:hAnsi="Palatino Linotype"/>
          <w:lang w:val="es-ES"/>
        </w:rPr>
        <w:t xml:space="preserve">que, de conformidad con lo establecido en el artículo 196 de la Ley de Transparencia y Acceso a la Información Pública del Estado de </w:t>
      </w:r>
      <w:r w:rsidRPr="001E6B07">
        <w:rPr>
          <w:rFonts w:ascii="Palatino Linotype" w:eastAsia="MS Mincho" w:hAnsi="Palatino Linotype"/>
          <w:lang w:val="es-ES"/>
        </w:rPr>
        <w:lastRenderedPageBreak/>
        <w:t>México y Municipios, en caso de que considere que la resolución le cause algún perjuicio podrá impugnarla </w:t>
      </w:r>
      <w:r w:rsidRPr="001E6B07">
        <w:rPr>
          <w:rFonts w:ascii="Palatino Linotype" w:eastAsia="MS Mincho" w:hAnsi="Palatino Linotype"/>
          <w:bCs/>
          <w:lang w:val="es-ES"/>
        </w:rPr>
        <w:t>vía juicio de amparo</w:t>
      </w:r>
      <w:r w:rsidRPr="001E6B07">
        <w:rPr>
          <w:rFonts w:ascii="Palatino Linotype" w:eastAsia="MS Mincho" w:hAnsi="Palatino Linotype"/>
          <w:lang w:val="es-ES"/>
        </w:rPr>
        <w:t> en los términos de las leyes aplicables.</w:t>
      </w:r>
    </w:p>
    <w:p w:rsidR="00FE3ACF" w:rsidRPr="001E6B07" w:rsidRDefault="00FE3ACF" w:rsidP="00FE3ACF">
      <w:pPr>
        <w:spacing w:before="240" w:after="240" w:line="360" w:lineRule="auto"/>
        <w:ind w:firstLine="1"/>
        <w:jc w:val="both"/>
        <w:rPr>
          <w:rFonts w:ascii="Palatino Linotype" w:hAnsi="Palatino Linotype"/>
        </w:rPr>
      </w:pPr>
      <w:bookmarkStart w:id="12" w:name="_Hlk99014733"/>
      <w:r w:rsidRPr="001E6B07">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1E6B07">
        <w:rPr>
          <w:rFonts w:ascii="Palatino Linotype" w:hAnsi="Palatino Linotype" w:cs="Palatino Linotype"/>
          <w:color w:val="000000" w:themeColor="text1"/>
        </w:rPr>
        <w:t>ALEXIS TAPIA RAMÍREZ.</w:t>
      </w:r>
    </w:p>
    <w:bookmarkEnd w:id="12"/>
    <w:p w:rsidR="00B316DB" w:rsidRPr="001E6B07" w:rsidRDefault="00B316DB" w:rsidP="00B316DB">
      <w:pPr>
        <w:pBdr>
          <w:top w:val="nil"/>
          <w:left w:val="nil"/>
          <w:bottom w:val="nil"/>
          <w:right w:val="nil"/>
          <w:between w:val="nil"/>
        </w:pBdr>
        <w:spacing w:line="360" w:lineRule="auto"/>
        <w:jc w:val="both"/>
        <w:rPr>
          <w:rFonts w:ascii="Palatino Linotype" w:eastAsia="Palatino Linotype" w:hAnsi="Palatino Linotype" w:cs="Palatino Linotype"/>
        </w:rPr>
      </w:pPr>
    </w:p>
    <w:p w:rsidR="00B316DB" w:rsidRPr="001E6B07" w:rsidRDefault="00B316DB" w:rsidP="00B316DB"/>
    <w:p w:rsidR="00B316DB" w:rsidRPr="001E6B07" w:rsidRDefault="00B316DB" w:rsidP="00B316DB"/>
    <w:p w:rsidR="00B316DB" w:rsidRPr="001E6B07" w:rsidRDefault="00B316DB" w:rsidP="00B316DB"/>
    <w:p w:rsidR="00B316DB" w:rsidRPr="001E6B07" w:rsidRDefault="00B316DB" w:rsidP="00B316DB"/>
    <w:p w:rsidR="00B316DB" w:rsidRPr="001E6B07" w:rsidRDefault="00B316DB" w:rsidP="00B316DB"/>
    <w:p w:rsidR="00B316DB" w:rsidRPr="001E6B07" w:rsidRDefault="00B316DB" w:rsidP="00B316DB"/>
    <w:p w:rsidR="00B316DB" w:rsidRPr="001E6B07" w:rsidRDefault="00B316DB" w:rsidP="00B316DB"/>
    <w:p w:rsidR="00B316DB" w:rsidRPr="001E6B07" w:rsidRDefault="00B316DB" w:rsidP="00B316DB"/>
    <w:p w:rsidR="00B316DB" w:rsidRPr="001E6B07" w:rsidRDefault="00B316DB" w:rsidP="00B316DB"/>
    <w:p w:rsidR="006B1679" w:rsidRPr="001E6B07" w:rsidRDefault="006B1679"/>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p w:rsidR="00B91613" w:rsidRPr="001E6B07" w:rsidRDefault="00B91613"/>
    <w:sectPr w:rsidR="00B91613" w:rsidRPr="001E6B07" w:rsidSect="001E6B07">
      <w:headerReference w:type="even" r:id="rId11"/>
      <w:headerReference w:type="default" r:id="rId12"/>
      <w:footerReference w:type="default" r:id="rId13"/>
      <w:headerReference w:type="first" r:id="rId14"/>
      <w:footerReference w:type="first" r:id="rId15"/>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637" w:rsidRDefault="00EE0637" w:rsidP="00B316DB">
      <w:r>
        <w:separator/>
      </w:r>
    </w:p>
  </w:endnote>
  <w:endnote w:type="continuationSeparator" w:id="0">
    <w:p w:rsidR="00EE0637" w:rsidRDefault="00EE0637" w:rsidP="00B31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18E" w:rsidRPr="001E6B07" w:rsidRDefault="0035018E">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1E6B07">
      <w:rPr>
        <w:rFonts w:ascii="Palatino Linotype" w:hAnsi="Palatino Linotype"/>
        <w:b/>
        <w:color w:val="000000"/>
        <w:sz w:val="22"/>
      </w:rPr>
      <w:t xml:space="preserve">Página </w:t>
    </w:r>
    <w:r w:rsidRPr="001E6B07">
      <w:rPr>
        <w:rFonts w:ascii="Palatino Linotype" w:hAnsi="Palatino Linotype"/>
        <w:b/>
        <w:color w:val="000000"/>
        <w:sz w:val="22"/>
      </w:rPr>
      <w:fldChar w:fldCharType="begin"/>
    </w:r>
    <w:r w:rsidRPr="001E6B07">
      <w:rPr>
        <w:rFonts w:ascii="Palatino Linotype" w:hAnsi="Palatino Linotype"/>
        <w:b/>
        <w:color w:val="000000"/>
        <w:sz w:val="22"/>
      </w:rPr>
      <w:instrText>PAGE</w:instrText>
    </w:r>
    <w:r w:rsidRPr="001E6B07">
      <w:rPr>
        <w:rFonts w:ascii="Palatino Linotype" w:hAnsi="Palatino Linotype"/>
        <w:b/>
        <w:color w:val="000000"/>
        <w:sz w:val="22"/>
      </w:rPr>
      <w:fldChar w:fldCharType="separate"/>
    </w:r>
    <w:r w:rsidR="00F25D9B">
      <w:rPr>
        <w:rFonts w:ascii="Palatino Linotype" w:hAnsi="Palatino Linotype"/>
        <w:b/>
        <w:noProof/>
        <w:color w:val="000000"/>
        <w:sz w:val="22"/>
      </w:rPr>
      <w:t>21</w:t>
    </w:r>
    <w:r w:rsidRPr="001E6B07">
      <w:rPr>
        <w:rFonts w:ascii="Palatino Linotype" w:hAnsi="Palatino Linotype"/>
        <w:b/>
        <w:color w:val="000000"/>
        <w:sz w:val="22"/>
      </w:rPr>
      <w:fldChar w:fldCharType="end"/>
    </w:r>
    <w:r w:rsidRPr="001E6B07">
      <w:rPr>
        <w:rFonts w:ascii="Palatino Linotype" w:hAnsi="Palatino Linotype"/>
        <w:b/>
        <w:color w:val="000000"/>
        <w:sz w:val="22"/>
      </w:rPr>
      <w:t xml:space="preserve"> de </w:t>
    </w:r>
    <w:r w:rsidRPr="001E6B07">
      <w:rPr>
        <w:rFonts w:ascii="Palatino Linotype" w:hAnsi="Palatino Linotype"/>
        <w:b/>
        <w:color w:val="000000"/>
        <w:sz w:val="22"/>
      </w:rPr>
      <w:fldChar w:fldCharType="begin"/>
    </w:r>
    <w:r w:rsidRPr="001E6B07">
      <w:rPr>
        <w:rFonts w:ascii="Palatino Linotype" w:hAnsi="Palatino Linotype"/>
        <w:b/>
        <w:color w:val="000000"/>
        <w:sz w:val="22"/>
      </w:rPr>
      <w:instrText>NUMPAGES</w:instrText>
    </w:r>
    <w:r w:rsidRPr="001E6B07">
      <w:rPr>
        <w:rFonts w:ascii="Palatino Linotype" w:hAnsi="Palatino Linotype"/>
        <w:b/>
        <w:color w:val="000000"/>
        <w:sz w:val="22"/>
      </w:rPr>
      <w:fldChar w:fldCharType="separate"/>
    </w:r>
    <w:r w:rsidR="00F25D9B">
      <w:rPr>
        <w:rFonts w:ascii="Palatino Linotype" w:hAnsi="Palatino Linotype"/>
        <w:b/>
        <w:noProof/>
        <w:color w:val="000000"/>
        <w:sz w:val="22"/>
      </w:rPr>
      <w:t>22</w:t>
    </w:r>
    <w:r w:rsidRPr="001E6B07">
      <w:rPr>
        <w:rFonts w:ascii="Palatino Linotype" w:hAnsi="Palatino Linotype"/>
        <w:b/>
        <w:color w:val="000000"/>
        <w:sz w:val="22"/>
      </w:rPr>
      <w:fldChar w:fldCharType="end"/>
    </w:r>
  </w:p>
  <w:p w:rsidR="0035018E" w:rsidRDefault="0035018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18E" w:rsidRPr="001E6B07" w:rsidRDefault="0035018E">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1E6B07">
      <w:rPr>
        <w:rFonts w:ascii="Palatino Linotype" w:hAnsi="Palatino Linotype"/>
        <w:b/>
        <w:color w:val="000000"/>
        <w:sz w:val="22"/>
      </w:rPr>
      <w:t xml:space="preserve">Página </w:t>
    </w:r>
    <w:r w:rsidRPr="001E6B07">
      <w:rPr>
        <w:rFonts w:ascii="Palatino Linotype" w:hAnsi="Palatino Linotype"/>
        <w:b/>
        <w:color w:val="000000"/>
        <w:sz w:val="22"/>
      </w:rPr>
      <w:fldChar w:fldCharType="begin"/>
    </w:r>
    <w:r w:rsidRPr="001E6B07">
      <w:rPr>
        <w:rFonts w:ascii="Palatino Linotype" w:hAnsi="Palatino Linotype"/>
        <w:b/>
        <w:color w:val="000000"/>
        <w:sz w:val="22"/>
      </w:rPr>
      <w:instrText>PAGE</w:instrText>
    </w:r>
    <w:r w:rsidRPr="001E6B07">
      <w:rPr>
        <w:rFonts w:ascii="Palatino Linotype" w:hAnsi="Palatino Linotype"/>
        <w:b/>
        <w:color w:val="000000"/>
        <w:sz w:val="22"/>
      </w:rPr>
      <w:fldChar w:fldCharType="separate"/>
    </w:r>
    <w:r w:rsidR="00F25D9B">
      <w:rPr>
        <w:rFonts w:ascii="Palatino Linotype" w:hAnsi="Palatino Linotype"/>
        <w:b/>
        <w:noProof/>
        <w:color w:val="000000"/>
        <w:sz w:val="22"/>
      </w:rPr>
      <w:t>1</w:t>
    </w:r>
    <w:r w:rsidRPr="001E6B07">
      <w:rPr>
        <w:rFonts w:ascii="Palatino Linotype" w:hAnsi="Palatino Linotype"/>
        <w:b/>
        <w:color w:val="000000"/>
        <w:sz w:val="22"/>
      </w:rPr>
      <w:fldChar w:fldCharType="end"/>
    </w:r>
    <w:r w:rsidRPr="001E6B07">
      <w:rPr>
        <w:rFonts w:ascii="Palatino Linotype" w:hAnsi="Palatino Linotype"/>
        <w:b/>
        <w:color w:val="000000"/>
        <w:sz w:val="22"/>
      </w:rPr>
      <w:t xml:space="preserve"> de </w:t>
    </w:r>
    <w:r w:rsidRPr="001E6B07">
      <w:rPr>
        <w:rFonts w:ascii="Palatino Linotype" w:hAnsi="Palatino Linotype"/>
        <w:b/>
        <w:color w:val="000000"/>
        <w:sz w:val="22"/>
      </w:rPr>
      <w:fldChar w:fldCharType="begin"/>
    </w:r>
    <w:r w:rsidRPr="001E6B07">
      <w:rPr>
        <w:rFonts w:ascii="Palatino Linotype" w:hAnsi="Palatino Linotype"/>
        <w:b/>
        <w:color w:val="000000"/>
        <w:sz w:val="22"/>
      </w:rPr>
      <w:instrText>NUMPAGES</w:instrText>
    </w:r>
    <w:r w:rsidRPr="001E6B07">
      <w:rPr>
        <w:rFonts w:ascii="Palatino Linotype" w:hAnsi="Palatino Linotype"/>
        <w:b/>
        <w:color w:val="000000"/>
        <w:sz w:val="22"/>
      </w:rPr>
      <w:fldChar w:fldCharType="separate"/>
    </w:r>
    <w:r w:rsidR="00F25D9B">
      <w:rPr>
        <w:rFonts w:ascii="Palatino Linotype" w:hAnsi="Palatino Linotype"/>
        <w:b/>
        <w:noProof/>
        <w:color w:val="000000"/>
        <w:sz w:val="22"/>
      </w:rPr>
      <w:t>22</w:t>
    </w:r>
    <w:r w:rsidRPr="001E6B07">
      <w:rPr>
        <w:rFonts w:ascii="Palatino Linotype" w:hAnsi="Palatino Linotype"/>
        <w:b/>
        <w:color w:val="000000"/>
        <w:sz w:val="22"/>
      </w:rPr>
      <w:fldChar w:fldCharType="end"/>
    </w:r>
  </w:p>
  <w:p w:rsidR="0035018E" w:rsidRDefault="0035018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637" w:rsidRDefault="00EE0637" w:rsidP="00B316DB">
      <w:r>
        <w:separator/>
      </w:r>
    </w:p>
  </w:footnote>
  <w:footnote w:type="continuationSeparator" w:id="0">
    <w:p w:rsidR="00EE0637" w:rsidRDefault="00EE0637" w:rsidP="00B31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18E" w:rsidRDefault="00EE0637">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Layout w:type="fixed"/>
      <w:tblLook w:val="0400" w:firstRow="0" w:lastRow="0" w:firstColumn="0" w:lastColumn="0" w:noHBand="0" w:noVBand="1"/>
    </w:tblPr>
    <w:tblGrid>
      <w:gridCol w:w="2268"/>
      <w:gridCol w:w="7938"/>
    </w:tblGrid>
    <w:tr w:rsidR="0035018E" w:rsidTr="001E6B07">
      <w:trPr>
        <w:trHeight w:val="1435"/>
      </w:trPr>
      <w:tc>
        <w:tcPr>
          <w:tcW w:w="2268" w:type="dxa"/>
          <w:shd w:val="clear" w:color="auto" w:fill="auto"/>
        </w:tcPr>
        <w:p w:rsidR="0035018E" w:rsidRDefault="0035018E">
          <w:pPr>
            <w:tabs>
              <w:tab w:val="right" w:pos="4273"/>
            </w:tabs>
            <w:rPr>
              <w:rFonts w:ascii="Garamond" w:eastAsia="Garamond" w:hAnsi="Garamond" w:cs="Garamond"/>
              <w:sz w:val="16"/>
              <w:szCs w:val="16"/>
            </w:rPr>
          </w:pPr>
        </w:p>
      </w:tc>
      <w:tc>
        <w:tcPr>
          <w:tcW w:w="7938" w:type="dxa"/>
          <w:shd w:val="clear" w:color="auto" w:fill="auto"/>
        </w:tcPr>
        <w:tbl>
          <w:tblPr>
            <w:tblW w:w="7224" w:type="dxa"/>
            <w:tblInd w:w="1168" w:type="dxa"/>
            <w:tblLayout w:type="fixed"/>
            <w:tblLook w:val="0400" w:firstRow="0" w:lastRow="0" w:firstColumn="0" w:lastColumn="0" w:noHBand="0" w:noVBand="1"/>
          </w:tblPr>
          <w:tblGrid>
            <w:gridCol w:w="3113"/>
            <w:gridCol w:w="4111"/>
          </w:tblGrid>
          <w:tr w:rsidR="0035018E" w:rsidTr="001E6B07">
            <w:trPr>
              <w:trHeight w:val="150"/>
            </w:trPr>
            <w:tc>
              <w:tcPr>
                <w:tcW w:w="3113" w:type="dxa"/>
                <w:shd w:val="clear" w:color="auto" w:fill="auto"/>
              </w:tcPr>
              <w:p w:rsidR="0035018E" w:rsidRPr="001E6B07" w:rsidRDefault="0035018E">
                <w:pPr>
                  <w:tabs>
                    <w:tab w:val="right" w:pos="8838"/>
                  </w:tabs>
                  <w:ind w:right="-105"/>
                  <w:rPr>
                    <w:rFonts w:ascii="Palatino Linotype" w:eastAsia="Palatino Linotype" w:hAnsi="Palatino Linotype" w:cs="Palatino Linotype"/>
                    <w:b/>
                    <w:szCs w:val="22"/>
                  </w:rPr>
                </w:pPr>
                <w:r w:rsidRPr="001E6B07">
                  <w:rPr>
                    <w:rFonts w:ascii="Palatino Linotype" w:eastAsia="Palatino Linotype" w:hAnsi="Palatino Linotype" w:cs="Palatino Linotype"/>
                    <w:b/>
                    <w:szCs w:val="22"/>
                  </w:rPr>
                  <w:t>Recurso de Revisión:</w:t>
                </w:r>
              </w:p>
            </w:tc>
            <w:tc>
              <w:tcPr>
                <w:tcW w:w="4111" w:type="dxa"/>
                <w:shd w:val="clear" w:color="auto" w:fill="auto"/>
              </w:tcPr>
              <w:p w:rsidR="0035018E" w:rsidRPr="001E6B07" w:rsidRDefault="0035018E">
                <w:pPr>
                  <w:tabs>
                    <w:tab w:val="right" w:pos="8838"/>
                  </w:tabs>
                  <w:ind w:left="-108" w:right="-1090"/>
                  <w:jc w:val="both"/>
                  <w:rPr>
                    <w:rFonts w:ascii="Palatino Linotype" w:eastAsia="Palatino Linotype" w:hAnsi="Palatino Linotype" w:cs="Palatino Linotype"/>
                    <w:szCs w:val="22"/>
                  </w:rPr>
                </w:pPr>
                <w:r w:rsidRPr="001E6B07">
                  <w:rPr>
                    <w:rFonts w:ascii="Palatino Linotype" w:eastAsia="Palatino Linotype" w:hAnsi="Palatino Linotype" w:cs="Palatino Linotype"/>
                    <w:szCs w:val="22"/>
                  </w:rPr>
                  <w:t>08958/INFOEM/IP/RR/2025</w:t>
                </w:r>
                <w:r w:rsidRPr="001E6B07">
                  <w:rPr>
                    <w:rFonts w:ascii="Palatino Linotype" w:eastAsia="Palatino Linotype" w:hAnsi="Palatino Linotype" w:cs="Palatino Linotype"/>
                    <w:b/>
                    <w:szCs w:val="22"/>
                  </w:rPr>
                  <w:t xml:space="preserve"> </w:t>
                </w:r>
              </w:p>
            </w:tc>
          </w:tr>
          <w:tr w:rsidR="0035018E" w:rsidTr="001E6B07">
            <w:trPr>
              <w:trHeight w:val="295"/>
            </w:trPr>
            <w:tc>
              <w:tcPr>
                <w:tcW w:w="3113" w:type="dxa"/>
                <w:shd w:val="clear" w:color="auto" w:fill="auto"/>
              </w:tcPr>
              <w:p w:rsidR="0035018E" w:rsidRPr="001E6B07" w:rsidRDefault="0035018E">
                <w:pPr>
                  <w:tabs>
                    <w:tab w:val="right" w:pos="8838"/>
                  </w:tabs>
                  <w:ind w:right="-105"/>
                  <w:rPr>
                    <w:rFonts w:ascii="Palatino Linotype" w:eastAsia="Palatino Linotype" w:hAnsi="Palatino Linotype" w:cs="Palatino Linotype"/>
                    <w:b/>
                    <w:szCs w:val="22"/>
                  </w:rPr>
                </w:pPr>
                <w:r w:rsidRPr="001E6B07">
                  <w:rPr>
                    <w:rFonts w:ascii="Palatino Linotype" w:eastAsia="Palatino Linotype" w:hAnsi="Palatino Linotype" w:cs="Palatino Linotype"/>
                    <w:b/>
                    <w:szCs w:val="22"/>
                  </w:rPr>
                  <w:t>Sujeto Obligado:</w:t>
                </w:r>
              </w:p>
            </w:tc>
            <w:tc>
              <w:tcPr>
                <w:tcW w:w="4111" w:type="dxa"/>
                <w:shd w:val="clear" w:color="auto" w:fill="auto"/>
              </w:tcPr>
              <w:p w:rsidR="0035018E" w:rsidRPr="001E6B07" w:rsidRDefault="0035018E">
                <w:pPr>
                  <w:tabs>
                    <w:tab w:val="left" w:pos="2834"/>
                    <w:tab w:val="right" w:pos="8838"/>
                  </w:tabs>
                  <w:ind w:left="-108" w:right="-1090"/>
                  <w:jc w:val="both"/>
                  <w:rPr>
                    <w:rFonts w:ascii="Palatino Linotype" w:eastAsia="Palatino Linotype" w:hAnsi="Palatino Linotype" w:cs="Palatino Linotype"/>
                    <w:szCs w:val="22"/>
                  </w:rPr>
                </w:pPr>
                <w:r w:rsidRPr="001E6B07">
                  <w:rPr>
                    <w:rFonts w:ascii="Palatino Linotype" w:eastAsia="Palatino Linotype" w:hAnsi="Palatino Linotype" w:cs="Palatino Linotype"/>
                    <w:bCs/>
                    <w:szCs w:val="22"/>
                  </w:rPr>
                  <w:t>Ayuntamiento de Toluca</w:t>
                </w:r>
              </w:p>
            </w:tc>
          </w:tr>
          <w:tr w:rsidR="0035018E" w:rsidTr="001E6B07">
            <w:trPr>
              <w:trHeight w:val="295"/>
            </w:trPr>
            <w:tc>
              <w:tcPr>
                <w:tcW w:w="3113" w:type="dxa"/>
                <w:shd w:val="clear" w:color="auto" w:fill="auto"/>
              </w:tcPr>
              <w:p w:rsidR="0035018E" w:rsidRPr="001E6B07" w:rsidRDefault="0035018E">
                <w:pPr>
                  <w:tabs>
                    <w:tab w:val="right" w:pos="8838"/>
                  </w:tabs>
                  <w:ind w:right="-105"/>
                  <w:rPr>
                    <w:rFonts w:ascii="Palatino Linotype" w:eastAsia="Palatino Linotype" w:hAnsi="Palatino Linotype" w:cs="Palatino Linotype"/>
                    <w:b/>
                    <w:szCs w:val="22"/>
                  </w:rPr>
                </w:pPr>
                <w:r w:rsidRPr="001E6B07">
                  <w:rPr>
                    <w:rFonts w:ascii="Palatino Linotype" w:eastAsia="Palatino Linotype" w:hAnsi="Palatino Linotype" w:cs="Palatino Linotype"/>
                    <w:b/>
                    <w:szCs w:val="22"/>
                  </w:rPr>
                  <w:t>Comisionado ponente:</w:t>
                </w:r>
              </w:p>
            </w:tc>
            <w:tc>
              <w:tcPr>
                <w:tcW w:w="4111" w:type="dxa"/>
                <w:shd w:val="clear" w:color="auto" w:fill="auto"/>
              </w:tcPr>
              <w:p w:rsidR="0035018E" w:rsidRPr="001E6B07" w:rsidRDefault="0035018E">
                <w:pPr>
                  <w:tabs>
                    <w:tab w:val="right" w:pos="8838"/>
                  </w:tabs>
                  <w:ind w:left="-108" w:right="-1090"/>
                  <w:jc w:val="both"/>
                  <w:rPr>
                    <w:rFonts w:ascii="Palatino Linotype" w:eastAsia="Palatino Linotype" w:hAnsi="Palatino Linotype" w:cs="Palatino Linotype"/>
                    <w:szCs w:val="22"/>
                  </w:rPr>
                </w:pPr>
                <w:r w:rsidRPr="001E6B07">
                  <w:rPr>
                    <w:rFonts w:ascii="Palatino Linotype" w:eastAsia="Palatino Linotype" w:hAnsi="Palatino Linotype" w:cs="Palatino Linotype"/>
                    <w:szCs w:val="22"/>
                  </w:rPr>
                  <w:t>María del Rosario Mejía Ayala</w:t>
                </w:r>
              </w:p>
              <w:p w:rsidR="0035018E" w:rsidRPr="001E6B07" w:rsidRDefault="0035018E">
                <w:pPr>
                  <w:tabs>
                    <w:tab w:val="right" w:pos="8838"/>
                  </w:tabs>
                  <w:ind w:left="-108" w:right="-1090"/>
                  <w:jc w:val="both"/>
                  <w:rPr>
                    <w:rFonts w:ascii="Palatino Linotype" w:eastAsia="Palatino Linotype" w:hAnsi="Palatino Linotype" w:cs="Palatino Linotype"/>
                    <w:b/>
                    <w:szCs w:val="22"/>
                  </w:rPr>
                </w:pPr>
              </w:p>
            </w:tc>
          </w:tr>
        </w:tbl>
        <w:p w:rsidR="0035018E" w:rsidRDefault="0035018E">
          <w:pPr>
            <w:tabs>
              <w:tab w:val="right" w:pos="8838"/>
            </w:tabs>
            <w:ind w:left="-28"/>
            <w:jc w:val="both"/>
            <w:rPr>
              <w:rFonts w:ascii="Arial" w:eastAsia="Arial" w:hAnsi="Arial" w:cs="Arial"/>
              <w:b/>
              <w:sz w:val="22"/>
              <w:szCs w:val="22"/>
            </w:rPr>
          </w:pPr>
        </w:p>
      </w:tc>
    </w:tr>
  </w:tbl>
  <w:p w:rsidR="0035018E" w:rsidRDefault="00EE0637">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20.5pt;width:589.8pt;height:768pt;z-index:-251658752;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35018E">
      <w:trPr>
        <w:trHeight w:val="1435"/>
      </w:trPr>
      <w:tc>
        <w:tcPr>
          <w:tcW w:w="2265" w:type="dxa"/>
          <w:shd w:val="clear" w:color="auto" w:fill="auto"/>
        </w:tcPr>
        <w:p w:rsidR="0035018E" w:rsidRDefault="0035018E">
          <w:pPr>
            <w:tabs>
              <w:tab w:val="right" w:pos="4273"/>
            </w:tabs>
            <w:rPr>
              <w:rFonts w:ascii="Garamond" w:eastAsia="Garamond" w:hAnsi="Garamond" w:cs="Garamond"/>
              <w:sz w:val="22"/>
              <w:szCs w:val="22"/>
            </w:rPr>
          </w:pPr>
        </w:p>
      </w:tc>
      <w:tc>
        <w:tcPr>
          <w:tcW w:w="7755" w:type="dxa"/>
          <w:shd w:val="clear" w:color="auto" w:fill="auto"/>
        </w:tcPr>
        <w:tbl>
          <w:tblPr>
            <w:tblW w:w="7939" w:type="dxa"/>
            <w:tblInd w:w="1171" w:type="dxa"/>
            <w:tblLayout w:type="fixed"/>
            <w:tblLook w:val="0400" w:firstRow="0" w:lastRow="0" w:firstColumn="0" w:lastColumn="0" w:noHBand="0" w:noVBand="1"/>
          </w:tblPr>
          <w:tblGrid>
            <w:gridCol w:w="2974"/>
            <w:gridCol w:w="4965"/>
          </w:tblGrid>
          <w:tr w:rsidR="0035018E" w:rsidTr="001E6B07">
            <w:trPr>
              <w:trHeight w:val="144"/>
            </w:trPr>
            <w:tc>
              <w:tcPr>
                <w:tcW w:w="2974" w:type="dxa"/>
                <w:shd w:val="clear" w:color="auto" w:fill="auto"/>
              </w:tcPr>
              <w:p w:rsidR="0035018E" w:rsidRPr="001E6B07" w:rsidRDefault="0035018E" w:rsidP="001E6B07">
                <w:pPr>
                  <w:tabs>
                    <w:tab w:val="right" w:pos="8838"/>
                  </w:tabs>
                  <w:ind w:left="-111" w:right="-105" w:firstLine="111"/>
                  <w:rPr>
                    <w:rFonts w:ascii="Palatino Linotype" w:eastAsia="Palatino Linotype" w:hAnsi="Palatino Linotype" w:cs="Palatino Linotype"/>
                    <w:b/>
                    <w:szCs w:val="22"/>
                  </w:rPr>
                </w:pPr>
                <w:r w:rsidRPr="001E6B07">
                  <w:rPr>
                    <w:rFonts w:ascii="Palatino Linotype" w:eastAsia="Palatino Linotype" w:hAnsi="Palatino Linotype" w:cs="Palatino Linotype"/>
                    <w:b/>
                    <w:szCs w:val="22"/>
                  </w:rPr>
                  <w:t>Recurso de Revisión:</w:t>
                </w:r>
              </w:p>
            </w:tc>
            <w:tc>
              <w:tcPr>
                <w:tcW w:w="4965" w:type="dxa"/>
                <w:shd w:val="clear" w:color="auto" w:fill="auto"/>
              </w:tcPr>
              <w:p w:rsidR="0035018E" w:rsidRPr="001E6B07" w:rsidRDefault="0035018E" w:rsidP="001E6B07">
                <w:pPr>
                  <w:tabs>
                    <w:tab w:val="right" w:pos="8838"/>
                  </w:tabs>
                  <w:ind w:left="-111" w:right="-1269" w:firstLine="111"/>
                  <w:rPr>
                    <w:rFonts w:ascii="Palatino Linotype" w:eastAsia="Palatino Linotype" w:hAnsi="Palatino Linotype" w:cs="Palatino Linotype"/>
                    <w:szCs w:val="22"/>
                  </w:rPr>
                </w:pPr>
                <w:r w:rsidRPr="001E6B07">
                  <w:rPr>
                    <w:rFonts w:ascii="Palatino Linotype" w:eastAsia="Palatino Linotype" w:hAnsi="Palatino Linotype" w:cs="Palatino Linotype"/>
                    <w:szCs w:val="22"/>
                  </w:rPr>
                  <w:t>08958/INFOEM/IP/RR/2025</w:t>
                </w:r>
              </w:p>
            </w:tc>
          </w:tr>
          <w:tr w:rsidR="0035018E" w:rsidTr="001E6B07">
            <w:trPr>
              <w:trHeight w:val="144"/>
            </w:trPr>
            <w:tc>
              <w:tcPr>
                <w:tcW w:w="2974" w:type="dxa"/>
                <w:shd w:val="clear" w:color="auto" w:fill="auto"/>
              </w:tcPr>
              <w:p w:rsidR="0035018E" w:rsidRPr="001E6B07" w:rsidRDefault="0035018E" w:rsidP="001E6B07">
                <w:pPr>
                  <w:tabs>
                    <w:tab w:val="right" w:pos="8838"/>
                  </w:tabs>
                  <w:ind w:left="-111" w:right="-105" w:firstLine="111"/>
                  <w:rPr>
                    <w:rFonts w:ascii="Palatino Linotype" w:eastAsia="Palatino Linotype" w:hAnsi="Palatino Linotype" w:cs="Palatino Linotype"/>
                    <w:b/>
                    <w:szCs w:val="22"/>
                  </w:rPr>
                </w:pPr>
                <w:r w:rsidRPr="001E6B07">
                  <w:rPr>
                    <w:rFonts w:ascii="Palatino Linotype" w:eastAsia="Palatino Linotype" w:hAnsi="Palatino Linotype" w:cs="Palatino Linotype"/>
                    <w:b/>
                    <w:szCs w:val="22"/>
                  </w:rPr>
                  <w:t>Recurrente:</w:t>
                </w:r>
              </w:p>
            </w:tc>
            <w:tc>
              <w:tcPr>
                <w:tcW w:w="4965" w:type="dxa"/>
                <w:shd w:val="clear" w:color="auto" w:fill="auto"/>
              </w:tcPr>
              <w:p w:rsidR="0035018E" w:rsidRPr="001E6B07" w:rsidRDefault="0035018E" w:rsidP="001E6B07">
                <w:pPr>
                  <w:tabs>
                    <w:tab w:val="left" w:pos="3122"/>
                    <w:tab w:val="right" w:pos="8838"/>
                  </w:tabs>
                  <w:ind w:left="-111" w:right="-1269" w:firstLine="111"/>
                  <w:rPr>
                    <w:rFonts w:ascii="Palatino Linotype" w:eastAsia="Palatino Linotype" w:hAnsi="Palatino Linotype" w:cs="Palatino Linotype"/>
                    <w:szCs w:val="22"/>
                  </w:rPr>
                </w:pPr>
              </w:p>
            </w:tc>
          </w:tr>
          <w:tr w:rsidR="0035018E" w:rsidTr="001E6B07">
            <w:trPr>
              <w:trHeight w:val="283"/>
            </w:trPr>
            <w:tc>
              <w:tcPr>
                <w:tcW w:w="2974" w:type="dxa"/>
                <w:shd w:val="clear" w:color="auto" w:fill="auto"/>
              </w:tcPr>
              <w:p w:rsidR="0035018E" w:rsidRPr="001E6B07" w:rsidRDefault="0035018E" w:rsidP="001E6B07">
                <w:pPr>
                  <w:tabs>
                    <w:tab w:val="right" w:pos="8838"/>
                  </w:tabs>
                  <w:ind w:left="-111" w:right="-105" w:firstLine="111"/>
                  <w:rPr>
                    <w:rFonts w:ascii="Palatino Linotype" w:eastAsia="Palatino Linotype" w:hAnsi="Palatino Linotype" w:cs="Palatino Linotype"/>
                    <w:b/>
                    <w:szCs w:val="22"/>
                  </w:rPr>
                </w:pPr>
                <w:r w:rsidRPr="001E6B07">
                  <w:rPr>
                    <w:rFonts w:ascii="Palatino Linotype" w:eastAsia="Palatino Linotype" w:hAnsi="Palatino Linotype" w:cs="Palatino Linotype"/>
                    <w:b/>
                    <w:szCs w:val="22"/>
                  </w:rPr>
                  <w:t>Sujeto Obligado:</w:t>
                </w:r>
              </w:p>
            </w:tc>
            <w:tc>
              <w:tcPr>
                <w:tcW w:w="4965" w:type="dxa"/>
                <w:shd w:val="clear" w:color="auto" w:fill="auto"/>
              </w:tcPr>
              <w:p w:rsidR="0035018E" w:rsidRPr="001E6B07" w:rsidRDefault="0035018E" w:rsidP="001E6B07">
                <w:pPr>
                  <w:tabs>
                    <w:tab w:val="left" w:pos="2834"/>
                    <w:tab w:val="right" w:pos="8838"/>
                  </w:tabs>
                  <w:ind w:left="-111" w:right="-1269" w:firstLine="111"/>
                  <w:rPr>
                    <w:rFonts w:ascii="Palatino Linotype" w:eastAsia="Palatino Linotype" w:hAnsi="Palatino Linotype" w:cs="Palatino Linotype"/>
                    <w:bCs/>
                    <w:szCs w:val="22"/>
                  </w:rPr>
                </w:pPr>
                <w:r w:rsidRPr="001E6B07">
                  <w:rPr>
                    <w:rFonts w:ascii="Palatino Linotype" w:eastAsia="Palatino Linotype" w:hAnsi="Palatino Linotype" w:cs="Palatino Linotype"/>
                    <w:bCs/>
                    <w:szCs w:val="22"/>
                  </w:rPr>
                  <w:t>Ayuntamiento de Toluca</w:t>
                </w:r>
              </w:p>
            </w:tc>
          </w:tr>
          <w:tr w:rsidR="0035018E" w:rsidTr="001E6B07">
            <w:trPr>
              <w:trHeight w:val="283"/>
            </w:trPr>
            <w:tc>
              <w:tcPr>
                <w:tcW w:w="2974" w:type="dxa"/>
                <w:shd w:val="clear" w:color="auto" w:fill="auto"/>
              </w:tcPr>
              <w:p w:rsidR="0035018E" w:rsidRPr="001E6B07" w:rsidRDefault="0035018E" w:rsidP="001E6B07">
                <w:pPr>
                  <w:tabs>
                    <w:tab w:val="right" w:pos="8838"/>
                  </w:tabs>
                  <w:ind w:left="-111" w:right="-105" w:firstLine="111"/>
                  <w:rPr>
                    <w:rFonts w:ascii="Palatino Linotype" w:eastAsia="Palatino Linotype" w:hAnsi="Palatino Linotype" w:cs="Palatino Linotype"/>
                    <w:b/>
                    <w:szCs w:val="22"/>
                  </w:rPr>
                </w:pPr>
                <w:r w:rsidRPr="001E6B07">
                  <w:rPr>
                    <w:rFonts w:ascii="Palatino Linotype" w:eastAsia="Palatino Linotype" w:hAnsi="Palatino Linotype" w:cs="Palatino Linotype"/>
                    <w:b/>
                    <w:szCs w:val="22"/>
                  </w:rPr>
                  <w:t>Comisionado ponente:</w:t>
                </w:r>
              </w:p>
            </w:tc>
            <w:tc>
              <w:tcPr>
                <w:tcW w:w="4965" w:type="dxa"/>
                <w:shd w:val="clear" w:color="auto" w:fill="auto"/>
              </w:tcPr>
              <w:p w:rsidR="0035018E" w:rsidRPr="001E6B07" w:rsidRDefault="0035018E" w:rsidP="001E6B07">
                <w:pPr>
                  <w:tabs>
                    <w:tab w:val="right" w:pos="8838"/>
                  </w:tabs>
                  <w:ind w:left="-111" w:right="-1269" w:firstLine="111"/>
                  <w:rPr>
                    <w:rFonts w:ascii="Palatino Linotype" w:eastAsia="Palatino Linotype" w:hAnsi="Palatino Linotype" w:cs="Palatino Linotype"/>
                    <w:szCs w:val="22"/>
                  </w:rPr>
                </w:pPr>
                <w:r w:rsidRPr="001E6B07">
                  <w:rPr>
                    <w:rFonts w:ascii="Palatino Linotype" w:eastAsia="Palatino Linotype" w:hAnsi="Palatino Linotype" w:cs="Palatino Linotype"/>
                    <w:szCs w:val="22"/>
                  </w:rPr>
                  <w:t>María del Rosario Mejía Ayala</w:t>
                </w:r>
              </w:p>
              <w:p w:rsidR="0035018E" w:rsidRPr="001E6B07" w:rsidRDefault="0035018E" w:rsidP="001E6B07">
                <w:pPr>
                  <w:tabs>
                    <w:tab w:val="right" w:pos="8838"/>
                  </w:tabs>
                  <w:ind w:left="-111" w:right="-1269" w:firstLine="111"/>
                  <w:rPr>
                    <w:rFonts w:ascii="Palatino Linotype" w:eastAsia="Palatino Linotype" w:hAnsi="Palatino Linotype" w:cs="Palatino Linotype"/>
                    <w:b/>
                    <w:szCs w:val="22"/>
                  </w:rPr>
                </w:pPr>
              </w:p>
            </w:tc>
          </w:tr>
        </w:tbl>
        <w:p w:rsidR="0035018E" w:rsidRDefault="0035018E">
          <w:pPr>
            <w:tabs>
              <w:tab w:val="right" w:pos="8838"/>
            </w:tabs>
            <w:ind w:left="-28"/>
            <w:jc w:val="both"/>
            <w:rPr>
              <w:rFonts w:ascii="Arial" w:eastAsia="Arial" w:hAnsi="Arial" w:cs="Arial"/>
              <w:b/>
              <w:sz w:val="22"/>
              <w:szCs w:val="22"/>
            </w:rPr>
          </w:pPr>
        </w:p>
      </w:tc>
    </w:tr>
  </w:tbl>
  <w:p w:rsidR="0035018E" w:rsidRDefault="00EE0637">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17.6pt;width:589.8pt;height:768pt;z-index:-25165772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130EE"/>
    <w:multiLevelType w:val="multilevel"/>
    <w:tmpl w:val="D2ACB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8E5783"/>
    <w:multiLevelType w:val="hybridMultilevel"/>
    <w:tmpl w:val="88C0C32E"/>
    <w:lvl w:ilvl="0" w:tplc="9904A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9F7134F"/>
    <w:multiLevelType w:val="hybridMultilevel"/>
    <w:tmpl w:val="FD16D53E"/>
    <w:lvl w:ilvl="0" w:tplc="5EE60C94">
      <w:numFmt w:val="bullet"/>
      <w:lvlText w:val="-"/>
      <w:lvlJc w:val="left"/>
      <w:pPr>
        <w:ind w:left="1080" w:hanging="360"/>
      </w:pPr>
      <w:rPr>
        <w:rFonts w:ascii="Times New Roman" w:eastAsia="Times New Roman" w:hAnsi="Times New Roman" w:cs="Times New Roman" w:hint="default"/>
        <w:sz w:val="24"/>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34317490"/>
    <w:multiLevelType w:val="hybridMultilevel"/>
    <w:tmpl w:val="A37E806A"/>
    <w:lvl w:ilvl="0" w:tplc="FB0C99F4">
      <w:start w:val="1"/>
      <w:numFmt w:val="decimal"/>
      <w:lvlText w:val="%1."/>
      <w:lvlJc w:val="left"/>
      <w:pPr>
        <w:ind w:left="720" w:hanging="360"/>
      </w:pPr>
      <w:rPr>
        <w:rFonts w:ascii="Palatino Linotype" w:hAnsi="Palatino Linotype" w:hint="default"/>
        <w:b/>
        <w:i w:val="0"/>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D4A7417"/>
    <w:multiLevelType w:val="multilevel"/>
    <w:tmpl w:val="54BAF602"/>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D61365"/>
    <w:multiLevelType w:val="multilevel"/>
    <w:tmpl w:val="54BAF602"/>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75656C"/>
    <w:multiLevelType w:val="multilevel"/>
    <w:tmpl w:val="54BAF602"/>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F53B1E"/>
    <w:multiLevelType w:val="hybridMultilevel"/>
    <w:tmpl w:val="F24E4252"/>
    <w:lvl w:ilvl="0" w:tplc="3FB4391A">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6B9F0C8D"/>
    <w:multiLevelType w:val="multilevel"/>
    <w:tmpl w:val="4E8E0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DD95CB9"/>
    <w:multiLevelType w:val="multilevel"/>
    <w:tmpl w:val="DD72E26C"/>
    <w:lvl w:ilvl="0">
      <w:start w:val="1"/>
      <w:numFmt w:val="decimal"/>
      <w:lvlText w:val="%1."/>
      <w:lvlJc w:val="left"/>
      <w:pPr>
        <w:ind w:left="502"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9"/>
  </w:num>
  <w:num w:numId="3">
    <w:abstractNumId w:val="8"/>
  </w:num>
  <w:num w:numId="4">
    <w:abstractNumId w:val="6"/>
  </w:num>
  <w:num w:numId="5">
    <w:abstractNumId w:val="7"/>
  </w:num>
  <w:num w:numId="6">
    <w:abstractNumId w:val="5"/>
  </w:num>
  <w:num w:numId="7">
    <w:abstractNumId w:val="2"/>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DB"/>
    <w:rsid w:val="001E6B07"/>
    <w:rsid w:val="0035018E"/>
    <w:rsid w:val="0037602A"/>
    <w:rsid w:val="004944C7"/>
    <w:rsid w:val="00504234"/>
    <w:rsid w:val="005900FF"/>
    <w:rsid w:val="00624563"/>
    <w:rsid w:val="006A71CA"/>
    <w:rsid w:val="006B1679"/>
    <w:rsid w:val="006B4CF3"/>
    <w:rsid w:val="00730CE9"/>
    <w:rsid w:val="00930AD3"/>
    <w:rsid w:val="009B11CC"/>
    <w:rsid w:val="00AB7942"/>
    <w:rsid w:val="00B316DB"/>
    <w:rsid w:val="00B81AE3"/>
    <w:rsid w:val="00B91613"/>
    <w:rsid w:val="00C805D4"/>
    <w:rsid w:val="00C851DF"/>
    <w:rsid w:val="00D34234"/>
    <w:rsid w:val="00EA5237"/>
    <w:rsid w:val="00EE0637"/>
    <w:rsid w:val="00F25D9B"/>
    <w:rsid w:val="00F82678"/>
    <w:rsid w:val="00FB59AB"/>
    <w:rsid w:val="00FB5DE2"/>
    <w:rsid w:val="00FE3A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FEFD5DB7-EADD-4D61-8B09-EE383A1B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6DB"/>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B316DB"/>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B316D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6DB"/>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B316DB"/>
    <w:rPr>
      <w:rFonts w:asciiTheme="majorHAnsi" w:eastAsiaTheme="majorEastAsia" w:hAnsiTheme="majorHAnsi" w:cstheme="majorBidi"/>
      <w:color w:val="2E74B5" w:themeColor="accent1" w:themeShade="BF"/>
      <w:sz w:val="26"/>
      <w:szCs w:val="26"/>
      <w:lang w:eastAsia="es-MX"/>
    </w:rPr>
  </w:style>
  <w:style w:type="character" w:styleId="Hipervnculo">
    <w:name w:val="Hyperlink"/>
    <w:aliases w:val="Hipervínculo1,Hipervínculo11,Hipervínculo12,Hipervínculo13,Hipervínculo14,Hipervínculo15"/>
    <w:basedOn w:val="Fuentedeprrafopredeter"/>
    <w:uiPriority w:val="99"/>
    <w:unhideWhenUsed/>
    <w:rsid w:val="00B316DB"/>
    <w:rPr>
      <w:color w:val="0563C1"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6D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316DB"/>
    <w:rPr>
      <w:rFonts w:ascii="Times New Roman" w:eastAsia="Times New Roman" w:hAnsi="Times New Roman" w:cs="Times New Roman"/>
      <w:sz w:val="24"/>
      <w:szCs w:val="24"/>
      <w:lang w:eastAsia="es-MX"/>
    </w:rPr>
  </w:style>
  <w:style w:type="table" w:styleId="Tablanormal1">
    <w:name w:val="Plain Table 1"/>
    <w:basedOn w:val="Tablanormal"/>
    <w:uiPriority w:val="41"/>
    <w:rsid w:val="00B316D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aliases w:val="Francesa,INAI"/>
    <w:link w:val="SinespaciadoCar"/>
    <w:uiPriority w:val="1"/>
    <w:qFormat/>
    <w:rsid w:val="00B316DB"/>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Francesa Car,INAI Car"/>
    <w:basedOn w:val="Fuentedeprrafopredeter"/>
    <w:link w:val="Sinespaciado"/>
    <w:uiPriority w:val="1"/>
    <w:qFormat/>
    <w:rsid w:val="00B316DB"/>
    <w:rPr>
      <w:rFonts w:ascii="Arial" w:eastAsia="Batang" w:hAnsi="Arial" w:cs="Times New Roman"/>
      <w:sz w:val="20"/>
      <w:szCs w:val="24"/>
      <w:lang w:eastAsia="es-ES"/>
    </w:rPr>
  </w:style>
  <w:style w:type="paragraph" w:styleId="Piedepgina">
    <w:name w:val="footer"/>
    <w:basedOn w:val="Normal"/>
    <w:link w:val="PiedepginaCar"/>
    <w:uiPriority w:val="99"/>
    <w:unhideWhenUsed/>
    <w:rsid w:val="00B316DB"/>
    <w:pPr>
      <w:tabs>
        <w:tab w:val="center" w:pos="4419"/>
        <w:tab w:val="right" w:pos="8838"/>
      </w:tabs>
    </w:pPr>
  </w:style>
  <w:style w:type="character" w:customStyle="1" w:styleId="PiedepginaCar">
    <w:name w:val="Pie de página Car"/>
    <w:basedOn w:val="Fuentedeprrafopredeter"/>
    <w:link w:val="Piedepgina"/>
    <w:uiPriority w:val="99"/>
    <w:rsid w:val="00B316DB"/>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99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05900.pag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aimex.org.mx/saimex/solicitud/downloadAttach/2505341.page"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aimex.org.mx/saimex/solicitud/downloadAttach/2512444.page" TargetMode="External"/><Relationship Id="rId4" Type="http://schemas.openxmlformats.org/officeDocument/2006/relationships/webSettings" Target="webSettings.xml"/><Relationship Id="rId9" Type="http://schemas.openxmlformats.org/officeDocument/2006/relationships/hyperlink" Target="https://saimex.org.mx/saimex/solicitud/downloadAttach/2511518.page"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22</Pages>
  <Words>4889</Words>
  <Characters>26890</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9</cp:revision>
  <cp:lastPrinted>2026-02-20T16:00:00Z</cp:lastPrinted>
  <dcterms:created xsi:type="dcterms:W3CDTF">2026-02-16T18:10:00Z</dcterms:created>
  <dcterms:modified xsi:type="dcterms:W3CDTF">2026-02-25T17:39:00Z</dcterms:modified>
</cp:coreProperties>
</file>