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7271F" w14:textId="21FA3FD6" w:rsidR="009268A3" w:rsidRPr="00FE11D9" w:rsidRDefault="00750B54" w:rsidP="00FE11D9">
      <w:pPr>
        <w:tabs>
          <w:tab w:val="left" w:pos="3465"/>
        </w:tabs>
        <w:spacing w:before="240" w:after="360" w:line="360" w:lineRule="auto"/>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E00028">
        <w:rPr>
          <w:rFonts w:ascii="Palatino Linotype" w:eastAsia="Palatino Linotype" w:hAnsi="Palatino Linotype" w:cs="Palatino Linotype"/>
          <w:b/>
          <w:color w:val="000000" w:themeColor="text1"/>
        </w:rPr>
        <w:t xml:space="preserve">de fecha catorce (14) </w:t>
      </w:r>
      <w:r w:rsidR="00E00028" w:rsidRPr="00157555">
        <w:rPr>
          <w:rFonts w:ascii="Palatino Linotype" w:eastAsia="Palatino Linotype" w:hAnsi="Palatino Linotype" w:cs="Palatino Linotype"/>
          <w:b/>
          <w:color w:val="000000" w:themeColor="text1"/>
        </w:rPr>
        <w:t xml:space="preserve">de </w:t>
      </w:r>
      <w:r w:rsidR="00E00028">
        <w:rPr>
          <w:rFonts w:ascii="Palatino Linotype" w:eastAsia="Palatino Linotype" w:hAnsi="Palatino Linotype" w:cs="Palatino Linotype"/>
          <w:b/>
          <w:color w:val="000000" w:themeColor="text1"/>
        </w:rPr>
        <w:t xml:space="preserve">enero </w:t>
      </w:r>
      <w:r w:rsidR="00E00028" w:rsidRPr="00157555">
        <w:rPr>
          <w:rFonts w:ascii="Palatino Linotype" w:eastAsia="Palatino Linotype" w:hAnsi="Palatino Linotype" w:cs="Palatino Linotype"/>
          <w:b/>
          <w:color w:val="000000" w:themeColor="text1"/>
        </w:rPr>
        <w:t xml:space="preserve">de dos mil </w:t>
      </w:r>
      <w:r w:rsidR="00E00028">
        <w:rPr>
          <w:rFonts w:ascii="Palatino Linotype" w:eastAsia="Palatino Linotype" w:hAnsi="Palatino Linotype" w:cs="Palatino Linotype"/>
          <w:b/>
          <w:color w:val="000000" w:themeColor="text1"/>
        </w:rPr>
        <w:t>veintiséis</w:t>
      </w:r>
      <w:r w:rsidRPr="00FE11D9">
        <w:rPr>
          <w:rFonts w:ascii="Palatino Linotype" w:eastAsia="Palatino Linotype" w:hAnsi="Palatino Linotype" w:cs="Palatino Linotype"/>
          <w:b/>
          <w:bCs/>
          <w:color w:val="000000" w:themeColor="text1"/>
        </w:rPr>
        <w:t>.</w:t>
      </w:r>
    </w:p>
    <w:p w14:paraId="23C49F8A" w14:textId="4A77A635" w:rsidR="009268A3" w:rsidRDefault="00750B54" w:rsidP="00FE11D9">
      <w:pPr>
        <w:tabs>
          <w:tab w:val="left" w:pos="3465"/>
        </w:tabs>
        <w:spacing w:before="240" w:after="360"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bCs/>
          <w:color w:val="000000" w:themeColor="text1"/>
        </w:rPr>
        <w:t>VISTO</w:t>
      </w:r>
      <w:r w:rsidRPr="00FE11D9">
        <w:rPr>
          <w:rFonts w:ascii="Palatino Linotype" w:eastAsia="Palatino Linotype" w:hAnsi="Palatino Linotype" w:cs="Palatino Linotype"/>
          <w:color w:val="000000" w:themeColor="text1"/>
        </w:rPr>
        <w:t xml:space="preserve"> el expediente electrónico formado con motivo del recurso de revisión </w:t>
      </w:r>
      <w:r w:rsidRPr="00FE11D9">
        <w:rPr>
          <w:rFonts w:ascii="Palatino Linotype" w:eastAsia="Palatino Linotype" w:hAnsi="Palatino Linotype" w:cs="Palatino Linotype"/>
          <w:b/>
          <w:bCs/>
          <w:color w:val="000000" w:themeColor="text1"/>
        </w:rPr>
        <w:t>07373/INFOEM/IP/RR/2025</w:t>
      </w:r>
      <w:r w:rsidRPr="00FE11D9">
        <w:rPr>
          <w:rFonts w:ascii="Palatino Linotype" w:eastAsia="Palatino Linotype" w:hAnsi="Palatino Linotype" w:cs="Palatino Linotype"/>
          <w:color w:val="000000" w:themeColor="text1"/>
        </w:rPr>
        <w:t xml:space="preserve">, interpuesto por </w:t>
      </w:r>
      <w:r w:rsidR="005057BB">
        <w:rPr>
          <w:rFonts w:ascii="Palatino Linotype" w:eastAsia="Palatino Linotype" w:hAnsi="Palatino Linotype" w:cs="Palatino Linotype"/>
          <w:b/>
          <w:bCs/>
          <w:color w:val="000000" w:themeColor="text1"/>
        </w:rPr>
        <w:t>XXXX</w:t>
      </w:r>
      <w:r w:rsidRPr="00FE11D9">
        <w:rPr>
          <w:rFonts w:ascii="Palatino Linotype" w:eastAsia="Palatino Linotype" w:hAnsi="Palatino Linotype" w:cs="Palatino Linotype"/>
          <w:b/>
          <w:bCs/>
          <w:color w:val="000000" w:themeColor="text1"/>
        </w:rPr>
        <w:t xml:space="preserve">, </w:t>
      </w:r>
      <w:r w:rsidR="00966F8A">
        <w:rPr>
          <w:rFonts w:ascii="Palatino Linotype" w:eastAsia="Palatino Linotype" w:hAnsi="Palatino Linotype" w:cs="Palatino Linotype"/>
          <w:color w:val="000000" w:themeColor="text1"/>
        </w:rPr>
        <w:t>en lo sucesivo</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b/>
          <w:bCs/>
          <w:color w:val="000000" w:themeColor="text1"/>
        </w:rPr>
        <w:t>EL RECURRENTE</w:t>
      </w:r>
      <w:r w:rsidRPr="00FE11D9">
        <w:rPr>
          <w:rFonts w:ascii="Palatino Linotype" w:eastAsia="Palatino Linotype" w:hAnsi="Palatino Linotype" w:cs="Palatino Linotype"/>
          <w:color w:val="000000" w:themeColor="text1"/>
        </w:rPr>
        <w:t>; en contra de la respuesta</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 xml:space="preserve">del </w:t>
      </w:r>
      <w:r w:rsidRPr="00FE11D9">
        <w:rPr>
          <w:rFonts w:ascii="Palatino Linotype" w:eastAsia="Palatino Linotype" w:hAnsi="Palatino Linotype" w:cs="Palatino Linotype"/>
          <w:b/>
          <w:bCs/>
          <w:color w:val="000000" w:themeColor="text1"/>
        </w:rPr>
        <w:t>Organismo Público Descentralizado para la Prestación de los Servicios de Agua Potable, Alcantarillado y Saneamiento de Teoloyucan</w:t>
      </w:r>
      <w:r w:rsidR="00966F8A">
        <w:rPr>
          <w:rFonts w:ascii="Palatino Linotype" w:eastAsia="Palatino Linotype" w:hAnsi="Palatino Linotype" w:cs="Palatino Linotype"/>
          <w:color w:val="000000" w:themeColor="text1"/>
        </w:rPr>
        <w:t>, en adelante</w:t>
      </w:r>
      <w:r w:rsidRPr="00FE11D9">
        <w:rPr>
          <w:rFonts w:ascii="Palatino Linotype" w:eastAsia="Palatino Linotype" w:hAnsi="Palatino Linotype" w:cs="Palatino Linotype"/>
          <w:color w:val="000000" w:themeColor="text1"/>
        </w:rPr>
        <w:t xml:space="preserve"> el</w:t>
      </w:r>
      <w:r w:rsidRPr="00FE11D9">
        <w:rPr>
          <w:rFonts w:ascii="Palatino Linotype" w:eastAsia="Palatino Linotype" w:hAnsi="Palatino Linotype" w:cs="Palatino Linotype"/>
          <w:b/>
          <w:bCs/>
          <w:color w:val="000000" w:themeColor="text1"/>
        </w:rPr>
        <w:t xml:space="preserve"> SUJETO OBLIGADO</w:t>
      </w:r>
      <w:r w:rsidRPr="00FE11D9">
        <w:rPr>
          <w:rFonts w:ascii="Palatino Linotype" w:eastAsia="Palatino Linotype" w:hAnsi="Palatino Linotype" w:cs="Palatino Linotype"/>
          <w:color w:val="000000" w:themeColor="text1"/>
        </w:rPr>
        <w:t>,</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se procede a dictar la presente resolución, con base en los siguientes:</w:t>
      </w:r>
    </w:p>
    <w:p w14:paraId="6B3016B1" w14:textId="77777777" w:rsidR="005057BB" w:rsidRPr="00FE11D9" w:rsidRDefault="005057BB" w:rsidP="00FE11D9">
      <w:pPr>
        <w:tabs>
          <w:tab w:val="left" w:pos="3465"/>
        </w:tabs>
        <w:spacing w:before="240" w:after="360" w:line="360" w:lineRule="auto"/>
        <w:jc w:val="both"/>
        <w:rPr>
          <w:rFonts w:ascii="Palatino Linotype" w:eastAsia="Palatino Linotype" w:hAnsi="Palatino Linotype" w:cs="Palatino Linotype"/>
          <w:color w:val="000000" w:themeColor="text1"/>
        </w:rPr>
      </w:pPr>
    </w:p>
    <w:p w14:paraId="4B70FAB4" w14:textId="63046B60" w:rsidR="009268A3" w:rsidRPr="00FE11D9" w:rsidRDefault="00750B54" w:rsidP="00FE11D9">
      <w:pPr>
        <w:keepNext/>
        <w:keepLines/>
        <w:spacing w:line="360" w:lineRule="auto"/>
        <w:jc w:val="center"/>
        <w:rPr>
          <w:rFonts w:ascii="Palatino Linotype" w:eastAsia="Palatino Linotype" w:hAnsi="Palatino Linotype" w:cs="Palatino Linotype"/>
          <w:b/>
          <w:bCs/>
          <w:color w:val="000000" w:themeColor="text1"/>
        </w:rPr>
      </w:pPr>
      <w:bookmarkStart w:id="0" w:name="_heading=h.1nhb4manvc0" w:colFirst="0" w:colLast="0"/>
      <w:bookmarkEnd w:id="0"/>
      <w:r w:rsidRPr="00FE11D9">
        <w:rPr>
          <w:rFonts w:ascii="Palatino Linotype" w:eastAsia="Palatino Linotype" w:hAnsi="Palatino Linotype" w:cs="Palatino Linotype"/>
          <w:b/>
          <w:bCs/>
          <w:color w:val="000000" w:themeColor="text1"/>
        </w:rPr>
        <w:t>A</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N</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T</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E</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C</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E</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D</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E</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N</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T</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E</w:t>
      </w:r>
      <w:r w:rsidR="00966F8A">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b/>
          <w:bCs/>
          <w:color w:val="000000" w:themeColor="text1"/>
        </w:rPr>
        <w:t>S</w:t>
      </w:r>
    </w:p>
    <w:p w14:paraId="484EB185" w14:textId="77777777" w:rsidR="009268A3" w:rsidRPr="00FE11D9" w:rsidRDefault="009268A3" w:rsidP="00FE11D9">
      <w:pPr>
        <w:tabs>
          <w:tab w:val="left" w:pos="426"/>
        </w:tabs>
        <w:spacing w:line="360" w:lineRule="auto"/>
        <w:jc w:val="both"/>
        <w:rPr>
          <w:rFonts w:ascii="Palatino Linotype" w:eastAsia="Palatino Linotype" w:hAnsi="Palatino Linotype" w:cs="Palatino Linotype"/>
          <w:color w:val="000000" w:themeColor="text1"/>
        </w:rPr>
      </w:pPr>
    </w:p>
    <w:p w14:paraId="0DFD04E6" w14:textId="39869F65" w:rsidR="009268A3" w:rsidRPr="00FE11D9" w:rsidRDefault="00750B54" w:rsidP="00FE11D9">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El </w:t>
      </w:r>
      <w:r w:rsidRPr="00FE11D9">
        <w:rPr>
          <w:rFonts w:ascii="Palatino Linotype" w:eastAsia="Palatino Linotype" w:hAnsi="Palatino Linotype" w:cs="Palatino Linotype"/>
          <w:b/>
          <w:bCs/>
          <w:color w:val="000000" w:themeColor="text1"/>
        </w:rPr>
        <w:t>cinco de junio de dos mil veinticinco</w:t>
      </w:r>
      <w:r w:rsidRPr="00FE11D9">
        <w:rPr>
          <w:rFonts w:ascii="Palatino Linotype" w:eastAsia="Palatino Linotype" w:hAnsi="Palatino Linotype" w:cs="Palatino Linotype"/>
          <w:color w:val="000000" w:themeColor="text1"/>
        </w:rPr>
        <w:t>, el particular presentó</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 xml:space="preserve">a través del Sistema de Acceso a la Información Mexiquense (SAIMEX), la solicitud de información pública registrada con el número </w:t>
      </w:r>
      <w:r w:rsidRPr="00FE11D9">
        <w:rPr>
          <w:rFonts w:ascii="Palatino Linotype" w:eastAsia="Palatino Linotype" w:hAnsi="Palatino Linotype" w:cs="Palatino Linotype"/>
          <w:b/>
          <w:bCs/>
          <w:color w:val="000000" w:themeColor="text1"/>
        </w:rPr>
        <w:t>0</w:t>
      </w:r>
      <w:r w:rsidR="00486B00" w:rsidRPr="00FE11D9">
        <w:rPr>
          <w:rFonts w:ascii="Palatino Linotype" w:eastAsia="Palatino Linotype" w:hAnsi="Palatino Linotype" w:cs="Palatino Linotype"/>
          <w:b/>
          <w:bCs/>
          <w:color w:val="000000" w:themeColor="text1"/>
        </w:rPr>
        <w:t>0122</w:t>
      </w:r>
      <w:r w:rsidRPr="00FE11D9">
        <w:rPr>
          <w:rFonts w:ascii="Palatino Linotype" w:eastAsia="Palatino Linotype" w:hAnsi="Palatino Linotype" w:cs="Palatino Linotype"/>
          <w:b/>
          <w:bCs/>
          <w:color w:val="000000" w:themeColor="text1"/>
        </w:rPr>
        <w:t>/</w:t>
      </w:r>
      <w:r w:rsidR="00486B00" w:rsidRPr="00FE11D9">
        <w:rPr>
          <w:rFonts w:ascii="Palatino Linotype" w:eastAsia="Palatino Linotype" w:hAnsi="Palatino Linotype" w:cs="Palatino Linotype"/>
          <w:b/>
          <w:bCs/>
          <w:color w:val="000000" w:themeColor="text1"/>
        </w:rPr>
        <w:t>OPDTEOLOYUCAN</w:t>
      </w:r>
      <w:r w:rsidRPr="00FE11D9">
        <w:rPr>
          <w:rFonts w:ascii="Palatino Linotype" w:eastAsia="Palatino Linotype" w:hAnsi="Palatino Linotype" w:cs="Palatino Linotype"/>
          <w:b/>
          <w:bCs/>
          <w:color w:val="000000" w:themeColor="text1"/>
        </w:rPr>
        <w:t>/IP/2025,</w:t>
      </w:r>
      <w:r w:rsidRPr="00FE11D9">
        <w:rPr>
          <w:rFonts w:ascii="Palatino Linotype" w:eastAsia="Palatino Linotype" w:hAnsi="Palatino Linotype" w:cs="Palatino Linotype"/>
          <w:color w:val="000000" w:themeColor="text1"/>
        </w:rPr>
        <w:t xml:space="preserve"> </w:t>
      </w:r>
      <w:r w:rsidR="00966F8A">
        <w:rPr>
          <w:rFonts w:ascii="Palatino Linotype" w:eastAsia="Palatino Linotype" w:hAnsi="Palatino Linotype" w:cs="Palatino Linotype"/>
          <w:color w:val="000000" w:themeColor="text1"/>
        </w:rPr>
        <w:t>en la</w:t>
      </w:r>
      <w:r w:rsidRPr="00FE11D9">
        <w:rPr>
          <w:rFonts w:ascii="Palatino Linotype" w:eastAsia="Palatino Linotype" w:hAnsi="Palatino Linotype" w:cs="Palatino Linotype"/>
          <w:color w:val="000000" w:themeColor="text1"/>
        </w:rPr>
        <w:t xml:space="preserve"> que requirió lo siguiente:</w:t>
      </w:r>
    </w:p>
    <w:p w14:paraId="3EB1AD44" w14:textId="77777777" w:rsidR="009268A3" w:rsidRPr="00FE11D9" w:rsidRDefault="009268A3" w:rsidP="00FE11D9">
      <w:pPr>
        <w:spacing w:line="276" w:lineRule="auto"/>
        <w:jc w:val="both"/>
        <w:rPr>
          <w:rFonts w:ascii="Palatino Linotype" w:eastAsia="Palatino Linotype" w:hAnsi="Palatino Linotype" w:cs="Palatino Linotype"/>
          <w:i/>
          <w:iCs/>
          <w:color w:val="000000" w:themeColor="text1"/>
        </w:rPr>
      </w:pPr>
    </w:p>
    <w:p w14:paraId="4150EF02" w14:textId="77777777" w:rsidR="009268A3" w:rsidRPr="00FE11D9" w:rsidRDefault="00750B54" w:rsidP="00FE11D9">
      <w:pPr>
        <w:spacing w:line="276" w:lineRule="auto"/>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 “SOLICITO POR ESTE MEDIO LOS PAGOS DE COMBUSTIBLE DE LOS MESES ENERO , FEBRERO , MARZO Y ABRIL CON COPIA DE SU EXPEDIENTE DE PAGO DEL PROVEEDOR TAL Y COMO SE MANDA EN SUINFORME AL OSFEM” (Sic).</w:t>
      </w:r>
    </w:p>
    <w:p w14:paraId="58EDE961"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3A1F1D48" w14:textId="77777777" w:rsidR="009268A3" w:rsidRPr="00FE11D9" w:rsidRDefault="00750B54" w:rsidP="00FE11D9">
      <w:pPr>
        <w:numPr>
          <w:ilvl w:val="0"/>
          <w:numId w:val="1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Modalidad de entrega de la información: a través del </w:t>
      </w:r>
      <w:r w:rsidRPr="00FE11D9">
        <w:rPr>
          <w:rFonts w:ascii="Palatino Linotype" w:eastAsia="Palatino Linotype" w:hAnsi="Palatino Linotype" w:cs="Palatino Linotype"/>
          <w:b/>
          <w:bCs/>
          <w:color w:val="000000" w:themeColor="text1"/>
        </w:rPr>
        <w:t>SAIMEX.</w:t>
      </w:r>
    </w:p>
    <w:p w14:paraId="33EBB7A3" w14:textId="77777777" w:rsidR="009268A3" w:rsidRPr="00FE11D9" w:rsidRDefault="00750B54" w:rsidP="00FE11D9">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 xml:space="preserve">De las constancias que integran el expediente electrónico se observa que en fecha </w:t>
      </w:r>
      <w:r w:rsidRPr="00FE11D9">
        <w:rPr>
          <w:rFonts w:ascii="Palatino Linotype" w:eastAsia="Palatino Linotype" w:hAnsi="Palatino Linotype" w:cs="Palatino Linotype"/>
          <w:b/>
          <w:bCs/>
          <w:color w:val="000000" w:themeColor="text1"/>
        </w:rPr>
        <w:t>diecisiete de junio de dos mil veinticinco</w:t>
      </w:r>
      <w:r w:rsidRPr="00FE11D9">
        <w:rPr>
          <w:rFonts w:ascii="Palatino Linotype" w:eastAsia="Palatino Linotype" w:hAnsi="Palatino Linotype" w:cs="Palatino Linotype"/>
          <w:color w:val="000000" w:themeColor="text1"/>
        </w:rPr>
        <w:t xml:space="preserve"> el </w:t>
      </w:r>
      <w:r w:rsidRPr="00FE11D9">
        <w:rPr>
          <w:rFonts w:ascii="Palatino Linotype" w:eastAsia="Palatino Linotype" w:hAnsi="Palatino Linotype" w:cs="Palatino Linotype"/>
          <w:b/>
          <w:bCs/>
          <w:color w:val="000000" w:themeColor="text1"/>
        </w:rPr>
        <w:t xml:space="preserve">SUJETO OBLIGADO </w:t>
      </w:r>
      <w:r w:rsidRPr="00FE11D9">
        <w:rPr>
          <w:rFonts w:ascii="Palatino Linotype" w:eastAsia="Palatino Linotype" w:hAnsi="Palatino Linotype" w:cs="Palatino Linotype"/>
          <w:color w:val="000000" w:themeColor="text1"/>
        </w:rPr>
        <w:t xml:space="preserve"> dio respuesta a la solicitud de información </w:t>
      </w:r>
      <w:r w:rsidRPr="00FE11D9">
        <w:rPr>
          <w:rFonts w:ascii="Palatino Linotype" w:eastAsia="Palatino Linotype" w:hAnsi="Palatino Linotype" w:cs="Palatino Linotype"/>
          <w:b/>
          <w:bCs/>
          <w:color w:val="000000" w:themeColor="text1"/>
        </w:rPr>
        <w:t>00122/OPDTEOLOYUCAN/IP/2025</w:t>
      </w:r>
      <w:r w:rsidRPr="00FE11D9">
        <w:rPr>
          <w:rFonts w:ascii="Palatino Linotype" w:eastAsia="Palatino Linotype" w:hAnsi="Palatino Linotype" w:cs="Palatino Linotype"/>
          <w:color w:val="000000" w:themeColor="text1"/>
        </w:rPr>
        <w:t xml:space="preserve">  mediante un archivo electrónico  en que a</w:t>
      </w:r>
      <w:r w:rsidRPr="00FE11D9">
        <w:rPr>
          <w:rFonts w:ascii="Palatino Linotype" w:eastAsia="Palatino Linotype" w:hAnsi="Palatino Linotype" w:cs="Palatino Linotype"/>
          <w:i/>
          <w:iCs/>
          <w:color w:val="000000" w:themeColor="text1"/>
        </w:rPr>
        <w:t xml:space="preserve"> grosso modo </w:t>
      </w:r>
      <w:r w:rsidRPr="00FE11D9">
        <w:rPr>
          <w:rFonts w:ascii="Palatino Linotype" w:eastAsia="Palatino Linotype" w:hAnsi="Palatino Linotype" w:cs="Palatino Linotype"/>
          <w:color w:val="000000" w:themeColor="text1"/>
        </w:rPr>
        <w:t>se manifiesta lo siguiente:</w:t>
      </w:r>
    </w:p>
    <w:p w14:paraId="50380873" w14:textId="77777777" w:rsidR="009268A3" w:rsidRPr="00FE11D9" w:rsidRDefault="00750B54" w:rsidP="00FE11D9">
      <w:pPr>
        <w:tabs>
          <w:tab w:val="left" w:pos="426"/>
        </w:tabs>
        <w:spacing w:line="360" w:lineRule="auto"/>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color w:val="000000" w:themeColor="text1"/>
        </w:rPr>
        <w:t>00122-OPDTEOLOYUCAN-IP-2025-RESPUESTA.pdf</w:t>
      </w:r>
      <w:r w:rsidRPr="00FE11D9">
        <w:rPr>
          <w:rFonts w:ascii="Palatino Linotype" w:hAnsi="Palatino Linotype"/>
          <w:color w:val="000000" w:themeColor="text1"/>
        </w:rPr>
        <w:t>:</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i/>
          <w:iCs/>
          <w:color w:val="000000" w:themeColor="text1"/>
        </w:rPr>
        <w:t>Donde el Subdirector de Administración y Finanzas</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i/>
          <w:iCs/>
          <w:color w:val="000000" w:themeColor="text1"/>
        </w:rPr>
        <w:t>informa que se ha hecho un análisis de la documentación requerida y excede la información en los plazos establecidos, la capacidad técnica y administrativa, por lo que pone a disposición del solicitante los documentos para consulta directa</w:t>
      </w:r>
    </w:p>
    <w:p w14:paraId="10A91632" w14:textId="77777777" w:rsidR="009268A3" w:rsidRPr="00FE11D9" w:rsidRDefault="009268A3" w:rsidP="00FE11D9">
      <w:pPr>
        <w:tabs>
          <w:tab w:val="left" w:pos="426"/>
        </w:tabs>
        <w:spacing w:line="360" w:lineRule="auto"/>
        <w:jc w:val="both"/>
        <w:rPr>
          <w:rFonts w:ascii="Palatino Linotype" w:eastAsia="Palatino Linotype" w:hAnsi="Palatino Linotype" w:cs="Palatino Linotype"/>
          <w:i/>
          <w:iCs/>
          <w:color w:val="000000" w:themeColor="text1"/>
        </w:rPr>
      </w:pPr>
    </w:p>
    <w:p w14:paraId="41C53DA7" w14:textId="77777777" w:rsidR="009268A3" w:rsidRPr="00FE11D9" w:rsidRDefault="00750B54" w:rsidP="00FE11D9">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Derivado de la respuesta, el </w:t>
      </w:r>
      <w:r w:rsidRPr="00FE11D9">
        <w:rPr>
          <w:rFonts w:ascii="Palatino Linotype" w:eastAsia="Palatino Linotype" w:hAnsi="Palatino Linotype" w:cs="Palatino Linotype"/>
          <w:b/>
          <w:bCs/>
          <w:color w:val="000000" w:themeColor="text1"/>
        </w:rPr>
        <w:t>dieciocho de junio de dos mil veinticinco,</w:t>
      </w:r>
      <w:r w:rsidRPr="00FE11D9">
        <w:rPr>
          <w:rFonts w:ascii="Palatino Linotype" w:eastAsia="Palatino Linotype" w:hAnsi="Palatino Linotype" w:cs="Palatino Linotype"/>
          <w:color w:val="000000" w:themeColor="text1"/>
        </w:rPr>
        <w:t xml:space="preserve"> el particular interpuso el recurso de revisión bajo el número de expediente </w:t>
      </w:r>
      <w:r w:rsidRPr="00FE11D9">
        <w:rPr>
          <w:rFonts w:ascii="Palatino Linotype" w:eastAsia="Palatino Linotype" w:hAnsi="Palatino Linotype" w:cs="Palatino Linotype"/>
          <w:b/>
          <w:bCs/>
          <w:color w:val="000000" w:themeColor="text1"/>
        </w:rPr>
        <w:t>07373/INFOEM/IP/RR/2025</w:t>
      </w:r>
      <w:r w:rsidRPr="00FE11D9">
        <w:rPr>
          <w:rFonts w:ascii="Palatino Linotype" w:eastAsia="Palatino Linotype" w:hAnsi="Palatino Linotype" w:cs="Palatino Linotype"/>
          <w:color w:val="000000" w:themeColor="text1"/>
        </w:rPr>
        <w:t>; impugnación en la que refirió lo siguiente:</w:t>
      </w:r>
    </w:p>
    <w:p w14:paraId="46DB0011" w14:textId="77777777" w:rsidR="009268A3" w:rsidRPr="00FE11D9" w:rsidRDefault="009268A3" w:rsidP="00FE11D9">
      <w:pPr>
        <w:tabs>
          <w:tab w:val="left" w:pos="426"/>
        </w:tabs>
        <w:spacing w:line="360" w:lineRule="auto"/>
        <w:jc w:val="both"/>
        <w:rPr>
          <w:rFonts w:ascii="Palatino Linotype" w:eastAsia="Palatino Linotype" w:hAnsi="Palatino Linotype" w:cs="Palatino Linotype"/>
          <w:color w:val="000000" w:themeColor="text1"/>
        </w:rPr>
      </w:pPr>
    </w:p>
    <w:p w14:paraId="5A9E6231" w14:textId="41931A66" w:rsidR="009268A3" w:rsidRPr="00966F8A" w:rsidRDefault="00966F8A" w:rsidP="00966F8A">
      <w:pPr>
        <w:pStyle w:val="Prrafodelista"/>
        <w:numPr>
          <w:ilvl w:val="0"/>
          <w:numId w:val="19"/>
        </w:numPr>
        <w:tabs>
          <w:tab w:val="left" w:pos="851"/>
        </w:tabs>
        <w:spacing w:line="276" w:lineRule="auto"/>
        <w:jc w:val="both"/>
        <w:rPr>
          <w:rFonts w:ascii="Palatino Linotype" w:eastAsia="Palatino Linotype" w:hAnsi="Palatino Linotype" w:cs="Palatino Linotype"/>
          <w:color w:val="000000" w:themeColor="text1"/>
        </w:rPr>
      </w:pPr>
      <w:r w:rsidRPr="00966F8A">
        <w:rPr>
          <w:rFonts w:ascii="Palatino Linotype" w:eastAsia="Palatino Linotype" w:hAnsi="Palatino Linotype" w:cs="Palatino Linotype"/>
          <w:b/>
          <w:bCs/>
          <w:color w:val="000000" w:themeColor="text1"/>
        </w:rPr>
        <w:t>ACTO IMPUGNADO:</w:t>
      </w:r>
      <w:r w:rsidRPr="00966F8A">
        <w:rPr>
          <w:rFonts w:ascii="Palatino Linotype" w:eastAsia="Palatino Linotype" w:hAnsi="Palatino Linotype" w:cs="Palatino Linotype"/>
          <w:color w:val="000000" w:themeColor="text1"/>
        </w:rPr>
        <w:t xml:space="preserve"> </w:t>
      </w:r>
    </w:p>
    <w:p w14:paraId="0929DFB9" w14:textId="77777777" w:rsidR="009268A3" w:rsidRPr="00FE11D9" w:rsidRDefault="00750B54" w:rsidP="00FE11D9">
      <w:pPr>
        <w:tabs>
          <w:tab w:val="left" w:pos="851"/>
        </w:tabs>
        <w:spacing w:line="276"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w:t>
      </w:r>
      <w:r w:rsidRPr="00FE11D9">
        <w:rPr>
          <w:rFonts w:ascii="Palatino Linotype" w:eastAsia="Palatino Linotype" w:hAnsi="Palatino Linotype" w:cs="Palatino Linotype"/>
          <w:i/>
          <w:iCs/>
          <w:color w:val="000000" w:themeColor="text1"/>
        </w:rPr>
        <w:t>No hay información requerida , se niega a dar información”</w:t>
      </w:r>
      <w:r w:rsidRPr="00FE11D9">
        <w:rPr>
          <w:rFonts w:ascii="Palatino Linotype" w:eastAsia="Palatino Linotype" w:hAnsi="Palatino Linotype" w:cs="Palatino Linotype"/>
          <w:color w:val="000000" w:themeColor="text1"/>
        </w:rPr>
        <w:t xml:space="preserve"> (Sic).</w:t>
      </w:r>
    </w:p>
    <w:p w14:paraId="26788198" w14:textId="77777777" w:rsidR="009268A3" w:rsidRPr="00FE11D9" w:rsidRDefault="009268A3" w:rsidP="00FE11D9">
      <w:pPr>
        <w:tabs>
          <w:tab w:val="left" w:pos="851"/>
        </w:tabs>
        <w:spacing w:line="276" w:lineRule="auto"/>
        <w:jc w:val="both"/>
        <w:rPr>
          <w:rFonts w:ascii="Palatino Linotype" w:eastAsia="Palatino Linotype" w:hAnsi="Palatino Linotype" w:cs="Palatino Linotype"/>
          <w:color w:val="000000" w:themeColor="text1"/>
        </w:rPr>
      </w:pPr>
    </w:p>
    <w:p w14:paraId="78105F56" w14:textId="1C5D3DCA" w:rsidR="009268A3" w:rsidRPr="00966F8A" w:rsidRDefault="00966F8A" w:rsidP="00966F8A">
      <w:pPr>
        <w:pStyle w:val="Prrafodelista"/>
        <w:numPr>
          <w:ilvl w:val="0"/>
          <w:numId w:val="19"/>
        </w:numPr>
        <w:jc w:val="both"/>
        <w:rPr>
          <w:rFonts w:ascii="Palatino Linotype" w:eastAsia="Palatino Linotype" w:hAnsi="Palatino Linotype" w:cs="Palatino Linotype"/>
          <w:color w:val="000000" w:themeColor="text1"/>
        </w:rPr>
      </w:pPr>
      <w:r w:rsidRPr="00966F8A">
        <w:rPr>
          <w:rFonts w:ascii="Palatino Linotype" w:eastAsia="Palatino Linotype" w:hAnsi="Palatino Linotype" w:cs="Palatino Linotype"/>
          <w:b/>
          <w:bCs/>
          <w:color w:val="000000" w:themeColor="text1"/>
        </w:rPr>
        <w:t>RAZONES O MOTIVOS DE INCONFORMIDAD:</w:t>
      </w:r>
      <w:r w:rsidRPr="00966F8A">
        <w:rPr>
          <w:rFonts w:ascii="Palatino Linotype" w:eastAsia="Palatino Linotype" w:hAnsi="Palatino Linotype" w:cs="Palatino Linotype"/>
          <w:color w:val="000000" w:themeColor="text1"/>
        </w:rPr>
        <w:t xml:space="preserve"> </w:t>
      </w:r>
    </w:p>
    <w:p w14:paraId="27264C26" w14:textId="77777777" w:rsidR="009268A3" w:rsidRPr="00FE11D9" w:rsidRDefault="00750B54" w:rsidP="00FE11D9">
      <w:pPr>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i/>
          <w:iCs/>
          <w:color w:val="000000" w:themeColor="text1"/>
        </w:rPr>
        <w:t>“Artículo 8o.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w:t>
      </w:r>
      <w:r w:rsidRPr="00FE11D9">
        <w:rPr>
          <w:rFonts w:ascii="Palatino Linotype" w:eastAsia="Palatino Linotype" w:hAnsi="Palatino Linotype" w:cs="Palatino Linotype"/>
          <w:color w:val="000000" w:themeColor="text1"/>
        </w:rPr>
        <w:t xml:space="preserve"> (Sic).</w:t>
      </w:r>
    </w:p>
    <w:p w14:paraId="0344027C" w14:textId="77777777" w:rsidR="009268A3" w:rsidRDefault="009268A3" w:rsidP="00FE11D9">
      <w:pPr>
        <w:rPr>
          <w:rFonts w:ascii="Palatino Linotype" w:eastAsia="Palatino Linotype" w:hAnsi="Palatino Linotype" w:cs="Palatino Linotype"/>
          <w:color w:val="000000" w:themeColor="text1"/>
        </w:rPr>
      </w:pPr>
    </w:p>
    <w:p w14:paraId="0C94162E" w14:textId="77777777" w:rsidR="00966F8A" w:rsidRPr="00FE11D9" w:rsidRDefault="00966F8A" w:rsidP="00FE11D9">
      <w:pPr>
        <w:rPr>
          <w:rFonts w:ascii="Palatino Linotype" w:eastAsia="Palatino Linotype" w:hAnsi="Palatino Linotype" w:cs="Palatino Linotype"/>
          <w:color w:val="000000" w:themeColor="text1"/>
        </w:rPr>
      </w:pPr>
    </w:p>
    <w:p w14:paraId="631FF6C2" w14:textId="77777777" w:rsidR="009268A3" w:rsidRPr="00FE11D9" w:rsidRDefault="00750B54" w:rsidP="00FE11D9">
      <w:pPr>
        <w:numPr>
          <w:ilvl w:val="0"/>
          <w:numId w:val="16"/>
        </w:numPr>
        <w:spacing w:line="360" w:lineRule="auto"/>
        <w:jc w:val="both"/>
        <w:rPr>
          <w:rFonts w:ascii="Palatino Linotype" w:eastAsia="Palatino Linotype" w:hAnsi="Palatino Linotype" w:cs="Palatino Linotype"/>
          <w:color w:val="000000" w:themeColor="text1"/>
        </w:rPr>
      </w:pPr>
      <w:bookmarkStart w:id="1" w:name="_heading=h.2et92p0" w:colFirst="0" w:colLast="0"/>
      <w:bookmarkEnd w:id="1"/>
      <w:r w:rsidRPr="00FE11D9">
        <w:rPr>
          <w:rFonts w:ascii="Palatino Linotype" w:eastAsia="Palatino Linotype" w:hAnsi="Palatino Linotype" w:cs="Palatino Linotype"/>
          <w:color w:val="000000" w:themeColor="text1"/>
        </w:rPr>
        <w:t xml:space="preserve">En  veintisiete de junio de dos mil veinticinco, el  </w:t>
      </w:r>
      <w:r w:rsidRPr="00FE11D9">
        <w:rPr>
          <w:rFonts w:ascii="Palatino Linotype" w:eastAsia="Palatino Linotype" w:hAnsi="Palatino Linotype" w:cs="Palatino Linotype"/>
          <w:b/>
          <w:bCs/>
          <w:color w:val="000000" w:themeColor="text1"/>
        </w:rPr>
        <w:t xml:space="preserve">SUJETO OBLIGADO </w:t>
      </w:r>
      <w:r w:rsidRPr="00FE11D9">
        <w:rPr>
          <w:rFonts w:ascii="Palatino Linotype" w:eastAsia="Palatino Linotype" w:hAnsi="Palatino Linotype" w:cs="Palatino Linotype"/>
          <w:color w:val="000000" w:themeColor="text1"/>
        </w:rPr>
        <w:t xml:space="preserve">rindió Informe Justificado mediante un archivo de nombre </w:t>
      </w:r>
      <w:r w:rsidRPr="00FE11D9">
        <w:rPr>
          <w:rFonts w:ascii="Palatino Linotype" w:eastAsia="Palatino Linotype" w:hAnsi="Palatino Linotype" w:cs="Palatino Linotype"/>
          <w:b/>
          <w:bCs/>
          <w:color w:val="000000" w:themeColor="text1"/>
        </w:rPr>
        <w:tab/>
        <w:t>-MANIFESTACION A RR-07375-INFOEM-</w:t>
      </w:r>
      <w:r w:rsidRPr="00FE11D9">
        <w:rPr>
          <w:rFonts w:ascii="Palatino Linotype" w:eastAsia="Palatino Linotype" w:hAnsi="Palatino Linotype" w:cs="Palatino Linotype"/>
          <w:b/>
          <w:bCs/>
          <w:color w:val="000000" w:themeColor="text1"/>
        </w:rPr>
        <w:lastRenderedPageBreak/>
        <w:t xml:space="preserve">IP-RR-2025-RESPUESTA.pdf </w:t>
      </w:r>
      <w:r w:rsidRPr="00FE11D9">
        <w:rPr>
          <w:rFonts w:ascii="Palatino Linotype" w:eastAsia="Palatino Linotype" w:hAnsi="Palatino Linotype" w:cs="Palatino Linotype"/>
          <w:color w:val="000000" w:themeColor="text1"/>
        </w:rPr>
        <w:t>donde entrega versiones públicas de comprobantes de pagos interbancarios de combustible y pólizas  de egresos con operaciones con proveedores de Bienes y Servicios por concepto de combustible correspondientes  al primer trimestre de dos mil veinticinco;  así mismo informa que en relación a los meses de abril y mayo se encuentran en proceso de ejecución y el periodo de entrega es el mes de agosto de la presente anualidad.</w:t>
      </w:r>
    </w:p>
    <w:p w14:paraId="5C4A54A8"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2A9E9C41" w14:textId="77777777" w:rsidR="009268A3" w:rsidRPr="00FE11D9" w:rsidRDefault="00750B54" w:rsidP="00FE11D9">
      <w:pPr>
        <w:numPr>
          <w:ilvl w:val="0"/>
          <w:numId w:val="16"/>
        </w:num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Por su parte el</w:t>
      </w:r>
      <w:r w:rsidRPr="00FE11D9">
        <w:rPr>
          <w:rFonts w:ascii="Palatino Linotype" w:eastAsia="Palatino Linotype" w:hAnsi="Palatino Linotype" w:cs="Palatino Linotype"/>
          <w:b/>
          <w:bCs/>
          <w:color w:val="000000" w:themeColor="text1"/>
        </w:rPr>
        <w:t xml:space="preserve"> RECURRENTE </w:t>
      </w:r>
      <w:r w:rsidRPr="00FE11D9">
        <w:rPr>
          <w:rFonts w:ascii="Palatino Linotype" w:eastAsia="Palatino Linotype" w:hAnsi="Palatino Linotype" w:cs="Palatino Linotype"/>
          <w:color w:val="000000" w:themeColor="text1"/>
        </w:rPr>
        <w:t xml:space="preserve">dejó de realizar manifestaciones que a su derecho conviniera y asistiera. </w:t>
      </w:r>
    </w:p>
    <w:p w14:paraId="21DD40AF" w14:textId="77777777" w:rsidR="009268A3" w:rsidRPr="00FE11D9" w:rsidRDefault="009268A3" w:rsidP="00FE11D9">
      <w:pPr>
        <w:jc w:val="both"/>
        <w:rPr>
          <w:rFonts w:ascii="Palatino Linotype" w:eastAsia="Palatino Linotype" w:hAnsi="Palatino Linotype" w:cs="Palatino Linotype"/>
          <w:color w:val="000000" w:themeColor="text1"/>
        </w:rPr>
      </w:pPr>
    </w:p>
    <w:p w14:paraId="40072F99" w14:textId="77777777" w:rsidR="009268A3" w:rsidRPr="00FE11D9" w:rsidRDefault="00750B54" w:rsidP="00FE11D9">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color w:val="000000" w:themeColor="text1"/>
        </w:rPr>
        <w:t xml:space="preserve">En </w:t>
      </w:r>
      <w:r w:rsidRPr="00FE11D9">
        <w:rPr>
          <w:rFonts w:ascii="Palatino Linotype" w:eastAsia="Palatino Linotype" w:hAnsi="Palatino Linotype" w:cs="Palatino Linotype"/>
          <w:b/>
          <w:bCs/>
          <w:color w:val="000000" w:themeColor="text1"/>
        </w:rPr>
        <w:t>fecha diecinueve de agosto de dos mil veinticinco</w:t>
      </w:r>
      <w:r w:rsidRPr="00FE11D9">
        <w:rPr>
          <w:rFonts w:ascii="Palatino Linotype" w:eastAsia="Palatino Linotype" w:hAnsi="Palatino Linotype" w:cs="Palatino Linotype"/>
          <w:color w:val="000000" w:themeColor="text1"/>
        </w:rPr>
        <w:t>, se acordó ampliar el término para resolver el presente asunto.</w:t>
      </w:r>
    </w:p>
    <w:p w14:paraId="6EB9D8FF"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b/>
          <w:bCs/>
          <w:color w:val="000000" w:themeColor="text1"/>
        </w:rPr>
      </w:pPr>
    </w:p>
    <w:p w14:paraId="6AC6955C" w14:textId="77777777" w:rsidR="009268A3" w:rsidRPr="00FE11D9" w:rsidRDefault="00750B54" w:rsidP="00FE11D9">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CFCBCE"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color w:val="000000" w:themeColor="text1"/>
        </w:rPr>
      </w:pPr>
    </w:p>
    <w:p w14:paraId="60CA629E" w14:textId="5FB5F9C4" w:rsidR="009268A3" w:rsidRPr="00966F8A" w:rsidRDefault="00750B54" w:rsidP="00FE11D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color w:val="000000" w:themeColor="text1"/>
        </w:rPr>
        <w:t xml:space="preserve">Finalmente, mediante acuerdo del </w:t>
      </w:r>
      <w:r w:rsidRPr="00FE11D9">
        <w:rPr>
          <w:rFonts w:ascii="Palatino Linotype" w:eastAsia="Palatino Linotype" w:hAnsi="Palatino Linotype" w:cs="Palatino Linotype"/>
          <w:b/>
          <w:bCs/>
          <w:color w:val="000000" w:themeColor="text1"/>
        </w:rPr>
        <w:t>diecinueve de septiembre</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b/>
          <w:bCs/>
          <w:color w:val="000000" w:themeColor="text1"/>
        </w:rPr>
        <w:t>de dos mil veinticinco</w:t>
      </w:r>
      <w:r w:rsidRPr="00FE11D9">
        <w:rPr>
          <w:rFonts w:ascii="Palatino Linotype" w:eastAsia="Palatino Linotype" w:hAnsi="Palatino Linotype" w:cs="Palatino Linotype"/>
          <w:color w:val="000000" w:themeColor="text1"/>
        </w:rPr>
        <w:t>, se decretó el cierre de instrucción, por lo que no habiendo más que hacer constar, y</w:t>
      </w:r>
      <w:r w:rsidR="00966F8A">
        <w:rPr>
          <w:rFonts w:ascii="Palatino Linotype" w:eastAsia="Palatino Linotype" w:hAnsi="Palatino Linotype" w:cs="Palatino Linotype"/>
          <w:color w:val="000000" w:themeColor="text1"/>
        </w:rPr>
        <w:t xml:space="preserve"> ------------</w:t>
      </w:r>
    </w:p>
    <w:p w14:paraId="633BB1DD" w14:textId="77777777" w:rsidR="00966F8A" w:rsidRDefault="00966F8A" w:rsidP="00966F8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4234714" w14:textId="77777777" w:rsidR="00966F8A" w:rsidRPr="00FE11D9" w:rsidRDefault="00966F8A" w:rsidP="00966F8A">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14:paraId="4F363DDC"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color w:val="000000" w:themeColor="text1"/>
        </w:rPr>
      </w:pPr>
    </w:p>
    <w:p w14:paraId="6EF0016D"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color w:val="000000" w:themeColor="text1"/>
        </w:rPr>
      </w:pPr>
    </w:p>
    <w:p w14:paraId="0873B101" w14:textId="77777777" w:rsidR="009268A3" w:rsidRPr="00FE11D9" w:rsidRDefault="00750B54" w:rsidP="00FE11D9">
      <w:pPr>
        <w:spacing w:line="360" w:lineRule="auto"/>
        <w:jc w:val="center"/>
        <w:rPr>
          <w:rFonts w:ascii="Palatino Linotype" w:eastAsia="Palatino Linotype" w:hAnsi="Palatino Linotype" w:cs="Palatino Linotype"/>
          <w:b/>
          <w:bCs/>
          <w:color w:val="000000" w:themeColor="text1"/>
        </w:rPr>
      </w:pPr>
      <w:bookmarkStart w:id="2" w:name="_heading=h.s6drm58vfllm" w:colFirst="0" w:colLast="0"/>
      <w:bookmarkEnd w:id="2"/>
      <w:r w:rsidRPr="00FE11D9">
        <w:rPr>
          <w:rFonts w:ascii="Palatino Linotype" w:eastAsia="Palatino Linotype" w:hAnsi="Palatino Linotype" w:cs="Palatino Linotype"/>
          <w:b/>
          <w:bCs/>
          <w:color w:val="000000" w:themeColor="text1"/>
        </w:rPr>
        <w:t>C O N S I D E R A N D O S</w:t>
      </w:r>
    </w:p>
    <w:p w14:paraId="595A3752" w14:textId="77777777" w:rsidR="009268A3" w:rsidRPr="00FE11D9" w:rsidRDefault="009268A3" w:rsidP="00FE11D9">
      <w:pPr>
        <w:spacing w:line="360" w:lineRule="auto"/>
        <w:jc w:val="center"/>
        <w:rPr>
          <w:rFonts w:ascii="Palatino Linotype" w:eastAsia="Palatino Linotype" w:hAnsi="Palatino Linotype" w:cs="Palatino Linotype"/>
          <w:b/>
          <w:bCs/>
          <w:color w:val="000000" w:themeColor="text1"/>
        </w:rPr>
      </w:pPr>
    </w:p>
    <w:p w14:paraId="75093B53" w14:textId="77777777" w:rsidR="009268A3" w:rsidRPr="00FE11D9" w:rsidRDefault="00750B54" w:rsidP="00FE11D9">
      <w:pPr>
        <w:pStyle w:val="Ttulo2"/>
        <w:spacing w:before="0" w:line="360" w:lineRule="auto"/>
        <w:rPr>
          <w:rFonts w:ascii="Palatino Linotype" w:eastAsia="Palatino Linotype" w:hAnsi="Palatino Linotype" w:cs="Palatino Linotype"/>
          <w:b/>
          <w:bCs/>
          <w:color w:val="000000" w:themeColor="text1"/>
          <w:sz w:val="24"/>
          <w:szCs w:val="24"/>
        </w:rPr>
      </w:pPr>
      <w:r w:rsidRPr="00FE11D9">
        <w:rPr>
          <w:rFonts w:ascii="Palatino Linotype" w:eastAsia="Palatino Linotype" w:hAnsi="Palatino Linotype" w:cs="Palatino Linotype"/>
          <w:b/>
          <w:bCs/>
          <w:color w:val="000000" w:themeColor="text1"/>
          <w:sz w:val="24"/>
          <w:szCs w:val="24"/>
        </w:rPr>
        <w:t>PRIMERO. De la competencia</w:t>
      </w:r>
    </w:p>
    <w:p w14:paraId="7011E27B" w14:textId="77777777" w:rsidR="009268A3" w:rsidRPr="00FE11D9" w:rsidRDefault="00750B54" w:rsidP="00FE11D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92A7A59"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DA4974C" w14:textId="77777777" w:rsidR="009268A3" w:rsidRPr="00FE11D9" w:rsidRDefault="00750B54" w:rsidP="00FE11D9">
      <w:pPr>
        <w:pStyle w:val="Ttulo2"/>
        <w:spacing w:before="0" w:line="360" w:lineRule="auto"/>
        <w:rPr>
          <w:rFonts w:ascii="Palatino Linotype" w:eastAsia="Palatino Linotype" w:hAnsi="Palatino Linotype" w:cs="Palatino Linotype"/>
          <w:b/>
          <w:bCs/>
          <w:color w:val="000000" w:themeColor="text1"/>
          <w:sz w:val="24"/>
          <w:szCs w:val="24"/>
        </w:rPr>
      </w:pPr>
      <w:bookmarkStart w:id="3" w:name="_heading=h.daip1vx7hnt8" w:colFirst="0" w:colLast="0"/>
      <w:bookmarkEnd w:id="3"/>
      <w:r w:rsidRPr="00FE11D9">
        <w:rPr>
          <w:rFonts w:ascii="Palatino Linotype" w:eastAsia="Palatino Linotype" w:hAnsi="Palatino Linotype" w:cs="Palatino Linotype"/>
          <w:b/>
          <w:bCs/>
          <w:color w:val="000000" w:themeColor="text1"/>
          <w:sz w:val="24"/>
          <w:szCs w:val="24"/>
        </w:rPr>
        <w:t>SEGUNDO. De la oportunidad y procedencia.</w:t>
      </w:r>
    </w:p>
    <w:p w14:paraId="5480C288" w14:textId="77777777" w:rsidR="009268A3" w:rsidRPr="00FE11D9" w:rsidRDefault="00750B54" w:rsidP="00FE11D9">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El medio de impugnación fue presentado a través del </w:t>
      </w:r>
      <w:r w:rsidRPr="00FE11D9">
        <w:rPr>
          <w:rFonts w:ascii="Palatino Linotype" w:eastAsia="Palatino Linotype" w:hAnsi="Palatino Linotype" w:cs="Palatino Linotype"/>
          <w:b/>
          <w:bCs/>
          <w:color w:val="000000" w:themeColor="text1"/>
        </w:rPr>
        <w:t>SAIMEX,</w:t>
      </w:r>
      <w:r w:rsidRPr="00FE11D9">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FE11D9">
        <w:rPr>
          <w:rFonts w:ascii="Palatino Linotype" w:eastAsia="Palatino Linotype" w:hAnsi="Palatino Linotype" w:cs="Palatino Linotype"/>
          <w:b/>
          <w:bCs/>
          <w:color w:val="000000" w:themeColor="text1"/>
        </w:rPr>
        <w:t>SUJETO OBLIGADO</w:t>
      </w:r>
      <w:r w:rsidRPr="00FE11D9">
        <w:rPr>
          <w:rFonts w:ascii="Palatino Linotype" w:eastAsia="Palatino Linotype" w:hAnsi="Palatino Linotype" w:cs="Palatino Linotype"/>
          <w:color w:val="000000" w:themeColor="text1"/>
        </w:rPr>
        <w:t xml:space="preserve"> entregó su respuesta el </w:t>
      </w:r>
      <w:r w:rsidRPr="00FE11D9">
        <w:rPr>
          <w:rFonts w:ascii="Palatino Linotype" w:eastAsia="Palatino Linotype" w:hAnsi="Palatino Linotype" w:cs="Palatino Linotype"/>
          <w:b/>
          <w:bCs/>
          <w:color w:val="000000" w:themeColor="text1"/>
        </w:rPr>
        <w:t>diecisiete de junio de dos mil veinticinco</w:t>
      </w:r>
      <w:r w:rsidRPr="00FE11D9">
        <w:rPr>
          <w:rFonts w:ascii="Palatino Linotype" w:eastAsia="Palatino Linotype" w:hAnsi="Palatino Linotype" w:cs="Palatino Linotype"/>
          <w:color w:val="000000" w:themeColor="text1"/>
        </w:rPr>
        <w:t xml:space="preserve">, de tal forma que el plazo para interponer el recurso de revisión transcurrió del </w:t>
      </w:r>
      <w:r w:rsidRPr="00FE11D9">
        <w:rPr>
          <w:rFonts w:ascii="Palatino Linotype" w:eastAsia="Palatino Linotype" w:hAnsi="Palatino Linotype" w:cs="Palatino Linotype"/>
          <w:b/>
          <w:bCs/>
          <w:color w:val="000000" w:themeColor="text1"/>
        </w:rPr>
        <w:t>dieciocho de junio al ocho de julio de dos mil veinticinco</w:t>
      </w:r>
      <w:r w:rsidRPr="00FE11D9">
        <w:rPr>
          <w:rFonts w:ascii="Palatino Linotype" w:eastAsia="Palatino Linotype" w:hAnsi="Palatino Linotype" w:cs="Palatino Linotype"/>
          <w:color w:val="000000" w:themeColor="text1"/>
        </w:rPr>
        <w:t xml:space="preserve">; en consecuencia, el ahora </w:t>
      </w:r>
      <w:r w:rsidRPr="00FE11D9">
        <w:rPr>
          <w:rFonts w:ascii="Palatino Linotype" w:eastAsia="Palatino Linotype" w:hAnsi="Palatino Linotype" w:cs="Palatino Linotype"/>
          <w:b/>
          <w:bCs/>
          <w:color w:val="000000" w:themeColor="text1"/>
        </w:rPr>
        <w:t>RECURRENTE</w:t>
      </w:r>
      <w:r w:rsidRPr="00FE11D9">
        <w:rPr>
          <w:rFonts w:ascii="Palatino Linotype" w:eastAsia="Palatino Linotype" w:hAnsi="Palatino Linotype" w:cs="Palatino Linotype"/>
          <w:color w:val="000000" w:themeColor="text1"/>
        </w:rPr>
        <w:t xml:space="preserve"> presentó su inconformidad el </w:t>
      </w:r>
      <w:r w:rsidRPr="00FE11D9">
        <w:rPr>
          <w:rFonts w:ascii="Palatino Linotype" w:eastAsia="Palatino Linotype" w:hAnsi="Palatino Linotype" w:cs="Palatino Linotype"/>
          <w:b/>
          <w:bCs/>
          <w:color w:val="000000" w:themeColor="text1"/>
        </w:rPr>
        <w:lastRenderedPageBreak/>
        <w:t>dieciocho de junio de dos mil veinticinco</w:t>
      </w:r>
      <w:r w:rsidRPr="00FE11D9">
        <w:rPr>
          <w:rFonts w:ascii="Palatino Linotype" w:eastAsia="Palatino Linotype" w:hAnsi="Palatino Linotype" w:cs="Palatino Linotype"/>
          <w:color w:val="000000" w:themeColor="text1"/>
        </w:rPr>
        <w:t>; por lo que se estima que la inconformidad se presentó dentro del lapso legalmente establecido para tal efecto.</w:t>
      </w:r>
    </w:p>
    <w:p w14:paraId="6AB3C966"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E4240C6" w14:textId="0EE93F33" w:rsidR="009268A3" w:rsidRPr="00966F8A" w:rsidRDefault="00750B54" w:rsidP="00966F8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66F8A">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BBA2EE"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F664461" w14:textId="77777777" w:rsidR="009268A3" w:rsidRPr="00FE11D9" w:rsidRDefault="00750B54" w:rsidP="00FE11D9">
      <w:pPr>
        <w:pStyle w:val="Ttulo2"/>
        <w:spacing w:before="0" w:line="360" w:lineRule="auto"/>
        <w:rPr>
          <w:rFonts w:ascii="Palatino Linotype" w:eastAsia="Palatino Linotype" w:hAnsi="Palatino Linotype" w:cs="Palatino Linotype"/>
          <w:b/>
          <w:bCs/>
          <w:color w:val="000000" w:themeColor="text1"/>
          <w:sz w:val="24"/>
          <w:szCs w:val="24"/>
        </w:rPr>
      </w:pPr>
      <w:bookmarkStart w:id="4" w:name="_heading=h.ad7iuvslmbo1" w:colFirst="0" w:colLast="0"/>
      <w:bookmarkEnd w:id="4"/>
      <w:r w:rsidRPr="00FE11D9">
        <w:rPr>
          <w:rFonts w:ascii="Palatino Linotype" w:eastAsia="Palatino Linotype" w:hAnsi="Palatino Linotype" w:cs="Palatino Linotype"/>
          <w:b/>
          <w:bCs/>
          <w:color w:val="000000" w:themeColor="text1"/>
          <w:sz w:val="24"/>
          <w:szCs w:val="24"/>
        </w:rPr>
        <w:t>TERCERO. Del planteamiento de la Litis</w:t>
      </w:r>
    </w:p>
    <w:p w14:paraId="621B5229"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De las constancias en el expediente al rubro indicado, se desprende que el particular  solicitó tener acceso a la información que a continuación se desagrega:</w:t>
      </w:r>
    </w:p>
    <w:p w14:paraId="259530E4" w14:textId="77777777" w:rsidR="009268A3" w:rsidRPr="00FE11D9" w:rsidRDefault="00750B54" w:rsidP="00FE11D9">
      <w:pPr>
        <w:tabs>
          <w:tab w:val="left" w:pos="7938"/>
        </w:tabs>
        <w:spacing w:line="360" w:lineRule="auto"/>
        <w:jc w:val="center"/>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Pagos de combustible de enero a abril de dos mil veinticinco acompañados de los informes de pagos a proveedores enviados al OFEM de enero a abril de dos mil veinticinco.</w:t>
      </w:r>
    </w:p>
    <w:p w14:paraId="678160A9" w14:textId="77777777" w:rsidR="009268A3" w:rsidRPr="00FE11D9" w:rsidRDefault="009268A3" w:rsidP="00FE11D9">
      <w:pPr>
        <w:spacing w:line="360" w:lineRule="auto"/>
        <w:jc w:val="center"/>
        <w:rPr>
          <w:rFonts w:ascii="Palatino Linotype" w:eastAsia="Palatino Linotype" w:hAnsi="Palatino Linotype" w:cs="Palatino Linotype"/>
          <w:b/>
          <w:bCs/>
          <w:i/>
          <w:iCs/>
          <w:color w:val="000000" w:themeColor="text1"/>
        </w:rPr>
      </w:pPr>
    </w:p>
    <w:p w14:paraId="69661852"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14:paraId="0CBFF555"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En respuesta, el </w:t>
      </w:r>
      <w:r w:rsidRPr="00FE11D9">
        <w:rPr>
          <w:rFonts w:ascii="Palatino Linotype" w:eastAsia="Palatino Linotype" w:hAnsi="Palatino Linotype" w:cs="Palatino Linotype"/>
          <w:b/>
          <w:bCs/>
          <w:color w:val="000000" w:themeColor="text1"/>
        </w:rPr>
        <w:t>SUJETO OBLIGADO</w:t>
      </w:r>
      <w:r w:rsidRPr="00FE11D9">
        <w:rPr>
          <w:rFonts w:ascii="Palatino Linotype" w:eastAsia="Palatino Linotype" w:hAnsi="Palatino Linotype" w:cs="Palatino Linotype"/>
          <w:color w:val="000000" w:themeColor="text1"/>
        </w:rPr>
        <w:t>, remitió los archivos desglosados en el párrafo segundo de la presente resolución.</w:t>
      </w:r>
    </w:p>
    <w:p w14:paraId="3B3374CD"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014BBC8" w14:textId="3E48C3BF"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Por lo que, el particular se inconformó porque no se entregó </w:t>
      </w:r>
      <w:r w:rsidR="00066F4B" w:rsidRPr="00FE11D9">
        <w:rPr>
          <w:rFonts w:ascii="Palatino Linotype" w:eastAsia="Palatino Linotype" w:hAnsi="Palatino Linotype" w:cs="Palatino Linotype"/>
          <w:color w:val="000000" w:themeColor="text1"/>
        </w:rPr>
        <w:t>la información por</w:t>
      </w:r>
      <w:r w:rsidRPr="00FE11D9">
        <w:rPr>
          <w:rFonts w:ascii="Palatino Linotype" w:eastAsia="Palatino Linotype" w:hAnsi="Palatino Linotype" w:cs="Palatino Linotype"/>
          <w:color w:val="000000" w:themeColor="text1"/>
        </w:rPr>
        <w:t xml:space="preserve"> parte </w:t>
      </w:r>
      <w:r w:rsidR="00066F4B" w:rsidRPr="00FE11D9">
        <w:rPr>
          <w:rFonts w:ascii="Palatino Linotype" w:eastAsia="Palatino Linotype" w:hAnsi="Palatino Linotype" w:cs="Palatino Linotype"/>
          <w:color w:val="000000" w:themeColor="text1"/>
        </w:rPr>
        <w:t>del SUJETO</w:t>
      </w:r>
      <w:r w:rsidRPr="00FE11D9">
        <w:rPr>
          <w:rFonts w:ascii="Palatino Linotype" w:eastAsia="Palatino Linotype" w:hAnsi="Palatino Linotype" w:cs="Palatino Linotype"/>
          <w:b/>
          <w:bCs/>
          <w:color w:val="000000" w:themeColor="text1"/>
        </w:rPr>
        <w:t xml:space="preserve"> OBLIGADO.</w:t>
      </w:r>
    </w:p>
    <w:p w14:paraId="7674C34A"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874F3B4" w14:textId="3C403DBC" w:rsidR="009268A3" w:rsidRPr="00FE11D9" w:rsidRDefault="00750B54" w:rsidP="00966F8A">
      <w:pPr>
        <w:numPr>
          <w:ilvl w:val="0"/>
          <w:numId w:val="8"/>
        </w:num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En dichas condiciones, la </w:t>
      </w:r>
      <w:r w:rsidRPr="00FE11D9">
        <w:rPr>
          <w:rFonts w:ascii="Palatino Linotype" w:eastAsia="Palatino Linotype" w:hAnsi="Palatino Linotype" w:cs="Palatino Linotype"/>
          <w:i/>
          <w:iCs/>
          <w:color w:val="000000" w:themeColor="text1"/>
        </w:rPr>
        <w:t>Litis</w:t>
      </w:r>
      <w:r w:rsidRPr="00FE11D9">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FE11D9">
        <w:rPr>
          <w:rFonts w:ascii="Palatino Linotype" w:eastAsia="Palatino Linotype" w:hAnsi="Palatino Linotype" w:cs="Palatino Linotype"/>
          <w:b/>
          <w:bCs/>
          <w:color w:val="000000" w:themeColor="text1"/>
        </w:rPr>
        <w:t xml:space="preserve">fracción I </w:t>
      </w:r>
      <w:r w:rsidRPr="00FE11D9">
        <w:rPr>
          <w:rFonts w:ascii="Palatino Linotype" w:eastAsia="Palatino Linotype" w:hAnsi="Palatino Linotype" w:cs="Palatino Linotype"/>
          <w:color w:val="000000" w:themeColor="text1"/>
        </w:rPr>
        <w:t xml:space="preserve">de la </w:t>
      </w:r>
      <w:r w:rsidRPr="00FE11D9">
        <w:rPr>
          <w:rFonts w:ascii="Palatino Linotype" w:eastAsia="Palatino Linotype" w:hAnsi="Palatino Linotype" w:cs="Palatino Linotype"/>
          <w:b/>
          <w:bCs/>
          <w:color w:val="000000" w:themeColor="text1"/>
        </w:rPr>
        <w:t xml:space="preserve">Ley </w:t>
      </w:r>
      <w:r w:rsidRPr="00FE11D9">
        <w:rPr>
          <w:rFonts w:ascii="Palatino Linotype" w:eastAsia="Palatino Linotype" w:hAnsi="Palatino Linotype" w:cs="Palatino Linotype"/>
          <w:b/>
          <w:bCs/>
          <w:color w:val="000000" w:themeColor="text1"/>
        </w:rPr>
        <w:lastRenderedPageBreak/>
        <w:t>de Transparencia y Acceso a la Información Pública del Estado de México y Municipios</w:t>
      </w:r>
      <w:r w:rsidRPr="00FE11D9">
        <w:rPr>
          <w:rFonts w:ascii="Palatino Linotype" w:eastAsia="Palatino Linotype" w:hAnsi="Palatino Linotype" w:cs="Palatino Linotype"/>
          <w:color w:val="000000" w:themeColor="text1"/>
        </w:rPr>
        <w:t xml:space="preserve">; fracción que determina la negativa a la información solicitada; contexto </w:t>
      </w:r>
      <w:r w:rsidR="00066F4B" w:rsidRPr="00FE11D9">
        <w:rPr>
          <w:rFonts w:ascii="Palatino Linotype" w:eastAsia="Palatino Linotype" w:hAnsi="Palatino Linotype" w:cs="Palatino Linotype"/>
          <w:color w:val="000000" w:themeColor="text1"/>
        </w:rPr>
        <w:t>del cual</w:t>
      </w:r>
      <w:r w:rsidRPr="00FE11D9">
        <w:rPr>
          <w:rFonts w:ascii="Palatino Linotype" w:eastAsia="Palatino Linotype" w:hAnsi="Palatino Linotype" w:cs="Palatino Linotype"/>
          <w:color w:val="000000" w:themeColor="text1"/>
        </w:rPr>
        <w:t xml:space="preserve"> se dolió </w:t>
      </w:r>
      <w:r w:rsidRPr="00FE11D9">
        <w:rPr>
          <w:rFonts w:ascii="Palatino Linotype" w:eastAsia="Palatino Linotype" w:hAnsi="Palatino Linotype" w:cs="Palatino Linotype"/>
          <w:b/>
          <w:bCs/>
          <w:color w:val="000000" w:themeColor="text1"/>
        </w:rPr>
        <w:t xml:space="preserve">EL RECURRENTE </w:t>
      </w:r>
      <w:r w:rsidRPr="00FE11D9">
        <w:rPr>
          <w:rFonts w:ascii="Palatino Linotype" w:eastAsia="Palatino Linotype" w:hAnsi="Palatino Linotype" w:cs="Palatino Linotype"/>
          <w:color w:val="000000" w:themeColor="text1"/>
        </w:rPr>
        <w:t xml:space="preserve">al momento de interponer su inconformidad. </w:t>
      </w:r>
    </w:p>
    <w:p w14:paraId="39B62A1D"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color w:val="000000" w:themeColor="text1"/>
        </w:rPr>
      </w:pPr>
    </w:p>
    <w:p w14:paraId="1C7A7FC4" w14:textId="77777777" w:rsidR="009268A3" w:rsidRPr="00FE11D9" w:rsidRDefault="00750B54" w:rsidP="00966F8A">
      <w:pPr>
        <w:numPr>
          <w:ilvl w:val="0"/>
          <w:numId w:val="8"/>
        </w:num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De modo tal que el presente recurso de revisión se abocará en determinar si el </w:t>
      </w:r>
      <w:r w:rsidRPr="00FE11D9">
        <w:rPr>
          <w:rFonts w:ascii="Palatino Linotype" w:eastAsia="Palatino Linotype" w:hAnsi="Palatino Linotype" w:cs="Palatino Linotype"/>
          <w:b/>
          <w:bCs/>
          <w:color w:val="000000" w:themeColor="text1"/>
        </w:rPr>
        <w:t>SUJETO</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b/>
          <w:bCs/>
          <w:color w:val="000000" w:themeColor="text1"/>
        </w:rPr>
        <w:t>OBLIGADO</w:t>
      </w:r>
      <w:r w:rsidRPr="00FE11D9">
        <w:rPr>
          <w:rFonts w:ascii="Palatino Linotype" w:eastAsia="Palatino Linotype" w:hAnsi="Palatino Linotype" w:cs="Palatino Linotype"/>
          <w:color w:val="000000" w:themeColor="text1"/>
        </w:rPr>
        <w:t xml:space="preserve"> con su respuesta ciertamente actualiza las causales de procedencia</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antes señalada;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28444E4" w14:textId="77777777" w:rsidR="009268A3" w:rsidRPr="00FE11D9" w:rsidRDefault="009268A3" w:rsidP="00FE11D9">
      <w:pPr>
        <w:pStyle w:val="Ttulo2"/>
        <w:spacing w:before="0" w:line="360" w:lineRule="auto"/>
        <w:rPr>
          <w:rFonts w:ascii="Palatino Linotype" w:eastAsia="Palatino Linotype" w:hAnsi="Palatino Linotype" w:cs="Palatino Linotype"/>
          <w:b/>
          <w:bCs/>
          <w:color w:val="000000" w:themeColor="text1"/>
          <w:sz w:val="24"/>
          <w:szCs w:val="24"/>
        </w:rPr>
      </w:pPr>
    </w:p>
    <w:p w14:paraId="4753ABA1" w14:textId="77777777" w:rsidR="009268A3" w:rsidRPr="00FE11D9" w:rsidRDefault="00750B54" w:rsidP="00FE11D9">
      <w:pPr>
        <w:pStyle w:val="Ttulo2"/>
        <w:spacing w:before="0" w:line="360" w:lineRule="auto"/>
        <w:rPr>
          <w:rFonts w:ascii="Palatino Linotype" w:eastAsia="Palatino Linotype" w:hAnsi="Palatino Linotype" w:cs="Palatino Linotype"/>
          <w:b/>
          <w:bCs/>
          <w:color w:val="000000" w:themeColor="text1"/>
          <w:sz w:val="24"/>
          <w:szCs w:val="24"/>
          <w:highlight w:val="white"/>
        </w:rPr>
      </w:pPr>
      <w:r w:rsidRPr="00FE11D9">
        <w:rPr>
          <w:rFonts w:ascii="Palatino Linotype" w:eastAsia="Palatino Linotype" w:hAnsi="Palatino Linotype" w:cs="Palatino Linotype"/>
          <w:b/>
          <w:bCs/>
          <w:color w:val="000000" w:themeColor="text1"/>
          <w:sz w:val="24"/>
          <w:szCs w:val="24"/>
          <w:highlight w:val="white"/>
        </w:rPr>
        <w:t>CUARTO. Del estudio y resolución del asunto.</w:t>
      </w:r>
    </w:p>
    <w:p w14:paraId="6FEC204B" w14:textId="77777777" w:rsidR="009268A3" w:rsidRPr="00FE11D9" w:rsidRDefault="00750B54" w:rsidP="00FE11D9">
      <w:pPr>
        <w:pStyle w:val="Ttulo1"/>
        <w:numPr>
          <w:ilvl w:val="0"/>
          <w:numId w:val="11"/>
        </w:numPr>
        <w:spacing w:before="0" w:after="240" w:line="360" w:lineRule="auto"/>
        <w:ind w:left="0" w:firstLine="0"/>
        <w:rPr>
          <w:rFonts w:ascii="Palatino Linotype" w:eastAsia="Palatino Linotype" w:hAnsi="Palatino Linotype" w:cs="Palatino Linotype"/>
          <w:b/>
          <w:bCs/>
          <w:color w:val="000000" w:themeColor="text1"/>
          <w:sz w:val="24"/>
          <w:szCs w:val="24"/>
        </w:rPr>
      </w:pPr>
      <w:bookmarkStart w:id="5" w:name="_heading=h.2s8eyo1" w:colFirst="0" w:colLast="0"/>
      <w:bookmarkEnd w:id="5"/>
      <w:r w:rsidRPr="00FE11D9">
        <w:rPr>
          <w:rFonts w:ascii="Palatino Linotype" w:eastAsia="Palatino Linotype" w:hAnsi="Palatino Linotype" w:cs="Palatino Linotype"/>
          <w:b/>
          <w:bCs/>
          <w:color w:val="000000" w:themeColor="text1"/>
          <w:sz w:val="24"/>
          <w:szCs w:val="24"/>
        </w:rPr>
        <w:t>Del derecho de acceso a la información.</w:t>
      </w:r>
    </w:p>
    <w:p w14:paraId="509FD129" w14:textId="77777777" w:rsidR="009268A3" w:rsidRPr="00FE11D9" w:rsidRDefault="00750B54" w:rsidP="00966F8A">
      <w:pPr>
        <w:numPr>
          <w:ilvl w:val="0"/>
          <w:numId w:val="8"/>
        </w:num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E27EBBC"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7C8B5CF7" w14:textId="77777777" w:rsidR="009268A3" w:rsidRPr="00FE11D9" w:rsidRDefault="00750B54" w:rsidP="00966F8A">
      <w:pPr>
        <w:numPr>
          <w:ilvl w:val="0"/>
          <w:numId w:val="8"/>
        </w:numPr>
        <w:spacing w:before="240"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 xml:space="preserve">Definiendo el Derecho de Acceso a la Información Pública como: </w:t>
      </w:r>
      <w:r w:rsidRPr="00FE11D9">
        <w:rPr>
          <w:rFonts w:ascii="Palatino Linotype" w:eastAsia="Palatino Linotype" w:hAnsi="Palatino Linotype" w:cs="Palatino Linotype"/>
          <w:i/>
          <w:iCs/>
          <w:color w:val="000000" w:themeColor="text1"/>
        </w:rPr>
        <w:t>La igualdad de oportunidades para recibir, buscar e impartir información</w:t>
      </w:r>
      <w:r w:rsidRPr="00FE11D9">
        <w:rPr>
          <w:rFonts w:ascii="Palatino Linotype" w:eastAsia="Palatino Linotype" w:hAnsi="Palatino Linotype" w:cs="Palatino Linotype"/>
          <w:i/>
          <w:iCs/>
          <w:color w:val="000000" w:themeColor="text1"/>
          <w:vertAlign w:val="superscript"/>
        </w:rPr>
        <w:footnoteReference w:id="1"/>
      </w:r>
      <w:r w:rsidRPr="00FE11D9">
        <w:rPr>
          <w:rFonts w:ascii="Palatino Linotype" w:eastAsia="Palatino Linotype" w:hAnsi="Palatino Linotype" w:cs="Palatino Linotype"/>
          <w:i/>
          <w:iCs/>
          <w:color w:val="000000" w:themeColor="text1"/>
        </w:rPr>
        <w:t xml:space="preserve">en posesión de cualquier autoridad, entidad, </w:t>
      </w:r>
      <w:r w:rsidRPr="00FE11D9">
        <w:rPr>
          <w:rFonts w:ascii="Palatino Linotype" w:eastAsia="Palatino Linotype" w:hAnsi="Palatino Linotype" w:cs="Palatino Linotype"/>
          <w:i/>
          <w:iCs/>
          <w:color w:val="000000" w:themeColor="text1"/>
        </w:rPr>
        <w:lastRenderedPageBreak/>
        <w:t>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E11D9">
        <w:rPr>
          <w:rFonts w:ascii="Palatino Linotype" w:eastAsia="Palatino Linotype" w:hAnsi="Palatino Linotype" w:cs="Palatino Linotype"/>
          <w:i/>
          <w:iCs/>
          <w:color w:val="000000" w:themeColor="text1"/>
          <w:vertAlign w:val="superscript"/>
        </w:rPr>
        <w:footnoteReference w:id="2"/>
      </w:r>
      <w:r w:rsidRPr="00FE11D9">
        <w:rPr>
          <w:rFonts w:ascii="Palatino Linotype" w:eastAsia="Palatino Linotype" w:hAnsi="Palatino Linotype" w:cs="Palatino Linotype"/>
          <w:color w:val="000000" w:themeColor="text1"/>
        </w:rPr>
        <w:t>que se constituye como una herramienta fundamental para ejercer</w:t>
      </w:r>
      <w:r w:rsidRPr="00FE11D9">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FE11D9">
        <w:rPr>
          <w:rFonts w:ascii="Palatino Linotype" w:eastAsia="Palatino Linotype" w:hAnsi="Palatino Linotype" w:cs="Palatino Linotype"/>
          <w:i/>
          <w:iCs/>
          <w:color w:val="000000" w:themeColor="text1"/>
          <w:vertAlign w:val="superscript"/>
        </w:rPr>
        <w:footnoteReference w:id="3"/>
      </w:r>
      <w:r w:rsidRPr="00FE11D9">
        <w:rPr>
          <w:rFonts w:ascii="Palatino Linotype" w:eastAsia="Palatino Linotype" w:hAnsi="Palatino Linotype" w:cs="Palatino Linotype"/>
          <w:color w:val="000000" w:themeColor="text1"/>
        </w:rPr>
        <w:t>fomentando</w:t>
      </w:r>
      <w:r w:rsidRPr="00FE11D9">
        <w:rPr>
          <w:rFonts w:ascii="Palatino Linotype" w:eastAsia="Palatino Linotype" w:hAnsi="Palatino Linotype" w:cs="Palatino Linotype"/>
          <w:i/>
          <w:iCs/>
          <w:color w:val="000000" w:themeColor="text1"/>
        </w:rPr>
        <w:t xml:space="preserve"> la transparencia de las actividades estatales y </w:t>
      </w:r>
      <w:r w:rsidRPr="00FE11D9">
        <w:rPr>
          <w:rFonts w:ascii="Palatino Linotype" w:eastAsia="Palatino Linotype" w:hAnsi="Palatino Linotype" w:cs="Palatino Linotype"/>
          <w:color w:val="000000" w:themeColor="text1"/>
        </w:rPr>
        <w:t>promoviendo</w:t>
      </w:r>
      <w:r w:rsidRPr="00FE11D9">
        <w:rPr>
          <w:rFonts w:ascii="Palatino Linotype" w:eastAsia="Palatino Linotype" w:hAnsi="Palatino Linotype" w:cs="Palatino Linotype"/>
          <w:i/>
          <w:iCs/>
          <w:color w:val="000000" w:themeColor="text1"/>
        </w:rPr>
        <w:t xml:space="preserve"> la responsabilidad de los funcionarios sobre su gestión pública,</w:t>
      </w:r>
      <w:r w:rsidRPr="00FE11D9">
        <w:rPr>
          <w:rFonts w:ascii="Palatino Linotype" w:eastAsia="Palatino Linotype" w:hAnsi="Palatino Linotype" w:cs="Palatino Linotype"/>
          <w:i/>
          <w:iCs/>
          <w:color w:val="000000" w:themeColor="text1"/>
          <w:vertAlign w:val="superscript"/>
        </w:rPr>
        <w:footnoteReference w:id="4"/>
      </w:r>
      <w:r w:rsidRPr="00FE11D9">
        <w:rPr>
          <w:rFonts w:ascii="Palatino Linotype" w:eastAsia="Palatino Linotype" w:hAnsi="Palatino Linotype" w:cs="Palatino Linotype"/>
          <w:color w:val="000000" w:themeColor="text1"/>
        </w:rPr>
        <w:t>que permite</w:t>
      </w:r>
      <w:r w:rsidRPr="00FE11D9">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14:paraId="097A6F7D"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3913B659"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4447470E"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w:t>
      </w:r>
      <w:r w:rsidRPr="00FE11D9">
        <w:rPr>
          <w:rFonts w:ascii="Palatino Linotype" w:eastAsia="Palatino Linotype" w:hAnsi="Palatino Linotype" w:cs="Palatino Linotype"/>
          <w:b/>
          <w:bCs/>
          <w:i/>
          <w:iCs/>
          <w:color w:val="000000" w:themeColor="text1"/>
        </w:rPr>
        <w:t>Artículo 1.-</w:t>
      </w:r>
      <w:r w:rsidRPr="00FE11D9">
        <w:rPr>
          <w:rFonts w:ascii="Palatino Linotype" w:eastAsia="Palatino Linotype" w:hAnsi="Palatino Linotype" w:cs="Palatino Linotype"/>
          <w:i/>
          <w:iCs/>
          <w:color w:val="000000" w:themeColor="text1"/>
        </w:rPr>
        <w:t xml:space="preserve"> </w:t>
      </w:r>
    </w:p>
    <w:p w14:paraId="7D7DABF0"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w:t>
      </w:r>
    </w:p>
    <w:p w14:paraId="593A1DCE"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Todas las</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5965F59" w14:textId="77777777" w:rsidR="009268A3" w:rsidRPr="00FE11D9" w:rsidRDefault="00750B54" w:rsidP="00FE11D9">
      <w:pPr>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i/>
          <w:iCs/>
          <w:color w:val="000000" w:themeColor="text1"/>
        </w:rPr>
        <w:t>(…)</w:t>
      </w:r>
      <w:r w:rsidRPr="00FE11D9">
        <w:rPr>
          <w:rFonts w:ascii="Palatino Linotype" w:eastAsia="Palatino Linotype" w:hAnsi="Palatino Linotype" w:cs="Palatino Linotype"/>
          <w:color w:val="000000" w:themeColor="text1"/>
        </w:rPr>
        <w:t>”.</w:t>
      </w:r>
    </w:p>
    <w:p w14:paraId="14D4A84F" w14:textId="77777777" w:rsidR="009268A3" w:rsidRPr="00FE11D9" w:rsidRDefault="009268A3" w:rsidP="00FE11D9">
      <w:pPr>
        <w:jc w:val="both"/>
        <w:rPr>
          <w:rFonts w:ascii="Palatino Linotype" w:eastAsia="Palatino Linotype" w:hAnsi="Palatino Linotype" w:cs="Palatino Linotype"/>
          <w:b/>
          <w:bCs/>
          <w:color w:val="000000" w:themeColor="text1"/>
        </w:rPr>
      </w:pPr>
    </w:p>
    <w:p w14:paraId="3D49A369"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D0EBC46"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4959AE0F"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BD63F4E" w14:textId="77777777" w:rsidR="009268A3" w:rsidRPr="00FE11D9" w:rsidRDefault="00750B54" w:rsidP="00FE11D9">
      <w:pPr>
        <w:spacing w:after="240"/>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b/>
          <w:bCs/>
          <w:i/>
          <w:iCs/>
          <w:color w:val="000000" w:themeColor="text1"/>
        </w:rPr>
        <w:t>Constitución Política de los Estados Unidos Mexicanos</w:t>
      </w:r>
    </w:p>
    <w:p w14:paraId="75477125" w14:textId="77777777" w:rsidR="009268A3" w:rsidRPr="00FE11D9" w:rsidRDefault="00750B54" w:rsidP="00FE11D9">
      <w:pPr>
        <w:spacing w:before="240" w:after="240"/>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b/>
          <w:bCs/>
          <w:i/>
          <w:iCs/>
          <w:color w:val="000000" w:themeColor="text1"/>
        </w:rPr>
        <w:t>“Artículo 6.</w:t>
      </w:r>
    </w:p>
    <w:p w14:paraId="50CC822A"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w:t>
      </w:r>
    </w:p>
    <w:p w14:paraId="50AA6A7C"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Para efectos de lo dispuesto en el presente artículo se observará lo siguiente:</w:t>
      </w:r>
    </w:p>
    <w:p w14:paraId="34C40019" w14:textId="77777777" w:rsidR="009268A3" w:rsidRPr="00FE11D9" w:rsidRDefault="00750B54" w:rsidP="00FE11D9">
      <w:pPr>
        <w:spacing w:before="240" w:after="240"/>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b/>
          <w:bCs/>
          <w:i/>
          <w:iCs/>
          <w:color w:val="000000" w:themeColor="text1"/>
        </w:rPr>
        <w:t>A</w:t>
      </w:r>
      <w:r w:rsidRPr="00FE11D9">
        <w:rPr>
          <w:rFonts w:ascii="Palatino Linotype" w:eastAsia="Palatino Linotype" w:hAnsi="Palatino Linotype" w:cs="Palatino Linotype"/>
          <w:i/>
          <w:iCs/>
          <w:color w:val="000000" w:themeColor="text1"/>
        </w:rPr>
        <w:t xml:space="preserve">. </w:t>
      </w:r>
      <w:r w:rsidRPr="00FE11D9">
        <w:rPr>
          <w:rFonts w:ascii="Palatino Linotype" w:eastAsia="Palatino Linotype" w:hAnsi="Palatino Linotype" w:cs="Palatino Linotype"/>
          <w:b/>
          <w:bCs/>
          <w:i/>
          <w:iCs/>
          <w:color w:val="000000" w:themeColor="text1"/>
        </w:rPr>
        <w:t>Para el ejercicio del derecho de acceso a la información</w:t>
      </w:r>
      <w:r w:rsidRPr="00FE11D9">
        <w:rPr>
          <w:rFonts w:ascii="Palatino Linotype" w:eastAsia="Palatino Linotype" w:hAnsi="Palatino Linotype" w:cs="Palatino Linotype"/>
          <w:i/>
          <w:iCs/>
          <w:color w:val="000000" w:themeColor="text1"/>
        </w:rPr>
        <w:t xml:space="preserve">, la Federación y </w:t>
      </w:r>
      <w:r w:rsidRPr="00FE11D9">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14:paraId="5E448BE2"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 xml:space="preserve">I. </w:t>
      </w:r>
      <w:r w:rsidRPr="00FE11D9">
        <w:rPr>
          <w:rFonts w:ascii="Palatino Linotype" w:eastAsia="Palatino Linotype" w:hAnsi="Palatino Linotype" w:cs="Palatino Linotype"/>
          <w:b/>
          <w:bCs/>
          <w:i/>
          <w:iCs/>
          <w:color w:val="000000" w:themeColor="text1"/>
        </w:rPr>
        <w:tab/>
        <w:t>Toda la información en posesión de cualquier</w:t>
      </w:r>
      <w:r w:rsidRPr="00FE11D9">
        <w:rPr>
          <w:rFonts w:ascii="Palatino Linotype" w:eastAsia="Palatino Linotype" w:hAnsi="Palatino Linotype" w:cs="Palatino Linotype"/>
          <w:i/>
          <w:iCs/>
          <w:color w:val="000000" w:themeColor="text1"/>
        </w:rPr>
        <w:t xml:space="preserve"> </w:t>
      </w:r>
      <w:r w:rsidRPr="00FE11D9">
        <w:rPr>
          <w:rFonts w:ascii="Palatino Linotype" w:eastAsia="Palatino Linotype" w:hAnsi="Palatino Linotype" w:cs="Palatino Linotype"/>
          <w:b/>
          <w:bCs/>
          <w:i/>
          <w:iCs/>
          <w:color w:val="000000" w:themeColor="text1"/>
        </w:rPr>
        <w:t>autoridad</w:t>
      </w:r>
      <w:r w:rsidRPr="00FE11D9">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E11D9">
        <w:rPr>
          <w:rFonts w:ascii="Palatino Linotype" w:eastAsia="Palatino Linotype" w:hAnsi="Palatino Linotype" w:cs="Palatino Linotype"/>
          <w:b/>
          <w:bCs/>
          <w:i/>
          <w:iCs/>
          <w:color w:val="000000" w:themeColor="text1"/>
        </w:rPr>
        <w:t>municipal</w:t>
      </w:r>
      <w:r w:rsidRPr="00FE11D9">
        <w:rPr>
          <w:rFonts w:ascii="Palatino Linotype" w:eastAsia="Palatino Linotype" w:hAnsi="Palatino Linotype" w:cs="Palatino Linotype"/>
          <w:i/>
          <w:iCs/>
          <w:color w:val="000000" w:themeColor="text1"/>
        </w:rPr>
        <w:t xml:space="preserve">, </w:t>
      </w:r>
      <w:r w:rsidRPr="00FE11D9">
        <w:rPr>
          <w:rFonts w:ascii="Palatino Linotype" w:eastAsia="Palatino Linotype" w:hAnsi="Palatino Linotype" w:cs="Palatino Linotype"/>
          <w:b/>
          <w:bCs/>
          <w:i/>
          <w:iCs/>
          <w:color w:val="000000" w:themeColor="text1"/>
        </w:rPr>
        <w:t>es pública</w:t>
      </w:r>
      <w:r w:rsidRPr="00FE11D9">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FE11D9">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FE11D9">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14:paraId="3ECEE132" w14:textId="77777777" w:rsidR="009268A3" w:rsidRPr="00FE11D9" w:rsidRDefault="00750B54" w:rsidP="00FE11D9">
      <w:pPr>
        <w:spacing w:before="240" w:after="240"/>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b/>
          <w:bCs/>
          <w:i/>
          <w:iCs/>
          <w:color w:val="000000" w:themeColor="text1"/>
        </w:rPr>
        <w:lastRenderedPageBreak/>
        <w:t>Constitución Política del Estado Libre y Soberano de México</w:t>
      </w:r>
    </w:p>
    <w:p w14:paraId="21A214EE"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“Artículo 5</w:t>
      </w:r>
      <w:r w:rsidRPr="00FE11D9">
        <w:rPr>
          <w:rFonts w:ascii="Palatino Linotype" w:eastAsia="Palatino Linotype" w:hAnsi="Palatino Linotype" w:cs="Palatino Linotype"/>
          <w:i/>
          <w:iCs/>
          <w:color w:val="000000" w:themeColor="text1"/>
        </w:rPr>
        <w:t xml:space="preserve">.- </w:t>
      </w:r>
    </w:p>
    <w:p w14:paraId="6209B92A"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w:t>
      </w:r>
    </w:p>
    <w:p w14:paraId="2A115DC5"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FE11D9">
        <w:rPr>
          <w:rFonts w:ascii="Palatino Linotype" w:eastAsia="Palatino Linotype" w:hAnsi="Palatino Linotype" w:cs="Palatino Linotype"/>
          <w:i/>
          <w:iCs/>
          <w:color w:val="000000" w:themeColor="text1"/>
        </w:rPr>
        <w:t>.</w:t>
      </w:r>
    </w:p>
    <w:p w14:paraId="77471C6A"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E1A0424"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Este derecho se regirá por los principios y bases siguientes</w:t>
      </w:r>
      <w:r w:rsidRPr="00FE11D9">
        <w:rPr>
          <w:rFonts w:ascii="Palatino Linotype" w:eastAsia="Palatino Linotype" w:hAnsi="Palatino Linotype" w:cs="Palatino Linotype"/>
          <w:i/>
          <w:iCs/>
          <w:color w:val="000000" w:themeColor="text1"/>
        </w:rPr>
        <w:t>:</w:t>
      </w:r>
    </w:p>
    <w:p w14:paraId="471DE02C" w14:textId="77777777" w:rsidR="009268A3" w:rsidRPr="00FE11D9" w:rsidRDefault="00750B54" w:rsidP="00FE11D9">
      <w:pPr>
        <w:spacing w:before="240" w:after="24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FE11D9">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FE11D9">
        <w:rPr>
          <w:rFonts w:ascii="Palatino Linotype" w:eastAsia="Palatino Linotype" w:hAnsi="Palatino Linotype" w:cs="Palatino Linotype"/>
          <w:b/>
          <w:bCs/>
          <w:i/>
          <w:iCs/>
          <w:color w:val="000000" w:themeColor="text1"/>
        </w:rPr>
        <w:t>municipales</w:t>
      </w:r>
      <w:r w:rsidRPr="00FE11D9">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E11D9">
        <w:rPr>
          <w:rFonts w:ascii="Palatino Linotype" w:eastAsia="Palatino Linotype" w:hAnsi="Palatino Linotype" w:cs="Palatino Linotype"/>
          <w:b/>
          <w:bCs/>
          <w:i/>
          <w:iCs/>
          <w:color w:val="000000" w:themeColor="text1"/>
        </w:rPr>
        <w:t>es pública</w:t>
      </w:r>
      <w:r w:rsidRPr="00FE11D9">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FE11D9">
        <w:rPr>
          <w:rFonts w:ascii="Palatino Linotype" w:eastAsia="Palatino Linotype" w:hAnsi="Palatino Linotype" w:cs="Palatino Linotype"/>
          <w:b/>
          <w:bCs/>
          <w:i/>
          <w:iCs/>
          <w:color w:val="000000" w:themeColor="text1"/>
        </w:rPr>
        <w:t>En la interpretación de este derecho deberá prevalecer el principio de máxima publicidad</w:t>
      </w:r>
      <w:r w:rsidRPr="00FE11D9">
        <w:rPr>
          <w:rFonts w:ascii="Palatino Linotype" w:eastAsia="Palatino Linotype" w:hAnsi="Palatino Linotype" w:cs="Palatino Linotype"/>
          <w:i/>
          <w:iCs/>
          <w:color w:val="000000" w:themeColor="text1"/>
        </w:rPr>
        <w:t xml:space="preserve">. </w:t>
      </w:r>
      <w:r w:rsidRPr="00FE11D9">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FE11D9">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14:paraId="602DE501" w14:textId="77777777" w:rsidR="009268A3" w:rsidRPr="00FE11D9" w:rsidRDefault="009268A3" w:rsidP="00FE11D9">
      <w:pPr>
        <w:tabs>
          <w:tab w:val="left" w:pos="567"/>
        </w:tabs>
        <w:spacing w:before="240" w:after="240"/>
        <w:jc w:val="both"/>
        <w:rPr>
          <w:rFonts w:ascii="Palatino Linotype" w:eastAsia="Palatino Linotype" w:hAnsi="Palatino Linotype" w:cs="Palatino Linotype"/>
          <w:b/>
          <w:bCs/>
          <w:i/>
          <w:iCs/>
          <w:color w:val="000000" w:themeColor="text1"/>
        </w:rPr>
      </w:pPr>
    </w:p>
    <w:p w14:paraId="5BB73C37" w14:textId="77777777" w:rsidR="009268A3" w:rsidRPr="00FE11D9" w:rsidRDefault="00750B54" w:rsidP="00966F8A">
      <w:pPr>
        <w:numPr>
          <w:ilvl w:val="0"/>
          <w:numId w:val="8"/>
        </w:numPr>
        <w:spacing w:before="240"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FE11D9">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FE11D9">
        <w:rPr>
          <w:rFonts w:ascii="Palatino Linotype" w:eastAsia="Palatino Linotype" w:hAnsi="Palatino Linotype" w:cs="Palatino Linotype"/>
          <w:color w:val="000000" w:themeColor="text1"/>
        </w:rPr>
        <w:t>, contemplando el derecho de las personas con discapacidad y hablantes de lengua indígena.</w:t>
      </w:r>
    </w:p>
    <w:p w14:paraId="1F8DF68E"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243860A2"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lastRenderedPageBreak/>
        <w:t xml:space="preserve">El Derecho de Acceso a la Información se garantiza y respeta oportunamente, y según lo que dispone la Ley, las </w:t>
      </w:r>
      <w:r w:rsidRPr="00FE11D9">
        <w:rPr>
          <w:rFonts w:ascii="Palatino Linotype" w:eastAsia="Palatino Linotype" w:hAnsi="Palatino Linotype" w:cs="Palatino Linotype"/>
          <w:i/>
          <w:iCs/>
          <w:color w:val="000000" w:themeColor="text1"/>
        </w:rPr>
        <w:t>solicitudes de acceso a la información</w:t>
      </w:r>
      <w:r w:rsidRPr="00FE11D9">
        <w:rPr>
          <w:rFonts w:ascii="Palatino Linotype" w:eastAsia="Palatino Linotype" w:hAnsi="Palatino Linotype" w:cs="Palatino Linotype"/>
          <w:color w:val="000000" w:themeColor="text1"/>
        </w:rPr>
        <w:t>.</w:t>
      </w:r>
    </w:p>
    <w:p w14:paraId="21DFDF6D"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248B1165"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bookmarkStart w:id="6" w:name="_heading=h.17dp8vu" w:colFirst="0" w:colLast="0"/>
      <w:bookmarkEnd w:id="6"/>
      <w:r w:rsidRPr="00FE11D9">
        <w:rPr>
          <w:rFonts w:ascii="Palatino Linotype" w:eastAsia="Palatino Linotype" w:hAnsi="Palatino Linotype" w:cs="Palatino Linotype"/>
          <w:color w:val="000000" w:themeColor="text1"/>
        </w:rPr>
        <w:t xml:space="preserve">Así entonces, se procede analizar, en primer lugar, si el </w:t>
      </w:r>
      <w:r w:rsidRPr="00FE11D9">
        <w:rPr>
          <w:rFonts w:ascii="Palatino Linotype" w:eastAsia="Palatino Linotype" w:hAnsi="Palatino Linotype" w:cs="Palatino Linotype"/>
          <w:b/>
          <w:bCs/>
          <w:color w:val="000000" w:themeColor="text1"/>
        </w:rPr>
        <w:t>SUJETO OBLIGADO</w:t>
      </w:r>
      <w:r w:rsidRPr="00FE11D9">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6271D65"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259F6D08" w14:textId="77777777" w:rsidR="009268A3" w:rsidRPr="00FE11D9" w:rsidRDefault="00750B54" w:rsidP="00FE11D9">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7" w:name="_heading=h.3rdcrjn" w:colFirst="0" w:colLast="0"/>
      <w:bookmarkEnd w:id="7"/>
      <w:r w:rsidRPr="00FE11D9">
        <w:rPr>
          <w:rFonts w:ascii="Palatino Linotype" w:eastAsia="Palatino Linotype" w:hAnsi="Palatino Linotype" w:cs="Palatino Linotype"/>
          <w:b/>
          <w:bCs/>
          <w:color w:val="000000" w:themeColor="text1"/>
          <w:sz w:val="24"/>
          <w:szCs w:val="24"/>
        </w:rPr>
        <w:t>II. De la información solicitada y la respuesta del SUJETO OBLIGADO</w:t>
      </w:r>
    </w:p>
    <w:p w14:paraId="70268E5D"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 xml:space="preserve">Acotada la </w:t>
      </w:r>
      <w:r w:rsidRPr="00FE11D9">
        <w:rPr>
          <w:rFonts w:ascii="Palatino Linotype" w:eastAsia="Palatino Linotype" w:hAnsi="Palatino Linotype" w:cs="Palatino Linotype"/>
          <w:i/>
          <w:iCs/>
          <w:color w:val="000000" w:themeColor="text1"/>
        </w:rPr>
        <w:t>Litis</w:t>
      </w:r>
      <w:r w:rsidRPr="00FE11D9">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le entrega la información. </w:t>
      </w:r>
    </w:p>
    <w:p w14:paraId="12308A69"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6B3AA519" w14:textId="77777777" w:rsidR="009268A3" w:rsidRPr="00FE11D9" w:rsidRDefault="00750B54" w:rsidP="00966F8A">
      <w:pPr>
        <w:numPr>
          <w:ilvl w:val="0"/>
          <w:numId w:val="8"/>
        </w:numPr>
        <w:spacing w:line="360" w:lineRule="auto"/>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 xml:space="preserve">En ese sentido, es importante recordar la información que fue solicitada por el </w:t>
      </w:r>
      <w:r w:rsidRPr="00FE11D9">
        <w:rPr>
          <w:rFonts w:ascii="Palatino Linotype" w:eastAsia="Palatino Linotype" w:hAnsi="Palatino Linotype" w:cs="Palatino Linotype"/>
          <w:b/>
          <w:bCs/>
          <w:color w:val="000000" w:themeColor="text1"/>
        </w:rPr>
        <w:t xml:space="preserve">RECURRENTE. </w:t>
      </w:r>
    </w:p>
    <w:p w14:paraId="43DCB0CF" w14:textId="77777777" w:rsidR="009268A3" w:rsidRPr="00FE11D9" w:rsidRDefault="00750B54" w:rsidP="00FE11D9">
      <w:pPr>
        <w:tabs>
          <w:tab w:val="left" w:pos="7938"/>
        </w:tabs>
        <w:spacing w:line="360" w:lineRule="auto"/>
        <w:jc w:val="center"/>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Pagos de combustible de enero a abril de dos mil veinticinco acompañados de los informes de pagos a proveedores enviados al OFEM de enero a abril de dos mil veinticinco.</w:t>
      </w:r>
    </w:p>
    <w:p w14:paraId="03AA802C" w14:textId="77777777" w:rsidR="009268A3" w:rsidRPr="00FE11D9" w:rsidRDefault="009268A3" w:rsidP="00FE11D9">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3F03BA3A" w14:textId="77777777" w:rsidR="009268A3" w:rsidRPr="00FE11D9" w:rsidRDefault="00750B54" w:rsidP="00966F8A">
      <w:pPr>
        <w:numPr>
          <w:ilvl w:val="0"/>
          <w:numId w:val="8"/>
        </w:numPr>
        <w:spacing w:line="360" w:lineRule="auto"/>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color w:val="000000" w:themeColor="text1"/>
        </w:rPr>
        <w:t xml:space="preserve">De lo anterior, el </w:t>
      </w:r>
      <w:r w:rsidRPr="00FE11D9">
        <w:rPr>
          <w:rFonts w:ascii="Palatino Linotype" w:eastAsia="Palatino Linotype" w:hAnsi="Palatino Linotype" w:cs="Palatino Linotype"/>
          <w:b/>
          <w:bCs/>
          <w:color w:val="000000" w:themeColor="text1"/>
        </w:rPr>
        <w:t xml:space="preserve">SUJETO OBLIGADO </w:t>
      </w:r>
      <w:r w:rsidRPr="00FE11D9">
        <w:rPr>
          <w:rFonts w:ascii="Palatino Linotype" w:eastAsia="Palatino Linotype" w:hAnsi="Palatino Linotype" w:cs="Palatino Linotype"/>
          <w:color w:val="000000" w:themeColor="text1"/>
        </w:rPr>
        <w:t>entregó los archivos desglosados en el punto dos del presente.</w:t>
      </w:r>
    </w:p>
    <w:p w14:paraId="0D0C1D4A" w14:textId="77777777" w:rsidR="009268A3" w:rsidRPr="00FE11D9" w:rsidRDefault="009268A3" w:rsidP="00FE11D9">
      <w:pPr>
        <w:spacing w:line="360" w:lineRule="auto"/>
        <w:jc w:val="both"/>
        <w:rPr>
          <w:rFonts w:ascii="Palatino Linotype" w:eastAsia="Palatino Linotype" w:hAnsi="Palatino Linotype" w:cs="Palatino Linotype"/>
          <w:i/>
          <w:iCs/>
          <w:color w:val="000000" w:themeColor="text1"/>
        </w:rPr>
      </w:pPr>
    </w:p>
    <w:p w14:paraId="24CC47AC"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 xml:space="preserve">De lo anterior, el </w:t>
      </w:r>
      <w:r w:rsidRPr="00FE11D9">
        <w:rPr>
          <w:rFonts w:ascii="Palatino Linotype" w:eastAsia="Palatino Linotype" w:hAnsi="Palatino Linotype" w:cs="Palatino Linotype"/>
          <w:b/>
          <w:bCs/>
          <w:color w:val="000000" w:themeColor="text1"/>
        </w:rPr>
        <w:t xml:space="preserve">SUJETO OBLIGADO </w:t>
      </w:r>
      <w:r w:rsidRPr="00FE11D9">
        <w:rPr>
          <w:rFonts w:ascii="Palatino Linotype" w:eastAsia="Palatino Linotype" w:hAnsi="Palatino Linotype" w:cs="Palatino Linotype"/>
          <w:color w:val="000000" w:themeColor="text1"/>
        </w:rPr>
        <w:t xml:space="preserve">al informar en respuesta el cambio de modalidad a consulta directa y entregar en informe justificado los archivos referidos, admitiendo tácitamente haber generado, administrado o poseído la información requerida por el particular por lo que  es necesario señalar que se obvia el análisis de la competencia por parte del </w:t>
      </w:r>
      <w:r w:rsidRPr="00FE11D9">
        <w:rPr>
          <w:rFonts w:ascii="Palatino Linotype" w:eastAsia="Palatino Linotype" w:hAnsi="Palatino Linotype" w:cs="Palatino Linotype"/>
          <w:b/>
          <w:bCs/>
          <w:color w:val="000000" w:themeColor="text1"/>
        </w:rPr>
        <w:t>SUJETO OBLIGADO</w:t>
      </w:r>
      <w:r w:rsidRPr="00FE11D9">
        <w:rPr>
          <w:rFonts w:ascii="Palatino Linotype" w:eastAsia="Palatino Linotype" w:hAnsi="Palatino Linotype" w:cs="Palatino Linotype"/>
          <w:color w:val="000000" w:themeColor="text1"/>
        </w:rPr>
        <w:t>, para generar, administrar o poseer la información solicitada, tan es así que proporcionó la información que obra en sus archivos.</w:t>
      </w:r>
    </w:p>
    <w:p w14:paraId="4BE65645"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E88652A"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102B233F" w14:textId="77777777" w:rsidR="009268A3" w:rsidRPr="00FE11D9" w:rsidRDefault="00750B54" w:rsidP="00FE11D9">
      <w:pPr>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i/>
          <w:iCs/>
          <w:color w:val="000000" w:themeColor="text1"/>
        </w:rPr>
        <w:t>“</w:t>
      </w:r>
      <w:r w:rsidRPr="00FE11D9">
        <w:rPr>
          <w:rFonts w:ascii="Palatino Linotype" w:eastAsia="Palatino Linotype" w:hAnsi="Palatino Linotype" w:cs="Palatino Linotype"/>
          <w:b/>
          <w:bCs/>
          <w:i/>
          <w:iCs/>
          <w:color w:val="000000" w:themeColor="text1"/>
        </w:rPr>
        <w:t>Artículo 342.-</w:t>
      </w:r>
      <w:r w:rsidRPr="00FE11D9">
        <w:rPr>
          <w:rFonts w:ascii="Palatino Linotype" w:eastAsia="Palatino Linotype" w:hAnsi="Palatino Linotype" w:cs="Palatino Linotype"/>
          <w:i/>
          <w:iCs/>
          <w:color w:val="000000" w:themeColor="text1"/>
        </w:rPr>
        <w:t xml:space="preserve"> </w:t>
      </w:r>
      <w:r w:rsidRPr="00FE11D9">
        <w:rPr>
          <w:rFonts w:ascii="Palatino Linotype" w:eastAsia="Palatino Linotype" w:hAnsi="Palatino Linotype" w:cs="Palatino Linotype"/>
          <w:b/>
          <w:bCs/>
          <w:i/>
          <w:iCs/>
          <w:color w:val="000000" w:themeColor="text1"/>
        </w:rPr>
        <w:t xml:space="preserve">El registro contable del efecto patrimonial y presupuestal de las operaciones financieras, se realizará conforme al sistema y a las disposiciones que se aprueben en materia </w:t>
      </w:r>
      <w:r w:rsidRPr="00FE11D9">
        <w:rPr>
          <w:rFonts w:ascii="Palatino Linotype" w:eastAsia="Palatino Linotype" w:hAnsi="Palatino Linotype" w:cs="Palatino Linotype"/>
          <w:i/>
          <w:iCs/>
          <w:color w:val="000000" w:themeColor="text1"/>
        </w:rPr>
        <w:t>de planeación,</w:t>
      </w:r>
      <w:r w:rsidRPr="00FE11D9">
        <w:rPr>
          <w:rFonts w:ascii="Palatino Linotype" w:eastAsia="Palatino Linotype" w:hAnsi="Palatino Linotype" w:cs="Palatino Linotype"/>
          <w:b/>
          <w:bCs/>
          <w:i/>
          <w:iCs/>
          <w:color w:val="000000" w:themeColor="text1"/>
        </w:rPr>
        <w:t xml:space="preserve"> programación, presupuestación</w:t>
      </w:r>
      <w:r w:rsidRPr="00FE11D9">
        <w:rPr>
          <w:rFonts w:ascii="Palatino Linotype" w:eastAsia="Palatino Linotype" w:hAnsi="Palatino Linotype" w:cs="Palatino Linotype"/>
          <w:i/>
          <w:iCs/>
          <w:color w:val="000000" w:themeColor="text1"/>
        </w:rPr>
        <w:t xml:space="preserve">, evaluación y </w:t>
      </w:r>
      <w:r w:rsidRPr="00FE11D9">
        <w:rPr>
          <w:rFonts w:ascii="Palatino Linotype" w:eastAsia="Palatino Linotype" w:hAnsi="Palatino Linotype" w:cs="Palatino Linotype"/>
          <w:b/>
          <w:bCs/>
          <w:i/>
          <w:iCs/>
          <w:color w:val="000000" w:themeColor="text1"/>
        </w:rPr>
        <w:t>contabilidad gubernamental.</w:t>
      </w:r>
      <w:r w:rsidRPr="00FE11D9">
        <w:rPr>
          <w:rFonts w:ascii="Palatino Linotype" w:eastAsia="Palatino Linotype" w:hAnsi="Palatino Linotype" w:cs="Palatino Linotype"/>
          <w:i/>
          <w:iCs/>
          <w:color w:val="000000" w:themeColor="text1"/>
        </w:rPr>
        <w:t xml:space="preserve"> </w:t>
      </w:r>
    </w:p>
    <w:p w14:paraId="61F3EBC5" w14:textId="77777777" w:rsidR="009268A3" w:rsidRPr="00FE11D9" w:rsidRDefault="00750B54" w:rsidP="00FE11D9">
      <w:pPr>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b/>
          <w:bCs/>
          <w:i/>
          <w:iCs/>
          <w:color w:val="000000" w:themeColor="text1"/>
        </w:rPr>
        <w:t>…</w:t>
      </w:r>
    </w:p>
    <w:p w14:paraId="65A8D422"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Artículo 343.-</w:t>
      </w:r>
      <w:r w:rsidRPr="00FE11D9">
        <w:rPr>
          <w:rFonts w:ascii="Palatino Linotype" w:eastAsia="Palatino Linotype" w:hAnsi="Palatino Linotype" w:cs="Palatino Linotype"/>
          <w:i/>
          <w:iCs/>
          <w:color w:val="000000" w:themeColor="text1"/>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8DF07F4"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El sistema de contabilidad sobre base acumulativa total se sustentará en los postulados básicos y el marco conceptual de la contabilidad gubernamental. </w:t>
      </w:r>
    </w:p>
    <w:p w14:paraId="3F40C8D3" w14:textId="77777777" w:rsidR="009268A3" w:rsidRPr="00FE11D9" w:rsidRDefault="009268A3" w:rsidP="00FE11D9">
      <w:pPr>
        <w:jc w:val="both"/>
        <w:rPr>
          <w:rFonts w:ascii="Palatino Linotype" w:eastAsia="Palatino Linotype" w:hAnsi="Palatino Linotype" w:cs="Palatino Linotype"/>
          <w:i/>
          <w:iCs/>
          <w:color w:val="000000" w:themeColor="text1"/>
        </w:rPr>
      </w:pPr>
    </w:p>
    <w:p w14:paraId="33650E6F"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E11D9">
        <w:rPr>
          <w:rFonts w:ascii="Palatino Linotype" w:eastAsia="Palatino Linotype" w:hAnsi="Palatino Linotype" w:cs="Palatino Linotype"/>
          <w:i/>
          <w:iCs/>
          <w:color w:val="000000" w:themeColor="text1"/>
        </w:rPr>
        <w:t xml:space="preserve">en el caso de los Municipios se hará por la Tesorería. </w:t>
      </w:r>
    </w:p>
    <w:p w14:paraId="46E7929D"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Derogado. </w:t>
      </w:r>
    </w:p>
    <w:p w14:paraId="3CF06627" w14:textId="77777777" w:rsidR="009268A3" w:rsidRPr="00FE11D9" w:rsidRDefault="009268A3" w:rsidP="00FE11D9">
      <w:pPr>
        <w:jc w:val="both"/>
        <w:rPr>
          <w:rFonts w:ascii="Palatino Linotype" w:eastAsia="Palatino Linotype" w:hAnsi="Palatino Linotype" w:cs="Palatino Linotype"/>
          <w:i/>
          <w:iCs/>
          <w:color w:val="000000" w:themeColor="text1"/>
        </w:rPr>
      </w:pPr>
    </w:p>
    <w:p w14:paraId="6D8BCD31"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 xml:space="preserve">Todo registro contable y presupuestal deberá estar soportado con los documentos comprobatorios originales, los que deberán permanecer en custodia y conservación de las </w:t>
      </w:r>
      <w:r w:rsidRPr="00FE11D9">
        <w:rPr>
          <w:rFonts w:ascii="Palatino Linotype" w:eastAsia="Palatino Linotype" w:hAnsi="Palatino Linotype" w:cs="Palatino Linotype"/>
          <w:b/>
          <w:bCs/>
          <w:i/>
          <w:iCs/>
          <w:color w:val="000000" w:themeColor="text1"/>
        </w:rPr>
        <w:lastRenderedPageBreak/>
        <w:t>dependencias, entidades públicas y unidades administrativas que ejercieron el gasto, y a disposición del Órgano Superior de Fiscalización del Estado de México y de los órganos de control interno, por un término de cinco años contados</w:t>
      </w:r>
      <w:r w:rsidRPr="00FE11D9">
        <w:rPr>
          <w:rFonts w:ascii="Palatino Linotype" w:eastAsia="Palatino Linotype" w:hAnsi="Palatino Linotype" w:cs="Palatino Linotype"/>
          <w:i/>
          <w:iCs/>
          <w:color w:val="000000" w:themeColor="text1"/>
        </w:rPr>
        <w:t xml:space="preserve"> a partir del ejercicio presupuestal siguiente al que corresponda, en el caso de los municipios se hará por la Tesorería. </w:t>
      </w:r>
    </w:p>
    <w:p w14:paraId="274BC7A4"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w:t>
      </w:r>
    </w:p>
    <w:p w14:paraId="2136955A"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Artículo 345.-</w:t>
      </w:r>
      <w:r w:rsidRPr="00FE11D9">
        <w:rPr>
          <w:rFonts w:ascii="Palatino Linotype" w:eastAsia="Palatino Linotype" w:hAnsi="Palatino Linotype" w:cs="Palatino Linotype"/>
          <w:i/>
          <w:iCs/>
          <w:color w:val="000000" w:themeColor="text1"/>
        </w:rPr>
        <w:t xml:space="preserve"> </w:t>
      </w:r>
      <w:r w:rsidRPr="00FE11D9">
        <w:rPr>
          <w:rFonts w:ascii="Palatino Linotype" w:eastAsia="Palatino Linotype" w:hAnsi="Palatino Linotype" w:cs="Palatino Linotype"/>
          <w:b/>
          <w:bCs/>
          <w:i/>
          <w:iCs/>
          <w:color w:val="000000" w:themeColor="text1"/>
        </w:rPr>
        <w:t>Las Dependencias, Entidades Públicas y unidades administrativas deberán conservar la documentación contable del año en curso y la de ejercicios anteriores cuyas cuentas públicas hayan sido revisadas y fiscalizadas por la Legislatura</w:t>
      </w:r>
      <w:r w:rsidRPr="00FE11D9">
        <w:rPr>
          <w:rFonts w:ascii="Palatino Linotype" w:eastAsia="Palatino Linotype" w:hAnsi="Palatino Linotype" w:cs="Palatino Linotype"/>
          <w:i/>
          <w:iCs/>
          <w:color w:val="000000" w:themeColor="text1"/>
        </w:rPr>
        <w:t xml:space="preserve">, la remitirán en un plazo que no excederá de seis meses al Archivo Contable Gubernamental. </w:t>
      </w:r>
      <w:r w:rsidRPr="00FE11D9">
        <w:rPr>
          <w:rFonts w:ascii="Palatino Linotype" w:eastAsia="Palatino Linotype" w:hAnsi="Palatino Linotype" w:cs="Palatino Linotype"/>
          <w:b/>
          <w:bCs/>
          <w:i/>
          <w:iCs/>
          <w:color w:val="000000" w:themeColor="text1"/>
        </w:rPr>
        <w:t>Tratándose de los comprobantes fiscales digitales, estos deberán estar agregados en forma electrónica en cada póliza de registro contable</w:t>
      </w:r>
      <w:r w:rsidRPr="00FE11D9">
        <w:rPr>
          <w:rFonts w:ascii="Palatino Linotype" w:eastAsia="Palatino Linotype" w:hAnsi="Palatino Linotype" w:cs="Palatino Linotype"/>
          <w:i/>
          <w:iCs/>
          <w:color w:val="000000" w:themeColor="text1"/>
        </w:rPr>
        <w:t xml:space="preserve">. </w:t>
      </w:r>
    </w:p>
    <w:p w14:paraId="460C6F11"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El plazo señalado en el párrafo anterior, empezará a contar a partir de la publicación en el Periódico Oficial, del decreto correspondiente. “(Sic) </w:t>
      </w:r>
    </w:p>
    <w:p w14:paraId="660DC30E" w14:textId="77777777" w:rsidR="009268A3" w:rsidRPr="00FE11D9" w:rsidRDefault="009268A3" w:rsidP="00FE11D9">
      <w:pPr>
        <w:jc w:val="both"/>
        <w:rPr>
          <w:rFonts w:ascii="Palatino Linotype" w:eastAsia="Palatino Linotype" w:hAnsi="Palatino Linotype" w:cs="Palatino Linotype"/>
          <w:i/>
          <w:iCs/>
          <w:color w:val="000000" w:themeColor="text1"/>
        </w:rPr>
      </w:pPr>
    </w:p>
    <w:p w14:paraId="3900CECC" w14:textId="77777777" w:rsidR="009268A3" w:rsidRPr="00FE11D9" w:rsidRDefault="00750B54" w:rsidP="00FE11D9">
      <w:pPr>
        <w:jc w:val="right"/>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(Énfasis añadido)</w:t>
      </w:r>
    </w:p>
    <w:p w14:paraId="6F0A325C" w14:textId="77777777" w:rsidR="009268A3" w:rsidRDefault="009268A3" w:rsidP="00FE11D9">
      <w:pPr>
        <w:jc w:val="both"/>
        <w:rPr>
          <w:rFonts w:ascii="Palatino Linotype" w:eastAsia="Palatino Linotype" w:hAnsi="Palatino Linotype" w:cs="Palatino Linotype"/>
          <w:color w:val="000000" w:themeColor="text1"/>
        </w:rPr>
      </w:pPr>
    </w:p>
    <w:p w14:paraId="4DB30753" w14:textId="77777777" w:rsidR="00966F8A" w:rsidRPr="00FE11D9" w:rsidRDefault="00966F8A" w:rsidP="00FE11D9">
      <w:pPr>
        <w:jc w:val="both"/>
        <w:rPr>
          <w:rFonts w:ascii="Palatino Linotype" w:eastAsia="Palatino Linotype" w:hAnsi="Palatino Linotype" w:cs="Palatino Linotype"/>
          <w:color w:val="000000" w:themeColor="text1"/>
        </w:rPr>
      </w:pPr>
    </w:p>
    <w:p w14:paraId="753AF3D9"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1A9B28E" w14:textId="77777777" w:rsidR="009268A3" w:rsidRPr="00FE11D9" w:rsidRDefault="009268A3" w:rsidP="00FE11D9">
      <w:pPr>
        <w:widowControl w:val="0"/>
        <w:spacing w:line="360" w:lineRule="auto"/>
        <w:jc w:val="both"/>
        <w:rPr>
          <w:rFonts w:ascii="Palatino Linotype" w:eastAsia="Palatino Linotype" w:hAnsi="Palatino Linotype" w:cs="Palatino Linotype"/>
          <w:color w:val="000000" w:themeColor="text1"/>
        </w:rPr>
      </w:pPr>
    </w:p>
    <w:p w14:paraId="1633F2FD" w14:textId="117DDDF6" w:rsidR="009268A3" w:rsidRPr="00966F8A" w:rsidRDefault="00750B54" w:rsidP="00966F8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66F8A">
        <w:rPr>
          <w:rFonts w:ascii="Palatino Linotype" w:eastAsia="Palatino Linotype" w:hAnsi="Palatino Linotype" w:cs="Palatino Linotype"/>
          <w:color w:val="000000" w:themeColor="text1"/>
        </w:rP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61FDA20F"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5A3F0498"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 xml:space="preserve">En ese contexto, los Sujetos Obligados deben generar pólizas contables que corresponden a un documento en el que se asientan las operaciones desarrolladas, por el municipio y toda la información necesaria para su identificación, de esta manera se trae por analogía la Guía Técnica 8 “La Contabilidad y la Cuenta Pública Municipal”; además, dichas pólizas se dividen en las siguientes: </w:t>
      </w:r>
    </w:p>
    <w:p w14:paraId="229EC0B8" w14:textId="77777777" w:rsidR="009268A3" w:rsidRPr="00FE11D9" w:rsidRDefault="00750B54" w:rsidP="00FE11D9">
      <w:pPr>
        <w:numPr>
          <w:ilvl w:val="0"/>
          <w:numId w:val="18"/>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Póliza de Ingresos:</w:t>
      </w:r>
      <w:r w:rsidRPr="00FE11D9">
        <w:rPr>
          <w:rFonts w:ascii="Palatino Linotype" w:eastAsia="Palatino Linotype" w:hAnsi="Palatino Linotype" w:cs="Palatino Linotype"/>
          <w:i/>
          <w:iCs/>
          <w:color w:val="000000" w:themeColor="text1"/>
        </w:rPr>
        <w:t xml:space="preserve"> Es aquella donde se anotan las operaciones que representan ingresos, esto es, entradas de dinero para el municipio. </w:t>
      </w:r>
    </w:p>
    <w:p w14:paraId="1AFE0A5A" w14:textId="77777777" w:rsidR="009268A3" w:rsidRPr="00FE11D9" w:rsidRDefault="00750B54" w:rsidP="00FE11D9">
      <w:pPr>
        <w:numPr>
          <w:ilvl w:val="0"/>
          <w:numId w:val="18"/>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Póliza de Egresos:</w:t>
      </w:r>
      <w:r w:rsidRPr="00FE11D9">
        <w:rPr>
          <w:rFonts w:ascii="Palatino Linotype" w:eastAsia="Palatino Linotype" w:hAnsi="Palatino Linotype" w:cs="Palatino Linotype"/>
          <w:i/>
          <w:iCs/>
          <w:color w:val="000000" w:themeColor="text1"/>
        </w:rPr>
        <w:t xml:space="preserve"> Corresponde a aquella donde se anotan las operaciones que implique egresos, es decir, la salida de dinero, en efectivo o transferencia, para el municipio.</w:t>
      </w:r>
    </w:p>
    <w:p w14:paraId="0ED04E28" w14:textId="77777777" w:rsidR="009268A3" w:rsidRPr="00FE11D9" w:rsidRDefault="00750B54" w:rsidP="00FE11D9">
      <w:pPr>
        <w:numPr>
          <w:ilvl w:val="0"/>
          <w:numId w:val="18"/>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Póliza Cheque:</w:t>
      </w:r>
      <w:r w:rsidRPr="00FE11D9">
        <w:rPr>
          <w:rFonts w:ascii="Palatino Linotype" w:eastAsia="Palatino Linotype" w:hAnsi="Palatino Linotype" w:cs="Palatino Linotype"/>
          <w:i/>
          <w:iCs/>
          <w:color w:val="000000" w:themeColor="text1"/>
        </w:rPr>
        <w:t xml:space="preserve"> Es la que se elabora cuando la operación implique una salida de dinero del municipio, a través de un cheque.</w:t>
      </w:r>
    </w:p>
    <w:p w14:paraId="53759143" w14:textId="77777777" w:rsidR="009268A3" w:rsidRPr="00FE11D9" w:rsidRDefault="00750B54" w:rsidP="00FE11D9">
      <w:pPr>
        <w:numPr>
          <w:ilvl w:val="0"/>
          <w:numId w:val="18"/>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Póliza de Diario:</w:t>
      </w:r>
      <w:r w:rsidRPr="00FE11D9">
        <w:rPr>
          <w:rFonts w:ascii="Palatino Linotype" w:eastAsia="Palatino Linotype" w:hAnsi="Palatino Linotype" w:cs="Palatino Linotype"/>
          <w:i/>
          <w:iCs/>
          <w:color w:val="000000" w:themeColor="text1"/>
        </w:rPr>
        <w:t xml:space="preserve"> Es la que se elabora cuando la operación que se está registrando no implica una entrada o una salida (ingreso o egreso) de dinero para el municipio.</w:t>
      </w:r>
    </w:p>
    <w:p w14:paraId="605291A0" w14:textId="77777777" w:rsidR="009268A3" w:rsidRDefault="009268A3" w:rsidP="00FE11D9">
      <w:pPr>
        <w:jc w:val="both"/>
        <w:rPr>
          <w:rFonts w:ascii="Palatino Linotype" w:eastAsia="Palatino Linotype" w:hAnsi="Palatino Linotype" w:cs="Palatino Linotype"/>
          <w:i/>
          <w:iCs/>
          <w:color w:val="000000" w:themeColor="text1"/>
        </w:rPr>
      </w:pPr>
    </w:p>
    <w:p w14:paraId="21E73013" w14:textId="77777777" w:rsidR="00966F8A" w:rsidRPr="00FE11D9" w:rsidRDefault="00966F8A" w:rsidP="00FE11D9">
      <w:pPr>
        <w:jc w:val="both"/>
        <w:rPr>
          <w:rFonts w:ascii="Palatino Linotype" w:eastAsia="Palatino Linotype" w:hAnsi="Palatino Linotype" w:cs="Palatino Linotype"/>
          <w:i/>
          <w:iCs/>
          <w:color w:val="000000" w:themeColor="text1"/>
        </w:rPr>
      </w:pPr>
    </w:p>
    <w:p w14:paraId="5AA9A29B"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En ese orden de ideas, este Instituto revisó los Lineamientos para la Integración, Presentación y Envío de los Informes Trimestrales Municipales del Ejercicio Fiscal 2024, de los cuales se logra advertir que el Municipio debe entregar al Órgano Superior de Fiscalización, en el Módulo 1, entre otros documentos el Diario General de Pólizas, mismo que debe ser generado en formato “PDF” y “XLSX”; además, conforme al Instructivo de llenado de dicho formato, este tiene como finalidad concentrar </w:t>
      </w:r>
      <w:r w:rsidRPr="00FE11D9">
        <w:rPr>
          <w:rFonts w:ascii="Palatino Linotype" w:eastAsia="Palatino Linotype" w:hAnsi="Palatino Linotype" w:cs="Palatino Linotype"/>
          <w:i/>
          <w:iCs/>
          <w:color w:val="000000" w:themeColor="text1"/>
        </w:rPr>
        <w:t>el total de pólizas</w:t>
      </w:r>
      <w:r w:rsidRPr="00FE11D9">
        <w:rPr>
          <w:rFonts w:ascii="Palatino Linotype" w:eastAsia="Palatino Linotype" w:hAnsi="Palatino Linotype" w:cs="Palatino Linotype"/>
          <w:color w:val="000000" w:themeColor="text1"/>
        </w:rPr>
        <w:t xml:space="preserve"> que la entidad realizó en un periodo específico.</w:t>
      </w:r>
    </w:p>
    <w:p w14:paraId="38CFFB56"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DE9E2B8" w14:textId="5E83FC2C" w:rsidR="009268A3" w:rsidRPr="00966F8A" w:rsidRDefault="00750B54" w:rsidP="00966F8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66F8A">
        <w:rPr>
          <w:rFonts w:ascii="Palatino Linotype" w:eastAsia="Palatino Linotype" w:hAnsi="Palatino Linotype" w:cs="Palatino Linotype"/>
          <w:color w:val="000000" w:themeColor="text1"/>
        </w:rPr>
        <w:t>Es así que, al haber entregado el Sujeto Obligado las documentales relativas al primer trimestre y haber señalado que las correspondientes al segundo trimestre aún no se habían generado entregarlos constituye actos futuros.</w:t>
      </w:r>
    </w:p>
    <w:p w14:paraId="3A13B608" w14:textId="77777777" w:rsidR="009268A3" w:rsidRPr="00FE11D9" w:rsidRDefault="00750B54" w:rsidP="00966F8A">
      <w:pPr>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 xml:space="preserve">Bajo este contexto, se destaca que el derecho de acceso a la información estriba respecto de aquellos soportes documentales generados, poseídos o administrados por </w:t>
      </w:r>
      <w:r w:rsidRPr="00FE11D9">
        <w:rPr>
          <w:rFonts w:ascii="Palatino Linotype" w:eastAsia="Palatino Linotype" w:hAnsi="Palatino Linotype" w:cs="Palatino Linotype"/>
          <w:b/>
          <w:bCs/>
          <w:color w:val="000000" w:themeColor="text1"/>
        </w:rPr>
        <w:t xml:space="preserve">El Sujeto Obligado </w:t>
      </w:r>
      <w:r w:rsidRPr="00FE11D9">
        <w:rPr>
          <w:rFonts w:ascii="Palatino Linotype" w:eastAsia="Palatino Linotype" w:hAnsi="Palatino Linotype" w:cs="Palatino Linotype"/>
          <w:color w:val="000000" w:themeColor="text1"/>
        </w:rPr>
        <w:t>que se encuentren disponibles al momento de ejercer dicha prerrogativa, es decir, excluye los siguientes actos:</w:t>
      </w:r>
    </w:p>
    <w:p w14:paraId="213B16AB" w14:textId="77777777" w:rsidR="009268A3" w:rsidRPr="00FE11D9" w:rsidRDefault="00750B54" w:rsidP="00FE11D9">
      <w:pPr>
        <w:spacing w:before="240" w:line="360" w:lineRule="auto"/>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 xml:space="preserve">Actos futuros inminentes: </w:t>
      </w:r>
      <w:r w:rsidRPr="00FE11D9">
        <w:rPr>
          <w:rFonts w:ascii="Palatino Linotype" w:eastAsia="Palatino Linotype" w:hAnsi="Palatino Linotype" w:cs="Palatino Linotype"/>
          <w:i/>
          <w:iCs/>
          <w:color w:val="000000" w:themeColor="text1"/>
        </w:rPr>
        <w:t xml:space="preserve">Son aquellos cuyo mandamiento ya se ha dictado y su ejecución puede realizarse de un momento a otro. </w:t>
      </w:r>
    </w:p>
    <w:p w14:paraId="72E155B7" w14:textId="77777777" w:rsidR="009268A3" w:rsidRPr="00FE11D9" w:rsidRDefault="00750B54" w:rsidP="00FE11D9">
      <w:pPr>
        <w:spacing w:before="240" w:line="360" w:lineRule="auto"/>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bCs/>
          <w:i/>
          <w:iCs/>
          <w:color w:val="000000" w:themeColor="text1"/>
        </w:rPr>
        <w:t xml:space="preserve">Actos futuros probables: </w:t>
      </w:r>
      <w:r w:rsidRPr="00FE11D9">
        <w:rPr>
          <w:rFonts w:ascii="Palatino Linotype" w:eastAsia="Palatino Linotype" w:hAnsi="Palatino Linotype" w:cs="Palatino Linotype"/>
          <w:i/>
          <w:iCs/>
          <w:color w:val="000000" w:themeColor="text1"/>
        </w:rPr>
        <w:t xml:space="preserve">Son aquellos que pueden o no suceder, es decir, son de remota realización. </w:t>
      </w:r>
    </w:p>
    <w:p w14:paraId="49A24524" w14:textId="77777777" w:rsidR="009268A3" w:rsidRPr="00FE11D9" w:rsidRDefault="009268A3" w:rsidP="00FE11D9">
      <w:pPr>
        <w:spacing w:before="240" w:line="360" w:lineRule="auto"/>
        <w:jc w:val="both"/>
        <w:rPr>
          <w:rFonts w:ascii="Palatino Linotype" w:eastAsia="Palatino Linotype" w:hAnsi="Palatino Linotype" w:cs="Palatino Linotype"/>
          <w:i/>
          <w:iCs/>
          <w:color w:val="000000" w:themeColor="text1"/>
        </w:rPr>
      </w:pPr>
    </w:p>
    <w:p w14:paraId="71435310" w14:textId="4F057B7F"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Así mismo</w:t>
      </w:r>
      <w:r w:rsidR="00066F4B" w:rsidRPr="00FE11D9">
        <w:rPr>
          <w:rFonts w:ascii="Palatino Linotype" w:eastAsia="Palatino Linotype" w:hAnsi="Palatino Linotype" w:cs="Palatino Linotype"/>
          <w:color w:val="000000" w:themeColor="text1"/>
        </w:rPr>
        <w:t>, se</w:t>
      </w:r>
      <w:r w:rsidRPr="00FE11D9">
        <w:rPr>
          <w:rFonts w:ascii="Palatino Linotype" w:eastAsia="Palatino Linotype" w:hAnsi="Palatino Linotype" w:cs="Palatino Linotype"/>
          <w:color w:val="000000" w:themeColor="text1"/>
        </w:rPr>
        <w:t xml:space="preserve"> advierte que de los comprobantes de pago por transferencia electrónica se entregaron versiones públicas deficientes donde se testaron la cuenta de retiro y la cuenta de depósito correspondientes de forma respectiva al número de cuenta del Sujeto Obligado y al número de cuenta del particular donde fueron destinados los recursos por concepto de combustible.</w:t>
      </w:r>
    </w:p>
    <w:p w14:paraId="3ED6769D"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4912ACB" w14:textId="77777777" w:rsidR="009268A3" w:rsidRPr="00FE11D9" w:rsidRDefault="00750B54" w:rsidP="00966F8A">
      <w:pPr>
        <w:numPr>
          <w:ilvl w:val="0"/>
          <w:numId w:val="8"/>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color w:val="000000" w:themeColor="text1"/>
        </w:rPr>
        <w:t xml:space="preserve">Por lo que, es menester referir que, el </w:t>
      </w:r>
      <w:r w:rsidRPr="00FE11D9">
        <w:rPr>
          <w:rFonts w:ascii="Palatino Linotype" w:eastAsia="Palatino Linotype" w:hAnsi="Palatino Linotype" w:cs="Palatino Linotype"/>
          <w:b/>
          <w:bCs/>
          <w:i/>
          <w:iCs/>
          <w:color w:val="000000" w:themeColor="text1"/>
        </w:rPr>
        <w:t>número de cuenta bancaria</w:t>
      </w:r>
      <w:r w:rsidRPr="00FE11D9">
        <w:rPr>
          <w:rFonts w:ascii="Palatino Linotype" w:eastAsia="Palatino Linotype" w:hAnsi="Palatino Linotype" w:cs="Palatino Linotype"/>
          <w:color w:val="000000" w:themeColor="text1"/>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0238BB6"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3EB3700D"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4DE7FA3"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66D34CAE"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3319F74"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31BF02BA"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Por lo anterior, se considera que, el dato concerniente al número de cuenta bancario de personas físicas y morales, es un dato susceptible de ser clasificado como confidencial.</w:t>
      </w:r>
    </w:p>
    <w:p w14:paraId="07D86E65"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150FBD7C"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Por otro lado, en lo que corresponde a cuentas bancarias otorgadas al municipio, es de mencionar que se trata de información de dominio público, ya que avala que los cargos efectuados, las transferencias electrónicas realizadas o los abonos efectuados corresponden, exclusivamente a la cuenta proporcionada a su titular, creando con ello una relación entre el municipio y la institución encargada de prestar servicios de carácter financiero, mismo que se encuentra estrechamente relacionada con el patrimonio municipal a la que se asignó el número. </w:t>
      </w:r>
    </w:p>
    <w:p w14:paraId="17E4F8A5" w14:textId="77777777" w:rsidR="009268A3" w:rsidRPr="00FE11D9" w:rsidRDefault="009268A3" w:rsidP="00FE11D9">
      <w:pPr>
        <w:tabs>
          <w:tab w:val="left" w:pos="7938"/>
        </w:tabs>
        <w:spacing w:line="360" w:lineRule="auto"/>
        <w:jc w:val="both"/>
        <w:rPr>
          <w:rFonts w:ascii="Palatino Linotype" w:eastAsia="Palatino Linotype" w:hAnsi="Palatino Linotype" w:cs="Palatino Linotype"/>
          <w:color w:val="000000" w:themeColor="text1"/>
        </w:rPr>
      </w:pPr>
    </w:p>
    <w:p w14:paraId="46238711" w14:textId="77777777" w:rsidR="009268A3" w:rsidRPr="00FE11D9" w:rsidRDefault="00750B54" w:rsidP="00966F8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 xml:space="preserve">Derivado de lo anterior, se considera que el estado de cuenta bancaria y la CLABE interbancaria, del Municipio se encuentra asociado a su patrimonio, entendiendo éste como el conjunto de bienes, fondos, derechos, obligaciones, etc. por tanto, se trata de información de dominio público. </w:t>
      </w:r>
    </w:p>
    <w:p w14:paraId="5C0168B2" w14:textId="77777777" w:rsidR="009268A3" w:rsidRPr="00FE11D9" w:rsidRDefault="009268A3" w:rsidP="00FE11D9">
      <w:pPr>
        <w:tabs>
          <w:tab w:val="left" w:pos="7938"/>
        </w:tabs>
        <w:spacing w:line="360" w:lineRule="auto"/>
        <w:jc w:val="both"/>
        <w:rPr>
          <w:rFonts w:ascii="Palatino Linotype" w:eastAsia="Palatino Linotype" w:hAnsi="Palatino Linotype" w:cs="Palatino Linotype"/>
          <w:color w:val="000000" w:themeColor="text1"/>
        </w:rPr>
      </w:pPr>
    </w:p>
    <w:p w14:paraId="3D1A667B" w14:textId="77777777" w:rsidR="009268A3" w:rsidRPr="00FE11D9" w:rsidRDefault="00750B54" w:rsidP="00966F8A">
      <w:pPr>
        <w:numPr>
          <w:ilvl w:val="0"/>
          <w:numId w:val="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En el presente caso se advierte que si bien, existen personas morales a las que se les realizaron transferencias y por ende, su número de cuenta debe ser protegido, también lo es que se advierten instituciones públicas, por lo que, el dato relativo a su cuenta bancaria o CLABE es de naturaleza pública. </w:t>
      </w:r>
    </w:p>
    <w:p w14:paraId="38DA5327"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color w:val="000000" w:themeColor="text1"/>
        </w:rPr>
      </w:pPr>
    </w:p>
    <w:p w14:paraId="2AB4CA2C" w14:textId="77777777" w:rsidR="009268A3" w:rsidRPr="00FE11D9" w:rsidRDefault="00750B54" w:rsidP="00FE11D9">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La intervención del Comité de Transparencia.</w:t>
      </w:r>
    </w:p>
    <w:p w14:paraId="74BCCD01" w14:textId="77777777" w:rsidR="009268A3" w:rsidRPr="00FE11D9" w:rsidRDefault="00750B54" w:rsidP="00FE11D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Formalidades para emitir el Acuerdo de Clasificación.</w:t>
      </w:r>
    </w:p>
    <w:p w14:paraId="0A118319"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Por otra parte se advierte de las documentales enviadas en informe justificado que el Sujeto Obligado fue omiso en remitir el Acuerdo por el que se clasifique la información que fue testada, por lo que resulta necesario señalar que 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E11D9">
        <w:rPr>
          <w:rFonts w:ascii="Palatino Linotype" w:eastAsia="Palatino Linotype" w:hAnsi="Palatino Linotype" w:cs="Palatino Linotype"/>
          <w:b/>
          <w:bCs/>
          <w:color w:val="000000" w:themeColor="text1"/>
          <w:u w:val="single"/>
        </w:rPr>
        <w:t>confirmar, modificar o revocar</w:t>
      </w:r>
      <w:r w:rsidRPr="00FE11D9">
        <w:rPr>
          <w:rFonts w:ascii="Palatino Linotype" w:eastAsia="Palatino Linotype" w:hAnsi="Palatino Linotype" w:cs="Palatino Linotype"/>
          <w:color w:val="000000" w:themeColor="text1"/>
        </w:rPr>
        <w:t xml:space="preserve"> la clasificación de la información que ha hecho el titular del área que administra la información. Por lo tanto, el Comité </w:t>
      </w:r>
      <w:r w:rsidRPr="00FE11D9">
        <w:rPr>
          <w:rFonts w:ascii="Palatino Linotype" w:eastAsia="Palatino Linotype" w:hAnsi="Palatino Linotype" w:cs="Palatino Linotype"/>
          <w:b/>
          <w:bCs/>
          <w:color w:val="000000" w:themeColor="text1"/>
        </w:rPr>
        <w:t>no aprueba</w:t>
      </w:r>
      <w:r w:rsidRPr="00FE11D9">
        <w:rPr>
          <w:rFonts w:ascii="Palatino Linotype" w:eastAsia="Palatino Linotype" w:hAnsi="Palatino Linotype" w:cs="Palatino Linotype"/>
          <w:color w:val="000000" w:themeColor="text1"/>
        </w:rPr>
        <w:t xml:space="preserve"> la clasificación, sino que revisa lo que ha hecho el titular del área y confirma, modifica o revoca la decisión a través de un acuerdo.</w:t>
      </w:r>
    </w:p>
    <w:p w14:paraId="5CDF0091"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2259423"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6B0FE46" w14:textId="77777777" w:rsidR="009268A3" w:rsidRPr="00FE11D9" w:rsidRDefault="009268A3" w:rsidP="00FE11D9">
      <w:pPr>
        <w:rPr>
          <w:rFonts w:ascii="Palatino Linotype" w:eastAsia="Palatino Linotype" w:hAnsi="Palatino Linotype" w:cs="Palatino Linotype"/>
          <w:color w:val="000000" w:themeColor="text1"/>
        </w:rPr>
      </w:pPr>
    </w:p>
    <w:p w14:paraId="6F178B22"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5419108" w14:textId="77777777" w:rsidR="009268A3" w:rsidRPr="00FE11D9" w:rsidRDefault="009268A3" w:rsidP="00FE11D9">
      <w:pPr>
        <w:pBdr>
          <w:top w:val="nil"/>
          <w:left w:val="nil"/>
          <w:bottom w:val="nil"/>
          <w:right w:val="nil"/>
          <w:between w:val="nil"/>
        </w:pBdr>
        <w:spacing w:before="240" w:line="360" w:lineRule="auto"/>
        <w:jc w:val="both"/>
        <w:rPr>
          <w:rFonts w:ascii="Palatino Linotype" w:eastAsia="Palatino Linotype" w:hAnsi="Palatino Linotype" w:cs="Palatino Linotype"/>
          <w:b/>
          <w:bCs/>
          <w:color w:val="000000" w:themeColor="text1"/>
        </w:rPr>
      </w:pPr>
    </w:p>
    <w:p w14:paraId="6F65DF82" w14:textId="77777777" w:rsidR="009268A3" w:rsidRPr="00FE11D9" w:rsidRDefault="00750B54" w:rsidP="00FE11D9">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b) Requisitos de fondo del Acuerdo de Clasificación.</w:t>
      </w:r>
    </w:p>
    <w:p w14:paraId="323C64F4"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w:t>
      </w:r>
    </w:p>
    <w:p w14:paraId="753B4449"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DB788B2" w14:textId="77777777" w:rsidR="009268A3" w:rsidRPr="00FE11D9" w:rsidRDefault="009268A3" w:rsidP="00FE11D9">
      <w:pPr>
        <w:rPr>
          <w:rFonts w:ascii="Palatino Linotype" w:eastAsia="Palatino Linotype" w:hAnsi="Palatino Linotype" w:cs="Palatino Linotype"/>
          <w:color w:val="000000" w:themeColor="text1"/>
        </w:rPr>
      </w:pPr>
    </w:p>
    <w:p w14:paraId="05040F53"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origen y las razones por las que se deben aplicar al caso concreto.</w:t>
      </w:r>
    </w:p>
    <w:p w14:paraId="07CCA3F8" w14:textId="77777777" w:rsidR="009268A3" w:rsidRPr="00FE11D9" w:rsidRDefault="009268A3" w:rsidP="00FE11D9">
      <w:pPr>
        <w:rPr>
          <w:rFonts w:ascii="Palatino Linotype" w:eastAsia="Palatino Linotype" w:hAnsi="Palatino Linotype" w:cs="Palatino Linotype"/>
          <w:color w:val="000000" w:themeColor="text1"/>
        </w:rPr>
      </w:pPr>
    </w:p>
    <w:p w14:paraId="50BB1924"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Por su parte, el intérprete judicial del país ha establecido una jurisprudencia respecto a qué debe entenderse por fundamentación y motivación, en los siguientes términos:</w:t>
      </w:r>
    </w:p>
    <w:p w14:paraId="509CB8D6" w14:textId="77777777" w:rsidR="009268A3" w:rsidRPr="00FE11D9" w:rsidRDefault="00750B54" w:rsidP="00FE11D9">
      <w:pPr>
        <w:pBdr>
          <w:top w:val="nil"/>
          <w:left w:val="nil"/>
          <w:bottom w:val="nil"/>
          <w:right w:val="nil"/>
          <w:between w:val="nil"/>
        </w:pBdr>
        <w:spacing w:before="240" w:after="240"/>
        <w:jc w:val="both"/>
        <w:rPr>
          <w:rFonts w:ascii="Palatino Linotype" w:eastAsia="Palatino Linotype" w:hAnsi="Palatino Linotype" w:cs="Palatino Linotype"/>
          <w:b/>
          <w:bCs/>
          <w:color w:val="000000" w:themeColor="text1"/>
          <w:u w:val="single"/>
        </w:rPr>
      </w:pPr>
      <w:r w:rsidRPr="00FE11D9">
        <w:rPr>
          <w:rFonts w:ascii="Palatino Linotype" w:eastAsia="Palatino Linotype" w:hAnsi="Palatino Linotype" w:cs="Palatino Linotype"/>
          <w:b/>
          <w:bCs/>
          <w:i/>
          <w:iCs/>
          <w:color w:val="000000" w:themeColor="text1"/>
        </w:rPr>
        <w:t>FUNDAMENTACIÓN Y MOTIVACIÓN.</w:t>
      </w:r>
      <w:r w:rsidRPr="00FE11D9">
        <w:rPr>
          <w:rFonts w:ascii="Palatino Linotype" w:eastAsia="Palatino Linotype" w:hAnsi="Palatino Linotype" w:cs="Palatino Linotype"/>
          <w:i/>
          <w:iCs/>
          <w:color w:val="000000" w:themeColor="text1"/>
        </w:rPr>
        <w:t xml:space="preserve"> “La </w:t>
      </w:r>
      <w:r w:rsidRPr="00FE11D9">
        <w:rPr>
          <w:rFonts w:ascii="Palatino Linotype" w:eastAsia="Palatino Linotype" w:hAnsi="Palatino Linotype" w:cs="Palatino Linotype"/>
          <w:i/>
          <w:iCs/>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E11D9">
        <w:rPr>
          <w:rFonts w:ascii="Palatino Linotype" w:eastAsia="Palatino Linotype" w:hAnsi="Palatino Linotype" w:cs="Palatino Linotype"/>
          <w:i/>
          <w:iCs/>
          <w:color w:val="000000" w:themeColor="text1"/>
        </w:rPr>
        <w:t>.”</w:t>
      </w:r>
    </w:p>
    <w:p w14:paraId="276BCED3" w14:textId="77777777" w:rsidR="009268A3" w:rsidRPr="00FE11D9" w:rsidRDefault="009268A3" w:rsidP="00FE11D9">
      <w:pPr>
        <w:jc w:val="both"/>
        <w:rPr>
          <w:rFonts w:ascii="Palatino Linotype" w:eastAsia="Palatino Linotype" w:hAnsi="Palatino Linotype" w:cs="Palatino Linotype"/>
          <w:i/>
          <w:iCs/>
          <w:color w:val="000000" w:themeColor="text1"/>
        </w:rPr>
      </w:pPr>
    </w:p>
    <w:p w14:paraId="6DEA2966"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SEGUNDO TRIBUNAL COLEGIADO DEL SEXTO CIRCUITO.</w:t>
      </w:r>
    </w:p>
    <w:p w14:paraId="4B432976"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Amparo directo 194/88. Bufete Industrial Construcciones, S.A. de C.V. 28 de junio de 1988. Unanimidad de votos. Ponente: Gustavo Calvillo Rangel. Secretario: Jorge Alberto González Álvarez.</w:t>
      </w:r>
    </w:p>
    <w:p w14:paraId="6A9A73FF"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Revisión fiscal 103/88. Instituto Mexicano del Seguro Social. 18 de octubre de 1988. Unanimidad de votos. Ponente: Arnoldo Nájera Virgen. Secretario: Alejandro Esponda Rincón.</w:t>
      </w:r>
    </w:p>
    <w:p w14:paraId="4260FF90"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lastRenderedPageBreak/>
        <w:t>Amparo en revisión 333/88. Adilia Romero. 26 de octubre de 1988. Unanimidad de votos. Ponente: Arnoldo Nájera Virgen. Secretario: Enrique Crispín Campos Ramírez.</w:t>
      </w:r>
    </w:p>
    <w:p w14:paraId="1E390FCE"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Amparo en revisión 597/95. Emilio Maurer Bretón. 15 de noviembre de 1995. Unanimidad de votos. Ponente: Clementina Ramírez Moguel Goyzueta. Secretario: Gonzalo Carrera Molina.</w:t>
      </w:r>
    </w:p>
    <w:p w14:paraId="0E20192C" w14:textId="77777777" w:rsidR="009268A3" w:rsidRPr="00FE11D9" w:rsidRDefault="00750B54" w:rsidP="00FE11D9">
      <w:pPr>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Amparo directo 7/96. Pedro Vicente López Miro. 21 de febrero de 1996. Unanimidad de votos. Ponente: María Eugenia Estela Martínez Cardiel. Secretario: Enrique Baigts Muñoz.</w:t>
      </w:r>
    </w:p>
    <w:p w14:paraId="00725D78"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E7865B6"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E2DBE6"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91AD142"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w:t>
      </w:r>
    </w:p>
    <w:p w14:paraId="54DAAE7C" w14:textId="77777777" w:rsidR="009268A3" w:rsidRPr="00FE11D9" w:rsidRDefault="009268A3" w:rsidP="00FE11D9">
      <w:pPr>
        <w:rPr>
          <w:rFonts w:ascii="Palatino Linotype" w:eastAsia="Palatino Linotype" w:hAnsi="Palatino Linotype" w:cs="Palatino Linotype"/>
          <w:color w:val="000000" w:themeColor="text1"/>
        </w:rPr>
      </w:pPr>
    </w:p>
    <w:p w14:paraId="6464BF42"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De este modo, la persona que se sienta afectada pueda impugnar la decisión, permitiéndole una real y auténtica defensa. En ese mismo sentido, el numeral trigésimo tercero fracción V de los Lineamientos Generales, precisa que para motivar la clasificación se deben acreditar las circunstancias de tiempo, modo y lugar.</w:t>
      </w:r>
    </w:p>
    <w:p w14:paraId="080A3C9E" w14:textId="77777777" w:rsidR="009268A3" w:rsidRPr="00FE11D9" w:rsidRDefault="009268A3" w:rsidP="00FE11D9">
      <w:pPr>
        <w:rPr>
          <w:rFonts w:ascii="Palatino Linotype" w:eastAsia="Palatino Linotype" w:hAnsi="Palatino Linotype" w:cs="Palatino Linotype"/>
          <w:color w:val="000000" w:themeColor="text1"/>
        </w:rPr>
      </w:pPr>
    </w:p>
    <w:p w14:paraId="0BC4339F" w14:textId="77777777" w:rsidR="009268A3" w:rsidRPr="00FE11D9" w:rsidRDefault="00750B54" w:rsidP="00FE11D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En ese caso, se precisa que, si bien se entregaron las documentales solicitadas, no se proporcionó el Acuerdo emitido por el Comité de Transparencia que sustente la versión pública.</w:t>
      </w:r>
    </w:p>
    <w:p w14:paraId="00FD1369" w14:textId="77777777" w:rsidR="009268A3" w:rsidRPr="00FE11D9" w:rsidRDefault="00750B54"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 </w:t>
      </w:r>
    </w:p>
    <w:p w14:paraId="07DE62EA" w14:textId="77777777" w:rsidR="009268A3" w:rsidRPr="00FE11D9" w:rsidRDefault="00750B54" w:rsidP="00FE11D9">
      <w:pPr>
        <w:numPr>
          <w:ilvl w:val="0"/>
          <w:numId w:val="4"/>
        </w:numPr>
        <w:spacing w:line="360" w:lineRule="auto"/>
        <w:ind w:left="0" w:firstLine="0"/>
        <w:jc w:val="both"/>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color w:val="000000" w:themeColor="text1"/>
        </w:rPr>
        <w:lastRenderedPageBreak/>
        <w:t xml:space="preserve">Es por lo expuesto que resulta </w:t>
      </w:r>
      <w:r w:rsidRPr="0050160E">
        <w:rPr>
          <w:rFonts w:ascii="Palatino Linotype" w:eastAsia="Palatino Linotype" w:hAnsi="Palatino Linotype" w:cs="Palatino Linotype"/>
          <w:color w:val="000000" w:themeColor="text1"/>
        </w:rPr>
        <w:t xml:space="preserve">dable </w:t>
      </w:r>
      <w:r w:rsidR="003E25A2" w:rsidRPr="0050160E">
        <w:rPr>
          <w:rFonts w:ascii="Palatino Linotype" w:eastAsia="Palatino Linotype" w:hAnsi="Palatino Linotype" w:cs="Palatino Linotype"/>
          <w:b/>
          <w:bCs/>
          <w:color w:val="000000" w:themeColor="text1"/>
        </w:rPr>
        <w:t>REVO</w:t>
      </w:r>
      <w:r w:rsidRPr="0050160E">
        <w:rPr>
          <w:rFonts w:ascii="Palatino Linotype" w:eastAsia="Palatino Linotype" w:hAnsi="Palatino Linotype" w:cs="Palatino Linotype"/>
          <w:b/>
          <w:bCs/>
          <w:color w:val="000000" w:themeColor="text1"/>
        </w:rPr>
        <w:t xml:space="preserve">CAR </w:t>
      </w:r>
      <w:r w:rsidRPr="0050160E">
        <w:rPr>
          <w:rFonts w:ascii="Palatino Linotype" w:eastAsia="Palatino Linotype" w:hAnsi="Palatino Linotype" w:cs="Palatino Linotype"/>
          <w:color w:val="000000" w:themeColor="text1"/>
        </w:rPr>
        <w:t>la respuesta</w:t>
      </w:r>
      <w:r w:rsidRPr="00FE11D9">
        <w:rPr>
          <w:rFonts w:ascii="Palatino Linotype" w:eastAsia="Palatino Linotype" w:hAnsi="Palatino Linotype" w:cs="Palatino Linotype"/>
          <w:color w:val="000000" w:themeColor="text1"/>
        </w:rPr>
        <w:t xml:space="preserve"> del SUJETO OBLIGADO por lo que se ordena entregar en </w:t>
      </w:r>
      <w:r w:rsidRPr="00FE11D9">
        <w:rPr>
          <w:rFonts w:ascii="Palatino Linotype" w:eastAsia="Palatino Linotype" w:hAnsi="Palatino Linotype" w:cs="Palatino Linotype"/>
          <w:i/>
          <w:iCs/>
          <w:color w:val="000000" w:themeColor="text1"/>
        </w:rPr>
        <w:t>correcta versión pública los comprobantes de pago entregados en informe justificado</w:t>
      </w:r>
      <w:r w:rsidRPr="00FE11D9">
        <w:rPr>
          <w:rFonts w:ascii="Palatino Linotype" w:eastAsia="Palatino Linotype" w:hAnsi="Palatino Linotype" w:cs="Palatino Linotype"/>
          <w:color w:val="000000" w:themeColor="text1"/>
        </w:rPr>
        <w:t xml:space="preserve"> </w:t>
      </w:r>
      <w:r w:rsidRPr="00FE11D9">
        <w:rPr>
          <w:rFonts w:ascii="Palatino Linotype" w:eastAsia="Palatino Linotype" w:hAnsi="Palatino Linotype" w:cs="Palatino Linotype"/>
          <w:i/>
          <w:iCs/>
          <w:color w:val="000000" w:themeColor="text1"/>
        </w:rPr>
        <w:t>con el correspondiente Acuerdo del Comité de Transparencia mediante el cual de manera fundada y motivada exponga las razones para su clasificación.</w:t>
      </w:r>
      <w:r w:rsidRPr="00FE11D9">
        <w:rPr>
          <w:rFonts w:ascii="Palatino Linotype" w:eastAsia="Palatino Linotype" w:hAnsi="Palatino Linotype" w:cs="Palatino Linotype"/>
          <w:b/>
          <w:bCs/>
          <w:i/>
          <w:iCs/>
          <w:color w:val="000000" w:themeColor="text1"/>
        </w:rPr>
        <w:t xml:space="preserve"> </w:t>
      </w:r>
    </w:p>
    <w:p w14:paraId="79854E39"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b/>
          <w:bCs/>
          <w:color w:val="000000" w:themeColor="text1"/>
        </w:rPr>
      </w:pPr>
    </w:p>
    <w:p w14:paraId="0A16D44A" w14:textId="77777777" w:rsidR="009268A3" w:rsidRPr="00FE11D9" w:rsidRDefault="00750B54" w:rsidP="00FE11D9">
      <w:pPr>
        <w:keepNext/>
        <w:keepLines/>
        <w:spacing w:after="160"/>
        <w:rPr>
          <w:rFonts w:ascii="Palatino Linotype" w:eastAsia="Palatino Linotype" w:hAnsi="Palatino Linotype" w:cs="Palatino Linotype"/>
          <w:b/>
          <w:bCs/>
          <w:color w:val="000000" w:themeColor="text1"/>
        </w:rPr>
      </w:pPr>
      <w:bookmarkStart w:id="8" w:name="_heading=h.5riytxujx3d1" w:colFirst="0" w:colLast="0"/>
      <w:bookmarkEnd w:id="8"/>
      <w:r w:rsidRPr="00FE11D9">
        <w:rPr>
          <w:rFonts w:ascii="Palatino Linotype" w:eastAsia="Palatino Linotype" w:hAnsi="Palatino Linotype" w:cs="Palatino Linotype"/>
          <w:b/>
          <w:bCs/>
          <w:color w:val="000000" w:themeColor="text1"/>
        </w:rPr>
        <w:t>QUINTO. De la versión pública.</w:t>
      </w:r>
    </w:p>
    <w:p w14:paraId="28DAC239" w14:textId="77777777" w:rsidR="009268A3" w:rsidRPr="00FE11D9" w:rsidRDefault="00750B54" w:rsidP="00FE11D9">
      <w:pPr>
        <w:keepNext/>
        <w:keepLines/>
        <w:numPr>
          <w:ilvl w:val="0"/>
          <w:numId w:val="12"/>
        </w:numPr>
        <w:tabs>
          <w:tab w:val="left" w:pos="284"/>
        </w:tabs>
        <w:spacing w:after="160"/>
        <w:ind w:left="0" w:firstLine="0"/>
        <w:rPr>
          <w:rFonts w:ascii="Palatino Linotype" w:eastAsia="Palatino Linotype" w:hAnsi="Palatino Linotype" w:cs="Palatino Linotype"/>
          <w:b/>
          <w:bCs/>
          <w:color w:val="000000" w:themeColor="text1"/>
        </w:rPr>
      </w:pPr>
      <w:bookmarkStart w:id="9" w:name="_heading=h.m6cl7s4xrv0p" w:colFirst="0" w:colLast="0"/>
      <w:bookmarkEnd w:id="9"/>
      <w:r w:rsidRPr="00FE11D9">
        <w:rPr>
          <w:rFonts w:ascii="Palatino Linotype" w:eastAsia="Palatino Linotype" w:hAnsi="Palatino Linotype" w:cs="Palatino Linotype"/>
          <w:b/>
          <w:bCs/>
          <w:color w:val="000000" w:themeColor="text1"/>
        </w:rPr>
        <w:t xml:space="preserve">Nociones generales. </w:t>
      </w:r>
    </w:p>
    <w:p w14:paraId="6B59C60B" w14:textId="77777777" w:rsidR="009268A3" w:rsidRPr="00FE11D9" w:rsidRDefault="00750B54" w:rsidP="00FE11D9">
      <w:pPr>
        <w:numPr>
          <w:ilvl w:val="0"/>
          <w:numId w:val="10"/>
        </w:numPr>
        <w:tabs>
          <w:tab w:val="left" w:pos="284"/>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Debe destacarse, que debido a la información solicitada por el </w:t>
      </w:r>
      <w:r w:rsidRPr="00FE11D9">
        <w:rPr>
          <w:rFonts w:ascii="Palatino Linotype" w:eastAsia="Palatino Linotype" w:hAnsi="Palatino Linotype" w:cs="Palatino Linotype"/>
          <w:b/>
          <w:bCs/>
          <w:color w:val="000000" w:themeColor="text1"/>
        </w:rPr>
        <w:t xml:space="preserve">RECURRENTE, </w:t>
      </w:r>
      <w:r w:rsidRPr="00FE11D9">
        <w:rPr>
          <w:rFonts w:ascii="Palatino Linotype" w:eastAsia="Palatino Linotype" w:hAnsi="Palatino Linotype" w:cs="Palatino Linotype"/>
          <w:color w:val="000000" w:themeColor="text1"/>
        </w:rPr>
        <w:t xml:space="preserve">pueden obrar datos personales susceptibles de protegerse, así como información susceptible de clasificarse como confidencial,  por lo que, el </w:t>
      </w:r>
      <w:r w:rsidRPr="00FE11D9">
        <w:rPr>
          <w:rFonts w:ascii="Palatino Linotype" w:eastAsia="Palatino Linotype" w:hAnsi="Palatino Linotype" w:cs="Palatino Linotype"/>
          <w:b/>
          <w:bCs/>
          <w:color w:val="000000" w:themeColor="text1"/>
        </w:rPr>
        <w:t xml:space="preserve">SUJETO OBLIGADO </w:t>
      </w:r>
      <w:r w:rsidRPr="00FE11D9">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6E0F7CD1" w14:textId="77777777" w:rsidR="009268A3" w:rsidRPr="00FE11D9" w:rsidRDefault="009268A3" w:rsidP="00FE11D9">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14:paraId="6334629F" w14:textId="77777777" w:rsidR="009268A3" w:rsidRPr="00FE11D9" w:rsidRDefault="00750B54" w:rsidP="00FE11D9">
      <w:pPr>
        <w:numPr>
          <w:ilvl w:val="0"/>
          <w:numId w:val="10"/>
        </w:numPr>
        <w:tabs>
          <w:tab w:val="left" w:pos="284"/>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No pasa desapercibido para este Órgano Garante que los sujetos obligados</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BB861F9" w14:textId="77777777" w:rsidR="009268A3" w:rsidRPr="00FE11D9" w:rsidRDefault="009268A3" w:rsidP="00FE11D9">
      <w:pPr>
        <w:tabs>
          <w:tab w:val="left" w:pos="284"/>
        </w:tabs>
        <w:spacing w:after="160" w:line="360" w:lineRule="auto"/>
        <w:jc w:val="both"/>
        <w:rPr>
          <w:rFonts w:ascii="Palatino Linotype" w:eastAsia="Palatino Linotype" w:hAnsi="Palatino Linotype" w:cs="Palatino Linotype"/>
          <w:color w:val="000000" w:themeColor="text1"/>
        </w:rPr>
      </w:pPr>
    </w:p>
    <w:tbl>
      <w:tblPr>
        <w:tblStyle w:val="a"/>
        <w:tblW w:w="9654" w:type="dxa"/>
        <w:tblInd w:w="0" w:type="dxa"/>
        <w:tblLayout w:type="fixed"/>
        <w:tblLook w:val="04A0" w:firstRow="1" w:lastRow="0" w:firstColumn="1" w:lastColumn="0" w:noHBand="0" w:noVBand="1"/>
      </w:tblPr>
      <w:tblGrid>
        <w:gridCol w:w="2694"/>
        <w:gridCol w:w="6960"/>
      </w:tblGrid>
      <w:tr w:rsidR="00FE11D9" w:rsidRPr="00FE11D9" w14:paraId="29C9356C" w14:textId="77777777" w:rsidTr="00966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5191075" w14:textId="1829FCE3" w:rsidR="009268A3" w:rsidRPr="00966F8A" w:rsidRDefault="00750B54" w:rsidP="00FE11D9">
            <w:pPr>
              <w:numPr>
                <w:ilvl w:val="0"/>
                <w:numId w:val="14"/>
              </w:numPr>
              <w:pBdr>
                <w:top w:val="nil"/>
                <w:left w:val="nil"/>
                <w:bottom w:val="nil"/>
                <w:right w:val="nil"/>
                <w:between w:val="nil"/>
              </w:pBdr>
              <w:tabs>
                <w:tab w:val="left" w:pos="284"/>
              </w:tabs>
              <w:spacing w:line="360" w:lineRule="auto"/>
              <w:ind w:left="0" w:firstLine="0"/>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val="0"/>
                <w:bCs w:val="0"/>
                <w:color w:val="000000" w:themeColor="text1"/>
              </w:rPr>
              <w:t>Requisitos</w:t>
            </w:r>
            <w:r w:rsidR="00966F8A">
              <w:rPr>
                <w:rFonts w:ascii="Palatino Linotype" w:eastAsia="Palatino Linotype" w:hAnsi="Palatino Linotype" w:cs="Palatino Linotype"/>
                <w:color w:val="000000" w:themeColor="text1"/>
              </w:rPr>
              <w:t xml:space="preserve"> </w:t>
            </w:r>
            <w:r w:rsidRPr="00966F8A">
              <w:rPr>
                <w:rFonts w:ascii="Palatino Linotype" w:eastAsia="Palatino Linotype" w:hAnsi="Palatino Linotype" w:cs="Palatino Linotype"/>
                <w:color w:val="000000" w:themeColor="text1"/>
              </w:rPr>
              <w:t>previos.</w:t>
            </w:r>
          </w:p>
        </w:tc>
        <w:tc>
          <w:tcPr>
            <w:tcW w:w="6960" w:type="dxa"/>
          </w:tcPr>
          <w:p w14:paraId="2D98F8B9" w14:textId="77777777" w:rsidR="009268A3" w:rsidRPr="00FE11D9" w:rsidRDefault="00750B54" w:rsidP="00FE11D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val="0"/>
                <w:bCs w:val="0"/>
                <w:i/>
                <w:iCs/>
                <w:color w:val="000000" w:themeColor="text1"/>
              </w:rPr>
              <w:t>Los artículos 100 y 122 de la Ley Estatal y de la Ley General, respectivamente, señalan que si los Sujetos Obligados determinan que la información actualiza alguno de los supuestos de clasificación, es deber de los titulares de las áreas proponer su clasificación y no</w:t>
            </w:r>
          </w:p>
          <w:p w14:paraId="608AAF17" w14:textId="77777777" w:rsidR="009268A3" w:rsidRPr="00FE11D9" w:rsidRDefault="00750B54" w:rsidP="00FE11D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val="0"/>
                <w:bCs w:val="0"/>
                <w:i/>
                <w:iCs/>
                <w:color w:val="000000" w:themeColor="text1"/>
              </w:rPr>
              <w:lastRenderedPageBreak/>
              <w:t xml:space="preserve"> del Comité de Transparencia. </w:t>
            </w:r>
          </w:p>
          <w:p w14:paraId="436BF60C" w14:textId="77777777" w:rsidR="009268A3" w:rsidRPr="00FE11D9" w:rsidRDefault="00750B54" w:rsidP="00FE11D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val="0"/>
                <w:bCs w:val="0"/>
                <w:i/>
                <w:iCs/>
                <w:color w:val="000000" w:themeColor="text1"/>
              </w:rPr>
              <w:t>Al hacerlo tienen que precisar de qué información se trata, señalando el supuesto de clasificación (confidencialidad o reserva).</w:t>
            </w:r>
          </w:p>
          <w:p w14:paraId="1FCB0B65" w14:textId="77777777" w:rsidR="009268A3" w:rsidRPr="00FE11D9" w:rsidRDefault="00750B54" w:rsidP="00FE11D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val="0"/>
                <w:bCs w:val="0"/>
                <w:i/>
                <w:iCs/>
                <w:color w:val="000000" w:themeColor="text1"/>
              </w:rPr>
              <w:t>Además, se debe señalar el procedimiento, de los tres que establecen los artículos 132 y 106 de la Ley Estatal y General, respectivamente.</w:t>
            </w:r>
          </w:p>
          <w:p w14:paraId="4B80DDC9" w14:textId="77777777" w:rsidR="009268A3" w:rsidRPr="00FE11D9" w:rsidRDefault="00750B54" w:rsidP="00FE11D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b w:val="0"/>
                <w:bCs w:val="0"/>
                <w:i/>
                <w:iCs/>
                <w:color w:val="000000" w:themeColor="text1"/>
              </w:rPr>
              <w:t xml:space="preserve">El último de estos requisitos previos consiste en que no se pueden emitir acuerdos de carácter general ni particular, esto es, </w:t>
            </w:r>
            <w:r w:rsidRPr="00FE11D9">
              <w:rPr>
                <w:rFonts w:ascii="Palatino Linotype" w:eastAsia="Palatino Linotype" w:hAnsi="Palatino Linotype" w:cs="Palatino Linotype"/>
                <w:b w:val="0"/>
                <w:bCs w:val="0"/>
                <w:i/>
                <w:iCs/>
                <w:color w:val="000000" w:themeColor="text1"/>
                <w:u w:val="single"/>
              </w:rPr>
              <w:t>no se puede hacer un acuerdo para clasificar de manera general todos los documentos de un expediente o área, sin</w:t>
            </w:r>
            <w:r w:rsidRPr="00FE11D9">
              <w:rPr>
                <w:rFonts w:ascii="Palatino Linotype" w:eastAsia="Palatino Linotype" w:hAnsi="Palatino Linotype" w:cs="Palatino Linotype"/>
                <w:b w:val="0"/>
                <w:bCs w:val="0"/>
                <w:i/>
                <w:iCs/>
                <w:color w:val="000000" w:themeColor="text1"/>
              </w:rPr>
              <w:t xml:space="preserve"> individualizar su análisis y tampoco se puede hacer un acuerdo por cada dato que se vaya a clasificar dentro de un documento con diez datos, por ejemplo, susceptibles de ser clasificados.</w:t>
            </w:r>
          </w:p>
        </w:tc>
      </w:tr>
      <w:tr w:rsidR="00FE11D9" w:rsidRPr="00FE11D9" w14:paraId="06441B36" w14:textId="77777777" w:rsidTr="00966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7133C10" w14:textId="77777777" w:rsidR="009268A3" w:rsidRPr="00FE11D9" w:rsidRDefault="00750B54" w:rsidP="00FE11D9">
            <w:pPr>
              <w:tabs>
                <w:tab w:val="left" w:pos="284"/>
              </w:tabs>
              <w:spacing w:line="360" w:lineRule="auto"/>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b) Supuestos de clasificación.</w:t>
            </w:r>
          </w:p>
        </w:tc>
        <w:tc>
          <w:tcPr>
            <w:tcW w:w="6960" w:type="dxa"/>
          </w:tcPr>
          <w:p w14:paraId="27F404C3"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Las disposiciones constitucionales y legales en la materia establecen los dos supuestos generales para clasificar la información: por reserva y por confidencialidad.</w:t>
            </w:r>
          </w:p>
          <w:p w14:paraId="5767633D"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56F00E"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lastRenderedPageBreak/>
              <w:t xml:space="preserve">El </w:t>
            </w:r>
            <w:r w:rsidRPr="00FE11D9">
              <w:rPr>
                <w:rFonts w:ascii="Palatino Linotype" w:eastAsia="Palatino Linotype" w:hAnsi="Palatino Linotype" w:cs="Palatino Linotype"/>
                <w:b/>
                <w:bCs/>
                <w:i/>
                <w:iCs/>
                <w:color w:val="000000" w:themeColor="text1"/>
              </w:rPr>
              <w:t>Sujeto Obligado</w:t>
            </w:r>
            <w:r w:rsidRPr="00FE11D9">
              <w:rPr>
                <w:rFonts w:ascii="Palatino Linotype" w:eastAsia="Palatino Linotype" w:hAnsi="Palatino Linotype" w:cs="Palatino Linotype"/>
                <w:i/>
                <w:iCs/>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E11D9" w:rsidRPr="00FE11D9" w14:paraId="273B51E3" w14:textId="77777777" w:rsidTr="00966F8A">
        <w:tc>
          <w:tcPr>
            <w:cnfStyle w:val="001000000000" w:firstRow="0" w:lastRow="0" w:firstColumn="1" w:lastColumn="0" w:oddVBand="0" w:evenVBand="0" w:oddHBand="0" w:evenHBand="0" w:firstRowFirstColumn="0" w:firstRowLastColumn="0" w:lastRowFirstColumn="0" w:lastRowLastColumn="0"/>
            <w:tcW w:w="2694" w:type="dxa"/>
          </w:tcPr>
          <w:p w14:paraId="609B5737" w14:textId="75BA8707" w:rsidR="009268A3" w:rsidRPr="00966F8A" w:rsidRDefault="00750B54" w:rsidP="00FE11D9">
            <w:pPr>
              <w:numPr>
                <w:ilvl w:val="0"/>
                <w:numId w:val="14"/>
              </w:numPr>
              <w:pBdr>
                <w:top w:val="nil"/>
                <w:left w:val="nil"/>
                <w:bottom w:val="nil"/>
                <w:right w:val="nil"/>
                <w:between w:val="nil"/>
              </w:pBdr>
              <w:tabs>
                <w:tab w:val="left" w:pos="284"/>
              </w:tabs>
              <w:spacing w:line="360" w:lineRule="auto"/>
              <w:ind w:left="0" w:firstLine="0"/>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val="0"/>
                <w:bCs w:val="0"/>
                <w:color w:val="000000" w:themeColor="text1"/>
              </w:rPr>
              <w:lastRenderedPageBreak/>
              <w:t>Formalidades</w:t>
            </w:r>
            <w:r w:rsidR="00966F8A">
              <w:rPr>
                <w:rFonts w:ascii="Palatino Linotype" w:eastAsia="Palatino Linotype" w:hAnsi="Palatino Linotype" w:cs="Palatino Linotype"/>
                <w:color w:val="000000" w:themeColor="text1"/>
              </w:rPr>
              <w:t xml:space="preserve"> </w:t>
            </w:r>
            <w:r w:rsidRPr="00966F8A">
              <w:rPr>
                <w:rFonts w:ascii="Palatino Linotype" w:eastAsia="Palatino Linotype" w:hAnsi="Palatino Linotype" w:cs="Palatino Linotype"/>
                <w:color w:val="000000" w:themeColor="text1"/>
              </w:rPr>
              <w:t>para emitir el acuerdo de cla</w:t>
            </w:r>
            <w:bookmarkStart w:id="10" w:name="_GoBack"/>
            <w:bookmarkEnd w:id="10"/>
            <w:r w:rsidRPr="00966F8A">
              <w:rPr>
                <w:rFonts w:ascii="Palatino Linotype" w:eastAsia="Palatino Linotype" w:hAnsi="Palatino Linotype" w:cs="Palatino Linotype"/>
                <w:color w:val="000000" w:themeColor="text1"/>
              </w:rPr>
              <w:t>sificación.</w:t>
            </w:r>
          </w:p>
        </w:tc>
        <w:tc>
          <w:tcPr>
            <w:tcW w:w="6960" w:type="dxa"/>
          </w:tcPr>
          <w:p w14:paraId="426DCD7E" w14:textId="77777777" w:rsidR="009268A3" w:rsidRPr="00FE11D9" w:rsidRDefault="00750B54" w:rsidP="00FE11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El Comité de Transparencia, según lo dispuesto en los artículos cuenta con las facultades para aprobar, modificar o revocar la clasificación de la información que haya propuesto. </w:t>
            </w:r>
          </w:p>
          <w:p w14:paraId="097145ED" w14:textId="77777777" w:rsidR="009268A3" w:rsidRPr="00FE11D9" w:rsidRDefault="00750B54" w:rsidP="00FE11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Es necesario que </w:t>
            </w:r>
            <w:r w:rsidRPr="00FE11D9">
              <w:rPr>
                <w:rFonts w:ascii="Palatino Linotype" w:eastAsia="Palatino Linotype" w:hAnsi="Palatino Linotype" w:cs="Palatino Linotype"/>
                <w:b/>
                <w:bCs/>
                <w:i/>
                <w:iCs/>
                <w:color w:val="000000" w:themeColor="text1"/>
                <w:u w:val="single"/>
              </w:rPr>
              <w:t>el acto reúna con los requisitos elementales</w:t>
            </w:r>
            <w:r w:rsidRPr="00FE11D9">
              <w:rPr>
                <w:rFonts w:ascii="Palatino Linotype" w:eastAsia="Palatino Linotype" w:hAnsi="Palatino Linotype" w:cs="Palatino Linotype"/>
                <w:i/>
                <w:iCs/>
                <w:color w:val="000000" w:themeColor="text1"/>
              </w:rPr>
              <w:t>, entre ellos, que la autoridad que va a emitir el acto de autoridad sea la legalmente facultada para ello.</w:t>
            </w:r>
          </w:p>
          <w:p w14:paraId="59943ED5" w14:textId="77777777" w:rsidR="009268A3" w:rsidRPr="00FE11D9" w:rsidRDefault="00750B54" w:rsidP="00FE11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E11D9" w:rsidRPr="00FE11D9" w14:paraId="0DF58C9C" w14:textId="77777777" w:rsidTr="00966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C14982" w14:textId="77777777" w:rsidR="009268A3" w:rsidRPr="00FE11D9" w:rsidRDefault="009268A3" w:rsidP="00FE11D9">
            <w:pPr>
              <w:tabs>
                <w:tab w:val="left" w:pos="284"/>
              </w:tabs>
              <w:spacing w:line="360" w:lineRule="auto"/>
              <w:rPr>
                <w:rFonts w:ascii="Palatino Linotype" w:eastAsia="Palatino Linotype" w:hAnsi="Palatino Linotype" w:cs="Palatino Linotype"/>
                <w:color w:val="000000" w:themeColor="text1"/>
              </w:rPr>
            </w:pPr>
          </w:p>
          <w:p w14:paraId="3E1DDA65" w14:textId="61016A35" w:rsidR="009268A3" w:rsidRPr="00966F8A" w:rsidRDefault="00750B54" w:rsidP="00FE11D9">
            <w:pPr>
              <w:numPr>
                <w:ilvl w:val="0"/>
                <w:numId w:val="1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val="0"/>
                <w:bCs w:val="0"/>
                <w:color w:val="000000" w:themeColor="text1"/>
              </w:rPr>
              <w:t>Requisitos de</w:t>
            </w:r>
            <w:r w:rsidR="00966F8A">
              <w:rPr>
                <w:rFonts w:ascii="Palatino Linotype" w:eastAsia="Palatino Linotype" w:hAnsi="Palatino Linotype" w:cs="Palatino Linotype"/>
                <w:color w:val="000000" w:themeColor="text1"/>
              </w:rPr>
              <w:t xml:space="preserve"> </w:t>
            </w:r>
            <w:r w:rsidRPr="00966F8A">
              <w:rPr>
                <w:rFonts w:ascii="Palatino Linotype" w:eastAsia="Palatino Linotype" w:hAnsi="Palatino Linotype" w:cs="Palatino Linotype"/>
                <w:color w:val="000000" w:themeColor="text1"/>
              </w:rPr>
              <w:t xml:space="preserve">fondo del acuerdo de clasificación. </w:t>
            </w:r>
          </w:p>
        </w:tc>
        <w:tc>
          <w:tcPr>
            <w:tcW w:w="6960" w:type="dxa"/>
          </w:tcPr>
          <w:p w14:paraId="1A50185B"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w:t>
            </w:r>
            <w:r w:rsidRPr="00FE11D9">
              <w:rPr>
                <w:rFonts w:ascii="Palatino Linotype" w:eastAsia="Palatino Linotype" w:hAnsi="Palatino Linotype" w:cs="Palatino Linotype"/>
                <w:i/>
                <w:iCs/>
                <w:color w:val="000000" w:themeColor="text1"/>
              </w:rPr>
              <w:lastRenderedPageBreak/>
              <w:t xml:space="preserve">Transparencia, la ley señala que la carga de la prueba, para justificar las restricciones, corresponde a los </w:t>
            </w:r>
            <w:r w:rsidRPr="00FE11D9">
              <w:rPr>
                <w:rFonts w:ascii="Palatino Linotype" w:eastAsia="Palatino Linotype" w:hAnsi="Palatino Linotype" w:cs="Palatino Linotype"/>
                <w:b/>
                <w:bCs/>
                <w:i/>
                <w:iCs/>
                <w:color w:val="000000" w:themeColor="text1"/>
              </w:rPr>
              <w:t>Sujetos Obligados</w:t>
            </w:r>
            <w:r w:rsidRPr="00FE11D9">
              <w:rPr>
                <w:rFonts w:ascii="Palatino Linotype" w:eastAsia="Palatino Linotype" w:hAnsi="Palatino Linotype" w:cs="Palatino Linotype"/>
                <w:i/>
                <w:iCs/>
                <w:color w:val="000000" w:themeColor="text1"/>
              </w:rPr>
              <w:t xml:space="preserve">, por lo que deberán fundar y motivar debidamente la clasificación. </w:t>
            </w:r>
          </w:p>
          <w:p w14:paraId="0DC30F5D"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De lo anterior, se desprende que para una correcta </w:t>
            </w:r>
            <w:r w:rsidRPr="00FE11D9">
              <w:rPr>
                <w:rFonts w:ascii="Palatino Linotype" w:eastAsia="Palatino Linotype" w:hAnsi="Palatino Linotype" w:cs="Palatino Linotype"/>
                <w:b/>
                <w:bCs/>
                <w:i/>
                <w:iCs/>
                <w:color w:val="000000" w:themeColor="text1"/>
              </w:rPr>
              <w:t>clasificación total o parcial</w:t>
            </w:r>
            <w:r w:rsidRPr="00FE11D9">
              <w:rPr>
                <w:rFonts w:ascii="Palatino Linotype" w:eastAsia="Palatino Linotype" w:hAnsi="Palatino Linotype" w:cs="Palatino Linotype"/>
                <w:i/>
                <w:iCs/>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310E06"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7F3A83C"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En ese mismo sentido, el numeral trigésimo tercero fracción V de los Lineamientos Generales, precisa que para motivar la clasificación se deben acreditar las circunstancias de tiempo, modo y lugar.</w:t>
            </w:r>
          </w:p>
          <w:p w14:paraId="0989FE83" w14:textId="77777777" w:rsidR="009268A3" w:rsidRPr="00FE11D9" w:rsidRDefault="00750B54" w:rsidP="00FE11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Ahora bien, </w:t>
            </w:r>
            <w:r w:rsidRPr="00FE11D9">
              <w:rPr>
                <w:rFonts w:ascii="Palatino Linotype" w:eastAsia="Palatino Linotype" w:hAnsi="Palatino Linotype" w:cs="Palatino Linotype"/>
                <w:b/>
                <w:bCs/>
                <w:i/>
                <w:iCs/>
                <w:color w:val="000000" w:themeColor="text1"/>
                <w:u w:val="single"/>
              </w:rPr>
              <w:t>para cada caso además de fundar y motivar</w:t>
            </w:r>
            <w:r w:rsidRPr="00FE11D9">
              <w:rPr>
                <w:rFonts w:ascii="Palatino Linotype" w:eastAsia="Palatino Linotype" w:hAnsi="Palatino Linotype" w:cs="Palatino Linotype"/>
                <w:i/>
                <w:iCs/>
                <w:color w:val="000000" w:themeColor="text1"/>
              </w:rPr>
              <w:t xml:space="preserve">, se debe identificar con claridad que datos contenidos en las documentales que son susceptibles de suprimirse, por ejemplo; Clave Única de Registro </w:t>
            </w:r>
            <w:r w:rsidRPr="00FE11D9">
              <w:rPr>
                <w:rFonts w:ascii="Palatino Linotype" w:eastAsia="Palatino Linotype" w:hAnsi="Palatino Linotype" w:cs="Palatino Linotype"/>
                <w:i/>
                <w:iCs/>
                <w:color w:val="000000" w:themeColor="text1"/>
              </w:rPr>
              <w:lastRenderedPageBreak/>
              <w:t>de Población (CURP), Registro Federal de Contribuyentes (R.F.C.), claves de seguros, préstamos o descuentos personales, secretos bancario, fiduciario, industrial, comercial, fiscal, bursátil y postal, cuya titularidad corresponda a particulares, entre otros.</w:t>
            </w:r>
          </w:p>
        </w:tc>
      </w:tr>
      <w:tr w:rsidR="00FE11D9" w:rsidRPr="00FE11D9" w14:paraId="4912A5CD" w14:textId="77777777" w:rsidTr="00966F8A">
        <w:tc>
          <w:tcPr>
            <w:cnfStyle w:val="001000000000" w:firstRow="0" w:lastRow="0" w:firstColumn="1" w:lastColumn="0" w:oddVBand="0" w:evenVBand="0" w:oddHBand="0" w:evenHBand="0" w:firstRowFirstColumn="0" w:firstRowLastColumn="0" w:lastRowFirstColumn="0" w:lastRowLastColumn="0"/>
            <w:tcW w:w="2694" w:type="dxa"/>
          </w:tcPr>
          <w:p w14:paraId="201FE5CF" w14:textId="77777777" w:rsidR="009268A3" w:rsidRPr="00FE11D9" w:rsidRDefault="00750B54" w:rsidP="00FE11D9">
            <w:pPr>
              <w:tabs>
                <w:tab w:val="left" w:pos="284"/>
              </w:tabs>
              <w:spacing w:line="360" w:lineRule="auto"/>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lastRenderedPageBreak/>
              <w:t>e) Condiciones especiales de la clasificación de la información como confidencial.</w:t>
            </w:r>
          </w:p>
        </w:tc>
        <w:tc>
          <w:tcPr>
            <w:tcW w:w="6960" w:type="dxa"/>
          </w:tcPr>
          <w:p w14:paraId="02C00554" w14:textId="77777777" w:rsidR="009268A3" w:rsidRPr="00FE11D9" w:rsidRDefault="00750B54" w:rsidP="00FE11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1B9913CD" w14:textId="77777777" w:rsidR="009268A3" w:rsidRPr="00FE11D9" w:rsidRDefault="00750B54" w:rsidP="00FE11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A99605D" w14:textId="77777777" w:rsidR="009268A3" w:rsidRPr="00FE11D9" w:rsidRDefault="00750B54" w:rsidP="00FE11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themeColor="text1"/>
              </w:rPr>
            </w:pPr>
            <w:r w:rsidRPr="00FE11D9">
              <w:rPr>
                <w:rFonts w:ascii="Palatino Linotype" w:eastAsia="Palatino Linotype" w:hAnsi="Palatino Linotype" w:cs="Palatino Linotype"/>
                <w:i/>
                <w:iCs/>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B6F9764" w14:textId="77777777" w:rsidR="009268A3" w:rsidRPr="00FE11D9" w:rsidRDefault="009268A3" w:rsidP="00FE11D9">
      <w:pPr>
        <w:tabs>
          <w:tab w:val="left" w:pos="284"/>
        </w:tabs>
        <w:spacing w:after="160" w:line="360" w:lineRule="auto"/>
        <w:rPr>
          <w:rFonts w:ascii="Palatino Linotype" w:eastAsia="Palatino Linotype" w:hAnsi="Palatino Linotype" w:cs="Palatino Linotype"/>
          <w:color w:val="000000" w:themeColor="text1"/>
        </w:rPr>
      </w:pPr>
    </w:p>
    <w:p w14:paraId="330FC313" w14:textId="77777777" w:rsidR="009268A3" w:rsidRPr="00FE11D9" w:rsidRDefault="00750B54" w:rsidP="00FE11D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Para tal situación, el Sujeto Obligado deberá seguir el procedimiento establecido en el artículo 168 de la Ley de Transparencia y Acceso a la Información Pública del Estado de México y Municipios; esto es, que el área competente deberá elaborar la versión pública, así </w:t>
      </w:r>
      <w:r w:rsidRPr="00FE11D9">
        <w:rPr>
          <w:rFonts w:ascii="Palatino Linotype" w:eastAsia="Palatino Linotype" w:hAnsi="Palatino Linotype" w:cs="Palatino Linotype"/>
          <w:color w:val="000000" w:themeColor="text1"/>
        </w:rPr>
        <w:lastRenderedPageBreak/>
        <w:t>como emitir el Acuerdo, por parte del Comité de Transparencia, donde confirme la clasificación de los datos o documentos, fundando y motivando la clasificación.</w:t>
      </w:r>
    </w:p>
    <w:p w14:paraId="7EBB9188"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CCB023E" w14:textId="0FCA9BA8" w:rsidR="009268A3" w:rsidRPr="00FE11D9" w:rsidRDefault="00750B54" w:rsidP="00FE11D9">
      <w:pPr>
        <w:numPr>
          <w:ilvl w:val="0"/>
          <w:numId w:val="10"/>
        </w:numPr>
        <w:tabs>
          <w:tab w:val="left" w:pos="284"/>
        </w:tabs>
        <w:spacing w:line="360" w:lineRule="auto"/>
        <w:ind w:left="0" w:firstLine="0"/>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r w:rsidR="00066F4B" w:rsidRPr="00FE11D9">
        <w:rPr>
          <w:rFonts w:ascii="Palatino Linotype" w:eastAsia="Palatino Linotype" w:hAnsi="Palatino Linotype" w:cs="Palatino Linotype"/>
          <w:color w:val="000000" w:themeColor="text1"/>
        </w:rPr>
        <w:t>resulta lo</w:t>
      </w:r>
      <w:r w:rsidRPr="00FE11D9">
        <w:rPr>
          <w:rFonts w:ascii="Palatino Linotype" w:eastAsia="Palatino Linotype" w:hAnsi="Palatino Linotype" w:cs="Palatino Linotype"/>
          <w:color w:val="000000" w:themeColor="text1"/>
        </w:rPr>
        <w:t xml:space="preserve"> mismo que si entrega un documento testado sin el debido acuerdo de clasificación.</w:t>
      </w:r>
    </w:p>
    <w:p w14:paraId="1321FDD6" w14:textId="77777777" w:rsidR="009268A3" w:rsidRPr="00FE11D9" w:rsidRDefault="009268A3" w:rsidP="00FE11D9">
      <w:pPr>
        <w:tabs>
          <w:tab w:val="left" w:pos="284"/>
        </w:tabs>
        <w:spacing w:line="360" w:lineRule="auto"/>
        <w:jc w:val="both"/>
        <w:rPr>
          <w:rFonts w:ascii="Palatino Linotype" w:eastAsia="Palatino Linotype" w:hAnsi="Palatino Linotype" w:cs="Palatino Linotype"/>
          <w:color w:val="000000" w:themeColor="text1"/>
        </w:rPr>
      </w:pPr>
    </w:p>
    <w:p w14:paraId="1A13B138" w14:textId="77777777" w:rsidR="009268A3" w:rsidRPr="00FE11D9" w:rsidRDefault="00750B54" w:rsidP="00FE11D9">
      <w:pPr>
        <w:numPr>
          <w:ilvl w:val="0"/>
          <w:numId w:val="5"/>
        </w:numPr>
        <w:spacing w:line="360" w:lineRule="auto"/>
        <w:ind w:left="0" w:firstLine="0"/>
        <w:jc w:val="both"/>
        <w:rPr>
          <w:rFonts w:ascii="Palatino Linotype" w:hAnsi="Palatino Linotype"/>
          <w:color w:val="000000" w:themeColor="text1"/>
        </w:rPr>
      </w:pPr>
      <w:r w:rsidRPr="00FE11D9">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FE11D9">
        <w:rPr>
          <w:rFonts w:ascii="Palatino Linotype" w:eastAsia="Palatino Linotype" w:hAnsi="Palatino Linotype" w:cs="Palatino Linotype"/>
          <w:b/>
          <w:bCs/>
          <w:color w:val="000000" w:themeColor="text1"/>
        </w:rPr>
        <w:t xml:space="preserve"> RECURRENTE</w:t>
      </w:r>
      <w:r w:rsidRPr="00FE11D9">
        <w:rPr>
          <w:rFonts w:ascii="Palatino Linotype" w:eastAsia="Palatino Linotype" w:hAnsi="Palatino Linotype" w:cs="Palatino Linotype"/>
          <w:color w:val="000000" w:themeColor="text1"/>
        </w:rPr>
        <w:t xml:space="preserve">, </w:t>
      </w:r>
      <w:r w:rsidRPr="0050160E">
        <w:rPr>
          <w:rFonts w:ascii="Palatino Linotype" w:eastAsia="Palatino Linotype" w:hAnsi="Palatino Linotype" w:cs="Palatino Linotype"/>
          <w:color w:val="000000" w:themeColor="text1"/>
        </w:rPr>
        <w:t xml:space="preserve">determinando </w:t>
      </w:r>
      <w:r w:rsidR="003E25A2" w:rsidRPr="0050160E">
        <w:rPr>
          <w:rFonts w:ascii="Palatino Linotype" w:eastAsia="Palatino Linotype" w:hAnsi="Palatino Linotype" w:cs="Palatino Linotype"/>
          <w:b/>
          <w:bCs/>
          <w:smallCaps/>
          <w:color w:val="000000" w:themeColor="text1"/>
        </w:rPr>
        <w:t>REVO</w:t>
      </w:r>
      <w:r w:rsidRPr="0050160E">
        <w:rPr>
          <w:rFonts w:ascii="Palatino Linotype" w:eastAsia="Palatino Linotype" w:hAnsi="Palatino Linotype" w:cs="Palatino Linotype"/>
          <w:b/>
          <w:bCs/>
          <w:smallCaps/>
          <w:color w:val="000000" w:themeColor="text1"/>
        </w:rPr>
        <w:t xml:space="preserve">CAR </w:t>
      </w:r>
      <w:r w:rsidRPr="0050160E">
        <w:rPr>
          <w:rFonts w:ascii="Palatino Linotype" w:eastAsia="Palatino Linotype" w:hAnsi="Palatino Linotype" w:cs="Palatino Linotype"/>
          <w:color w:val="000000" w:themeColor="text1"/>
        </w:rPr>
        <w:t xml:space="preserve">la respuesta del </w:t>
      </w:r>
      <w:r w:rsidRPr="0050160E">
        <w:rPr>
          <w:rFonts w:ascii="Palatino Linotype" w:eastAsia="Palatino Linotype" w:hAnsi="Palatino Linotype" w:cs="Palatino Linotype"/>
          <w:b/>
          <w:bCs/>
          <w:color w:val="000000" w:themeColor="text1"/>
        </w:rPr>
        <w:t>SUJETO</w:t>
      </w:r>
      <w:r w:rsidRPr="00FE11D9">
        <w:rPr>
          <w:rFonts w:ascii="Palatino Linotype" w:eastAsia="Palatino Linotype" w:hAnsi="Palatino Linotype" w:cs="Palatino Linotype"/>
          <w:b/>
          <w:bCs/>
          <w:color w:val="000000" w:themeColor="text1"/>
        </w:rPr>
        <w:t xml:space="preserve"> OBLIGADO</w:t>
      </w:r>
      <w:r w:rsidRPr="00FE11D9">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FE11D9">
        <w:rPr>
          <w:rFonts w:ascii="Palatino Linotype" w:eastAsia="Palatino Linotype" w:hAnsi="Palatino Linotype" w:cs="Palatino Linotype"/>
          <w:b/>
          <w:bCs/>
          <w:color w:val="000000" w:themeColor="text1"/>
        </w:rPr>
        <w:t>ÓRGANO GARANTE</w:t>
      </w:r>
      <w:r w:rsidRPr="00FE11D9">
        <w:rPr>
          <w:rFonts w:ascii="Palatino Linotype" w:eastAsia="Palatino Linotype" w:hAnsi="Palatino Linotype" w:cs="Palatino Linotype"/>
          <w:color w:val="000000" w:themeColor="text1"/>
        </w:rPr>
        <w:t xml:space="preserve"> emite los siguientes.</w:t>
      </w:r>
    </w:p>
    <w:p w14:paraId="008266D9" w14:textId="77777777" w:rsidR="009268A3" w:rsidRDefault="009268A3" w:rsidP="00FE11D9">
      <w:pPr>
        <w:spacing w:line="360" w:lineRule="auto"/>
        <w:jc w:val="both"/>
        <w:rPr>
          <w:rFonts w:ascii="Palatino Linotype" w:eastAsia="Palatino Linotype" w:hAnsi="Palatino Linotype" w:cs="Palatino Linotype"/>
          <w:i/>
          <w:iCs/>
          <w:color w:val="000000" w:themeColor="text1"/>
        </w:rPr>
      </w:pPr>
    </w:p>
    <w:p w14:paraId="564A98B9" w14:textId="77777777" w:rsidR="00066F4B" w:rsidRDefault="00066F4B" w:rsidP="00FE11D9">
      <w:pPr>
        <w:spacing w:line="360" w:lineRule="auto"/>
        <w:jc w:val="both"/>
        <w:rPr>
          <w:rFonts w:ascii="Palatino Linotype" w:eastAsia="Palatino Linotype" w:hAnsi="Palatino Linotype" w:cs="Palatino Linotype"/>
          <w:i/>
          <w:iCs/>
          <w:color w:val="000000" w:themeColor="text1"/>
        </w:rPr>
      </w:pPr>
    </w:p>
    <w:p w14:paraId="06D1E786" w14:textId="77777777" w:rsidR="00066F4B" w:rsidRDefault="00066F4B" w:rsidP="00FE11D9">
      <w:pPr>
        <w:spacing w:line="360" w:lineRule="auto"/>
        <w:jc w:val="both"/>
        <w:rPr>
          <w:rFonts w:ascii="Palatino Linotype" w:eastAsia="Palatino Linotype" w:hAnsi="Palatino Linotype" w:cs="Palatino Linotype"/>
          <w:i/>
          <w:iCs/>
          <w:color w:val="000000" w:themeColor="text1"/>
        </w:rPr>
      </w:pPr>
    </w:p>
    <w:p w14:paraId="3DABABE3" w14:textId="77777777" w:rsidR="00066F4B" w:rsidRDefault="00066F4B" w:rsidP="00FE11D9">
      <w:pPr>
        <w:spacing w:line="360" w:lineRule="auto"/>
        <w:jc w:val="both"/>
        <w:rPr>
          <w:rFonts w:ascii="Palatino Linotype" w:eastAsia="Palatino Linotype" w:hAnsi="Palatino Linotype" w:cs="Palatino Linotype"/>
          <w:i/>
          <w:iCs/>
          <w:color w:val="000000" w:themeColor="text1"/>
        </w:rPr>
      </w:pPr>
    </w:p>
    <w:p w14:paraId="7DEE03BF" w14:textId="77777777" w:rsidR="00066F4B" w:rsidRDefault="00066F4B" w:rsidP="00FE11D9">
      <w:pPr>
        <w:spacing w:line="360" w:lineRule="auto"/>
        <w:jc w:val="both"/>
        <w:rPr>
          <w:rFonts w:ascii="Palatino Linotype" w:eastAsia="Palatino Linotype" w:hAnsi="Palatino Linotype" w:cs="Palatino Linotype"/>
          <w:i/>
          <w:iCs/>
          <w:color w:val="000000" w:themeColor="text1"/>
        </w:rPr>
      </w:pPr>
    </w:p>
    <w:p w14:paraId="2F129FE3" w14:textId="77777777" w:rsidR="00066F4B" w:rsidRPr="00FE11D9" w:rsidRDefault="00066F4B" w:rsidP="00FE11D9">
      <w:pPr>
        <w:spacing w:line="360" w:lineRule="auto"/>
        <w:jc w:val="both"/>
        <w:rPr>
          <w:rFonts w:ascii="Palatino Linotype" w:eastAsia="Palatino Linotype" w:hAnsi="Palatino Linotype" w:cs="Palatino Linotype"/>
          <w:i/>
          <w:iCs/>
          <w:color w:val="000000" w:themeColor="text1"/>
        </w:rPr>
      </w:pPr>
    </w:p>
    <w:p w14:paraId="25B03A79" w14:textId="77777777" w:rsidR="009268A3" w:rsidRPr="00FE11D9" w:rsidRDefault="009268A3" w:rsidP="00FE11D9">
      <w:pPr>
        <w:pBdr>
          <w:top w:val="nil"/>
          <w:left w:val="nil"/>
          <w:bottom w:val="nil"/>
          <w:right w:val="nil"/>
          <w:between w:val="nil"/>
        </w:pBdr>
        <w:rPr>
          <w:rFonts w:ascii="Palatino Linotype" w:eastAsia="Palatino Linotype" w:hAnsi="Palatino Linotype" w:cs="Palatino Linotype"/>
          <w:color w:val="000000" w:themeColor="text1"/>
        </w:rPr>
      </w:pPr>
    </w:p>
    <w:p w14:paraId="74BFEACE" w14:textId="77777777" w:rsidR="009268A3" w:rsidRPr="00FE11D9" w:rsidRDefault="00750B54" w:rsidP="00FE11D9">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FE11D9">
        <w:rPr>
          <w:rFonts w:ascii="Palatino Linotype" w:eastAsia="Palatino Linotype" w:hAnsi="Palatino Linotype" w:cs="Palatino Linotype"/>
          <w:b/>
          <w:bCs/>
          <w:color w:val="000000" w:themeColor="text1"/>
          <w:sz w:val="24"/>
          <w:szCs w:val="24"/>
        </w:rPr>
        <w:lastRenderedPageBreak/>
        <w:t>R E S O L U T I V O S</w:t>
      </w:r>
    </w:p>
    <w:p w14:paraId="019FC4AF"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69490F5D" w14:textId="77777777" w:rsidR="009268A3" w:rsidRPr="00FE11D9" w:rsidRDefault="00750B54" w:rsidP="00FE11D9">
      <w:p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bCs/>
          <w:color w:val="000000" w:themeColor="text1"/>
        </w:rPr>
        <w:t>PRIMERO</w:t>
      </w:r>
      <w:r w:rsidRPr="00FE11D9">
        <w:rPr>
          <w:rFonts w:ascii="Palatino Linotype" w:eastAsia="Palatino Linotype" w:hAnsi="Palatino Linotype" w:cs="Palatino Linotype"/>
          <w:color w:val="000000" w:themeColor="text1"/>
        </w:rPr>
        <w:t>. Resultan fundadas las</w:t>
      </w:r>
      <w:r w:rsidRPr="00FE11D9">
        <w:rPr>
          <w:rFonts w:ascii="Palatino Linotype" w:eastAsia="Palatino Linotype" w:hAnsi="Palatino Linotype" w:cs="Palatino Linotype"/>
          <w:b/>
          <w:bCs/>
          <w:color w:val="000000" w:themeColor="text1"/>
        </w:rPr>
        <w:t xml:space="preserve"> </w:t>
      </w:r>
      <w:r w:rsidRPr="00FE11D9">
        <w:rPr>
          <w:rFonts w:ascii="Palatino Linotype" w:eastAsia="Palatino Linotype" w:hAnsi="Palatino Linotype" w:cs="Palatino Linotype"/>
          <w:color w:val="000000" w:themeColor="text1"/>
        </w:rPr>
        <w:t xml:space="preserve">razones o motivos de inconformidad hechos valer en el Recurso de Revisión </w:t>
      </w:r>
      <w:r w:rsidRPr="00FE11D9">
        <w:rPr>
          <w:rFonts w:ascii="Palatino Linotype" w:eastAsia="Palatino Linotype" w:hAnsi="Palatino Linotype" w:cs="Palatino Linotype"/>
          <w:b/>
          <w:bCs/>
          <w:color w:val="000000" w:themeColor="text1"/>
        </w:rPr>
        <w:t xml:space="preserve">07373/INFOEM/IP/RR/2025, </w:t>
      </w:r>
      <w:r w:rsidRPr="00FE11D9">
        <w:rPr>
          <w:rFonts w:ascii="Palatino Linotype" w:eastAsia="Palatino Linotype" w:hAnsi="Palatino Linotype" w:cs="Palatino Linotype"/>
          <w:color w:val="000000" w:themeColor="text1"/>
        </w:rPr>
        <w:t xml:space="preserve">en términos de los </w:t>
      </w:r>
      <w:r w:rsidRPr="00FE11D9">
        <w:rPr>
          <w:rFonts w:ascii="Palatino Linotype" w:eastAsia="Palatino Linotype" w:hAnsi="Palatino Linotype" w:cs="Palatino Linotype"/>
          <w:b/>
          <w:bCs/>
          <w:color w:val="000000" w:themeColor="text1"/>
        </w:rPr>
        <w:t xml:space="preserve">Considerandos Cuarto y Quinto </w:t>
      </w:r>
      <w:r w:rsidRPr="00FE11D9">
        <w:rPr>
          <w:rFonts w:ascii="Palatino Linotype" w:eastAsia="Palatino Linotype" w:hAnsi="Palatino Linotype" w:cs="Palatino Linotype"/>
          <w:color w:val="000000" w:themeColor="text1"/>
        </w:rPr>
        <w:t>de la presente resolución.</w:t>
      </w:r>
    </w:p>
    <w:p w14:paraId="32DF5FEB"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3E6F8659" w14:textId="77777777" w:rsidR="009268A3" w:rsidRPr="00FE11D9" w:rsidRDefault="00750B54" w:rsidP="00FE11D9">
      <w:pPr>
        <w:spacing w:line="360" w:lineRule="auto"/>
        <w:jc w:val="both"/>
        <w:rPr>
          <w:rFonts w:ascii="Palatino Linotype" w:eastAsia="Palatino Linotype" w:hAnsi="Palatino Linotype" w:cs="Palatino Linotype"/>
          <w:color w:val="000000" w:themeColor="text1"/>
        </w:rPr>
      </w:pPr>
      <w:r w:rsidRPr="0050160E">
        <w:rPr>
          <w:rFonts w:ascii="Palatino Linotype" w:eastAsia="Palatino Linotype" w:hAnsi="Palatino Linotype" w:cs="Palatino Linotype"/>
          <w:b/>
          <w:bCs/>
          <w:color w:val="000000" w:themeColor="text1"/>
        </w:rPr>
        <w:t>SEGUNDO.</w:t>
      </w:r>
      <w:r w:rsidRPr="0050160E">
        <w:rPr>
          <w:rFonts w:ascii="Palatino Linotype" w:eastAsia="Palatino Linotype" w:hAnsi="Palatino Linotype" w:cs="Palatino Linotype"/>
          <w:color w:val="000000" w:themeColor="text1"/>
        </w:rPr>
        <w:t xml:space="preserve"> Se </w:t>
      </w:r>
      <w:r w:rsidR="003E25A2" w:rsidRPr="0050160E">
        <w:rPr>
          <w:rFonts w:ascii="Palatino Linotype" w:eastAsia="Palatino Linotype" w:hAnsi="Palatino Linotype" w:cs="Palatino Linotype"/>
          <w:b/>
          <w:bCs/>
          <w:color w:val="000000" w:themeColor="text1"/>
        </w:rPr>
        <w:t>REVOCA</w:t>
      </w:r>
      <w:r w:rsidRPr="0050160E">
        <w:rPr>
          <w:rFonts w:ascii="Palatino Linotype" w:eastAsia="Palatino Linotype" w:hAnsi="Palatino Linotype" w:cs="Palatino Linotype"/>
          <w:b/>
          <w:bCs/>
          <w:color w:val="000000" w:themeColor="text1"/>
        </w:rPr>
        <w:t xml:space="preserve"> </w:t>
      </w:r>
      <w:r w:rsidRPr="0050160E">
        <w:rPr>
          <w:rFonts w:ascii="Palatino Linotype" w:eastAsia="Palatino Linotype" w:hAnsi="Palatino Linotype" w:cs="Palatino Linotype"/>
          <w:color w:val="000000" w:themeColor="text1"/>
        </w:rPr>
        <w:t>la respuesta emitida</w:t>
      </w:r>
      <w:r w:rsidRPr="00FE11D9">
        <w:rPr>
          <w:rFonts w:ascii="Palatino Linotype" w:eastAsia="Palatino Linotype" w:hAnsi="Palatino Linotype" w:cs="Palatino Linotype"/>
          <w:color w:val="000000" w:themeColor="text1"/>
        </w:rPr>
        <w:t xml:space="preserve"> por el </w:t>
      </w:r>
      <w:r w:rsidRPr="00FE11D9">
        <w:rPr>
          <w:rFonts w:ascii="Palatino Linotype" w:eastAsia="Palatino Linotype" w:hAnsi="Palatino Linotype" w:cs="Palatino Linotype"/>
          <w:b/>
          <w:bCs/>
          <w:color w:val="000000" w:themeColor="text1"/>
        </w:rPr>
        <w:t xml:space="preserve">Organismo Público Descentralizado para la Prestación de los Servicios de Agua potable, Alcantarillado y Saneamiento de Teoloyucan </w:t>
      </w:r>
      <w:r w:rsidRPr="00FE11D9">
        <w:rPr>
          <w:rFonts w:ascii="Palatino Linotype" w:eastAsia="Palatino Linotype" w:hAnsi="Palatino Linotype" w:cs="Palatino Linotype"/>
          <w:color w:val="000000" w:themeColor="text1"/>
        </w:rPr>
        <w:t xml:space="preserve">y se </w:t>
      </w:r>
      <w:r w:rsidRPr="00FE11D9">
        <w:rPr>
          <w:rFonts w:ascii="Palatino Linotype" w:eastAsia="Palatino Linotype" w:hAnsi="Palatino Linotype" w:cs="Palatino Linotype"/>
          <w:b/>
          <w:bCs/>
          <w:color w:val="000000" w:themeColor="text1"/>
        </w:rPr>
        <w:t>ORDENA</w:t>
      </w:r>
      <w:r w:rsidRPr="00FE11D9">
        <w:rPr>
          <w:rFonts w:ascii="Palatino Linotype" w:eastAsia="Palatino Linotype" w:hAnsi="Palatino Linotype" w:cs="Palatino Linotype"/>
          <w:color w:val="000000" w:themeColor="text1"/>
        </w:rPr>
        <w:t xml:space="preserve"> entregar vía Sistema de Acceso a la Información Mexiquense </w:t>
      </w:r>
      <w:r w:rsidRPr="00FE11D9">
        <w:rPr>
          <w:rFonts w:ascii="Palatino Linotype" w:eastAsia="Palatino Linotype" w:hAnsi="Palatino Linotype" w:cs="Palatino Linotype"/>
          <w:b/>
          <w:bCs/>
          <w:color w:val="000000" w:themeColor="text1"/>
        </w:rPr>
        <w:t>(SAIMEX)</w:t>
      </w:r>
      <w:r w:rsidRPr="00FE11D9">
        <w:rPr>
          <w:rFonts w:ascii="Palatino Linotype" w:eastAsia="Palatino Linotype" w:hAnsi="Palatino Linotype" w:cs="Palatino Linotype"/>
          <w:color w:val="000000" w:themeColor="text1"/>
        </w:rPr>
        <w:t>, la siguiente información en correcta versión pública:</w:t>
      </w:r>
    </w:p>
    <w:p w14:paraId="5781E537" w14:textId="77777777" w:rsidR="009268A3" w:rsidRPr="00FE11D9" w:rsidRDefault="00750B54" w:rsidP="00FE11D9">
      <w:p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 xml:space="preserve"> </w:t>
      </w:r>
    </w:p>
    <w:p w14:paraId="2D434380" w14:textId="77777777" w:rsidR="009268A3" w:rsidRPr="00FE11D9" w:rsidRDefault="00750B54" w:rsidP="00FE11D9">
      <w:pPr>
        <w:numPr>
          <w:ilvl w:val="6"/>
          <w:numId w:val="5"/>
        </w:numPr>
        <w:pBdr>
          <w:top w:val="nil"/>
          <w:left w:val="nil"/>
          <w:bottom w:val="nil"/>
          <w:right w:val="nil"/>
          <w:between w:val="nil"/>
        </w:pBdr>
        <w:ind w:left="0" w:firstLine="0"/>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b/>
          <w:bCs/>
          <w:i/>
          <w:iCs/>
          <w:color w:val="000000" w:themeColor="text1"/>
        </w:rPr>
        <w:t xml:space="preserve">Los comprobantes de pago entregados en informe justificado </w:t>
      </w:r>
      <w:r w:rsidRPr="00FE11D9">
        <w:rPr>
          <w:rFonts w:ascii="Palatino Linotype" w:eastAsia="Palatino Linotype" w:hAnsi="Palatino Linotype" w:cs="Palatino Linotype"/>
          <w:b/>
          <w:bCs/>
          <w:color w:val="000000" w:themeColor="text1"/>
        </w:rPr>
        <w:t xml:space="preserve">en </w:t>
      </w:r>
      <w:r w:rsidRPr="00FE11D9">
        <w:rPr>
          <w:rFonts w:ascii="Palatino Linotype" w:eastAsia="Palatino Linotype" w:hAnsi="Palatino Linotype" w:cs="Palatino Linotype"/>
          <w:b/>
          <w:bCs/>
          <w:i/>
          <w:iCs/>
          <w:color w:val="000000" w:themeColor="text1"/>
        </w:rPr>
        <w:t>correcta versión pública.</w:t>
      </w:r>
    </w:p>
    <w:p w14:paraId="08815B26" w14:textId="77777777" w:rsidR="009268A3" w:rsidRPr="00FE11D9" w:rsidRDefault="009268A3" w:rsidP="00FE11D9">
      <w:pPr>
        <w:jc w:val="center"/>
        <w:rPr>
          <w:rFonts w:ascii="Palatino Linotype" w:eastAsia="Palatino Linotype" w:hAnsi="Palatino Linotype" w:cs="Palatino Linotype"/>
          <w:b/>
          <w:bCs/>
          <w:i/>
          <w:iCs/>
          <w:color w:val="000000" w:themeColor="text1"/>
        </w:rPr>
      </w:pPr>
    </w:p>
    <w:p w14:paraId="65926585" w14:textId="77777777" w:rsidR="009268A3" w:rsidRPr="00FE11D9" w:rsidRDefault="00750B54" w:rsidP="00FE11D9">
      <w:pPr>
        <w:tabs>
          <w:tab w:val="left" w:pos="7938"/>
          <w:tab w:val="left" w:pos="8080"/>
        </w:tabs>
        <w:jc w:val="both"/>
        <w:rPr>
          <w:rFonts w:ascii="Palatino Linotype" w:eastAsia="Palatino Linotype" w:hAnsi="Palatino Linotype" w:cs="Palatino Linotype"/>
          <w:b/>
          <w:bCs/>
          <w:i/>
          <w:iCs/>
          <w:color w:val="000000" w:themeColor="text1"/>
        </w:rPr>
      </w:pPr>
      <w:r w:rsidRPr="00FE11D9">
        <w:rPr>
          <w:rFonts w:ascii="Palatino Linotype" w:eastAsia="Palatino Linotype" w:hAnsi="Palatino Linotype" w:cs="Palatino Linotype"/>
          <w:i/>
          <w:iCs/>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FE11D9">
        <w:rPr>
          <w:rFonts w:ascii="Palatino Linotype" w:eastAsia="Palatino Linotype" w:hAnsi="Palatino Linotype" w:cs="Palatino Linotype"/>
          <w:b/>
          <w:bCs/>
          <w:i/>
          <w:iCs/>
          <w:color w:val="000000" w:themeColor="text1"/>
        </w:rPr>
        <w:t>RECURRENTE.</w:t>
      </w:r>
    </w:p>
    <w:p w14:paraId="3C4D794E" w14:textId="77777777" w:rsidR="009268A3" w:rsidRPr="00FE11D9" w:rsidRDefault="00750B54" w:rsidP="00FE11D9">
      <w:pPr>
        <w:tabs>
          <w:tab w:val="left" w:pos="2947"/>
        </w:tabs>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ab/>
      </w:r>
    </w:p>
    <w:p w14:paraId="033384F3" w14:textId="77777777" w:rsidR="009268A3" w:rsidRPr="00FE11D9" w:rsidRDefault="00750B54" w:rsidP="00FE11D9">
      <w:pPr>
        <w:tabs>
          <w:tab w:val="left" w:pos="8080"/>
        </w:tabs>
        <w:spacing w:line="360" w:lineRule="auto"/>
        <w:jc w:val="both"/>
        <w:rPr>
          <w:rFonts w:ascii="Palatino Linotype" w:eastAsia="Palatino Linotype" w:hAnsi="Palatino Linotype" w:cs="Palatino Linotype"/>
          <w:color w:val="000000" w:themeColor="text1"/>
        </w:rPr>
      </w:pPr>
      <w:bookmarkStart w:id="11" w:name="_heading=h.e9pmf6ue9hut" w:colFirst="0" w:colLast="0"/>
      <w:bookmarkEnd w:id="11"/>
      <w:r w:rsidRPr="00FE11D9">
        <w:rPr>
          <w:rFonts w:ascii="Palatino Linotype" w:eastAsia="Palatino Linotype" w:hAnsi="Palatino Linotype" w:cs="Palatino Linotype"/>
          <w:b/>
          <w:bCs/>
          <w:color w:val="000000" w:themeColor="text1"/>
        </w:rPr>
        <w:t xml:space="preserve">TERCERO. </w:t>
      </w:r>
      <w:r w:rsidRPr="00FE11D9">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E11D9">
        <w:rPr>
          <w:rFonts w:ascii="Palatino Linotype" w:eastAsia="Palatino Linotype" w:hAnsi="Palatino Linotype" w:cs="Palatino Linotype"/>
          <w:b/>
          <w:bCs/>
          <w:color w:val="000000" w:themeColor="text1"/>
        </w:rPr>
        <w:t xml:space="preserve">dé cumplimiento a lo ordenado dentro del plazo de diez días hábiles, </w:t>
      </w:r>
      <w:r w:rsidRPr="00FE11D9">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w:t>
      </w:r>
      <w:r w:rsidRPr="00FE11D9">
        <w:rPr>
          <w:rFonts w:ascii="Palatino Linotype" w:eastAsia="Palatino Linotype" w:hAnsi="Palatino Linotype" w:cs="Palatino Linotype"/>
          <w:color w:val="000000" w:themeColor="text1"/>
        </w:rPr>
        <w:lastRenderedPageBreak/>
        <w:t xml:space="preserve">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6A80090F"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4CE879CA" w14:textId="77777777" w:rsidR="009268A3" w:rsidRPr="00FE11D9" w:rsidRDefault="00750B54" w:rsidP="00FE11D9">
      <w:p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bCs/>
          <w:color w:val="000000" w:themeColor="text1"/>
        </w:rPr>
        <w:t xml:space="preserve">CUARTO. </w:t>
      </w:r>
      <w:r w:rsidRPr="00FE11D9">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951619"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2B7D7D26" w14:textId="027DBE9A" w:rsidR="009268A3" w:rsidRPr="00FE11D9" w:rsidRDefault="00750B54" w:rsidP="00FE11D9">
      <w:p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bCs/>
          <w:color w:val="000000" w:themeColor="text1"/>
        </w:rPr>
        <w:t xml:space="preserve">QUINTO. Notifíquese </w:t>
      </w:r>
      <w:r w:rsidRPr="00FE11D9">
        <w:rPr>
          <w:rFonts w:ascii="Palatino Linotype" w:eastAsia="Palatino Linotype" w:hAnsi="Palatino Linotype" w:cs="Palatino Linotype"/>
          <w:color w:val="000000" w:themeColor="text1"/>
        </w:rPr>
        <w:t>a</w:t>
      </w:r>
      <w:r w:rsidR="00066F4B">
        <w:rPr>
          <w:rFonts w:ascii="Palatino Linotype" w:eastAsia="Palatino Linotype" w:hAnsi="Palatino Linotype" w:cs="Palatino Linotype"/>
          <w:color w:val="000000" w:themeColor="text1"/>
        </w:rPr>
        <w:t xml:space="preserve">l </w:t>
      </w:r>
      <w:r w:rsidRPr="00FE11D9">
        <w:rPr>
          <w:rFonts w:ascii="Palatino Linotype" w:eastAsia="Palatino Linotype" w:hAnsi="Palatino Linotype" w:cs="Palatino Linotype"/>
          <w:b/>
          <w:bCs/>
          <w:color w:val="000000" w:themeColor="text1"/>
        </w:rPr>
        <w:t>RECURRENTE</w:t>
      </w:r>
      <w:r w:rsidRPr="00FE11D9">
        <w:rPr>
          <w:rFonts w:ascii="Palatino Linotype" w:eastAsia="Palatino Linotype" w:hAnsi="Palatino Linotype" w:cs="Palatino Linotype"/>
          <w:color w:val="000000" w:themeColor="text1"/>
        </w:rPr>
        <w:t xml:space="preserve"> la presente resolución, vía SAIMEX.</w:t>
      </w:r>
    </w:p>
    <w:p w14:paraId="0836D9E6"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3B51FDC8" w14:textId="1B612C5E" w:rsidR="009268A3" w:rsidRPr="00FE11D9" w:rsidRDefault="00750B54" w:rsidP="00FE11D9">
      <w:pPr>
        <w:spacing w:line="360" w:lineRule="auto"/>
        <w:jc w:val="both"/>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b/>
          <w:bCs/>
          <w:color w:val="000000" w:themeColor="text1"/>
        </w:rPr>
        <w:t>SEXTO.</w:t>
      </w:r>
      <w:r w:rsidRPr="00FE11D9">
        <w:rPr>
          <w:rFonts w:ascii="Palatino Linotype" w:eastAsia="Palatino Linotype" w:hAnsi="Palatino Linotype" w:cs="Palatino Linotype"/>
          <w:color w:val="000000" w:themeColor="text1"/>
        </w:rPr>
        <w:t xml:space="preserve"> Se hace del conocimiento de</w:t>
      </w:r>
      <w:r w:rsidR="00066F4B">
        <w:rPr>
          <w:rFonts w:ascii="Palatino Linotype" w:eastAsia="Palatino Linotype" w:hAnsi="Palatino Linotype" w:cs="Palatino Linotype"/>
          <w:color w:val="000000" w:themeColor="text1"/>
        </w:rPr>
        <w:t xml:space="preserve">l </w:t>
      </w:r>
      <w:r w:rsidRPr="00FE11D9">
        <w:rPr>
          <w:rFonts w:ascii="Palatino Linotype" w:eastAsia="Palatino Linotype" w:hAnsi="Palatino Linotype" w:cs="Palatino Linotype"/>
          <w:b/>
          <w:bCs/>
          <w:color w:val="000000" w:themeColor="text1"/>
        </w:rPr>
        <w:t>RECURRENTE</w:t>
      </w:r>
      <w:r w:rsidRPr="00FE11D9">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381C875" w14:textId="77777777" w:rsidR="009268A3" w:rsidRDefault="009268A3" w:rsidP="00FE11D9">
      <w:pPr>
        <w:spacing w:line="360" w:lineRule="auto"/>
        <w:jc w:val="both"/>
        <w:rPr>
          <w:rFonts w:ascii="Palatino Linotype" w:eastAsia="Palatino Linotype" w:hAnsi="Palatino Linotype" w:cs="Palatino Linotype"/>
          <w:color w:val="000000" w:themeColor="text1"/>
        </w:rPr>
      </w:pPr>
    </w:p>
    <w:p w14:paraId="34F41270" w14:textId="14983F20" w:rsidR="009268A3" w:rsidRPr="00FE11D9" w:rsidRDefault="00066F4B" w:rsidP="00FE11D9">
      <w:pPr>
        <w:spacing w:before="240" w:after="240" w:line="360" w:lineRule="auto"/>
        <w:jc w:val="both"/>
        <w:rPr>
          <w:rFonts w:ascii="Palatino Linotype" w:eastAsia="Palatino Linotype" w:hAnsi="Palatino Linotype" w:cs="Palatino Linotype"/>
          <w:color w:val="000000" w:themeColor="text1"/>
        </w:rPr>
      </w:pPr>
      <w:bookmarkStart w:id="12" w:name="_heading=h.30j0zll" w:colFirst="0" w:colLast="0"/>
      <w:bookmarkEnd w:id="12"/>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14:paraId="127415AD" w14:textId="77777777" w:rsidR="009268A3" w:rsidRPr="00FE11D9" w:rsidRDefault="009268A3" w:rsidP="00FE11D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A70502A"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11C00539"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0E950465"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05D6625F"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0C889B86"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6FC32251" w14:textId="77777777" w:rsidR="009268A3" w:rsidRPr="00FE11D9" w:rsidRDefault="009268A3" w:rsidP="00FE11D9">
      <w:pPr>
        <w:spacing w:line="360" w:lineRule="auto"/>
        <w:jc w:val="both"/>
        <w:rPr>
          <w:rFonts w:ascii="Palatino Linotype" w:eastAsia="Palatino Linotype" w:hAnsi="Palatino Linotype" w:cs="Palatino Linotype"/>
          <w:color w:val="000000" w:themeColor="text1"/>
        </w:rPr>
      </w:pPr>
    </w:p>
    <w:p w14:paraId="2C0877EF"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5BEDE510"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50797D77"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5FCF1239"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25FB064D"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2A2D7989"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2D9C5423" w14:textId="77777777" w:rsidR="009268A3" w:rsidRPr="00FE11D9" w:rsidRDefault="009268A3" w:rsidP="00FE11D9">
      <w:pPr>
        <w:spacing w:line="360" w:lineRule="auto"/>
        <w:rPr>
          <w:rFonts w:ascii="Palatino Linotype" w:eastAsia="Palatino Linotype" w:hAnsi="Palatino Linotype" w:cs="Palatino Linotype"/>
          <w:color w:val="000000" w:themeColor="text1"/>
        </w:rPr>
      </w:pPr>
    </w:p>
    <w:p w14:paraId="6154949C" w14:textId="77777777" w:rsidR="009268A3" w:rsidRPr="00FE11D9" w:rsidRDefault="00750B54" w:rsidP="00FE11D9">
      <w:pPr>
        <w:tabs>
          <w:tab w:val="left" w:pos="3374"/>
        </w:tabs>
        <w:spacing w:line="360" w:lineRule="auto"/>
        <w:rPr>
          <w:rFonts w:ascii="Palatino Linotype" w:eastAsia="Palatino Linotype" w:hAnsi="Palatino Linotype" w:cs="Palatino Linotype"/>
          <w:color w:val="000000" w:themeColor="text1"/>
        </w:rPr>
      </w:pPr>
      <w:r w:rsidRPr="00FE11D9">
        <w:rPr>
          <w:rFonts w:ascii="Palatino Linotype" w:eastAsia="Palatino Linotype" w:hAnsi="Palatino Linotype" w:cs="Palatino Linotype"/>
          <w:color w:val="000000" w:themeColor="text1"/>
        </w:rPr>
        <w:tab/>
      </w:r>
    </w:p>
    <w:p w14:paraId="04D612F8"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23A275F5"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2A9404E2"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0B8C1384"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17D57863"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737821BD"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62B33D34"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113FE350"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5B002B5C"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308C4436" w14:textId="77777777" w:rsidR="009268A3" w:rsidRPr="00FE11D9" w:rsidRDefault="009268A3" w:rsidP="00FE11D9">
      <w:pPr>
        <w:tabs>
          <w:tab w:val="left" w:pos="3374"/>
        </w:tabs>
        <w:spacing w:line="360" w:lineRule="auto"/>
        <w:rPr>
          <w:rFonts w:ascii="Palatino Linotype" w:eastAsia="Palatino Linotype" w:hAnsi="Palatino Linotype" w:cs="Palatino Linotype"/>
          <w:color w:val="000000" w:themeColor="text1"/>
        </w:rPr>
      </w:pPr>
    </w:p>
    <w:p w14:paraId="102192A7" w14:textId="77777777" w:rsidR="009268A3" w:rsidRPr="00FE11D9" w:rsidRDefault="009268A3" w:rsidP="00FE11D9">
      <w:pPr>
        <w:rPr>
          <w:rFonts w:ascii="Palatino Linotype" w:hAnsi="Palatino Linotype"/>
          <w:color w:val="000000" w:themeColor="text1"/>
        </w:rPr>
      </w:pPr>
    </w:p>
    <w:p w14:paraId="7303CBA2" w14:textId="77777777" w:rsidR="009268A3" w:rsidRPr="00FE11D9" w:rsidRDefault="009268A3" w:rsidP="00FE11D9">
      <w:pPr>
        <w:rPr>
          <w:rFonts w:ascii="Palatino Linotype" w:hAnsi="Palatino Linotype"/>
          <w:color w:val="000000" w:themeColor="text1"/>
        </w:rPr>
      </w:pPr>
    </w:p>
    <w:p w14:paraId="73A8042E" w14:textId="77777777" w:rsidR="009268A3" w:rsidRPr="00FE11D9" w:rsidRDefault="009268A3" w:rsidP="00FE11D9">
      <w:pPr>
        <w:rPr>
          <w:rFonts w:ascii="Palatino Linotype" w:hAnsi="Palatino Linotype"/>
          <w:color w:val="000000" w:themeColor="text1"/>
        </w:rPr>
      </w:pPr>
    </w:p>
    <w:p w14:paraId="0FB53C25" w14:textId="77777777" w:rsidR="009268A3" w:rsidRPr="00FE11D9" w:rsidRDefault="009268A3" w:rsidP="00FE11D9">
      <w:pPr>
        <w:rPr>
          <w:rFonts w:ascii="Palatino Linotype" w:hAnsi="Palatino Linotype"/>
          <w:color w:val="000000" w:themeColor="text1"/>
        </w:rPr>
      </w:pPr>
    </w:p>
    <w:sectPr w:rsidR="009268A3" w:rsidRPr="00FE11D9" w:rsidSect="00966F8A">
      <w:headerReference w:type="even" r:id="rId8"/>
      <w:headerReference w:type="default" r:id="rId9"/>
      <w:footerReference w:type="default" r:id="rId10"/>
      <w:headerReference w:type="first" r:id="rId11"/>
      <w:footerReference w:type="first" r:id="rId12"/>
      <w:pgSz w:w="12240" w:h="15840"/>
      <w:pgMar w:top="2269"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F2AB1" w14:textId="77777777" w:rsidR="00700C0A" w:rsidRDefault="00700C0A">
      <w:r>
        <w:separator/>
      </w:r>
    </w:p>
  </w:endnote>
  <w:endnote w:type="continuationSeparator" w:id="0">
    <w:p w14:paraId="2DA79CB5" w14:textId="77777777" w:rsidR="00700C0A" w:rsidRDefault="0070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792A762-1926-4FA7-A5B0-16F71DB8F08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759C8D8-6B46-4322-8FAF-3D083EA9409B}"/>
    <w:embedBold r:id="rId3" w:fontKey="{451D3DD8-28F0-46DE-8683-0FB5C0A2C879}"/>
    <w:embedItalic r:id="rId4" w:fontKey="{13349226-D030-4621-8E54-A77CB91E0020}"/>
    <w:embedBoldItalic r:id="rId5" w:fontKey="{34CAF74F-6F57-48C1-83E8-5F39D5812AB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65F2744-01A8-4F32-BAC0-F4367CCF1B03}"/>
    <w:embedBold r:id="rId7" w:fontKey="{6228DC91-CF0E-4153-AB93-267CC4D510CA}"/>
  </w:font>
  <w:font w:name="Calibri Light">
    <w:panose1 w:val="020F0302020204030204"/>
    <w:charset w:val="00"/>
    <w:family w:val="swiss"/>
    <w:pitch w:val="variable"/>
    <w:sig w:usb0="E4002EFF" w:usb1="C200247B" w:usb2="00000009" w:usb3="00000000" w:csb0="000001FF" w:csb1="00000000"/>
    <w:embedRegular r:id="rId8" w:fontKey="{DF25ABCD-CD00-4EEE-9E6D-6419B42C7608}"/>
  </w:font>
  <w:font w:name="Modica 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embedRegular r:id="rId9" w:fontKey="{00EAAD73-38C1-47D3-B635-CCD3BC4BE31F}"/>
  </w:font>
  <w:font w:name="Georgia">
    <w:panose1 w:val="02040502050405020303"/>
    <w:charset w:val="00"/>
    <w:family w:val="roman"/>
    <w:pitch w:val="variable"/>
    <w:sig w:usb0="00000287" w:usb1="00000000" w:usb2="00000000" w:usb3="00000000" w:csb0="0000009F" w:csb1="00000000"/>
    <w:embedItalic r:id="rId10" w:fontKey="{0832EA3D-29C3-40A3-81F6-EDF9BF8AD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A877" w14:textId="77777777" w:rsidR="009268A3" w:rsidRPr="00966F8A" w:rsidRDefault="00750B5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966F8A">
      <w:rPr>
        <w:rFonts w:ascii="Palatino Linotype" w:eastAsia="Palatino Linotype" w:hAnsi="Palatino Linotype" w:cs="Palatino Linotype"/>
        <w:color w:val="000000"/>
        <w:sz w:val="22"/>
        <w:szCs w:val="20"/>
      </w:rPr>
      <w:t xml:space="preserve">Página </w:t>
    </w:r>
    <w:r w:rsidRPr="00966F8A">
      <w:rPr>
        <w:rFonts w:ascii="Palatino Linotype" w:eastAsia="Palatino Linotype" w:hAnsi="Palatino Linotype" w:cs="Palatino Linotype"/>
        <w:color w:val="000000"/>
        <w:sz w:val="22"/>
        <w:szCs w:val="20"/>
      </w:rPr>
      <w:fldChar w:fldCharType="begin"/>
    </w:r>
    <w:r w:rsidRPr="00966F8A">
      <w:rPr>
        <w:rFonts w:ascii="Palatino Linotype" w:eastAsia="Palatino Linotype" w:hAnsi="Palatino Linotype" w:cs="Palatino Linotype"/>
        <w:color w:val="000000"/>
        <w:sz w:val="22"/>
        <w:szCs w:val="20"/>
      </w:rPr>
      <w:instrText>PAGE</w:instrText>
    </w:r>
    <w:r w:rsidRPr="00966F8A">
      <w:rPr>
        <w:rFonts w:ascii="Palatino Linotype" w:eastAsia="Palatino Linotype" w:hAnsi="Palatino Linotype" w:cs="Palatino Linotype"/>
        <w:color w:val="000000"/>
        <w:sz w:val="22"/>
        <w:szCs w:val="20"/>
      </w:rPr>
      <w:fldChar w:fldCharType="separate"/>
    </w:r>
    <w:r w:rsidR="005057BB">
      <w:rPr>
        <w:rFonts w:ascii="Palatino Linotype" w:eastAsia="Palatino Linotype" w:hAnsi="Palatino Linotype" w:cs="Palatino Linotype"/>
        <w:noProof/>
        <w:color w:val="000000"/>
        <w:sz w:val="22"/>
        <w:szCs w:val="20"/>
      </w:rPr>
      <w:t>28</w:t>
    </w:r>
    <w:r w:rsidRPr="00966F8A">
      <w:rPr>
        <w:rFonts w:ascii="Palatino Linotype" w:eastAsia="Palatino Linotype" w:hAnsi="Palatino Linotype" w:cs="Palatino Linotype"/>
        <w:color w:val="000000"/>
        <w:sz w:val="22"/>
        <w:szCs w:val="20"/>
      </w:rPr>
      <w:fldChar w:fldCharType="end"/>
    </w:r>
    <w:r w:rsidRPr="00966F8A">
      <w:rPr>
        <w:rFonts w:ascii="Palatino Linotype" w:eastAsia="Palatino Linotype" w:hAnsi="Palatino Linotype" w:cs="Palatino Linotype"/>
        <w:color w:val="000000"/>
        <w:sz w:val="22"/>
        <w:szCs w:val="20"/>
      </w:rPr>
      <w:t xml:space="preserve"> de </w:t>
    </w:r>
    <w:r w:rsidRPr="00966F8A">
      <w:rPr>
        <w:rFonts w:ascii="Palatino Linotype" w:eastAsia="Palatino Linotype" w:hAnsi="Palatino Linotype" w:cs="Palatino Linotype"/>
        <w:color w:val="000000"/>
        <w:sz w:val="22"/>
        <w:szCs w:val="20"/>
      </w:rPr>
      <w:fldChar w:fldCharType="begin"/>
    </w:r>
    <w:r w:rsidRPr="00966F8A">
      <w:rPr>
        <w:rFonts w:ascii="Palatino Linotype" w:eastAsia="Palatino Linotype" w:hAnsi="Palatino Linotype" w:cs="Palatino Linotype"/>
        <w:color w:val="000000"/>
        <w:sz w:val="22"/>
        <w:szCs w:val="20"/>
      </w:rPr>
      <w:instrText>NUMPAGES</w:instrText>
    </w:r>
    <w:r w:rsidRPr="00966F8A">
      <w:rPr>
        <w:rFonts w:ascii="Palatino Linotype" w:eastAsia="Palatino Linotype" w:hAnsi="Palatino Linotype" w:cs="Palatino Linotype"/>
        <w:color w:val="000000"/>
        <w:sz w:val="22"/>
        <w:szCs w:val="20"/>
      </w:rPr>
      <w:fldChar w:fldCharType="separate"/>
    </w:r>
    <w:r w:rsidR="005057BB">
      <w:rPr>
        <w:rFonts w:ascii="Palatino Linotype" w:eastAsia="Palatino Linotype" w:hAnsi="Palatino Linotype" w:cs="Palatino Linotype"/>
        <w:noProof/>
        <w:color w:val="000000"/>
        <w:sz w:val="22"/>
        <w:szCs w:val="20"/>
      </w:rPr>
      <w:t>29</w:t>
    </w:r>
    <w:r w:rsidRPr="00966F8A">
      <w:rPr>
        <w:rFonts w:ascii="Palatino Linotype" w:eastAsia="Palatino Linotype" w:hAnsi="Palatino Linotype" w:cs="Palatino Linotype"/>
        <w:color w:val="000000"/>
        <w:sz w:val="22"/>
        <w:szCs w:val="20"/>
      </w:rPr>
      <w:fldChar w:fldCharType="end"/>
    </w:r>
  </w:p>
  <w:p w14:paraId="6D08C48E" w14:textId="77777777" w:rsidR="009268A3" w:rsidRDefault="009268A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0616" w14:textId="77777777" w:rsidR="009268A3" w:rsidRPr="00966F8A" w:rsidRDefault="00750B5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966F8A">
      <w:rPr>
        <w:rFonts w:ascii="Palatino Linotype" w:eastAsia="Palatino Linotype" w:hAnsi="Palatino Linotype" w:cs="Palatino Linotype"/>
        <w:color w:val="000000"/>
        <w:sz w:val="22"/>
        <w:szCs w:val="20"/>
      </w:rPr>
      <w:t xml:space="preserve">Página </w:t>
    </w:r>
    <w:r w:rsidRPr="00966F8A">
      <w:rPr>
        <w:rFonts w:ascii="Palatino Linotype" w:eastAsia="Palatino Linotype" w:hAnsi="Palatino Linotype" w:cs="Palatino Linotype"/>
        <w:color w:val="000000"/>
        <w:sz w:val="22"/>
        <w:szCs w:val="20"/>
      </w:rPr>
      <w:fldChar w:fldCharType="begin"/>
    </w:r>
    <w:r w:rsidRPr="00966F8A">
      <w:rPr>
        <w:rFonts w:ascii="Palatino Linotype" w:eastAsia="Palatino Linotype" w:hAnsi="Palatino Linotype" w:cs="Palatino Linotype"/>
        <w:color w:val="000000"/>
        <w:sz w:val="22"/>
        <w:szCs w:val="20"/>
      </w:rPr>
      <w:instrText>PAGE</w:instrText>
    </w:r>
    <w:r w:rsidRPr="00966F8A">
      <w:rPr>
        <w:rFonts w:ascii="Palatino Linotype" w:eastAsia="Palatino Linotype" w:hAnsi="Palatino Linotype" w:cs="Palatino Linotype"/>
        <w:color w:val="000000"/>
        <w:sz w:val="22"/>
        <w:szCs w:val="20"/>
      </w:rPr>
      <w:fldChar w:fldCharType="separate"/>
    </w:r>
    <w:r w:rsidR="005057BB">
      <w:rPr>
        <w:rFonts w:ascii="Palatino Linotype" w:eastAsia="Palatino Linotype" w:hAnsi="Palatino Linotype" w:cs="Palatino Linotype"/>
        <w:noProof/>
        <w:color w:val="000000"/>
        <w:sz w:val="22"/>
        <w:szCs w:val="20"/>
      </w:rPr>
      <w:t>1</w:t>
    </w:r>
    <w:r w:rsidRPr="00966F8A">
      <w:rPr>
        <w:rFonts w:ascii="Palatino Linotype" w:eastAsia="Palatino Linotype" w:hAnsi="Palatino Linotype" w:cs="Palatino Linotype"/>
        <w:color w:val="000000"/>
        <w:sz w:val="22"/>
        <w:szCs w:val="20"/>
      </w:rPr>
      <w:fldChar w:fldCharType="end"/>
    </w:r>
    <w:r w:rsidRPr="00966F8A">
      <w:rPr>
        <w:rFonts w:ascii="Palatino Linotype" w:eastAsia="Palatino Linotype" w:hAnsi="Palatino Linotype" w:cs="Palatino Linotype"/>
        <w:color w:val="000000"/>
        <w:sz w:val="22"/>
        <w:szCs w:val="20"/>
      </w:rPr>
      <w:t xml:space="preserve"> de </w:t>
    </w:r>
    <w:r w:rsidRPr="00966F8A">
      <w:rPr>
        <w:rFonts w:ascii="Palatino Linotype" w:eastAsia="Palatino Linotype" w:hAnsi="Palatino Linotype" w:cs="Palatino Linotype"/>
        <w:color w:val="000000"/>
        <w:sz w:val="22"/>
        <w:szCs w:val="20"/>
      </w:rPr>
      <w:fldChar w:fldCharType="begin"/>
    </w:r>
    <w:r w:rsidRPr="00966F8A">
      <w:rPr>
        <w:rFonts w:ascii="Palatino Linotype" w:eastAsia="Palatino Linotype" w:hAnsi="Palatino Linotype" w:cs="Palatino Linotype"/>
        <w:color w:val="000000"/>
        <w:sz w:val="22"/>
        <w:szCs w:val="20"/>
      </w:rPr>
      <w:instrText>NUMPAGES</w:instrText>
    </w:r>
    <w:r w:rsidRPr="00966F8A">
      <w:rPr>
        <w:rFonts w:ascii="Palatino Linotype" w:eastAsia="Palatino Linotype" w:hAnsi="Palatino Linotype" w:cs="Palatino Linotype"/>
        <w:color w:val="000000"/>
        <w:sz w:val="22"/>
        <w:szCs w:val="20"/>
      </w:rPr>
      <w:fldChar w:fldCharType="separate"/>
    </w:r>
    <w:r w:rsidR="005057BB">
      <w:rPr>
        <w:rFonts w:ascii="Palatino Linotype" w:eastAsia="Palatino Linotype" w:hAnsi="Palatino Linotype" w:cs="Palatino Linotype"/>
        <w:noProof/>
        <w:color w:val="000000"/>
        <w:sz w:val="22"/>
        <w:szCs w:val="20"/>
      </w:rPr>
      <w:t>29</w:t>
    </w:r>
    <w:r w:rsidRPr="00966F8A">
      <w:rPr>
        <w:rFonts w:ascii="Palatino Linotype" w:eastAsia="Palatino Linotype" w:hAnsi="Palatino Linotype" w:cs="Palatino Linotype"/>
        <w:color w:val="000000"/>
        <w:sz w:val="22"/>
        <w:szCs w:val="20"/>
      </w:rPr>
      <w:fldChar w:fldCharType="end"/>
    </w:r>
  </w:p>
  <w:p w14:paraId="72CA4E82" w14:textId="77777777" w:rsidR="009268A3" w:rsidRDefault="009268A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78CA7" w14:textId="77777777" w:rsidR="00700C0A" w:rsidRDefault="00700C0A">
      <w:r>
        <w:separator/>
      </w:r>
    </w:p>
  </w:footnote>
  <w:footnote w:type="continuationSeparator" w:id="0">
    <w:p w14:paraId="6C2EA006" w14:textId="77777777" w:rsidR="00700C0A" w:rsidRDefault="00700C0A">
      <w:r>
        <w:continuationSeparator/>
      </w:r>
    </w:p>
  </w:footnote>
  <w:footnote w:id="1">
    <w:p w14:paraId="4FC7A83B" w14:textId="77777777" w:rsidR="009268A3" w:rsidRDefault="00750B5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398DB6A7" w14:textId="77777777" w:rsidR="009268A3" w:rsidRDefault="00750B5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CA4E8A2" w14:textId="77777777" w:rsidR="009268A3" w:rsidRDefault="00750B5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2D7D38AA" w14:textId="77777777" w:rsidR="009268A3" w:rsidRDefault="00750B5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E22B" w14:textId="77777777" w:rsidR="009268A3" w:rsidRDefault="00700C0A">
    <w:pPr>
      <w:pBdr>
        <w:top w:val="nil"/>
        <w:left w:val="nil"/>
        <w:bottom w:val="nil"/>
        <w:right w:val="nil"/>
        <w:between w:val="nil"/>
      </w:pBdr>
      <w:tabs>
        <w:tab w:val="center" w:pos="4419"/>
        <w:tab w:val="right" w:pos="8838"/>
      </w:tabs>
      <w:rPr>
        <w:color w:val="000000"/>
      </w:rPr>
    </w:pPr>
    <w:r>
      <w:rPr>
        <w:color w:val="000000"/>
      </w:rPr>
      <w:pict w14:anchorId="5006E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512" w:type="dxa"/>
      <w:tblInd w:w="2694" w:type="dxa"/>
      <w:tblLayout w:type="fixed"/>
      <w:tblLook w:val="0400" w:firstRow="0" w:lastRow="0" w:firstColumn="0" w:lastColumn="0" w:noHBand="0" w:noVBand="1"/>
    </w:tblPr>
    <w:tblGrid>
      <w:gridCol w:w="2976"/>
      <w:gridCol w:w="4536"/>
    </w:tblGrid>
    <w:tr w:rsidR="009268A3" w14:paraId="7E85291D" w14:textId="77777777" w:rsidTr="00FE11D9">
      <w:trPr>
        <w:trHeight w:val="227"/>
      </w:trPr>
      <w:tc>
        <w:tcPr>
          <w:tcW w:w="2976" w:type="dxa"/>
          <w:vAlign w:val="center"/>
        </w:tcPr>
        <w:p w14:paraId="105CF2B9" w14:textId="718B980D" w:rsidR="009268A3" w:rsidRPr="00FE11D9" w:rsidRDefault="00750B54" w:rsidP="00FE11D9">
          <w:pPr>
            <w:ind w:right="34"/>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Recurso de Revisión:</w:t>
          </w:r>
        </w:p>
      </w:tc>
      <w:tc>
        <w:tcPr>
          <w:tcW w:w="4536" w:type="dxa"/>
          <w:vAlign w:val="center"/>
        </w:tcPr>
        <w:p w14:paraId="58D856C2" w14:textId="77777777" w:rsidR="009268A3" w:rsidRPr="00FE11D9" w:rsidRDefault="00750B54" w:rsidP="00966F8A">
          <w:pPr>
            <w:pBdr>
              <w:top w:val="nil"/>
              <w:left w:val="nil"/>
              <w:bottom w:val="nil"/>
              <w:right w:val="nil"/>
              <w:between w:val="nil"/>
            </w:pBdr>
            <w:tabs>
              <w:tab w:val="right" w:pos="8838"/>
            </w:tabs>
            <w:ind w:right="-71"/>
            <w:rPr>
              <w:rFonts w:ascii="Palatino Linotype" w:eastAsia="Palatino Linotype" w:hAnsi="Palatino Linotype" w:cs="Palatino Linotype"/>
              <w:bCs/>
              <w:color w:val="000000" w:themeColor="text1"/>
            </w:rPr>
          </w:pPr>
          <w:r w:rsidRPr="00FE11D9">
            <w:rPr>
              <w:rFonts w:ascii="Palatino Linotype" w:eastAsia="Palatino Linotype" w:hAnsi="Palatino Linotype" w:cs="Palatino Linotype"/>
              <w:bCs/>
              <w:color w:val="000000" w:themeColor="text1"/>
            </w:rPr>
            <w:t>07373/INFOEM/IP/RR/2025</w:t>
          </w:r>
        </w:p>
      </w:tc>
    </w:tr>
    <w:tr w:rsidR="009268A3" w14:paraId="4FDA13AE" w14:textId="77777777" w:rsidTr="00FE11D9">
      <w:trPr>
        <w:trHeight w:val="242"/>
      </w:trPr>
      <w:tc>
        <w:tcPr>
          <w:tcW w:w="2976" w:type="dxa"/>
          <w:vAlign w:val="center"/>
        </w:tcPr>
        <w:p w14:paraId="23D232AE" w14:textId="77777777" w:rsidR="009268A3" w:rsidRDefault="00750B54" w:rsidP="00FE11D9">
          <w:pPr>
            <w:ind w:right="34"/>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Sujeto Obligado:</w:t>
          </w:r>
        </w:p>
        <w:p w14:paraId="51EEFC3A" w14:textId="77777777" w:rsidR="00FE11D9" w:rsidRDefault="00FE11D9" w:rsidP="00FE11D9">
          <w:pPr>
            <w:ind w:right="34"/>
            <w:jc w:val="right"/>
            <w:rPr>
              <w:rFonts w:ascii="Palatino Linotype" w:eastAsia="Palatino Linotype" w:hAnsi="Palatino Linotype" w:cs="Palatino Linotype"/>
              <w:b/>
              <w:bCs/>
              <w:color w:val="000000" w:themeColor="text1"/>
            </w:rPr>
          </w:pPr>
        </w:p>
        <w:p w14:paraId="584F0DB1" w14:textId="77777777" w:rsidR="00FE11D9" w:rsidRDefault="00FE11D9" w:rsidP="00FE11D9">
          <w:pPr>
            <w:ind w:right="34"/>
            <w:jc w:val="right"/>
            <w:rPr>
              <w:rFonts w:ascii="Palatino Linotype" w:eastAsia="Palatino Linotype" w:hAnsi="Palatino Linotype" w:cs="Palatino Linotype"/>
              <w:b/>
              <w:bCs/>
              <w:color w:val="000000" w:themeColor="text1"/>
            </w:rPr>
          </w:pPr>
        </w:p>
        <w:p w14:paraId="5587392A" w14:textId="77777777" w:rsidR="00FE11D9" w:rsidRPr="00FE11D9" w:rsidRDefault="00FE11D9" w:rsidP="00FE11D9">
          <w:pPr>
            <w:ind w:right="34"/>
            <w:jc w:val="right"/>
            <w:rPr>
              <w:rFonts w:ascii="Palatino Linotype" w:eastAsia="Palatino Linotype" w:hAnsi="Palatino Linotype" w:cs="Palatino Linotype"/>
              <w:b/>
              <w:bCs/>
              <w:color w:val="000000" w:themeColor="text1"/>
            </w:rPr>
          </w:pPr>
        </w:p>
      </w:tc>
      <w:tc>
        <w:tcPr>
          <w:tcW w:w="4536" w:type="dxa"/>
          <w:vAlign w:val="center"/>
        </w:tcPr>
        <w:p w14:paraId="3FA8F55F" w14:textId="77777777" w:rsidR="009268A3" w:rsidRPr="00FE11D9" w:rsidRDefault="00750B54" w:rsidP="00966F8A">
          <w:pPr>
            <w:pBdr>
              <w:top w:val="nil"/>
              <w:left w:val="nil"/>
              <w:bottom w:val="nil"/>
              <w:right w:val="nil"/>
              <w:between w:val="nil"/>
            </w:pBdr>
            <w:tabs>
              <w:tab w:val="right" w:pos="8838"/>
            </w:tabs>
            <w:ind w:right="-71"/>
            <w:rPr>
              <w:rFonts w:ascii="Palatino Linotype" w:eastAsia="Palatino Linotype" w:hAnsi="Palatino Linotype" w:cs="Palatino Linotype"/>
              <w:bCs/>
              <w:color w:val="000000" w:themeColor="text1"/>
            </w:rPr>
          </w:pPr>
          <w:r w:rsidRPr="00FE11D9">
            <w:rPr>
              <w:rFonts w:ascii="Palatino Linotype" w:eastAsia="Palatino Linotype" w:hAnsi="Palatino Linotype" w:cs="Palatino Linotype"/>
              <w:bCs/>
              <w:color w:val="000000" w:themeColor="text1"/>
            </w:rPr>
            <w:t>Organismo Público Descentralizado para la Prestación de los Servicios de Agua Potable, Alcantarillado y Saneamiento de Teoloyucan</w:t>
          </w:r>
        </w:p>
      </w:tc>
    </w:tr>
    <w:tr w:rsidR="009268A3" w14:paraId="1D40A66D" w14:textId="77777777" w:rsidTr="00FE11D9">
      <w:trPr>
        <w:trHeight w:val="342"/>
      </w:trPr>
      <w:tc>
        <w:tcPr>
          <w:tcW w:w="2976" w:type="dxa"/>
          <w:vAlign w:val="center"/>
        </w:tcPr>
        <w:p w14:paraId="7C31CFB3" w14:textId="77777777" w:rsidR="009268A3" w:rsidRPr="00FE11D9" w:rsidRDefault="00750B54" w:rsidP="00FE11D9">
          <w:pPr>
            <w:ind w:right="34"/>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Comisionada Ponente:</w:t>
          </w:r>
        </w:p>
      </w:tc>
      <w:tc>
        <w:tcPr>
          <w:tcW w:w="4536" w:type="dxa"/>
          <w:vAlign w:val="center"/>
        </w:tcPr>
        <w:p w14:paraId="1DFA0FE6" w14:textId="77777777" w:rsidR="009268A3" w:rsidRPr="00FE11D9" w:rsidRDefault="00750B54" w:rsidP="00966F8A">
          <w:pPr>
            <w:pBdr>
              <w:top w:val="nil"/>
              <w:left w:val="nil"/>
              <w:bottom w:val="nil"/>
              <w:right w:val="nil"/>
              <w:between w:val="nil"/>
            </w:pBdr>
            <w:tabs>
              <w:tab w:val="right" w:pos="8838"/>
            </w:tabs>
            <w:ind w:right="-71"/>
            <w:rPr>
              <w:rFonts w:ascii="Palatino Linotype" w:eastAsia="Palatino Linotype" w:hAnsi="Palatino Linotype" w:cs="Palatino Linotype"/>
              <w:bCs/>
              <w:color w:val="000000" w:themeColor="text1"/>
            </w:rPr>
          </w:pPr>
          <w:r w:rsidRPr="00FE11D9">
            <w:rPr>
              <w:rFonts w:ascii="Palatino Linotype" w:eastAsia="Palatino Linotype" w:hAnsi="Palatino Linotype" w:cs="Palatino Linotype"/>
              <w:bCs/>
              <w:color w:val="000000" w:themeColor="text1"/>
            </w:rPr>
            <w:t>María del Rosario Mejía Ayala</w:t>
          </w:r>
        </w:p>
      </w:tc>
    </w:tr>
  </w:tbl>
  <w:p w14:paraId="543D5C18" w14:textId="1355113A" w:rsidR="009268A3" w:rsidRDefault="00700C0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34082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6.05pt;margin-top:-138.4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4" w:type="dxa"/>
      <w:tblInd w:w="2552" w:type="dxa"/>
      <w:tblLayout w:type="fixed"/>
      <w:tblLook w:val="0400" w:firstRow="0" w:lastRow="0" w:firstColumn="0" w:lastColumn="0" w:noHBand="0" w:noVBand="1"/>
    </w:tblPr>
    <w:tblGrid>
      <w:gridCol w:w="2977"/>
      <w:gridCol w:w="4677"/>
    </w:tblGrid>
    <w:tr w:rsidR="009268A3" w14:paraId="26EEDB67" w14:textId="77777777" w:rsidTr="00FE11D9">
      <w:trPr>
        <w:trHeight w:val="227"/>
      </w:trPr>
      <w:tc>
        <w:tcPr>
          <w:tcW w:w="2977" w:type="dxa"/>
          <w:vAlign w:val="center"/>
        </w:tcPr>
        <w:p w14:paraId="42268D36" w14:textId="52134D5D" w:rsidR="009268A3" w:rsidRPr="00FE11D9" w:rsidRDefault="00750B54" w:rsidP="00FE11D9">
          <w:pPr>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Recurso de Revisión:</w:t>
          </w:r>
        </w:p>
      </w:tc>
      <w:tc>
        <w:tcPr>
          <w:tcW w:w="4677" w:type="dxa"/>
          <w:vAlign w:val="center"/>
        </w:tcPr>
        <w:p w14:paraId="5C042AE8" w14:textId="77777777" w:rsidR="009268A3" w:rsidRPr="00FE11D9" w:rsidRDefault="00750B54" w:rsidP="00966F8A">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FE11D9">
            <w:rPr>
              <w:rFonts w:ascii="Palatino Linotype" w:eastAsia="Palatino Linotype" w:hAnsi="Palatino Linotype" w:cs="Palatino Linotype"/>
              <w:bCs/>
              <w:color w:val="000000" w:themeColor="text1"/>
            </w:rPr>
            <w:t>07373/INFOEM/IP/RR/2025</w:t>
          </w:r>
        </w:p>
      </w:tc>
    </w:tr>
    <w:tr w:rsidR="009268A3" w14:paraId="15B5176F" w14:textId="77777777" w:rsidTr="00FE11D9">
      <w:trPr>
        <w:trHeight w:val="242"/>
      </w:trPr>
      <w:tc>
        <w:tcPr>
          <w:tcW w:w="2977" w:type="dxa"/>
          <w:vAlign w:val="center"/>
        </w:tcPr>
        <w:p w14:paraId="3463BF15" w14:textId="77777777" w:rsidR="009268A3" w:rsidRPr="00FE11D9" w:rsidRDefault="00750B54" w:rsidP="00FE11D9">
          <w:pPr>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Recurrente:</w:t>
          </w:r>
        </w:p>
      </w:tc>
      <w:tc>
        <w:tcPr>
          <w:tcW w:w="4677" w:type="dxa"/>
        </w:tcPr>
        <w:p w14:paraId="71A65919" w14:textId="3AF4434B" w:rsidR="009268A3" w:rsidRPr="00FE11D9" w:rsidRDefault="005057BB" w:rsidP="00966F8A">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themeColor="text1"/>
            </w:rPr>
          </w:pPr>
          <w:r>
            <w:rPr>
              <w:rFonts w:ascii="Palatino Linotype" w:eastAsia="Palatino Linotype" w:hAnsi="Palatino Linotype" w:cs="Palatino Linotype"/>
              <w:bCs/>
              <w:color w:val="000000" w:themeColor="text1"/>
            </w:rPr>
            <w:t>XXXX</w:t>
          </w:r>
          <w:r w:rsidR="00750B54" w:rsidRPr="00FE11D9">
            <w:rPr>
              <w:rFonts w:ascii="Palatino Linotype" w:eastAsia="Palatino Linotype" w:hAnsi="Palatino Linotype" w:cs="Palatino Linotype"/>
              <w:bCs/>
              <w:color w:val="000000" w:themeColor="text1"/>
            </w:rPr>
            <w:t> </w:t>
          </w:r>
        </w:p>
      </w:tc>
    </w:tr>
    <w:tr w:rsidR="009268A3" w14:paraId="57863B6F" w14:textId="77777777" w:rsidTr="00FE11D9">
      <w:trPr>
        <w:trHeight w:val="342"/>
      </w:trPr>
      <w:tc>
        <w:tcPr>
          <w:tcW w:w="2977" w:type="dxa"/>
          <w:vAlign w:val="center"/>
        </w:tcPr>
        <w:p w14:paraId="762D386A" w14:textId="77777777" w:rsidR="009268A3" w:rsidRDefault="00750B54" w:rsidP="00FE11D9">
          <w:pPr>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Sujeto Obligado:</w:t>
          </w:r>
        </w:p>
        <w:p w14:paraId="3FDA41AE" w14:textId="77777777" w:rsidR="00FE11D9" w:rsidRDefault="00FE11D9" w:rsidP="00FE11D9">
          <w:pPr>
            <w:jc w:val="right"/>
            <w:rPr>
              <w:rFonts w:ascii="Palatino Linotype" w:eastAsia="Palatino Linotype" w:hAnsi="Palatino Linotype" w:cs="Palatino Linotype"/>
              <w:b/>
              <w:bCs/>
              <w:color w:val="000000" w:themeColor="text1"/>
            </w:rPr>
          </w:pPr>
        </w:p>
        <w:p w14:paraId="331694D7" w14:textId="77777777" w:rsidR="00FE11D9" w:rsidRDefault="00FE11D9" w:rsidP="00FE11D9">
          <w:pPr>
            <w:jc w:val="right"/>
            <w:rPr>
              <w:rFonts w:ascii="Palatino Linotype" w:eastAsia="Palatino Linotype" w:hAnsi="Palatino Linotype" w:cs="Palatino Linotype"/>
              <w:b/>
              <w:bCs/>
              <w:color w:val="000000" w:themeColor="text1"/>
            </w:rPr>
          </w:pPr>
        </w:p>
        <w:p w14:paraId="5F50C0D5" w14:textId="77777777" w:rsidR="00FE11D9" w:rsidRPr="00FE11D9" w:rsidRDefault="00FE11D9" w:rsidP="00FE11D9">
          <w:pPr>
            <w:jc w:val="right"/>
            <w:rPr>
              <w:rFonts w:ascii="Palatino Linotype" w:eastAsia="Palatino Linotype" w:hAnsi="Palatino Linotype" w:cs="Palatino Linotype"/>
              <w:b/>
              <w:bCs/>
              <w:color w:val="000000" w:themeColor="text1"/>
            </w:rPr>
          </w:pPr>
        </w:p>
      </w:tc>
      <w:tc>
        <w:tcPr>
          <w:tcW w:w="4677" w:type="dxa"/>
          <w:vAlign w:val="center"/>
        </w:tcPr>
        <w:p w14:paraId="38029E78" w14:textId="77777777" w:rsidR="009268A3" w:rsidRPr="00FE11D9" w:rsidRDefault="00750B54" w:rsidP="00966F8A">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FE11D9">
            <w:rPr>
              <w:rFonts w:ascii="Palatino Linotype" w:eastAsia="Palatino Linotype" w:hAnsi="Palatino Linotype" w:cs="Palatino Linotype"/>
              <w:bCs/>
              <w:color w:val="000000" w:themeColor="text1"/>
            </w:rPr>
            <w:t>Organismo Público Descentralizado para la Prestación de los Servicios de Agua Potable, Alcantarillado y Saneamiento de Teoloyucan</w:t>
          </w:r>
        </w:p>
      </w:tc>
    </w:tr>
    <w:tr w:rsidR="009268A3" w14:paraId="1AB81CC5" w14:textId="77777777" w:rsidTr="00FE11D9">
      <w:trPr>
        <w:trHeight w:val="342"/>
      </w:trPr>
      <w:tc>
        <w:tcPr>
          <w:tcW w:w="2977" w:type="dxa"/>
          <w:vAlign w:val="center"/>
        </w:tcPr>
        <w:p w14:paraId="53A2E2FF" w14:textId="77777777" w:rsidR="009268A3" w:rsidRPr="00FE11D9" w:rsidRDefault="00750B54" w:rsidP="00FE11D9">
          <w:pPr>
            <w:jc w:val="right"/>
            <w:rPr>
              <w:rFonts w:ascii="Palatino Linotype" w:eastAsia="Palatino Linotype" w:hAnsi="Palatino Linotype" w:cs="Palatino Linotype"/>
              <w:b/>
              <w:bCs/>
              <w:color w:val="000000" w:themeColor="text1"/>
            </w:rPr>
          </w:pPr>
          <w:r w:rsidRPr="00FE11D9">
            <w:rPr>
              <w:rFonts w:ascii="Palatino Linotype" w:eastAsia="Palatino Linotype" w:hAnsi="Palatino Linotype" w:cs="Palatino Linotype"/>
              <w:b/>
              <w:bCs/>
              <w:color w:val="000000" w:themeColor="text1"/>
            </w:rPr>
            <w:t>Comisionada Ponente:</w:t>
          </w:r>
        </w:p>
      </w:tc>
      <w:tc>
        <w:tcPr>
          <w:tcW w:w="4677" w:type="dxa"/>
          <w:vAlign w:val="center"/>
        </w:tcPr>
        <w:p w14:paraId="2AEB2A07" w14:textId="77777777" w:rsidR="009268A3" w:rsidRPr="00FE11D9" w:rsidRDefault="00750B54" w:rsidP="00966F8A">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FE11D9">
            <w:rPr>
              <w:rFonts w:ascii="Palatino Linotype" w:eastAsia="Palatino Linotype" w:hAnsi="Palatino Linotype" w:cs="Palatino Linotype"/>
              <w:bCs/>
              <w:color w:val="000000" w:themeColor="text1"/>
            </w:rPr>
            <w:t>María del Rosario Mejía Ayala</w:t>
          </w:r>
        </w:p>
      </w:tc>
    </w:tr>
  </w:tbl>
  <w:p w14:paraId="24347D52" w14:textId="498BCF5D" w:rsidR="009268A3" w:rsidRDefault="00700C0A">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36F77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0.6pt;margin-top:-138.4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320"/>
    <w:multiLevelType w:val="multilevel"/>
    <w:tmpl w:val="99942924"/>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0E06325C"/>
    <w:multiLevelType w:val="multilevel"/>
    <w:tmpl w:val="649AF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C3D05"/>
    <w:multiLevelType w:val="multilevel"/>
    <w:tmpl w:val="73C83D4C"/>
    <w:lvl w:ilvl="0">
      <w:start w:val="8"/>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917FF3"/>
    <w:multiLevelType w:val="multilevel"/>
    <w:tmpl w:val="C8FE5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393245"/>
    <w:multiLevelType w:val="multilevel"/>
    <w:tmpl w:val="95289DEA"/>
    <w:lvl w:ilvl="0">
      <w:start w:val="55"/>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5F0208"/>
    <w:multiLevelType w:val="multilevel"/>
    <w:tmpl w:val="1EE8FB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884E7D"/>
    <w:multiLevelType w:val="multilevel"/>
    <w:tmpl w:val="D30646B6"/>
    <w:lvl w:ilvl="0">
      <w:start w:val="30"/>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995F0C"/>
    <w:multiLevelType w:val="multilevel"/>
    <w:tmpl w:val="439C1164"/>
    <w:lvl w:ilvl="0">
      <w:start w:val="6"/>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065850"/>
    <w:multiLevelType w:val="multilevel"/>
    <w:tmpl w:val="55D06F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A8147A"/>
    <w:multiLevelType w:val="multilevel"/>
    <w:tmpl w:val="7CC034AC"/>
    <w:lvl w:ilvl="0">
      <w:start w:val="33"/>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681EA8"/>
    <w:multiLevelType w:val="hybridMultilevel"/>
    <w:tmpl w:val="802EF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687878"/>
    <w:multiLevelType w:val="multilevel"/>
    <w:tmpl w:val="AE0EEA6C"/>
    <w:lvl w:ilvl="0">
      <w:start w:val="1"/>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632ADF"/>
    <w:multiLevelType w:val="multilevel"/>
    <w:tmpl w:val="E9FADB8E"/>
    <w:lvl w:ilvl="0">
      <w:start w:val="4"/>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E14C16"/>
    <w:multiLevelType w:val="multilevel"/>
    <w:tmpl w:val="72F48DF8"/>
    <w:lvl w:ilvl="0">
      <w:start w:val="43"/>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BD79B1"/>
    <w:multiLevelType w:val="multilevel"/>
    <w:tmpl w:val="B6CC35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223E67"/>
    <w:multiLevelType w:val="multilevel"/>
    <w:tmpl w:val="87A09516"/>
    <w:lvl w:ilvl="0">
      <w:start w:val="54"/>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E71A51"/>
    <w:multiLevelType w:val="multilevel"/>
    <w:tmpl w:val="A1AA79FE"/>
    <w:lvl w:ilvl="0">
      <w:start w:val="10"/>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27E114E"/>
    <w:multiLevelType w:val="multilevel"/>
    <w:tmpl w:val="FCD29BB0"/>
    <w:lvl w:ilvl="0">
      <w:start w:val="5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54"/>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DAC7B6D"/>
    <w:multiLevelType w:val="multilevel"/>
    <w:tmpl w:val="BFA6B64A"/>
    <w:lvl w:ilvl="0">
      <w:start w:val="9"/>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3"/>
  </w:num>
  <w:num w:numId="3">
    <w:abstractNumId w:val="0"/>
  </w:num>
  <w:num w:numId="4">
    <w:abstractNumId w:val="15"/>
  </w:num>
  <w:num w:numId="5">
    <w:abstractNumId w:val="17"/>
  </w:num>
  <w:num w:numId="6">
    <w:abstractNumId w:val="2"/>
  </w:num>
  <w:num w:numId="7">
    <w:abstractNumId w:val="18"/>
  </w:num>
  <w:num w:numId="8">
    <w:abstractNumId w:val="16"/>
  </w:num>
  <w:num w:numId="9">
    <w:abstractNumId w:val="9"/>
  </w:num>
  <w:num w:numId="10">
    <w:abstractNumId w:val="4"/>
  </w:num>
  <w:num w:numId="11">
    <w:abstractNumId w:val="14"/>
  </w:num>
  <w:num w:numId="12">
    <w:abstractNumId w:val="5"/>
  </w:num>
  <w:num w:numId="13">
    <w:abstractNumId w:val="7"/>
  </w:num>
  <w:num w:numId="14">
    <w:abstractNumId w:val="8"/>
  </w:num>
  <w:num w:numId="15">
    <w:abstractNumId w:val="1"/>
  </w:num>
  <w:num w:numId="16">
    <w:abstractNumId w:val="12"/>
  </w:num>
  <w:num w:numId="17">
    <w:abstractNumId w:val="6"/>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A3"/>
    <w:rsid w:val="00066F4B"/>
    <w:rsid w:val="003E25A2"/>
    <w:rsid w:val="00486B00"/>
    <w:rsid w:val="0050160E"/>
    <w:rsid w:val="005056F0"/>
    <w:rsid w:val="005057BB"/>
    <w:rsid w:val="00647AAB"/>
    <w:rsid w:val="00700C0A"/>
    <w:rsid w:val="00725BC3"/>
    <w:rsid w:val="00750B54"/>
    <w:rsid w:val="00824A07"/>
    <w:rsid w:val="009268A3"/>
    <w:rsid w:val="009279FC"/>
    <w:rsid w:val="00956C29"/>
    <w:rsid w:val="00966F8A"/>
    <w:rsid w:val="00DD49C7"/>
    <w:rsid w:val="00E00028"/>
    <w:rsid w:val="00E47006"/>
    <w:rsid w:val="00E97EA3"/>
    <w:rsid w:val="00FE11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38BD16"/>
  <w15:docId w15:val="{3DED8D4E-2A73-4CC2-A5EF-00D3E59A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685D5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685D5F"/>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85D5F"/>
    <w:pPr>
      <w:tabs>
        <w:tab w:val="center" w:pos="4419"/>
        <w:tab w:val="right" w:pos="8838"/>
      </w:tabs>
    </w:pPr>
  </w:style>
  <w:style w:type="character" w:customStyle="1" w:styleId="EncabezadoCar">
    <w:name w:val="Encabezado Car"/>
    <w:basedOn w:val="Fuentedeprrafopredeter"/>
    <w:link w:val="Encabezado"/>
    <w:uiPriority w:val="99"/>
    <w:rsid w:val="00685D5F"/>
    <w:rPr>
      <w:rFonts w:eastAsiaTheme="minorEastAsia"/>
      <w:sz w:val="24"/>
      <w:szCs w:val="24"/>
      <w:lang w:val="es-ES_tradnl" w:eastAsia="es-ES"/>
    </w:rPr>
  </w:style>
  <w:style w:type="paragraph" w:styleId="Piedepgina">
    <w:name w:val="footer"/>
    <w:basedOn w:val="Normal"/>
    <w:link w:val="PiedepginaCar"/>
    <w:uiPriority w:val="99"/>
    <w:unhideWhenUsed/>
    <w:rsid w:val="00685D5F"/>
    <w:pPr>
      <w:tabs>
        <w:tab w:val="center" w:pos="4419"/>
        <w:tab w:val="right" w:pos="8838"/>
      </w:tabs>
    </w:pPr>
  </w:style>
  <w:style w:type="character" w:customStyle="1" w:styleId="PiedepginaCar">
    <w:name w:val="Pie de página Car"/>
    <w:basedOn w:val="Fuentedeprrafopredeter"/>
    <w:link w:val="Piedepgina"/>
    <w:uiPriority w:val="99"/>
    <w:rsid w:val="00685D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5D5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5D5F"/>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685D5F"/>
    <w:rPr>
      <w:color w:val="0563C1" w:themeColor="hyperlink"/>
      <w:u w:val="single"/>
    </w:rPr>
  </w:style>
  <w:style w:type="table" w:styleId="Tablanormal1">
    <w:name w:val="Plain Table 1"/>
    <w:basedOn w:val="Tablanormal"/>
    <w:uiPriority w:val="41"/>
    <w:rsid w:val="00685D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2">
    <w:name w:val="A2"/>
    <w:uiPriority w:val="99"/>
    <w:rsid w:val="002C5318"/>
    <w:rPr>
      <w:rFonts w:cs="Modica Black"/>
      <w:color w:val="000000"/>
      <w:sz w:val="20"/>
      <w:szCs w:val="20"/>
    </w:rPr>
  </w:style>
  <w:style w:type="paragraph" w:customStyle="1" w:styleId="Pa2">
    <w:name w:val="Pa2"/>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Pa5">
    <w:name w:val="Pa5"/>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Default">
    <w:name w:val="Default"/>
    <w:rsid w:val="00525732"/>
    <w:pPr>
      <w:autoSpaceDE w:val="0"/>
      <w:autoSpaceDN w:val="0"/>
      <w:adjustRightInd w:val="0"/>
    </w:pPr>
    <w:rPr>
      <w:rFonts w:ascii="Bookman Old Style" w:hAnsi="Bookman Old Style" w:cs="Bookman Old Style"/>
      <w:color w:val="000000"/>
    </w:rPr>
  </w:style>
  <w:style w:type="paragraph" w:styleId="Sinespaciado">
    <w:name w:val="No Spacing"/>
    <w:aliases w:val="Francesa,INAI"/>
    <w:link w:val="SinespaciadoCar"/>
    <w:uiPriority w:val="1"/>
    <w:qFormat/>
    <w:rsid w:val="00845AE9"/>
  </w:style>
  <w:style w:type="character" w:customStyle="1" w:styleId="SinespaciadoCar">
    <w:name w:val="Sin espaciado Car"/>
    <w:aliases w:val="Francesa Car,INAI Car"/>
    <w:link w:val="Sinespaciado"/>
    <w:uiPriority w:val="1"/>
    <w:locked/>
    <w:rsid w:val="00845AE9"/>
  </w:style>
  <w:style w:type="character" w:customStyle="1" w:styleId="gmail-il">
    <w:name w:val="gmail-il"/>
    <w:basedOn w:val="Fuentedeprrafopredeter"/>
    <w:rsid w:val="00D45FD4"/>
  </w:style>
  <w:style w:type="paragraph" w:styleId="NormalWeb">
    <w:name w:val="Normal (Web)"/>
    <w:basedOn w:val="Normal"/>
    <w:uiPriority w:val="99"/>
    <w:semiHidden/>
    <w:unhideWhenUsed/>
    <w:rsid w:val="00D45FD4"/>
    <w:pPr>
      <w:spacing w:before="100" w:beforeAutospacing="1" w:after="100" w:afterAutospacing="1"/>
    </w:pPr>
    <w:rPr>
      <w:rFonts w:ascii="Times New Roman" w:eastAsia="Times New Roman" w:hAnsi="Times New Roman" w:cs="Times New Roman"/>
      <w:lang w:val="es-MX"/>
    </w:rPr>
  </w:style>
  <w:style w:type="character" w:customStyle="1" w:styleId="object">
    <w:name w:val="object"/>
    <w:basedOn w:val="Fuentedeprrafopredeter"/>
    <w:rsid w:val="00D45FD4"/>
  </w:style>
  <w:style w:type="character" w:styleId="Hipervnculovisitado">
    <w:name w:val="FollowedHyperlink"/>
    <w:basedOn w:val="Fuentedeprrafopredeter"/>
    <w:uiPriority w:val="99"/>
    <w:semiHidden/>
    <w:unhideWhenUsed/>
    <w:rsid w:val="00EE552F"/>
    <w:rPr>
      <w:color w:val="954F72" w:themeColor="followedHyperlink"/>
      <w:u w:val="single"/>
    </w:rPr>
  </w:style>
  <w:style w:type="table" w:styleId="Tablaconcuadrcula">
    <w:name w:val="Table Grid"/>
    <w:basedOn w:val="Tablanormal"/>
    <w:uiPriority w:val="39"/>
    <w:rsid w:val="007C3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407F8"/>
    <w:rPr>
      <w:b/>
      <w:bCs/>
    </w:rPr>
  </w:style>
  <w:style w:type="paragraph" w:styleId="Sangradetextonormal">
    <w:name w:val="Body Text Indent"/>
    <w:basedOn w:val="Normal"/>
    <w:link w:val="SangradetextonormalCar"/>
    <w:uiPriority w:val="99"/>
    <w:unhideWhenUsed/>
    <w:rsid w:val="00082283"/>
    <w:pPr>
      <w:spacing w:after="120"/>
      <w:ind w:left="283"/>
    </w:pPr>
    <w:rPr>
      <w:rFonts w:ascii="Times New Roman" w:eastAsia="Times New Roman" w:hAnsi="Times New Roman" w:cs="Times New Roman"/>
      <w:lang w:val="es-MX"/>
    </w:rPr>
  </w:style>
  <w:style w:type="character" w:customStyle="1" w:styleId="SangradetextonormalCar">
    <w:name w:val="Sangría de texto normal Car"/>
    <w:basedOn w:val="Fuentedeprrafopredeter"/>
    <w:link w:val="Sangradetextonormal"/>
    <w:uiPriority w:val="99"/>
    <w:rsid w:val="00082283"/>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08228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82283"/>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490A0E"/>
    <w:rPr>
      <w:sz w:val="20"/>
      <w:szCs w:val="20"/>
    </w:rPr>
  </w:style>
  <w:style w:type="character" w:customStyle="1" w:styleId="TextonotapieCar">
    <w:name w:val="Texto nota pie Car"/>
    <w:basedOn w:val="Fuentedeprrafopredeter"/>
    <w:link w:val="Textonotapie"/>
    <w:uiPriority w:val="99"/>
    <w:semiHidden/>
    <w:rsid w:val="00490A0E"/>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490A0E"/>
    <w:rPr>
      <w:vertAlign w:val="superscript"/>
    </w:rPr>
  </w:style>
  <w:style w:type="table" w:styleId="Tablanormal4">
    <w:name w:val="Plain Table 4"/>
    <w:basedOn w:val="Tablanormal"/>
    <w:uiPriority w:val="44"/>
    <w:rsid w:val="00EC0A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EC0AF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1clara-nfasis3">
    <w:name w:val="List Table 1 Light Accent 3"/>
    <w:basedOn w:val="Tablanormal"/>
    <w:uiPriority w:val="46"/>
    <w:rsid w:val="00EC0AF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oZD/IzwSVn2K61BuEGrFvqeIA==">CgMxLjAyDWguMW5oYjRtYW52YzAyCWguMmV0OTJwMDIOaC5zNmRybTU4dmZsbG0yDmguZGFpcDF2eDdobnQ4Mg5oLmFkN2l1dnNsbWJvMTIJaC4yczhleW8xMgloLjE3ZHA4dnUyCWguM3JkY3JqbjIOaC41cml5dHh1angzZDEyDmgubTZjbDdzNHhydjBwMg5oLmU5cG1mNnVlOWh1dDIJaC4zMGowemxsOAByITFHRkdwUHVGdmx0M1ZYRDNaSlhlRDNkMlZBeUdDblR6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29</Pages>
  <Words>6433</Words>
  <Characters>35384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2026-01-16T16:23:00Z</cp:lastPrinted>
  <dcterms:created xsi:type="dcterms:W3CDTF">2025-12-04T00:22:00Z</dcterms:created>
  <dcterms:modified xsi:type="dcterms:W3CDTF">2026-01-29T19:42:00Z</dcterms:modified>
</cp:coreProperties>
</file>