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30B" w:rsidRPr="00A473A4" w:rsidRDefault="0051730B" w:rsidP="00A473A4">
      <w:pPr>
        <w:tabs>
          <w:tab w:val="left" w:pos="3465"/>
        </w:tabs>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A473A4">
        <w:rPr>
          <w:rFonts w:ascii="Palatino Linotype" w:eastAsia="Palatino Linotype" w:hAnsi="Palatino Linotype" w:cs="Palatino Linotype"/>
          <w:b/>
          <w:bCs/>
        </w:rPr>
        <w:t xml:space="preserve">de fecha </w:t>
      </w:r>
      <w:r w:rsidR="009928E6" w:rsidRPr="00A473A4">
        <w:rPr>
          <w:rFonts w:ascii="Palatino Linotype" w:eastAsia="Palatino Linotype" w:hAnsi="Palatino Linotype" w:cs="Palatino Linotype"/>
          <w:b/>
          <w:bCs/>
          <w:color w:val="000000"/>
        </w:rPr>
        <w:t>uno</w:t>
      </w:r>
      <w:r w:rsidR="00A473A4">
        <w:rPr>
          <w:rFonts w:ascii="Palatino Linotype" w:eastAsia="Palatino Linotype" w:hAnsi="Palatino Linotype" w:cs="Palatino Linotype"/>
          <w:b/>
          <w:bCs/>
          <w:color w:val="000000"/>
        </w:rPr>
        <w:t xml:space="preserve"> (01)</w:t>
      </w:r>
      <w:r w:rsidRPr="00A473A4">
        <w:rPr>
          <w:rFonts w:ascii="Palatino Linotype" w:eastAsia="Palatino Linotype" w:hAnsi="Palatino Linotype" w:cs="Palatino Linotype"/>
          <w:b/>
          <w:bCs/>
          <w:color w:val="000000"/>
        </w:rPr>
        <w:t xml:space="preserve"> de julio de dos mil veintiséis.</w:t>
      </w:r>
    </w:p>
    <w:p w:rsidR="0051730B" w:rsidRPr="00A473A4" w:rsidRDefault="0051730B" w:rsidP="00A473A4">
      <w:pPr>
        <w:tabs>
          <w:tab w:val="left" w:pos="3465"/>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b/>
          <w:bCs/>
          <w:color w:val="000000"/>
        </w:rPr>
        <w:t>VISTO</w:t>
      </w:r>
      <w:r w:rsidRPr="00A473A4">
        <w:rPr>
          <w:rFonts w:ascii="Palatino Linotype" w:eastAsia="Palatino Linotype" w:hAnsi="Palatino Linotype" w:cs="Palatino Linotype"/>
          <w:color w:val="000000"/>
        </w:rPr>
        <w:t xml:space="preserve"> el expediente electrónico formado con motivo del recurso de revisión </w:t>
      </w:r>
      <w:r w:rsidRPr="00A473A4">
        <w:rPr>
          <w:rFonts w:ascii="Palatino Linotype" w:eastAsia="Palatino Linotype" w:hAnsi="Palatino Linotype" w:cs="Palatino Linotype"/>
          <w:b/>
          <w:bCs/>
        </w:rPr>
        <w:t xml:space="preserve">   04748/INFOEM/IP/RR/2026</w:t>
      </w:r>
      <w:r w:rsidRPr="00A473A4">
        <w:rPr>
          <w:rFonts w:ascii="Palatino Linotype" w:eastAsia="Palatino Linotype" w:hAnsi="Palatino Linotype" w:cs="Palatino Linotype"/>
          <w:color w:val="000000"/>
        </w:rPr>
        <w:t xml:space="preserve">, interpuesto por </w:t>
      </w:r>
      <w:r w:rsidR="00625F80">
        <w:rPr>
          <w:rFonts w:ascii="Palatino Linotype" w:eastAsia="Palatino Linotype" w:hAnsi="Palatino Linotype" w:cs="Palatino Linotype"/>
          <w:b/>
          <w:bCs/>
          <w:color w:val="000000"/>
        </w:rPr>
        <w:t>XXXX</w:t>
      </w:r>
      <w:r w:rsidRPr="00A473A4">
        <w:rPr>
          <w:rFonts w:ascii="Palatino Linotype" w:eastAsia="Palatino Linotype" w:hAnsi="Palatino Linotype" w:cs="Palatino Linotype"/>
          <w:b/>
          <w:bCs/>
          <w:color w:val="000000"/>
        </w:rPr>
        <w:t xml:space="preserve">, </w:t>
      </w:r>
      <w:r w:rsidRPr="00A473A4">
        <w:rPr>
          <w:rFonts w:ascii="Palatino Linotype" w:eastAsia="Palatino Linotype" w:hAnsi="Palatino Linotype" w:cs="Palatino Linotype"/>
          <w:color w:val="000000"/>
        </w:rPr>
        <w:t xml:space="preserve">en su calidad de </w:t>
      </w:r>
      <w:r w:rsidRPr="00A473A4">
        <w:rPr>
          <w:rFonts w:ascii="Palatino Linotype" w:eastAsia="Palatino Linotype" w:hAnsi="Palatino Linotype" w:cs="Palatino Linotype"/>
          <w:b/>
          <w:bCs/>
          <w:color w:val="000000"/>
        </w:rPr>
        <w:t>RECURRENTE</w:t>
      </w:r>
      <w:r w:rsidRPr="00A473A4">
        <w:rPr>
          <w:rFonts w:ascii="Palatino Linotype" w:eastAsia="Palatino Linotype" w:hAnsi="Palatino Linotype" w:cs="Palatino Linotype"/>
        </w:rPr>
        <w:t>,</w:t>
      </w:r>
      <w:r w:rsidRPr="00A473A4">
        <w:rPr>
          <w:rFonts w:ascii="Palatino Linotype" w:eastAsia="Palatino Linotype" w:hAnsi="Palatino Linotype" w:cs="Palatino Linotype"/>
          <w:color w:val="000000"/>
        </w:rPr>
        <w:t xml:space="preserve"> en contra de la respuesta de la </w:t>
      </w:r>
      <w:r w:rsidRPr="00A473A4">
        <w:rPr>
          <w:rFonts w:ascii="Palatino Linotype" w:eastAsia="Palatino Linotype" w:hAnsi="Palatino Linotype" w:cs="Palatino Linotype"/>
          <w:b/>
          <w:bCs/>
          <w:color w:val="000000"/>
        </w:rPr>
        <w:t>Secretaría de las Mujeres</w:t>
      </w:r>
      <w:r w:rsidRPr="00A473A4">
        <w:rPr>
          <w:rFonts w:ascii="Palatino Linotype" w:eastAsia="Palatino Linotype" w:hAnsi="Palatino Linotype" w:cs="Palatino Linotype"/>
          <w:color w:val="000000"/>
        </w:rPr>
        <w:t>, en lo sucesivo el</w:t>
      </w:r>
      <w:r w:rsidRPr="00A473A4">
        <w:rPr>
          <w:rFonts w:ascii="Palatino Linotype" w:eastAsia="Palatino Linotype" w:hAnsi="Palatino Linotype" w:cs="Palatino Linotype"/>
          <w:b/>
          <w:bCs/>
          <w:color w:val="000000"/>
        </w:rPr>
        <w:t xml:space="preserve"> SUJETO OBLIGADO, </w:t>
      </w:r>
      <w:r w:rsidRPr="00A473A4">
        <w:rPr>
          <w:rFonts w:ascii="Palatino Linotype" w:eastAsia="Palatino Linotype" w:hAnsi="Palatino Linotype" w:cs="Palatino Linotype"/>
          <w:color w:val="000000"/>
        </w:rPr>
        <w:t>se procede a dictar la presente resolución, con base en los siguientes:</w:t>
      </w:r>
    </w:p>
    <w:p w:rsidR="0051730B" w:rsidRPr="00A473A4" w:rsidRDefault="0051730B" w:rsidP="00A473A4">
      <w:pPr>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Style w:val="Ttulo1"/>
        <w:spacing w:before="0" w:line="360" w:lineRule="auto"/>
        <w:ind w:right="-943"/>
        <w:jc w:val="center"/>
        <w:rPr>
          <w:b/>
          <w:bCs/>
          <w:color w:val="000000"/>
        </w:rPr>
      </w:pPr>
      <w:bookmarkStart w:id="0" w:name="_heading=h.64hxnhbj97w" w:colFirst="0" w:colLast="0"/>
      <w:bookmarkEnd w:id="0"/>
      <w:r w:rsidRPr="00A473A4">
        <w:rPr>
          <w:b/>
          <w:bCs/>
          <w:color w:val="000000"/>
        </w:rPr>
        <w:t>A N T E C E D E N T E S</w:t>
      </w:r>
    </w:p>
    <w:p w:rsidR="0051730B" w:rsidRPr="00A473A4" w:rsidRDefault="0051730B" w:rsidP="00A473A4">
      <w:pPr>
        <w:pStyle w:val="Ttulo1"/>
        <w:spacing w:before="0" w:line="360" w:lineRule="auto"/>
        <w:ind w:right="-943"/>
        <w:jc w:val="center"/>
        <w:rPr>
          <w:b/>
          <w:bCs/>
        </w:rPr>
      </w:pPr>
    </w:p>
    <w:p w:rsidR="0051730B" w:rsidRPr="00A473A4" w:rsidRDefault="0051730B" w:rsidP="00A473A4">
      <w:pPr>
        <w:numPr>
          <w:ilvl w:val="0"/>
          <w:numId w:val="1"/>
        </w:numPr>
        <w:pBdr>
          <w:top w:val="nil"/>
          <w:left w:val="nil"/>
          <w:bottom w:val="nil"/>
          <w:right w:val="nil"/>
          <w:between w:val="nil"/>
        </w:pBdr>
        <w:spacing w:line="360" w:lineRule="auto"/>
        <w:ind w:right="-943"/>
        <w:jc w:val="both"/>
        <w:rPr>
          <w:color w:val="000000"/>
        </w:rPr>
      </w:pPr>
      <w:r w:rsidRPr="00A473A4">
        <w:rPr>
          <w:rFonts w:ascii="Palatino Linotype" w:eastAsia="Palatino Linotype" w:hAnsi="Palatino Linotype" w:cs="Palatino Linotype"/>
          <w:color w:val="000000"/>
        </w:rPr>
        <w:t xml:space="preserve">El </w:t>
      </w:r>
      <w:r w:rsidRPr="00A473A4">
        <w:rPr>
          <w:rFonts w:ascii="Palatino Linotype" w:eastAsia="Palatino Linotype" w:hAnsi="Palatino Linotype" w:cs="Palatino Linotype"/>
          <w:b/>
          <w:bCs/>
          <w:color w:val="000000"/>
        </w:rPr>
        <w:t>siete de abril de dos mil veintiséis</w:t>
      </w:r>
      <w:r w:rsidRPr="00A473A4">
        <w:rPr>
          <w:rFonts w:ascii="Palatino Linotype" w:eastAsia="Palatino Linotype" w:hAnsi="Palatino Linotype" w:cs="Palatino Linotype"/>
          <w:color w:val="000000"/>
        </w:rPr>
        <w:t xml:space="preserve">, se </w:t>
      </w:r>
      <w:r w:rsidRPr="00A473A4">
        <w:rPr>
          <w:rFonts w:ascii="Palatino Linotype" w:eastAsia="Palatino Linotype" w:hAnsi="Palatino Linotype" w:cs="Palatino Linotype"/>
        </w:rPr>
        <w:t>presentó</w:t>
      </w:r>
      <w:r w:rsidRPr="00A473A4">
        <w:rPr>
          <w:rFonts w:ascii="Palatino Linotype" w:eastAsia="Palatino Linotype" w:hAnsi="Palatino Linotype" w:cs="Palatino Linotype"/>
          <w:color w:val="000000"/>
        </w:rPr>
        <w:t xml:space="preserve"> ante el </w:t>
      </w:r>
      <w:r w:rsidRPr="00A473A4">
        <w:rPr>
          <w:rFonts w:ascii="Palatino Linotype" w:eastAsia="Palatino Linotype" w:hAnsi="Palatino Linotype" w:cs="Palatino Linotype"/>
          <w:b/>
          <w:bCs/>
          <w:color w:val="000000"/>
        </w:rPr>
        <w:t>SUJETO OBLIGADO</w:t>
      </w:r>
      <w:r w:rsidRPr="00A473A4">
        <w:rPr>
          <w:rFonts w:ascii="Palatino Linotype" w:eastAsia="Palatino Linotype" w:hAnsi="Palatino Linotype" w:cs="Palatino Linotype"/>
          <w:color w:val="000000"/>
        </w:rPr>
        <w:t xml:space="preserve"> vía </w:t>
      </w:r>
      <w:r w:rsidRPr="00A473A4">
        <w:rPr>
          <w:rFonts w:ascii="Palatino Linotype" w:eastAsia="Palatino Linotype" w:hAnsi="Palatino Linotype" w:cs="Palatino Linotype"/>
          <w:b/>
          <w:bCs/>
          <w:color w:val="000000"/>
        </w:rPr>
        <w:t>SAIMEX,</w:t>
      </w:r>
      <w:r w:rsidRPr="00A473A4">
        <w:rPr>
          <w:rFonts w:ascii="Palatino Linotype" w:eastAsia="Palatino Linotype" w:hAnsi="Palatino Linotype" w:cs="Palatino Linotype"/>
          <w:color w:val="000000"/>
        </w:rPr>
        <w:t xml:space="preserve"> la solicitud de información pública registrada con el número</w:t>
      </w:r>
      <w:r w:rsidRPr="00A473A4">
        <w:rPr>
          <w:rFonts w:ascii="Palatino Linotype" w:eastAsia="Palatino Linotype" w:hAnsi="Palatino Linotype" w:cs="Palatino Linotype"/>
          <w:b/>
          <w:bCs/>
          <w:color w:val="000000"/>
        </w:rPr>
        <w:t> 00062/SEMUJS/IP/2026,</w:t>
      </w:r>
      <w:r w:rsidRPr="00A473A4">
        <w:rPr>
          <w:rFonts w:ascii="Palatino Linotype" w:eastAsia="Palatino Linotype" w:hAnsi="Palatino Linotype" w:cs="Palatino Linotype"/>
          <w:color w:val="000000"/>
        </w:rPr>
        <w:t xml:space="preserve"> solicitando la siguiente información:</w:t>
      </w:r>
      <w:r w:rsidRPr="00A473A4">
        <w:rPr>
          <w:rFonts w:ascii="Palatino Linotype" w:eastAsia="Palatino Linotype" w:hAnsi="Palatino Linotype" w:cs="Palatino Linotype"/>
          <w:b/>
          <w:bCs/>
          <w:color w:val="000000"/>
        </w:rPr>
        <w:t xml:space="preserve"> </w:t>
      </w:r>
    </w:p>
    <w:p w:rsidR="00A473A4" w:rsidRPr="00A473A4" w:rsidRDefault="00A473A4" w:rsidP="00A473A4">
      <w:pPr>
        <w:pBdr>
          <w:top w:val="nil"/>
          <w:left w:val="nil"/>
          <w:bottom w:val="nil"/>
          <w:right w:val="nil"/>
          <w:between w:val="nil"/>
        </w:pBdr>
        <w:spacing w:line="360" w:lineRule="auto"/>
        <w:ind w:right="-943"/>
        <w:jc w:val="both"/>
        <w:rPr>
          <w:color w:val="000000"/>
        </w:rPr>
      </w:pPr>
    </w:p>
    <w:p w:rsidR="0051730B" w:rsidRPr="00A473A4" w:rsidRDefault="0051730B" w:rsidP="00A473A4">
      <w:pPr>
        <w:ind w:left="567" w:right="-943"/>
        <w:jc w:val="both"/>
        <w:rPr>
          <w:rFonts w:ascii="Palatino Linotype" w:eastAsia="Palatino Linotype" w:hAnsi="Palatino Linotype" w:cs="Palatino Linotype"/>
          <w:i/>
          <w:iCs/>
          <w:color w:val="000000"/>
        </w:rPr>
      </w:pPr>
      <w:r w:rsidRPr="00A473A4">
        <w:rPr>
          <w:rFonts w:ascii="Palatino Linotype" w:eastAsia="Palatino Linotype" w:hAnsi="Palatino Linotype" w:cs="Palatino Linotype"/>
          <w:i/>
          <w:iCs/>
          <w:color w:val="000000"/>
        </w:rPr>
        <w:t xml:space="preserve"> “Conocer la capacidad de respuesta institucional ante la emergencia de violencia de género.​Refugios: Número de refugios operados o financiados por la Secretaría y su capacidad máxima de pernocta por municipio.​Línea de Ayuda: Estadísticas mensuales de llamadas recibidas en la línea de atención de emergencias, desglosadas por tipo de violencia reportada.​Protocolos: Copia íntegra del protocolo de actuación para la atención de mujeres víctimas de violencia digital (Ley Olimpia).​Centros de Justicia: Ubicación y horarios de atención de todos los Centros de Justicia para las Mujeres que dependen de su presupuesto.​Unidades Móviles: Calendario y rutas de las unidades móviles de atención jurídica y psicológica programadas para el presente trimestre.” (Sic)</w:t>
      </w:r>
    </w:p>
    <w:p w:rsidR="0051730B" w:rsidRDefault="0051730B" w:rsidP="00A473A4">
      <w:pPr>
        <w:pBdr>
          <w:top w:val="nil"/>
          <w:left w:val="nil"/>
          <w:bottom w:val="nil"/>
          <w:right w:val="nil"/>
          <w:between w:val="nil"/>
        </w:pBdr>
        <w:spacing w:line="360" w:lineRule="auto"/>
        <w:ind w:left="567" w:right="-943"/>
        <w:jc w:val="both"/>
        <w:rPr>
          <w:rFonts w:ascii="Palatino Linotype" w:eastAsia="Palatino Linotype" w:hAnsi="Palatino Linotype" w:cs="Palatino Linotype"/>
          <w:i/>
          <w:iCs/>
          <w:color w:val="000000"/>
        </w:rPr>
      </w:pPr>
    </w:p>
    <w:p w:rsidR="00625F80" w:rsidRPr="00A473A4" w:rsidRDefault="00625F80" w:rsidP="00A473A4">
      <w:pPr>
        <w:pBdr>
          <w:top w:val="nil"/>
          <w:left w:val="nil"/>
          <w:bottom w:val="nil"/>
          <w:right w:val="nil"/>
          <w:between w:val="nil"/>
        </w:pBdr>
        <w:spacing w:line="360" w:lineRule="auto"/>
        <w:ind w:left="567" w:right="-943"/>
        <w:jc w:val="both"/>
        <w:rPr>
          <w:rFonts w:ascii="Palatino Linotype" w:eastAsia="Palatino Linotype" w:hAnsi="Palatino Linotype" w:cs="Palatino Linotype"/>
          <w:i/>
          <w:iCs/>
          <w:color w:val="000000"/>
        </w:rPr>
      </w:pPr>
    </w:p>
    <w:p w:rsidR="0051730B" w:rsidRPr="00A473A4" w:rsidRDefault="0051730B" w:rsidP="00A473A4">
      <w:pPr>
        <w:numPr>
          <w:ilvl w:val="0"/>
          <w:numId w:val="2"/>
        </w:num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Se eligió como modalidad de entrega: A través del </w:t>
      </w:r>
      <w:r w:rsidRPr="00A473A4">
        <w:rPr>
          <w:rFonts w:ascii="Palatino Linotype" w:eastAsia="Palatino Linotype" w:hAnsi="Palatino Linotype" w:cs="Palatino Linotype"/>
          <w:b/>
          <w:bCs/>
          <w:color w:val="000000"/>
        </w:rPr>
        <w:t>SAIMEX.</w:t>
      </w:r>
    </w:p>
    <w:p w:rsidR="0051730B" w:rsidRPr="00A473A4" w:rsidRDefault="0051730B" w:rsidP="00A473A4">
      <w:pPr>
        <w:pBdr>
          <w:top w:val="nil"/>
          <w:left w:val="nil"/>
          <w:bottom w:val="nil"/>
          <w:right w:val="nil"/>
          <w:between w:val="nil"/>
        </w:pBdr>
        <w:tabs>
          <w:tab w:val="left" w:pos="426"/>
        </w:tabs>
        <w:spacing w:line="360" w:lineRule="auto"/>
        <w:ind w:left="720" w:right="-943"/>
        <w:jc w:val="both"/>
        <w:rPr>
          <w:rFonts w:ascii="Palatino Linotype" w:eastAsia="Palatino Linotype" w:hAnsi="Palatino Linotype" w:cs="Palatino Linotype"/>
          <w:color w:val="000000"/>
        </w:rPr>
      </w:pPr>
    </w:p>
    <w:p w:rsidR="0051730B" w:rsidRPr="00A473A4" w:rsidRDefault="0051730B" w:rsidP="00A473A4">
      <w:pPr>
        <w:numPr>
          <w:ilvl w:val="0"/>
          <w:numId w:val="1"/>
        </w:num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i/>
          <w:iCs/>
          <w:color w:val="000000"/>
        </w:rPr>
      </w:pPr>
      <w:r w:rsidRPr="00A473A4">
        <w:rPr>
          <w:rFonts w:ascii="Palatino Linotype" w:eastAsia="Palatino Linotype" w:hAnsi="Palatino Linotype" w:cs="Palatino Linotype"/>
          <w:color w:val="000000"/>
        </w:rPr>
        <w:lastRenderedPageBreak/>
        <w:t xml:space="preserve">El </w:t>
      </w:r>
      <w:r w:rsidRPr="00A473A4">
        <w:rPr>
          <w:rFonts w:ascii="Palatino Linotype" w:eastAsia="Palatino Linotype" w:hAnsi="Palatino Linotype" w:cs="Palatino Linotype"/>
          <w:b/>
          <w:bCs/>
          <w:color w:val="000000"/>
        </w:rPr>
        <w:t xml:space="preserve">veinticuatro de abril de dos mil veintiséis, </w:t>
      </w:r>
      <w:r w:rsidRPr="00A473A4">
        <w:rPr>
          <w:rFonts w:ascii="Palatino Linotype" w:eastAsia="Palatino Linotype" w:hAnsi="Palatino Linotype" w:cs="Palatino Linotype"/>
          <w:color w:val="000000"/>
        </w:rPr>
        <w:t xml:space="preserve">el </w:t>
      </w:r>
      <w:r w:rsidRPr="00A473A4">
        <w:rPr>
          <w:rFonts w:ascii="Palatino Linotype" w:eastAsia="Palatino Linotype" w:hAnsi="Palatino Linotype" w:cs="Palatino Linotype"/>
          <w:b/>
          <w:bCs/>
          <w:color w:val="000000"/>
        </w:rPr>
        <w:t xml:space="preserve">SUJETO OBLIGADO </w:t>
      </w:r>
      <w:r w:rsidRPr="00A473A4">
        <w:rPr>
          <w:rFonts w:ascii="Palatino Linotype" w:eastAsia="Palatino Linotype" w:hAnsi="Palatino Linotype" w:cs="Palatino Linotype"/>
          <w:color w:val="000000"/>
        </w:rPr>
        <w:t xml:space="preserve">dio respuesta a través del archivo </w:t>
      </w:r>
      <w:r w:rsidRPr="00A473A4">
        <w:rPr>
          <w:rFonts w:ascii="Palatino Linotype" w:eastAsia="Palatino Linotype" w:hAnsi="Palatino Linotype" w:cs="Palatino Linotype"/>
          <w:b/>
          <w:bCs/>
          <w:i/>
          <w:iCs/>
          <w:color w:val="000000"/>
        </w:rPr>
        <w:t>00062-UNIDAD DE TRANSPARENCIA SEMUJERES.pdf</w:t>
      </w:r>
      <w:r w:rsidRPr="00A473A4">
        <w:rPr>
          <w:rFonts w:ascii="Palatino Linotype" w:eastAsia="Palatino Linotype" w:hAnsi="Palatino Linotype" w:cs="Palatino Linotype"/>
          <w:color w:val="000000"/>
        </w:rPr>
        <w:t xml:space="preserve">, del que se desprende </w:t>
      </w:r>
      <w:r w:rsidR="001F5614" w:rsidRPr="00A473A4">
        <w:rPr>
          <w:rFonts w:ascii="Palatino Linotype" w:eastAsia="Palatino Linotype" w:hAnsi="Palatino Linotype" w:cs="Palatino Linotype"/>
          <w:color w:val="000000"/>
        </w:rPr>
        <w:t>lo siguiente:</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b/>
          <w:i/>
          <w:color w:val="000000"/>
        </w:rPr>
      </w:pPr>
      <w:r w:rsidRPr="00A473A4">
        <w:rPr>
          <w:rFonts w:ascii="Palatino Linotype" w:eastAsia="Palatino Linotype" w:hAnsi="Palatino Linotype" w:cs="Palatino Linotype"/>
          <w:b/>
          <w:i/>
          <w:color w:val="000000"/>
        </w:rPr>
        <w:t xml:space="preserve">"Refugios: Número de refugios operando o financiados por la Secretaría y su capacidad máxima de pernocta por municipio." (sic) </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r w:rsidRPr="00A473A4">
        <w:rPr>
          <w:rFonts w:ascii="Palatino Linotype" w:eastAsia="Palatino Linotype" w:hAnsi="Palatino Linotype" w:cs="Palatino Linotype"/>
          <w:b/>
          <w:i/>
          <w:color w:val="000000"/>
        </w:rPr>
        <w:t>Respuesta</w:t>
      </w:r>
      <w:r w:rsidRPr="00A473A4">
        <w:rPr>
          <w:rFonts w:ascii="Palatino Linotype" w:eastAsia="Palatino Linotype" w:hAnsi="Palatino Linotype" w:cs="Palatino Linotype"/>
          <w:i/>
          <w:color w:val="000000"/>
        </w:rPr>
        <w:t>: Al respecto, me permito informar que, actualmente el Gobierno del Estado de México, a través de la Secretaría de las Mujeres, cuenta con 8 Refugios para Mujeres, sus Hijas e Hijos en Situación de Violencia, 2 Casas de Transición para Mujeres, sus Hijas e Hijos en Situación de Violencia y 1 Refugio para Mujeres de la Diversidad Sexual en Situación de Violencia; con un total de 76 vínculos (espacios para brindar alojamiento, refugio o pernocta); para atención diaria, los cuales se encuentran ubicados de manera estratégica en el Estado de México, para atender a los 125 municipios que conforman la entidad.</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b/>
          <w:i/>
          <w:color w:val="000000"/>
        </w:rPr>
      </w:pP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b/>
          <w:i/>
          <w:color w:val="000000"/>
        </w:rPr>
      </w:pPr>
      <w:r w:rsidRPr="00A473A4">
        <w:rPr>
          <w:rFonts w:ascii="Palatino Linotype" w:eastAsia="Palatino Linotype" w:hAnsi="Palatino Linotype" w:cs="Palatino Linotype"/>
          <w:b/>
          <w:i/>
          <w:color w:val="000000"/>
        </w:rPr>
        <w:t xml:space="preserve">"Línea de Ayuda: Estadísticas mensuales de llamadas recibidas en la línea de atención de emergencias, desglosadas por tipo de violencia reportada." (sic) </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r w:rsidRPr="00A473A4">
        <w:rPr>
          <w:rFonts w:ascii="Palatino Linotype" w:eastAsia="Palatino Linotype" w:hAnsi="Palatino Linotype" w:cs="Palatino Linotype"/>
          <w:b/>
          <w:i/>
          <w:color w:val="000000"/>
        </w:rPr>
        <w:t>Respuesta:</w:t>
      </w:r>
      <w:r w:rsidRPr="00A473A4">
        <w:rPr>
          <w:rFonts w:ascii="Palatino Linotype" w:eastAsia="Palatino Linotype" w:hAnsi="Palatino Linotype" w:cs="Palatino Linotype"/>
          <w:i/>
          <w:color w:val="000000"/>
        </w:rPr>
        <w:t xml:space="preserve"> Se hace de conocimiento que la Dirección General de Prevención y Atención a la Violencia, opera la "Línea Hombre a Hombre 800 900 4321"; la cual, constituye un servicio telefónico gratuito y confidencial de atención preventiva y contención emocional, dirigido a personas que presentan problemáticas, inquietudes o estados de crisis emocional relacionados con la identificación de conductas de riesgo, incluyendo la posibilidad de ejercer algún tipo de violencia en contra de niñas, niños, adolescentes o mujeres. El servicio se orienta a la intervención psicoeducativa y de contención en situaciones de riesgo conductual, con el objetivo de prevenir la escalada de la violencia, por lo que no se trata de una línea de atención de emergencias.</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Remite tablas estadísticas. </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color w:val="000000"/>
        </w:rPr>
      </w:pP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b/>
          <w:i/>
          <w:color w:val="000000"/>
        </w:rPr>
      </w:pPr>
      <w:r w:rsidRPr="00A473A4">
        <w:rPr>
          <w:rFonts w:ascii="Palatino Linotype" w:eastAsia="Palatino Linotype" w:hAnsi="Palatino Linotype" w:cs="Palatino Linotype"/>
          <w:b/>
          <w:i/>
          <w:color w:val="000000"/>
        </w:rPr>
        <w:t xml:space="preserve">"Protocolos: Copia íntegra del protocolo de actuación para la atención de mujeres víctimas de violencia digital (Ley Olimpia), ..." (sic) </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r w:rsidRPr="00A473A4">
        <w:rPr>
          <w:rFonts w:ascii="Palatino Linotype" w:eastAsia="Palatino Linotype" w:hAnsi="Palatino Linotype" w:cs="Palatino Linotype"/>
          <w:b/>
          <w:i/>
          <w:color w:val="000000"/>
        </w:rPr>
        <w:t>Respuesta:</w:t>
      </w:r>
      <w:r w:rsidRPr="00A473A4">
        <w:rPr>
          <w:rFonts w:ascii="Palatino Linotype" w:eastAsia="Palatino Linotype" w:hAnsi="Palatino Linotype" w:cs="Palatino Linotype"/>
          <w:i/>
          <w:color w:val="000000"/>
        </w:rPr>
        <w:t xml:space="preserve"> Al respecto, y después de realizar una búsqueda exhaustiva y minuciosa en los archivos de la Dirección General de Prevención y Atención a la Violencia, se desprende que no se cuenta con un protocolo exclusivo para la modalidad de violencia digital. Toda vez, que se implementan protocolos generales de atención por cada servicio que se presta; con los cuales; de ser el caso, se atiende a una persona víctima de la violencia digital.</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r w:rsidRPr="00A473A4">
        <w:rPr>
          <w:rFonts w:ascii="Palatino Linotype" w:eastAsia="Palatino Linotype" w:hAnsi="Palatino Linotype" w:cs="Palatino Linotype"/>
          <w:i/>
          <w:color w:val="000000"/>
        </w:rPr>
        <w:lastRenderedPageBreak/>
        <w:t>Dichos protocolos, lineamientos y mecanismos institucionales incluyen acciones de orientación, canalización, asesoría jurídica, atención psicológica y acompañamiento ante las instancias correspondientes; con el fin, de brindar una atención integral a las personas en situación de violencia institucional.</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b/>
          <w:i/>
          <w:color w:val="000000"/>
        </w:rPr>
      </w:pPr>
      <w:r w:rsidRPr="00A473A4">
        <w:rPr>
          <w:rFonts w:ascii="Palatino Linotype" w:eastAsia="Palatino Linotype" w:hAnsi="Palatino Linotype" w:cs="Palatino Linotype"/>
          <w:b/>
          <w:i/>
          <w:color w:val="000000"/>
        </w:rPr>
        <w:t>"Centros de Justicia: Ubicación y horarios de atención de todos los Centros de Justicia para las Mujeres que dependen de su presupuesto," (sic)</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r w:rsidRPr="00A473A4">
        <w:rPr>
          <w:rFonts w:ascii="Palatino Linotype" w:eastAsia="Palatino Linotype" w:hAnsi="Palatino Linotype" w:cs="Palatino Linotype"/>
          <w:b/>
          <w:i/>
          <w:color w:val="000000"/>
        </w:rPr>
        <w:t xml:space="preserve"> Respuesta:</w:t>
      </w:r>
      <w:r w:rsidRPr="00A473A4">
        <w:rPr>
          <w:rFonts w:ascii="Palatino Linotype" w:eastAsia="Palatino Linotype" w:hAnsi="Palatino Linotype" w:cs="Palatino Linotype"/>
          <w:i/>
          <w:color w:val="000000"/>
        </w:rPr>
        <w:t xml:space="preserve"> Sobre el particular, es importante mencionar que los Centros de Justicia para las Mujeres, se encuentran adscritos a la Fiscalía General de Justicia del Estado de México.</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b/>
          <w:i/>
          <w:color w:val="000000"/>
        </w:rPr>
      </w:pPr>
      <w:r w:rsidRPr="00A473A4">
        <w:rPr>
          <w:rFonts w:ascii="Palatino Linotype" w:eastAsia="Palatino Linotype" w:hAnsi="Palatino Linotype" w:cs="Palatino Linotype"/>
          <w:b/>
          <w:i/>
          <w:color w:val="000000"/>
        </w:rPr>
        <w:t xml:space="preserve"> "Unidades Móviles: Calendario y rutas de las unidades móviles de atención jurídica y psicológica programadas para el presente trimestre." (sic)</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r w:rsidRPr="00A473A4">
        <w:rPr>
          <w:rFonts w:ascii="Palatino Linotype" w:eastAsia="Palatino Linotype" w:hAnsi="Palatino Linotype" w:cs="Palatino Linotype"/>
          <w:b/>
          <w:i/>
          <w:color w:val="000000"/>
        </w:rPr>
        <w:t xml:space="preserve"> Respuesta:</w:t>
      </w:r>
      <w:r w:rsidRPr="00A473A4">
        <w:rPr>
          <w:rFonts w:ascii="Palatino Linotype" w:eastAsia="Palatino Linotype" w:hAnsi="Palatino Linotype" w:cs="Palatino Linotype"/>
          <w:i/>
          <w:color w:val="000000"/>
        </w:rPr>
        <w:t xml:space="preserve"> Me permito informar, que si bien la operación de las Unidades Móviles de Atención a Mujeres en Situación de Violencia dependientes de esta Secretaría; de conformidad, con lo establecido en el Manual General de Organización de este Sujeto Obligado, en la prestación de servicios multidisciplinarios en materia de Trabajo Social, Psicología y Jurídica; así como, la canalización de las mujeres solicitantes a los entes correspondientes; la coordinación y calendarización de rutas de las Unidades Móviles que brindan atención en las Caravanas Itinerantes, con fundamento en las fracciones XLV, XLVIII у XLIX del Artículo 57 de la Ley Orgánica de la Administración Pública del Estado de México, corresponde a la Consejería Jurídica. </w:t>
      </w:r>
    </w:p>
    <w:p w:rsidR="001F5614"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p>
    <w:p w:rsidR="0051730B" w:rsidRPr="00A473A4" w:rsidRDefault="001F5614" w:rsidP="00A473A4">
      <w:pPr>
        <w:pBdr>
          <w:top w:val="nil"/>
          <w:left w:val="nil"/>
          <w:bottom w:val="nil"/>
          <w:right w:val="nil"/>
          <w:between w:val="nil"/>
        </w:pBdr>
        <w:tabs>
          <w:tab w:val="left" w:pos="426"/>
        </w:tabs>
        <w:ind w:left="709" w:right="-943"/>
        <w:jc w:val="both"/>
        <w:rPr>
          <w:rFonts w:ascii="Palatino Linotype" w:eastAsia="Palatino Linotype" w:hAnsi="Palatino Linotype" w:cs="Palatino Linotype"/>
          <w:i/>
          <w:color w:val="000000"/>
        </w:rPr>
      </w:pPr>
      <w:r w:rsidRPr="00A473A4">
        <w:rPr>
          <w:rFonts w:ascii="Palatino Linotype" w:eastAsia="Palatino Linotype" w:hAnsi="Palatino Linotype" w:cs="Palatino Linotype"/>
          <w:i/>
          <w:color w:val="000000"/>
        </w:rPr>
        <w:t>De igual forma, los Ayuntamientos llevan a cabo la solicitud para brindar el servicio de acuerdo a sus agendas y necesidades.</w:t>
      </w:r>
    </w:p>
    <w:p w:rsidR="0051730B" w:rsidRPr="00A473A4" w:rsidRDefault="0051730B" w:rsidP="00A473A4">
      <w:pPr>
        <w:pBdr>
          <w:top w:val="nil"/>
          <w:left w:val="nil"/>
          <w:bottom w:val="nil"/>
          <w:right w:val="nil"/>
          <w:between w:val="nil"/>
        </w:pBdr>
        <w:ind w:right="-943"/>
        <w:jc w:val="both"/>
        <w:rPr>
          <w:rFonts w:ascii="Palatino Linotype" w:eastAsia="Palatino Linotype" w:hAnsi="Palatino Linotype" w:cs="Palatino Linotype"/>
          <w:i/>
          <w:iCs/>
          <w:color w:val="000000"/>
        </w:rPr>
      </w:pPr>
    </w:p>
    <w:p w:rsidR="0051730B" w:rsidRPr="00A473A4" w:rsidRDefault="0051730B" w:rsidP="00A473A4">
      <w:pPr>
        <w:numPr>
          <w:ilvl w:val="0"/>
          <w:numId w:val="1"/>
        </w:num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b/>
          <w:bCs/>
          <w:color w:val="000000"/>
        </w:rPr>
      </w:pPr>
      <w:r w:rsidRPr="00A473A4">
        <w:rPr>
          <w:rFonts w:ascii="Palatino Linotype" w:eastAsia="Palatino Linotype" w:hAnsi="Palatino Linotype" w:cs="Palatino Linotype"/>
          <w:b/>
          <w:bCs/>
          <w:color w:val="000000"/>
        </w:rPr>
        <w:t>EL PARTICULAR</w:t>
      </w:r>
      <w:r w:rsidRPr="00A473A4">
        <w:rPr>
          <w:rFonts w:ascii="Palatino Linotype" w:eastAsia="Palatino Linotype" w:hAnsi="Palatino Linotype" w:cs="Palatino Linotype"/>
          <w:color w:val="000000"/>
        </w:rPr>
        <w:t xml:space="preserve">, en fecha </w:t>
      </w:r>
      <w:r w:rsidR="001F5614" w:rsidRPr="00A473A4">
        <w:rPr>
          <w:rFonts w:ascii="Palatino Linotype" w:eastAsia="Palatino Linotype" w:hAnsi="Palatino Linotype" w:cs="Palatino Linotype"/>
          <w:b/>
          <w:bCs/>
          <w:color w:val="000000"/>
        </w:rPr>
        <w:t>seis de mayo</w:t>
      </w:r>
      <w:r w:rsidRPr="00A473A4">
        <w:rPr>
          <w:rFonts w:ascii="Palatino Linotype" w:eastAsia="Palatino Linotype" w:hAnsi="Palatino Linotype" w:cs="Palatino Linotype"/>
          <w:b/>
          <w:bCs/>
          <w:color w:val="000000"/>
        </w:rPr>
        <w:t xml:space="preserve"> de dos mil veintiséis,</w:t>
      </w:r>
      <w:r w:rsidRPr="00A473A4">
        <w:rPr>
          <w:rFonts w:ascii="Palatino Linotype" w:eastAsia="Palatino Linotype" w:hAnsi="Palatino Linotype" w:cs="Palatino Linotype"/>
          <w:color w:val="000000"/>
        </w:rPr>
        <w:t xml:space="preserve"> interpuso el Recurso de Revisión </w:t>
      </w:r>
      <w:r w:rsidR="001F5614" w:rsidRPr="00A473A4">
        <w:rPr>
          <w:rFonts w:ascii="Palatino Linotype" w:eastAsia="Palatino Linotype" w:hAnsi="Palatino Linotype" w:cs="Palatino Linotype"/>
          <w:b/>
          <w:bCs/>
          <w:color w:val="000000"/>
        </w:rPr>
        <w:t>04748/INFOEM/IP/RR/2026</w:t>
      </w:r>
      <w:r w:rsidRPr="00A473A4">
        <w:rPr>
          <w:rFonts w:ascii="Palatino Linotype" w:eastAsia="Palatino Linotype" w:hAnsi="Palatino Linotype" w:cs="Palatino Linotype"/>
          <w:b/>
          <w:bCs/>
          <w:color w:val="000000"/>
        </w:rPr>
        <w:t xml:space="preserve">, </w:t>
      </w:r>
      <w:r w:rsidRPr="00A473A4">
        <w:rPr>
          <w:rFonts w:ascii="Palatino Linotype" w:eastAsia="Palatino Linotype" w:hAnsi="Palatino Linotype" w:cs="Palatino Linotype"/>
          <w:color w:val="000000"/>
        </w:rPr>
        <w:t>señalando como:</w:t>
      </w:r>
    </w:p>
    <w:p w:rsidR="0051730B" w:rsidRPr="00A473A4" w:rsidRDefault="0051730B" w:rsidP="00A473A4">
      <w:pPr>
        <w:spacing w:line="360" w:lineRule="auto"/>
        <w:ind w:right="-943"/>
        <w:jc w:val="both"/>
        <w:rPr>
          <w:rFonts w:ascii="Palatino Linotype" w:eastAsia="Palatino Linotype" w:hAnsi="Palatino Linotype" w:cs="Palatino Linotype"/>
          <w:i/>
          <w:iCs/>
        </w:rPr>
      </w:pPr>
    </w:p>
    <w:p w:rsidR="0051730B" w:rsidRPr="00A473A4" w:rsidRDefault="0051730B" w:rsidP="00A473A4">
      <w:pPr>
        <w:numPr>
          <w:ilvl w:val="0"/>
          <w:numId w:val="2"/>
        </w:numPr>
        <w:pBdr>
          <w:top w:val="nil"/>
          <w:left w:val="nil"/>
          <w:bottom w:val="nil"/>
          <w:right w:val="nil"/>
          <w:between w:val="nil"/>
        </w:pBdr>
        <w:ind w:right="-943"/>
        <w:jc w:val="both"/>
        <w:rPr>
          <w:rFonts w:ascii="Palatino Linotype" w:eastAsia="Palatino Linotype" w:hAnsi="Palatino Linotype" w:cs="Palatino Linotype"/>
          <w:i/>
          <w:iCs/>
          <w:color w:val="000000"/>
        </w:rPr>
      </w:pPr>
      <w:r w:rsidRPr="00A473A4">
        <w:rPr>
          <w:rFonts w:ascii="Palatino Linotype" w:eastAsia="Palatino Linotype" w:hAnsi="Palatino Linotype" w:cs="Palatino Linotype"/>
          <w:b/>
          <w:bCs/>
          <w:color w:val="000000"/>
        </w:rPr>
        <w:t>Acto impugnado:</w:t>
      </w:r>
      <w:r w:rsidRPr="00A473A4">
        <w:rPr>
          <w:rFonts w:ascii="Palatino Linotype" w:eastAsia="Palatino Linotype" w:hAnsi="Palatino Linotype" w:cs="Palatino Linotype"/>
          <w:i/>
          <w:iCs/>
          <w:color w:val="000000"/>
        </w:rPr>
        <w:t xml:space="preserve"> “</w:t>
      </w:r>
      <w:r w:rsidR="001F5614" w:rsidRPr="00A473A4">
        <w:rPr>
          <w:rFonts w:ascii="Palatino Linotype" w:eastAsia="Palatino Linotype" w:hAnsi="Palatino Linotype" w:cs="Palatino Linotype"/>
          <w:i/>
          <w:iCs/>
          <w:color w:val="000000"/>
        </w:rPr>
        <w:t>Falta de EXHAUSTIVIDAD</w:t>
      </w:r>
      <w:r w:rsidRPr="00A473A4">
        <w:rPr>
          <w:rFonts w:ascii="Palatino Linotype" w:eastAsia="Palatino Linotype" w:hAnsi="Palatino Linotype" w:cs="Palatino Linotype"/>
          <w:i/>
          <w:iCs/>
          <w:color w:val="000000"/>
        </w:rPr>
        <w:t>" (Sic).</w:t>
      </w:r>
    </w:p>
    <w:p w:rsidR="0051730B" w:rsidRPr="00A473A4" w:rsidRDefault="0051730B" w:rsidP="00A473A4">
      <w:pPr>
        <w:ind w:left="567" w:right="-943" w:firstLine="708"/>
        <w:jc w:val="both"/>
        <w:rPr>
          <w:rFonts w:ascii="Palatino Linotype" w:eastAsia="Palatino Linotype" w:hAnsi="Palatino Linotype" w:cs="Palatino Linotype"/>
          <w:i/>
          <w:iCs/>
        </w:rPr>
      </w:pPr>
    </w:p>
    <w:p w:rsidR="0051730B" w:rsidRPr="00A473A4" w:rsidRDefault="0051730B" w:rsidP="00A473A4">
      <w:pPr>
        <w:numPr>
          <w:ilvl w:val="0"/>
          <w:numId w:val="2"/>
        </w:numPr>
        <w:pBdr>
          <w:top w:val="nil"/>
          <w:left w:val="nil"/>
          <w:bottom w:val="nil"/>
          <w:right w:val="nil"/>
          <w:between w:val="nil"/>
        </w:pBdr>
        <w:tabs>
          <w:tab w:val="left" w:pos="426"/>
        </w:tabs>
        <w:ind w:right="-943"/>
        <w:jc w:val="both"/>
        <w:rPr>
          <w:rFonts w:ascii="Palatino Linotype" w:eastAsia="Palatino Linotype" w:hAnsi="Palatino Linotype" w:cs="Palatino Linotype"/>
          <w:i/>
          <w:iCs/>
          <w:color w:val="000000"/>
        </w:rPr>
      </w:pPr>
      <w:r w:rsidRPr="00A473A4">
        <w:rPr>
          <w:rFonts w:ascii="Palatino Linotype" w:eastAsia="Palatino Linotype" w:hAnsi="Palatino Linotype" w:cs="Palatino Linotype"/>
          <w:b/>
          <w:bCs/>
          <w:color w:val="000000"/>
        </w:rPr>
        <w:t>Motivos o razones de inconformidad</w:t>
      </w:r>
      <w:r w:rsidRPr="00A473A4">
        <w:rPr>
          <w:rFonts w:ascii="Palatino Linotype" w:eastAsia="Palatino Linotype" w:hAnsi="Palatino Linotype" w:cs="Palatino Linotype"/>
          <w:b/>
          <w:bCs/>
          <w:i/>
          <w:iCs/>
          <w:color w:val="000000"/>
        </w:rPr>
        <w:t>:</w:t>
      </w:r>
      <w:r w:rsidRPr="00A473A4">
        <w:rPr>
          <w:rFonts w:ascii="Palatino Linotype" w:eastAsia="Palatino Linotype" w:hAnsi="Palatino Linotype" w:cs="Palatino Linotype"/>
          <w:i/>
          <w:iCs/>
          <w:color w:val="000000"/>
        </w:rPr>
        <w:t xml:space="preserve"> “</w:t>
      </w:r>
      <w:r w:rsidR="001F5614" w:rsidRPr="00A473A4">
        <w:rPr>
          <w:rFonts w:ascii="Palatino Linotype" w:eastAsia="Palatino Linotype" w:hAnsi="Palatino Linotype" w:cs="Palatino Linotype"/>
          <w:i/>
          <w:iCs/>
          <w:color w:val="000000"/>
        </w:rPr>
        <w:t xml:space="preserve">Falta de exhaustividad: A pesar de que se solicitó explícitamente el desglose de la capacidad de pernocta de los refugios por municipio, el sujeto obligado se limitó a dar una cifra global estatal, impidiendo conocer la disponibilidad real en zonas específicas del estado.​Entrega parcial de información: Se solicitó la estadística de llamadas desglosada por tipo de violencia. El sujeto obligado entregó una tabla que solo detalla el volumen </w:t>
      </w:r>
      <w:r w:rsidR="001F5614" w:rsidRPr="00A473A4">
        <w:rPr>
          <w:rFonts w:ascii="Palatino Linotype" w:eastAsia="Palatino Linotype" w:hAnsi="Palatino Linotype" w:cs="Palatino Linotype"/>
          <w:i/>
          <w:iCs/>
          <w:color w:val="000000"/>
        </w:rPr>
        <w:lastRenderedPageBreak/>
        <w:t>mensual de llamadas, omitiendo la clasificación temática de las mismas, lo cual es parte esencial de la solicitud.​Omisión de documentos: El sujeto obligado no adjuntó ni proporcionó acceso a la copia íntegra del protocolo de actuación ni al calendario de las unidades móviles para el presente trimestre.</w:t>
      </w:r>
      <w:r w:rsidRPr="00A473A4">
        <w:rPr>
          <w:rFonts w:ascii="Palatino Linotype" w:eastAsia="Palatino Linotype" w:hAnsi="Palatino Linotype" w:cs="Palatino Linotype"/>
          <w:i/>
          <w:iCs/>
          <w:color w:val="000000"/>
        </w:rPr>
        <w:t>” (Sic)</w:t>
      </w:r>
    </w:p>
    <w:p w:rsidR="0051730B" w:rsidRPr="00A473A4" w:rsidRDefault="0051730B" w:rsidP="00A473A4">
      <w:pPr>
        <w:tabs>
          <w:tab w:val="left" w:pos="426"/>
        </w:tabs>
        <w:ind w:left="567" w:right="-943"/>
        <w:jc w:val="both"/>
        <w:rPr>
          <w:rFonts w:ascii="Palatino Linotype" w:eastAsia="Palatino Linotype" w:hAnsi="Palatino Linotype" w:cs="Palatino Linotype"/>
          <w:i/>
          <w:iCs/>
          <w:color w:val="000000"/>
        </w:rPr>
      </w:pPr>
    </w:p>
    <w:p w:rsidR="0051730B" w:rsidRPr="00A473A4" w:rsidRDefault="0051730B" w:rsidP="00A473A4">
      <w:pPr>
        <w:tabs>
          <w:tab w:val="left" w:pos="426"/>
        </w:tabs>
        <w:ind w:left="567" w:right="-943"/>
        <w:jc w:val="both"/>
        <w:rPr>
          <w:rFonts w:ascii="Palatino Linotype" w:eastAsia="Palatino Linotype" w:hAnsi="Palatino Linotype" w:cs="Palatino Linotype"/>
          <w:i/>
          <w:iCs/>
          <w:color w:val="000000"/>
        </w:rPr>
      </w:pPr>
    </w:p>
    <w:p w:rsidR="0051730B" w:rsidRPr="00A473A4" w:rsidRDefault="0051730B" w:rsidP="00A473A4">
      <w:pPr>
        <w:numPr>
          <w:ilvl w:val="0"/>
          <w:numId w:val="1"/>
        </w:numPr>
        <w:spacing w:line="360" w:lineRule="auto"/>
        <w:ind w:right="-943"/>
        <w:jc w:val="both"/>
        <w:rPr>
          <w:color w:val="000000"/>
        </w:rPr>
      </w:pPr>
      <w:r w:rsidRPr="00A473A4">
        <w:rPr>
          <w:rFonts w:ascii="Palatino Linotype" w:eastAsia="Palatino Linotype" w:hAnsi="Palatino Linotype" w:cs="Palatino Linotype"/>
        </w:rPr>
        <w:t xml:space="preserve">Con fundamento en lo dispuesto por el artículo 185 fracción I de la </w:t>
      </w:r>
      <w:r w:rsidRPr="00A473A4">
        <w:rPr>
          <w:rFonts w:ascii="Palatino Linotype" w:eastAsia="Palatino Linotype" w:hAnsi="Palatino Linotype" w:cs="Palatino Linotype"/>
          <w:b/>
          <w:bCs/>
        </w:rPr>
        <w:t xml:space="preserve">Ley de Transparencia y Acceso a la Información Pública del Estado de México y Municipios, </w:t>
      </w:r>
      <w:r w:rsidRPr="00A473A4">
        <w:rPr>
          <w:rFonts w:ascii="Palatino Linotype" w:eastAsia="Palatino Linotype" w:hAnsi="Palatino Linotype" w:cs="Palatino Linotype"/>
        </w:rPr>
        <w:t xml:space="preserve">el presente recurso se turna a la </w:t>
      </w:r>
      <w:r w:rsidRPr="00A473A4">
        <w:rPr>
          <w:rFonts w:ascii="Palatino Linotype" w:eastAsia="Palatino Linotype" w:hAnsi="Palatino Linotype" w:cs="Palatino Linotype"/>
          <w:b/>
          <w:bCs/>
        </w:rPr>
        <w:t>Comisionadas María del Rosario Mejía Ayala.</w:t>
      </w:r>
    </w:p>
    <w:p w:rsidR="0051730B" w:rsidRPr="00A473A4" w:rsidRDefault="0051730B" w:rsidP="00A473A4">
      <w:pPr>
        <w:spacing w:line="360" w:lineRule="auto"/>
        <w:ind w:right="-943"/>
        <w:jc w:val="both"/>
        <w:rPr>
          <w:rFonts w:ascii="Palatino Linotype" w:eastAsia="Palatino Linotype" w:hAnsi="Palatino Linotype" w:cs="Palatino Linotype"/>
          <w:color w:val="000000"/>
        </w:rPr>
      </w:pPr>
    </w:p>
    <w:p w:rsidR="0051730B" w:rsidRPr="00A473A4" w:rsidRDefault="0051730B" w:rsidP="00A473A4">
      <w:pPr>
        <w:numPr>
          <w:ilvl w:val="0"/>
          <w:numId w:val="1"/>
        </w:numPr>
        <w:pBdr>
          <w:top w:val="nil"/>
          <w:left w:val="nil"/>
          <w:bottom w:val="nil"/>
          <w:right w:val="nil"/>
          <w:between w:val="nil"/>
        </w:pBdr>
        <w:tabs>
          <w:tab w:val="left" w:pos="426"/>
        </w:tabs>
        <w:spacing w:line="360" w:lineRule="auto"/>
        <w:ind w:right="-943"/>
        <w:jc w:val="both"/>
        <w:rPr>
          <w:color w:val="000000"/>
        </w:rPr>
      </w:pPr>
      <w:r w:rsidRPr="00A473A4">
        <w:rPr>
          <w:rFonts w:ascii="Palatino Linotype" w:eastAsia="Palatino Linotype" w:hAnsi="Palatino Linotype" w:cs="Palatino Linotype"/>
          <w:color w:val="000000"/>
        </w:rPr>
        <w:t xml:space="preserve">La Comisionada Ponente, con fundamento en lo dispuesto por el artículo 185 fracción II de la Ley de Transparencia y Acceso a la Información Pública del Estado de México y Municipios, a través del acuerdo de admisión de fecha </w:t>
      </w:r>
      <w:r w:rsidR="001F5614" w:rsidRPr="00A473A4">
        <w:rPr>
          <w:rFonts w:ascii="Palatino Linotype" w:eastAsia="Palatino Linotype" w:hAnsi="Palatino Linotype" w:cs="Palatino Linotype"/>
          <w:b/>
          <w:bCs/>
          <w:color w:val="000000"/>
        </w:rPr>
        <w:t>ocho de mayo</w:t>
      </w:r>
      <w:r w:rsidRPr="00A473A4">
        <w:rPr>
          <w:rFonts w:ascii="Palatino Linotype" w:eastAsia="Palatino Linotype" w:hAnsi="Palatino Linotype" w:cs="Palatino Linotype"/>
          <w:b/>
          <w:bCs/>
          <w:color w:val="000000"/>
        </w:rPr>
        <w:t xml:space="preserve"> de dos mil veintiséis</w:t>
      </w:r>
      <w:r w:rsidRPr="00A473A4">
        <w:rPr>
          <w:rFonts w:ascii="Palatino Linotype" w:eastAsia="Palatino Linotype" w:hAnsi="Palatino Linotype" w:cs="Palatino Linotype"/>
          <w:color w:val="000000"/>
        </w:rPr>
        <w:t>, puso a disposición de las partes el expediente electrónico vía Sistema de Acceso a la Información Mexiquense (</w:t>
      </w:r>
      <w:r w:rsidRPr="00A473A4">
        <w:rPr>
          <w:rFonts w:ascii="Palatino Linotype" w:eastAsia="Palatino Linotype" w:hAnsi="Palatino Linotype" w:cs="Palatino Linotype"/>
          <w:b/>
          <w:bCs/>
          <w:i/>
          <w:iCs/>
          <w:color w:val="000000"/>
        </w:rPr>
        <w:t>SAIMEX)</w:t>
      </w:r>
      <w:r w:rsidRPr="00A473A4">
        <w:rPr>
          <w:rFonts w:ascii="Palatino Linotype" w:eastAsia="Palatino Linotype" w:hAnsi="Palatino Linotype" w:cs="Palatino Linotype"/>
          <w:b/>
          <w:bCs/>
          <w:color w:val="000000"/>
        </w:rPr>
        <w:t xml:space="preserve"> </w:t>
      </w:r>
      <w:r w:rsidRPr="00A473A4">
        <w:rPr>
          <w:rFonts w:ascii="Palatino Linotype" w:eastAsia="Palatino Linotype" w:hAnsi="Palatino Linotype" w:cs="Palatino Linotype"/>
          <w:color w:val="000000"/>
        </w:rPr>
        <w:t xml:space="preserve">a efecto de que en un plazo máximo de siete días </w:t>
      </w:r>
      <w:r w:rsidRPr="00A473A4">
        <w:rPr>
          <w:rFonts w:ascii="Palatino Linotype" w:eastAsia="Palatino Linotype" w:hAnsi="Palatino Linotype" w:cs="Palatino Linotype"/>
        </w:rPr>
        <w:t>manifestara</w:t>
      </w:r>
      <w:r w:rsidRPr="00A473A4">
        <w:rPr>
          <w:rFonts w:ascii="Palatino Linotype" w:eastAsia="Palatino Linotype" w:hAnsi="Palatino Linotype" w:cs="Palatino Linotype"/>
          <w:color w:val="000000"/>
        </w:rPr>
        <w:t xml:space="preserve"> lo que a su derecho </w:t>
      </w:r>
      <w:r w:rsidRPr="00A473A4">
        <w:rPr>
          <w:rFonts w:ascii="Palatino Linotype" w:eastAsia="Palatino Linotype" w:hAnsi="Palatino Linotype" w:cs="Palatino Linotype"/>
        </w:rPr>
        <w:t>conviniera</w:t>
      </w:r>
      <w:r w:rsidRPr="00A473A4">
        <w:rPr>
          <w:rFonts w:ascii="Palatino Linotype" w:eastAsia="Palatino Linotype" w:hAnsi="Palatino Linotype" w:cs="Palatino Linotype"/>
          <w:color w:val="000000"/>
        </w:rPr>
        <w:t xml:space="preserve">, </w:t>
      </w:r>
      <w:r w:rsidRPr="00A473A4">
        <w:rPr>
          <w:rFonts w:ascii="Palatino Linotype" w:eastAsia="Palatino Linotype" w:hAnsi="Palatino Linotype" w:cs="Palatino Linotype"/>
        </w:rPr>
        <w:t>ofreciera</w:t>
      </w:r>
      <w:r w:rsidRPr="00A473A4">
        <w:rPr>
          <w:rFonts w:ascii="Palatino Linotype" w:eastAsia="Palatino Linotype" w:hAnsi="Palatino Linotype" w:cs="Palatino Linotype"/>
          <w:color w:val="000000"/>
        </w:rPr>
        <w:t xml:space="preserve"> pruebas y alegatos según corresponda a los casos concretos, de esta forma para que el </w:t>
      </w:r>
      <w:r w:rsidRPr="00A473A4">
        <w:rPr>
          <w:rFonts w:ascii="Palatino Linotype" w:eastAsia="Palatino Linotype" w:hAnsi="Palatino Linotype" w:cs="Palatino Linotype"/>
          <w:b/>
          <w:bCs/>
          <w:color w:val="000000"/>
        </w:rPr>
        <w:t>SUJETO OBLIGADO</w:t>
      </w:r>
      <w:r w:rsidRPr="00A473A4">
        <w:rPr>
          <w:rFonts w:ascii="Palatino Linotype" w:eastAsia="Palatino Linotype" w:hAnsi="Palatino Linotype" w:cs="Palatino Linotype"/>
          <w:color w:val="000000"/>
        </w:rPr>
        <w:t xml:space="preserve"> </w:t>
      </w:r>
      <w:r w:rsidRPr="00A473A4">
        <w:rPr>
          <w:rFonts w:ascii="Palatino Linotype" w:eastAsia="Palatino Linotype" w:hAnsi="Palatino Linotype" w:cs="Palatino Linotype"/>
        </w:rPr>
        <w:t>presentará</w:t>
      </w:r>
      <w:r w:rsidRPr="00A473A4">
        <w:rPr>
          <w:rFonts w:ascii="Palatino Linotype" w:eastAsia="Palatino Linotype" w:hAnsi="Palatino Linotype" w:cs="Palatino Linotype"/>
          <w:color w:val="000000"/>
        </w:rPr>
        <w:t xml:space="preserve"> el informe justificado procedente.</w:t>
      </w:r>
    </w:p>
    <w:p w:rsidR="0051730B" w:rsidRPr="00A473A4" w:rsidRDefault="0051730B" w:rsidP="00A473A4">
      <w:p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numPr>
          <w:ilvl w:val="0"/>
          <w:numId w:val="1"/>
        </w:num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b/>
          <w:bCs/>
          <w:color w:val="000000"/>
        </w:rPr>
      </w:pPr>
      <w:r w:rsidRPr="00A473A4">
        <w:rPr>
          <w:rFonts w:ascii="Palatino Linotype" w:eastAsia="Palatino Linotype" w:hAnsi="Palatino Linotype" w:cs="Palatino Linotype"/>
          <w:color w:val="000000"/>
        </w:rPr>
        <w:t xml:space="preserve">El </w:t>
      </w:r>
      <w:r w:rsidRPr="00A473A4">
        <w:rPr>
          <w:rFonts w:ascii="Palatino Linotype" w:eastAsia="Palatino Linotype" w:hAnsi="Palatino Linotype" w:cs="Palatino Linotype"/>
          <w:b/>
          <w:bCs/>
          <w:color w:val="000000"/>
        </w:rPr>
        <w:t xml:space="preserve">SUJETO OBLIGADO, </w:t>
      </w:r>
      <w:r w:rsidRPr="00A473A4">
        <w:rPr>
          <w:rFonts w:ascii="Palatino Linotype" w:eastAsia="Palatino Linotype" w:hAnsi="Palatino Linotype" w:cs="Palatino Linotype"/>
          <w:color w:val="000000"/>
        </w:rPr>
        <w:t xml:space="preserve">rindió el informe justificado correspondiente a través del archivo </w:t>
      </w:r>
      <w:hyperlink r:id="rId7" w:history="1">
        <w:r w:rsidR="001F5614" w:rsidRPr="00A473A4">
          <w:rPr>
            <w:rStyle w:val="Hipervnculo"/>
            <w:rFonts w:ascii="Palatino Linotype" w:eastAsia="Palatino Linotype" w:hAnsi="Palatino Linotype" w:cs="Palatino Linotype"/>
            <w:b/>
            <w:bCs/>
            <w:i/>
            <w:iCs/>
            <w:color w:val="auto"/>
            <w:u w:val="none"/>
          </w:rPr>
          <w:t>00062-INFORME JUSTIFICADO SEMUJERES.pdf</w:t>
        </w:r>
      </w:hyperlink>
      <w:r w:rsidRPr="00A473A4">
        <w:rPr>
          <w:rFonts w:ascii="Palatino Linotype" w:eastAsia="Palatino Linotype" w:hAnsi="Palatino Linotype" w:cs="Palatino Linotype"/>
          <w:b/>
          <w:bCs/>
          <w:i/>
          <w:iCs/>
          <w:color w:val="000000"/>
        </w:rPr>
        <w:t xml:space="preserve"> </w:t>
      </w:r>
      <w:r w:rsidR="00EB2866" w:rsidRPr="00A473A4">
        <w:rPr>
          <w:rFonts w:ascii="Palatino Linotype" w:eastAsia="Palatino Linotype" w:hAnsi="Palatino Linotype" w:cs="Palatino Linotype"/>
          <w:color w:val="000000"/>
        </w:rPr>
        <w:t>por el que medularmente confirmo su respuesta primigenia.</w:t>
      </w:r>
    </w:p>
    <w:p w:rsidR="0051730B" w:rsidRPr="00A473A4" w:rsidRDefault="0051730B" w:rsidP="00A473A4">
      <w:p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b/>
          <w:bCs/>
          <w:color w:val="000000"/>
        </w:rPr>
      </w:pPr>
    </w:p>
    <w:p w:rsidR="0051730B" w:rsidRPr="00A473A4" w:rsidRDefault="0051730B" w:rsidP="00A473A4">
      <w:pPr>
        <w:numPr>
          <w:ilvl w:val="0"/>
          <w:numId w:val="1"/>
        </w:num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b/>
          <w:bCs/>
          <w:color w:val="000000"/>
        </w:rPr>
      </w:pPr>
      <w:r w:rsidRPr="00A473A4">
        <w:rPr>
          <w:rFonts w:ascii="Palatino Linotype" w:eastAsia="Palatino Linotype" w:hAnsi="Palatino Linotype" w:cs="Palatino Linotype"/>
          <w:color w:val="000000"/>
        </w:rPr>
        <w:t xml:space="preserve"> El </w:t>
      </w:r>
      <w:r w:rsidRPr="00A473A4">
        <w:rPr>
          <w:rFonts w:ascii="Palatino Linotype" w:eastAsia="Palatino Linotype" w:hAnsi="Palatino Linotype" w:cs="Palatino Linotype"/>
          <w:b/>
          <w:bCs/>
          <w:color w:val="000000"/>
        </w:rPr>
        <w:t xml:space="preserve">RECURRENTE, </w:t>
      </w:r>
      <w:r w:rsidRPr="00A473A4">
        <w:rPr>
          <w:rFonts w:ascii="Palatino Linotype" w:eastAsia="Palatino Linotype" w:hAnsi="Palatino Linotype" w:cs="Palatino Linotype"/>
          <w:color w:val="000000"/>
        </w:rPr>
        <w:t xml:space="preserve">fue omiso en realizar manifestaciones conforme a su derecho conviniera y/o asistiera. </w:t>
      </w:r>
    </w:p>
    <w:p w:rsidR="0051730B" w:rsidRPr="00A473A4" w:rsidRDefault="0051730B" w:rsidP="00A473A4">
      <w:p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numPr>
          <w:ilvl w:val="0"/>
          <w:numId w:val="1"/>
        </w:numPr>
        <w:spacing w:line="360" w:lineRule="auto"/>
        <w:ind w:right="-943"/>
        <w:jc w:val="both"/>
      </w:pPr>
      <w:r w:rsidRPr="00A473A4">
        <w:rPr>
          <w:rFonts w:ascii="Palatino Linotype" w:eastAsia="Palatino Linotype" w:hAnsi="Palatino Linotype" w:cs="Palatino Linotype"/>
        </w:rPr>
        <w:lastRenderedPageBreak/>
        <w:t xml:space="preserve">En fecha </w:t>
      </w:r>
      <w:r w:rsidR="00EB2866" w:rsidRPr="00A473A4">
        <w:rPr>
          <w:rFonts w:ascii="Palatino Linotype" w:eastAsia="Palatino Linotype" w:hAnsi="Palatino Linotype" w:cs="Palatino Linotype"/>
          <w:b/>
          <w:bCs/>
        </w:rPr>
        <w:t>veinte de mayo</w:t>
      </w:r>
      <w:r w:rsidRPr="00A473A4">
        <w:rPr>
          <w:rFonts w:ascii="Palatino Linotype" w:eastAsia="Palatino Linotype" w:hAnsi="Palatino Linotype" w:cs="Palatino Linotype"/>
          <w:b/>
          <w:bCs/>
        </w:rPr>
        <w:t xml:space="preserve"> de dos mil veintiséis,</w:t>
      </w:r>
      <w:r w:rsidRPr="00A473A4">
        <w:rPr>
          <w:rFonts w:ascii="Palatino Linotype" w:eastAsia="Palatino Linotype" w:hAnsi="Palatino Linotype" w:cs="Palatino Linotype"/>
        </w:rPr>
        <w:t xml:space="preserve"> se notificó el acuerdo mediante el cual se aprobó la ampliación de plazo para emitir resolución, dentro del recurso de revisión que nos ocupa.</w:t>
      </w:r>
    </w:p>
    <w:p w:rsidR="00EB2866" w:rsidRPr="00A473A4" w:rsidRDefault="00EB2866" w:rsidP="00A473A4">
      <w:pPr>
        <w:spacing w:line="360" w:lineRule="auto"/>
        <w:ind w:right="-943"/>
        <w:jc w:val="both"/>
      </w:pPr>
    </w:p>
    <w:p w:rsidR="0051730B" w:rsidRPr="00A473A4" w:rsidRDefault="0051730B" w:rsidP="00A473A4">
      <w:pPr>
        <w:numPr>
          <w:ilvl w:val="0"/>
          <w:numId w:val="1"/>
        </w:numPr>
        <w:pBdr>
          <w:top w:val="nil"/>
          <w:left w:val="nil"/>
          <w:bottom w:val="nil"/>
          <w:right w:val="nil"/>
          <w:between w:val="nil"/>
        </w:pBdr>
        <w:tabs>
          <w:tab w:val="left" w:pos="426"/>
        </w:tabs>
        <w:spacing w:line="360" w:lineRule="auto"/>
        <w:ind w:right="-943"/>
        <w:jc w:val="both"/>
        <w:rPr>
          <w:color w:val="000000"/>
        </w:rPr>
      </w:pPr>
      <w:r w:rsidRPr="00A473A4">
        <w:rPr>
          <w:rFonts w:ascii="Palatino Linotype" w:eastAsia="Palatino Linotype" w:hAnsi="Palatino Linotype" w:cs="Palatino Linotype"/>
          <w:color w:val="000000"/>
        </w:rPr>
        <w:t xml:space="preserve">El día </w:t>
      </w:r>
      <w:r w:rsidR="00EB2866" w:rsidRPr="00A473A4">
        <w:rPr>
          <w:rFonts w:ascii="Palatino Linotype" w:eastAsia="Palatino Linotype" w:hAnsi="Palatino Linotype" w:cs="Palatino Linotype"/>
          <w:b/>
          <w:bCs/>
          <w:color w:val="000000"/>
        </w:rPr>
        <w:t xml:space="preserve">primero de julio </w:t>
      </w:r>
      <w:r w:rsidRPr="00A473A4">
        <w:rPr>
          <w:rFonts w:ascii="Palatino Linotype" w:eastAsia="Palatino Linotype" w:hAnsi="Palatino Linotype" w:cs="Palatino Linotype"/>
          <w:b/>
          <w:bCs/>
          <w:color w:val="000000"/>
        </w:rPr>
        <w:t>de dos mil veintiséis</w:t>
      </w:r>
      <w:r w:rsidRPr="00A473A4">
        <w:rPr>
          <w:rFonts w:ascii="Palatino Linotype" w:eastAsia="Palatino Linotype" w:hAnsi="Palatino Linotype" w:cs="Palatino Linotype"/>
          <w:color w:val="000000"/>
        </w:rPr>
        <w:t xml:space="preserve">, la Comisionada Ponente decretó el </w:t>
      </w:r>
      <w:r w:rsidRPr="00A473A4">
        <w:rPr>
          <w:rFonts w:ascii="Palatino Linotype" w:eastAsia="Palatino Linotype" w:hAnsi="Palatino Linotype" w:cs="Palatino Linotype"/>
          <w:b/>
          <w:bCs/>
          <w:color w:val="000000"/>
        </w:rPr>
        <w:t>cierre del periodo de instrucción</w:t>
      </w:r>
      <w:r w:rsidRPr="00A473A4">
        <w:rPr>
          <w:rFonts w:ascii="Palatino Linotype" w:eastAsia="Palatino Linotype" w:hAnsi="Palatino Linotype" w:cs="Palatino Linotype"/>
          <w:color w:val="000000"/>
        </w:rPr>
        <w:t xml:space="preserve"> del Recurso, ordenando turnar el expediente para su resolución, por lo que no más habiendo más que hacer constar, y </w:t>
      </w:r>
    </w:p>
    <w:p w:rsidR="0051730B" w:rsidRPr="00A473A4" w:rsidRDefault="0051730B" w:rsidP="00A473A4">
      <w:p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Bdr>
          <w:top w:val="nil"/>
          <w:left w:val="nil"/>
          <w:bottom w:val="nil"/>
          <w:right w:val="nil"/>
          <w:between w:val="nil"/>
        </w:pBdr>
        <w:spacing w:line="360" w:lineRule="auto"/>
        <w:ind w:right="-943"/>
        <w:jc w:val="center"/>
        <w:rPr>
          <w:rFonts w:ascii="Palatino Linotype" w:eastAsia="Palatino Linotype" w:hAnsi="Palatino Linotype" w:cs="Palatino Linotype"/>
          <w:b/>
          <w:bCs/>
          <w:color w:val="000000"/>
        </w:rPr>
      </w:pPr>
      <w:r w:rsidRPr="00A473A4">
        <w:rPr>
          <w:rFonts w:ascii="Palatino Linotype" w:eastAsia="Palatino Linotype" w:hAnsi="Palatino Linotype" w:cs="Palatino Linotype"/>
          <w:b/>
          <w:bCs/>
          <w:color w:val="000000"/>
        </w:rPr>
        <w:t>C O N S I D E R A N D O</w:t>
      </w:r>
    </w:p>
    <w:p w:rsidR="0051730B" w:rsidRPr="00A473A4" w:rsidRDefault="0051730B" w:rsidP="00A473A4">
      <w:pPr>
        <w:pBdr>
          <w:top w:val="nil"/>
          <w:left w:val="nil"/>
          <w:bottom w:val="nil"/>
          <w:right w:val="nil"/>
          <w:between w:val="nil"/>
        </w:pBdr>
        <w:spacing w:line="360" w:lineRule="auto"/>
        <w:ind w:right="-943"/>
        <w:jc w:val="center"/>
        <w:rPr>
          <w:rFonts w:ascii="Palatino Linotype" w:eastAsia="Palatino Linotype" w:hAnsi="Palatino Linotype" w:cs="Palatino Linotype"/>
          <w:b/>
          <w:bCs/>
          <w:color w:val="000000"/>
        </w:rPr>
      </w:pPr>
    </w:p>
    <w:p w:rsidR="0051730B" w:rsidRPr="00A473A4" w:rsidRDefault="0051730B" w:rsidP="00A473A4">
      <w:pPr>
        <w:pStyle w:val="Ttulo2"/>
        <w:spacing w:before="0" w:line="360" w:lineRule="auto"/>
        <w:ind w:right="-943"/>
        <w:rPr>
          <w:rFonts w:ascii="Palatino Linotype" w:eastAsia="Palatino Linotype" w:hAnsi="Palatino Linotype" w:cs="Palatino Linotype"/>
          <w:b/>
          <w:bCs/>
          <w:color w:val="000000"/>
          <w:sz w:val="24"/>
          <w:szCs w:val="24"/>
        </w:rPr>
      </w:pPr>
      <w:bookmarkStart w:id="1" w:name="_heading=h.nphetusiwsvr" w:colFirst="0" w:colLast="0"/>
      <w:bookmarkEnd w:id="1"/>
      <w:r w:rsidRPr="00A473A4">
        <w:rPr>
          <w:rFonts w:ascii="Palatino Linotype" w:eastAsia="Palatino Linotype" w:hAnsi="Palatino Linotype" w:cs="Palatino Linotype"/>
          <w:b/>
          <w:bCs/>
          <w:color w:val="000000"/>
          <w:sz w:val="24"/>
          <w:szCs w:val="24"/>
        </w:rPr>
        <w:t>PRIMERO. De la competencia</w:t>
      </w:r>
    </w:p>
    <w:p w:rsidR="0051730B" w:rsidRPr="00A473A4" w:rsidRDefault="0051730B" w:rsidP="00A473A4">
      <w:pPr>
        <w:numPr>
          <w:ilvl w:val="0"/>
          <w:numId w:val="1"/>
        </w:numPr>
        <w:pBdr>
          <w:top w:val="nil"/>
          <w:left w:val="nil"/>
          <w:bottom w:val="nil"/>
          <w:right w:val="nil"/>
          <w:between w:val="nil"/>
        </w:pBdr>
        <w:spacing w:line="360" w:lineRule="auto"/>
        <w:ind w:right="-943"/>
        <w:jc w:val="both"/>
        <w:rPr>
          <w:color w:val="000000"/>
        </w:rPr>
      </w:pPr>
      <w:r w:rsidRPr="00A473A4">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51730B" w:rsidRPr="00A473A4" w:rsidRDefault="0051730B" w:rsidP="00A473A4">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Style w:val="Ttulo2"/>
        <w:spacing w:before="0" w:line="360" w:lineRule="auto"/>
        <w:ind w:right="-943"/>
        <w:rPr>
          <w:rFonts w:ascii="Palatino Linotype" w:eastAsia="Palatino Linotype" w:hAnsi="Palatino Linotype" w:cs="Palatino Linotype"/>
          <w:b/>
          <w:bCs/>
          <w:color w:val="000000"/>
          <w:sz w:val="24"/>
          <w:szCs w:val="24"/>
        </w:rPr>
      </w:pPr>
      <w:bookmarkStart w:id="2" w:name="_heading=h.ddutt6hwr058" w:colFirst="0" w:colLast="0"/>
      <w:bookmarkEnd w:id="2"/>
      <w:r w:rsidRPr="00A473A4">
        <w:rPr>
          <w:rFonts w:ascii="Palatino Linotype" w:eastAsia="Palatino Linotype" w:hAnsi="Palatino Linotype" w:cs="Palatino Linotype"/>
          <w:b/>
          <w:bCs/>
          <w:color w:val="000000"/>
          <w:sz w:val="24"/>
          <w:szCs w:val="24"/>
        </w:rPr>
        <w:t>SEGUNDO. De la oportunidad y procedencia.</w:t>
      </w:r>
    </w:p>
    <w:p w:rsidR="0051730B" w:rsidRPr="00A473A4" w:rsidRDefault="0051730B" w:rsidP="00A473A4">
      <w:pPr>
        <w:numPr>
          <w:ilvl w:val="0"/>
          <w:numId w:val="1"/>
        </w:numPr>
        <w:pBdr>
          <w:top w:val="nil"/>
          <w:left w:val="nil"/>
          <w:bottom w:val="nil"/>
          <w:right w:val="nil"/>
          <w:between w:val="nil"/>
        </w:pBdr>
        <w:spacing w:line="360" w:lineRule="auto"/>
        <w:ind w:right="-943"/>
        <w:jc w:val="both"/>
        <w:rPr>
          <w:color w:val="000000"/>
        </w:rPr>
      </w:pPr>
      <w:r w:rsidRPr="00A473A4">
        <w:rPr>
          <w:rFonts w:ascii="Palatino Linotype" w:eastAsia="Palatino Linotype" w:hAnsi="Palatino Linotype" w:cs="Palatino Linotype"/>
          <w:color w:val="000000"/>
        </w:rPr>
        <w:t xml:space="preserve">El medio de impugnación fue presentado a través del </w:t>
      </w:r>
      <w:r w:rsidRPr="00A473A4">
        <w:rPr>
          <w:rFonts w:ascii="Palatino Linotype" w:eastAsia="Palatino Linotype" w:hAnsi="Palatino Linotype" w:cs="Palatino Linotype"/>
          <w:b/>
          <w:bCs/>
          <w:color w:val="000000"/>
        </w:rPr>
        <w:t>SAIMEX,</w:t>
      </w:r>
      <w:r w:rsidRPr="00A473A4">
        <w:rPr>
          <w:rFonts w:ascii="Palatino Linotype" w:eastAsia="Palatino Linotype" w:hAnsi="Palatino Linotype" w:cs="Palatino Linotype"/>
          <w:color w:val="000000"/>
        </w:rPr>
        <w:t xml:space="preserve"> en el formato previamente aprobado para tal efecto y dentro del plazo legal de quince días hábiles </w:t>
      </w:r>
      <w:r w:rsidRPr="00A473A4">
        <w:rPr>
          <w:rFonts w:ascii="Palatino Linotype" w:eastAsia="Palatino Linotype" w:hAnsi="Palatino Linotype" w:cs="Palatino Linotype"/>
          <w:color w:val="000000"/>
        </w:rPr>
        <w:lastRenderedPageBreak/>
        <w:t xml:space="preserve">otorgados; para el caso en particular es de señalar que el </w:t>
      </w:r>
      <w:r w:rsidRPr="00A473A4">
        <w:rPr>
          <w:rFonts w:ascii="Palatino Linotype" w:eastAsia="Palatino Linotype" w:hAnsi="Palatino Linotype" w:cs="Palatino Linotype"/>
          <w:b/>
          <w:bCs/>
          <w:color w:val="000000"/>
        </w:rPr>
        <w:t>SUJETO OBLIGADO</w:t>
      </w:r>
      <w:r w:rsidRPr="00A473A4">
        <w:rPr>
          <w:rFonts w:ascii="Palatino Linotype" w:eastAsia="Palatino Linotype" w:hAnsi="Palatino Linotype" w:cs="Palatino Linotype"/>
          <w:color w:val="000000"/>
        </w:rPr>
        <w:t xml:space="preserve"> entregó su respuesta el </w:t>
      </w:r>
      <w:r w:rsidR="00EB2866" w:rsidRPr="00A473A4">
        <w:rPr>
          <w:rFonts w:ascii="Palatino Linotype" w:eastAsia="Palatino Linotype" w:hAnsi="Palatino Linotype" w:cs="Palatino Linotype"/>
          <w:b/>
          <w:bCs/>
          <w:color w:val="000000"/>
        </w:rPr>
        <w:t>veinticuatro de abril</w:t>
      </w:r>
      <w:r w:rsidRPr="00A473A4">
        <w:rPr>
          <w:rFonts w:ascii="Palatino Linotype" w:eastAsia="Palatino Linotype" w:hAnsi="Palatino Linotype" w:cs="Palatino Linotype"/>
          <w:b/>
          <w:bCs/>
          <w:color w:val="000000"/>
        </w:rPr>
        <w:t xml:space="preserve"> de dos mil veintiséis</w:t>
      </w:r>
      <w:r w:rsidRPr="00A473A4">
        <w:rPr>
          <w:rFonts w:ascii="Palatino Linotype" w:eastAsia="Palatino Linotype" w:hAnsi="Palatino Linotype" w:cs="Palatino Linotype"/>
          <w:color w:val="000000"/>
        </w:rPr>
        <w:t>, de tal forma que el plazo para interponer el recurso de revisión transcurrió del</w:t>
      </w:r>
      <w:r w:rsidRPr="00A473A4">
        <w:rPr>
          <w:rFonts w:ascii="Palatino Linotype" w:eastAsia="Palatino Linotype" w:hAnsi="Palatino Linotype" w:cs="Palatino Linotype"/>
          <w:b/>
          <w:bCs/>
          <w:color w:val="000000"/>
        </w:rPr>
        <w:t xml:space="preserve"> </w:t>
      </w:r>
      <w:r w:rsidR="00EB2866" w:rsidRPr="00A473A4">
        <w:rPr>
          <w:rFonts w:ascii="Palatino Linotype" w:eastAsia="Palatino Linotype" w:hAnsi="Palatino Linotype" w:cs="Palatino Linotype"/>
          <w:b/>
          <w:bCs/>
          <w:color w:val="000000"/>
        </w:rPr>
        <w:t>veintisiete de abril al diecinueve de mayo</w:t>
      </w:r>
      <w:r w:rsidRPr="00A473A4">
        <w:rPr>
          <w:rFonts w:ascii="Palatino Linotype" w:eastAsia="Palatino Linotype" w:hAnsi="Palatino Linotype" w:cs="Palatino Linotype"/>
          <w:b/>
          <w:bCs/>
          <w:color w:val="000000"/>
        </w:rPr>
        <w:t xml:space="preserve"> mil veintiséis,</w:t>
      </w:r>
      <w:r w:rsidRPr="00A473A4">
        <w:rPr>
          <w:rFonts w:ascii="Palatino Linotype" w:eastAsia="Palatino Linotype" w:hAnsi="Palatino Linotype" w:cs="Palatino Linotype"/>
          <w:color w:val="000000"/>
        </w:rPr>
        <w:t xml:space="preserve"> en consecuencia, el ahora </w:t>
      </w:r>
      <w:r w:rsidRPr="00A473A4">
        <w:rPr>
          <w:rFonts w:ascii="Palatino Linotype" w:eastAsia="Palatino Linotype" w:hAnsi="Palatino Linotype" w:cs="Palatino Linotype"/>
          <w:b/>
          <w:bCs/>
          <w:color w:val="000000"/>
        </w:rPr>
        <w:t>RECURRENTE</w:t>
      </w:r>
      <w:r w:rsidRPr="00A473A4">
        <w:rPr>
          <w:rFonts w:ascii="Palatino Linotype" w:eastAsia="Palatino Linotype" w:hAnsi="Palatino Linotype" w:cs="Palatino Linotype"/>
          <w:color w:val="000000"/>
        </w:rPr>
        <w:t xml:space="preserve"> presentó su inconformidad el </w:t>
      </w:r>
      <w:r w:rsidR="00EB2866" w:rsidRPr="00A473A4">
        <w:rPr>
          <w:rFonts w:ascii="Palatino Linotype" w:eastAsia="Palatino Linotype" w:hAnsi="Palatino Linotype" w:cs="Palatino Linotype"/>
          <w:b/>
          <w:bCs/>
          <w:color w:val="000000"/>
        </w:rPr>
        <w:t>seis de mayo</w:t>
      </w:r>
      <w:r w:rsidRPr="00A473A4">
        <w:rPr>
          <w:rFonts w:ascii="Palatino Linotype" w:eastAsia="Palatino Linotype" w:hAnsi="Palatino Linotype" w:cs="Palatino Linotype"/>
          <w:b/>
          <w:bCs/>
          <w:color w:val="000000"/>
        </w:rPr>
        <w:t xml:space="preserve"> de dos mil veintiséis</w:t>
      </w:r>
      <w:r w:rsidRPr="00A473A4">
        <w:rPr>
          <w:rFonts w:ascii="Palatino Linotype" w:eastAsia="Palatino Linotype" w:hAnsi="Palatino Linotype" w:cs="Palatino Linotype"/>
          <w:color w:val="000000"/>
        </w:rPr>
        <w:t>, por lo que se estima que la inconformidad se presentó dentro del lapso legalmente establecido para tal efecto.</w:t>
      </w:r>
    </w:p>
    <w:p w:rsidR="0051730B" w:rsidRPr="00A473A4" w:rsidRDefault="0051730B" w:rsidP="00A473A4">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p>
    <w:p w:rsidR="0051730B" w:rsidRPr="00A473A4" w:rsidRDefault="0051730B" w:rsidP="00A473A4">
      <w:pPr>
        <w:numPr>
          <w:ilvl w:val="0"/>
          <w:numId w:val="1"/>
        </w:numPr>
        <w:spacing w:before="240" w:after="240" w:line="360" w:lineRule="auto"/>
        <w:ind w:right="-943"/>
        <w:jc w:val="both"/>
      </w:pPr>
      <w:r w:rsidRPr="00A473A4">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1730B" w:rsidRPr="00A473A4" w:rsidRDefault="0051730B" w:rsidP="00A473A4">
      <w:pPr>
        <w:pStyle w:val="Ttulo1"/>
        <w:spacing w:before="0" w:line="360" w:lineRule="auto"/>
        <w:ind w:right="-943"/>
        <w:rPr>
          <w:b/>
          <w:bCs/>
          <w:color w:val="000000"/>
        </w:rPr>
      </w:pPr>
      <w:bookmarkStart w:id="3" w:name="_heading=h.9ec9eqz2l6c1" w:colFirst="0" w:colLast="0"/>
      <w:bookmarkEnd w:id="3"/>
      <w:r w:rsidRPr="00A473A4">
        <w:rPr>
          <w:b/>
          <w:bCs/>
        </w:rPr>
        <w:t xml:space="preserve">TERCERO. </w:t>
      </w:r>
      <w:r w:rsidRPr="00A473A4">
        <w:rPr>
          <w:b/>
          <w:bCs/>
          <w:color w:val="000000"/>
        </w:rPr>
        <w:t xml:space="preserve">Del planteamiento de la </w:t>
      </w:r>
      <w:r w:rsidRPr="00A473A4">
        <w:rPr>
          <w:b/>
          <w:bCs/>
          <w:i/>
          <w:iCs/>
          <w:color w:val="000000"/>
        </w:rPr>
        <w:t>Litis</w:t>
      </w:r>
      <w:r w:rsidRPr="00A473A4">
        <w:rPr>
          <w:b/>
          <w:bCs/>
          <w:color w:val="000000"/>
        </w:rPr>
        <w:t>.</w:t>
      </w:r>
    </w:p>
    <w:p w:rsidR="0051730B" w:rsidRPr="00A473A4" w:rsidRDefault="0051730B" w:rsidP="00A473A4">
      <w:pPr>
        <w:numPr>
          <w:ilvl w:val="0"/>
          <w:numId w:val="1"/>
        </w:numPr>
        <w:pBdr>
          <w:top w:val="nil"/>
          <w:left w:val="nil"/>
          <w:bottom w:val="nil"/>
          <w:right w:val="nil"/>
          <w:between w:val="nil"/>
        </w:pBdr>
        <w:spacing w:line="360" w:lineRule="auto"/>
        <w:ind w:right="-943"/>
        <w:jc w:val="both"/>
        <w:rPr>
          <w:color w:val="000000"/>
        </w:rPr>
      </w:pPr>
      <w:r w:rsidRPr="00A473A4">
        <w:rPr>
          <w:rFonts w:ascii="Palatino Linotype" w:eastAsia="Palatino Linotype" w:hAnsi="Palatino Linotype" w:cs="Palatino Linotype"/>
          <w:color w:val="000000"/>
        </w:rPr>
        <w:t>Se solicitó tener acceso, a la información que a continuación se desagrega:</w:t>
      </w:r>
    </w:p>
    <w:p w:rsidR="00EB2866" w:rsidRPr="00A473A4" w:rsidRDefault="00EB2866"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p>
    <w:p w:rsidR="00EB2866" w:rsidRPr="00A473A4" w:rsidRDefault="00EB2866"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Conocer la capacidad de respuesta institucional ante la emergencia de violencia de género.</w:t>
      </w:r>
    </w:p>
    <w:p w:rsidR="00EB2866" w:rsidRPr="00A473A4" w:rsidRDefault="00EB2866"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bookmarkStart w:id="4" w:name="_GoBack"/>
      <w:bookmarkEnd w:id="4"/>
    </w:p>
    <w:p w:rsidR="003978FE" w:rsidRPr="00A473A4" w:rsidRDefault="00EB2866"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​Refugios: Número de refugios operados o financiados por la Secretaría y su capacidad máxima de pernocta por municipio.</w:t>
      </w:r>
    </w:p>
    <w:p w:rsidR="003978FE" w:rsidRPr="00A473A4" w:rsidRDefault="003978FE"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p>
    <w:p w:rsidR="003978FE" w:rsidRPr="00A473A4" w:rsidRDefault="00EB2866"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​Línea de Ayuda: Estadísticas mensuales de llamadas recibidas en la línea de atención de emergencias, desglosadas por tipo de violencia reportada.​</w:t>
      </w:r>
    </w:p>
    <w:p w:rsidR="003978FE" w:rsidRPr="00A473A4" w:rsidRDefault="003978FE"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p>
    <w:p w:rsidR="003978FE" w:rsidRPr="00A473A4" w:rsidRDefault="00EB2866"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Protocolos: Copia íntegra del protocolo de actuación para la atención de mujeres víctimas de violencia digital (Ley Olimpia).</w:t>
      </w:r>
    </w:p>
    <w:p w:rsidR="003978FE" w:rsidRPr="00A473A4" w:rsidRDefault="003978FE"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p>
    <w:p w:rsidR="003978FE" w:rsidRPr="00A473A4" w:rsidRDefault="00EB2866"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​Centros de Justicia: Ubicación y horarios de atención de todos los Centros de Justicia para las Mujeres que dependen de su presupuesto.​</w:t>
      </w:r>
    </w:p>
    <w:p w:rsidR="003978FE" w:rsidRPr="00A473A4" w:rsidRDefault="003978FE"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p>
    <w:p w:rsidR="0051730B" w:rsidRPr="00A473A4" w:rsidRDefault="00EB2866" w:rsidP="00A473A4">
      <w:pPr>
        <w:pBdr>
          <w:top w:val="nil"/>
          <w:left w:val="nil"/>
          <w:bottom w:val="nil"/>
          <w:right w:val="nil"/>
          <w:between w:val="nil"/>
        </w:pBdr>
        <w:ind w:left="709"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lastRenderedPageBreak/>
        <w:t>Unidades Móviles: Calendario y rutas de las unidades móviles de atención jurídica y psicológica programadas para el presente trimestre.</w:t>
      </w:r>
    </w:p>
    <w:p w:rsidR="00EB2866" w:rsidRDefault="00EB2866" w:rsidP="00A473A4">
      <w:pPr>
        <w:pBdr>
          <w:top w:val="nil"/>
          <w:left w:val="nil"/>
          <w:bottom w:val="nil"/>
          <w:right w:val="nil"/>
          <w:between w:val="nil"/>
        </w:pBdr>
        <w:ind w:right="-943"/>
        <w:jc w:val="both"/>
        <w:rPr>
          <w:rFonts w:ascii="Palatino Linotype" w:eastAsia="Palatino Linotype" w:hAnsi="Palatino Linotype" w:cs="Palatino Linotype"/>
        </w:rPr>
      </w:pPr>
    </w:p>
    <w:p w:rsidR="00A473A4" w:rsidRPr="00A473A4" w:rsidRDefault="00A473A4" w:rsidP="00A473A4">
      <w:pPr>
        <w:pBdr>
          <w:top w:val="nil"/>
          <w:left w:val="nil"/>
          <w:bottom w:val="nil"/>
          <w:right w:val="nil"/>
          <w:between w:val="nil"/>
        </w:pBdr>
        <w:ind w:right="-943"/>
        <w:jc w:val="both"/>
        <w:rPr>
          <w:rFonts w:ascii="Palatino Linotype" w:eastAsia="Palatino Linotype" w:hAnsi="Palatino Linotype" w:cs="Palatino Linotype"/>
        </w:rPr>
      </w:pPr>
    </w:p>
    <w:p w:rsidR="0051730B" w:rsidRPr="00A473A4" w:rsidRDefault="0051730B" w:rsidP="00A473A4">
      <w:pPr>
        <w:numPr>
          <w:ilvl w:val="0"/>
          <w:numId w:val="1"/>
        </w:numPr>
        <w:pBdr>
          <w:top w:val="nil"/>
          <w:left w:val="nil"/>
          <w:bottom w:val="nil"/>
          <w:right w:val="nil"/>
          <w:between w:val="nil"/>
        </w:pBdr>
        <w:spacing w:line="360" w:lineRule="auto"/>
        <w:ind w:right="-943"/>
        <w:jc w:val="both"/>
        <w:rPr>
          <w:color w:val="000000"/>
        </w:rPr>
      </w:pPr>
      <w:r w:rsidRPr="00A473A4">
        <w:rPr>
          <w:rFonts w:ascii="Palatino Linotype" w:eastAsia="Palatino Linotype" w:hAnsi="Palatino Linotype" w:cs="Palatino Linotype"/>
          <w:color w:val="000000"/>
        </w:rPr>
        <w:t xml:space="preserve">En respuesta, el </w:t>
      </w:r>
      <w:r w:rsidRPr="00A473A4">
        <w:rPr>
          <w:rFonts w:ascii="Palatino Linotype" w:eastAsia="Palatino Linotype" w:hAnsi="Palatino Linotype" w:cs="Palatino Linotype"/>
          <w:b/>
          <w:bCs/>
          <w:color w:val="000000"/>
        </w:rPr>
        <w:t>SUJETO OBLIGADO</w:t>
      </w:r>
      <w:r w:rsidRPr="00A473A4">
        <w:rPr>
          <w:rFonts w:ascii="Palatino Linotype" w:eastAsia="Palatino Linotype" w:hAnsi="Palatino Linotype" w:cs="Palatino Linotype"/>
          <w:color w:val="000000"/>
        </w:rPr>
        <w:t xml:space="preserve">, </w:t>
      </w:r>
      <w:r w:rsidR="003978FE" w:rsidRPr="00A473A4">
        <w:rPr>
          <w:rFonts w:ascii="Palatino Linotype" w:eastAsia="Palatino Linotype" w:hAnsi="Palatino Linotype" w:cs="Palatino Linotype"/>
          <w:color w:val="000000"/>
        </w:rPr>
        <w:t xml:space="preserve">se </w:t>
      </w:r>
      <w:r w:rsidRPr="00A473A4">
        <w:rPr>
          <w:rFonts w:ascii="Palatino Linotype" w:eastAsia="Palatino Linotype" w:hAnsi="Palatino Linotype" w:cs="Palatino Linotype"/>
          <w:color w:val="000000"/>
        </w:rPr>
        <w:t xml:space="preserve">pronunció como </w:t>
      </w:r>
      <w:r w:rsidRPr="00A473A4">
        <w:rPr>
          <w:rFonts w:ascii="Palatino Linotype" w:eastAsia="Palatino Linotype" w:hAnsi="Palatino Linotype" w:cs="Palatino Linotype"/>
        </w:rPr>
        <w:t>quedó</w:t>
      </w:r>
      <w:r w:rsidRPr="00A473A4">
        <w:rPr>
          <w:rFonts w:ascii="Palatino Linotype" w:eastAsia="Palatino Linotype" w:hAnsi="Palatino Linotype" w:cs="Palatino Linotype"/>
          <w:color w:val="000000"/>
        </w:rPr>
        <w:t xml:space="preserve"> referido en el numeral 2 de la presente resolución. </w:t>
      </w:r>
    </w:p>
    <w:p w:rsidR="0051730B" w:rsidRPr="00A473A4" w:rsidRDefault="0051730B" w:rsidP="00A473A4">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p>
    <w:p w:rsidR="0051730B" w:rsidRPr="00A473A4" w:rsidRDefault="0051730B" w:rsidP="00A473A4">
      <w:pPr>
        <w:numPr>
          <w:ilvl w:val="0"/>
          <w:numId w:val="1"/>
        </w:numPr>
        <w:pBdr>
          <w:top w:val="nil"/>
          <w:left w:val="nil"/>
          <w:bottom w:val="nil"/>
          <w:right w:val="nil"/>
          <w:between w:val="nil"/>
        </w:pBdr>
        <w:spacing w:line="360" w:lineRule="auto"/>
        <w:ind w:right="-943"/>
        <w:jc w:val="both"/>
        <w:rPr>
          <w:color w:val="000000"/>
        </w:rPr>
      </w:pPr>
      <w:r w:rsidRPr="00A473A4">
        <w:rPr>
          <w:rFonts w:ascii="Palatino Linotype" w:eastAsia="Palatino Linotype" w:hAnsi="Palatino Linotype" w:cs="Palatino Linotype"/>
          <w:color w:val="000000"/>
        </w:rPr>
        <w:t xml:space="preserve"> Inconforme con la respuesta proporcionada, el </w:t>
      </w:r>
      <w:r w:rsidRPr="00A473A4">
        <w:rPr>
          <w:rFonts w:ascii="Palatino Linotype" w:eastAsia="Palatino Linotype" w:hAnsi="Palatino Linotype" w:cs="Palatino Linotype"/>
          <w:b/>
          <w:bCs/>
          <w:color w:val="000000"/>
        </w:rPr>
        <w:t xml:space="preserve">PARTICULAR, </w:t>
      </w:r>
      <w:r w:rsidRPr="00A473A4">
        <w:rPr>
          <w:rFonts w:ascii="Palatino Linotype" w:eastAsia="Palatino Linotype" w:hAnsi="Palatino Linotype" w:cs="Palatino Linotype"/>
          <w:color w:val="000000"/>
        </w:rPr>
        <w:t xml:space="preserve">interpuso recurso de revisión arguyendo medularmente </w:t>
      </w:r>
      <w:r w:rsidR="003978FE" w:rsidRPr="00A473A4">
        <w:rPr>
          <w:rFonts w:ascii="Palatino Linotype" w:eastAsia="Palatino Linotype" w:hAnsi="Palatino Linotype" w:cs="Palatino Linotype"/>
          <w:color w:val="000000"/>
        </w:rPr>
        <w:t>la entrega de la información de manera incompleta.</w:t>
      </w:r>
    </w:p>
    <w:p w:rsidR="0051730B" w:rsidRPr="00A473A4" w:rsidRDefault="0051730B" w:rsidP="00A473A4">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ab/>
      </w:r>
    </w:p>
    <w:p w:rsidR="0051730B" w:rsidRPr="00A473A4" w:rsidRDefault="0051730B" w:rsidP="00A473A4">
      <w:pPr>
        <w:numPr>
          <w:ilvl w:val="0"/>
          <w:numId w:val="1"/>
        </w:numPr>
        <w:spacing w:line="360" w:lineRule="auto"/>
        <w:ind w:right="-943"/>
        <w:jc w:val="both"/>
      </w:pPr>
      <w:r w:rsidRPr="00A473A4">
        <w:rPr>
          <w:rFonts w:ascii="Palatino Linotype" w:eastAsia="Palatino Linotype" w:hAnsi="Palatino Linotype" w:cs="Palatino Linotype"/>
        </w:rPr>
        <w:t xml:space="preserve">En dichas condiciones, la </w:t>
      </w:r>
      <w:r w:rsidRPr="00A473A4">
        <w:rPr>
          <w:rFonts w:ascii="Palatino Linotype" w:eastAsia="Palatino Linotype" w:hAnsi="Palatino Linotype" w:cs="Palatino Linotype"/>
          <w:i/>
          <w:iCs/>
        </w:rPr>
        <w:t>Litis</w:t>
      </w:r>
      <w:r w:rsidRPr="00A473A4">
        <w:rPr>
          <w:rFonts w:ascii="Palatino Linotype" w:eastAsia="Palatino Linotype" w:hAnsi="Palatino Linotype" w:cs="Palatino Linotype"/>
        </w:rPr>
        <w:t xml:space="preserve"> a resolver en este recurso se circunscribe a determinar si se actualiza la causal de procedencia prevista en el artículo 179, </w:t>
      </w:r>
      <w:r w:rsidR="003978FE" w:rsidRPr="00A473A4">
        <w:rPr>
          <w:rFonts w:ascii="Palatino Linotype" w:eastAsia="Palatino Linotype" w:hAnsi="Palatino Linotype" w:cs="Palatino Linotype"/>
          <w:b/>
          <w:bCs/>
        </w:rPr>
        <w:t>fracción V</w:t>
      </w:r>
      <w:r w:rsidRPr="00A473A4">
        <w:rPr>
          <w:rFonts w:ascii="Palatino Linotype" w:eastAsia="Palatino Linotype" w:hAnsi="Palatino Linotype" w:cs="Palatino Linotype"/>
          <w:b/>
          <w:bCs/>
        </w:rPr>
        <w:t xml:space="preserve"> </w:t>
      </w:r>
      <w:r w:rsidRPr="00A473A4">
        <w:rPr>
          <w:rFonts w:ascii="Palatino Linotype" w:eastAsia="Palatino Linotype" w:hAnsi="Palatino Linotype" w:cs="Palatino Linotype"/>
        </w:rPr>
        <w:t xml:space="preserve">de la </w:t>
      </w:r>
      <w:r w:rsidRPr="00A473A4">
        <w:rPr>
          <w:rFonts w:ascii="Palatino Linotype" w:eastAsia="Palatino Linotype" w:hAnsi="Palatino Linotype" w:cs="Palatino Linotype"/>
          <w:b/>
          <w:bCs/>
        </w:rPr>
        <w:t xml:space="preserve">Ley de Transparencia y Acceso a la Información Pública del Estado de </w:t>
      </w:r>
      <w:r w:rsidRPr="00A473A4">
        <w:rPr>
          <w:rFonts w:ascii="Palatino Linotype" w:eastAsia="Palatino Linotype" w:hAnsi="Palatino Linotype" w:cs="Palatino Linotype"/>
        </w:rPr>
        <w:t>México</w:t>
      </w:r>
      <w:r w:rsidRPr="00A473A4">
        <w:rPr>
          <w:rFonts w:ascii="Palatino Linotype" w:eastAsia="Palatino Linotype" w:hAnsi="Palatino Linotype" w:cs="Palatino Linotype"/>
          <w:b/>
          <w:bCs/>
        </w:rPr>
        <w:t xml:space="preserve"> y </w:t>
      </w:r>
      <w:r w:rsidRPr="00A473A4">
        <w:rPr>
          <w:rFonts w:ascii="Palatino Linotype" w:eastAsia="Palatino Linotype" w:hAnsi="Palatino Linotype" w:cs="Palatino Linotype"/>
        </w:rPr>
        <w:t xml:space="preserve">Municipios; </w:t>
      </w:r>
      <w:r w:rsidRPr="00A473A4">
        <w:rPr>
          <w:rFonts w:ascii="Palatino Linotype" w:eastAsia="Palatino Linotype" w:hAnsi="Palatino Linotype" w:cs="Palatino Linotype"/>
          <w:color w:val="000000"/>
        </w:rPr>
        <w:t xml:space="preserve">fracción que determina la hipótesis jurídica relativa a </w:t>
      </w:r>
      <w:r w:rsidR="003978FE" w:rsidRPr="00A473A4">
        <w:rPr>
          <w:rFonts w:ascii="Palatino Linotype" w:eastAsia="Palatino Linotype" w:hAnsi="Palatino Linotype" w:cs="Palatino Linotype"/>
          <w:color w:val="000000"/>
        </w:rPr>
        <w:t>la entrega de información incompleta</w:t>
      </w:r>
      <w:r w:rsidRPr="00A473A4">
        <w:rPr>
          <w:rFonts w:ascii="Palatino Linotype" w:eastAsia="Palatino Linotype" w:hAnsi="Palatino Linotype" w:cs="Palatino Linotype"/>
          <w:color w:val="000000"/>
        </w:rPr>
        <w:t xml:space="preserve">; </w:t>
      </w:r>
      <w:r w:rsidRPr="00A473A4">
        <w:rPr>
          <w:rFonts w:ascii="Palatino Linotype" w:eastAsia="Palatino Linotype" w:hAnsi="Palatino Linotype" w:cs="Palatino Linotype"/>
        </w:rPr>
        <w:t xml:space="preserve">contexto del cual se dolió </w:t>
      </w:r>
      <w:r w:rsidRPr="00A473A4">
        <w:rPr>
          <w:rFonts w:ascii="Palatino Linotype" w:eastAsia="Palatino Linotype" w:hAnsi="Palatino Linotype" w:cs="Palatino Linotype"/>
          <w:b/>
          <w:bCs/>
        </w:rPr>
        <w:t xml:space="preserve">EL RECURRENTE </w:t>
      </w:r>
      <w:r w:rsidRPr="00A473A4">
        <w:rPr>
          <w:rFonts w:ascii="Palatino Linotype" w:eastAsia="Palatino Linotype" w:hAnsi="Palatino Linotype" w:cs="Palatino Linotype"/>
        </w:rPr>
        <w:t>al momento de interponer su inconformidad.</w:t>
      </w:r>
      <w:r w:rsidRPr="00A473A4">
        <w:rPr>
          <w:rFonts w:ascii="Palatino Linotype" w:eastAsia="Palatino Linotype" w:hAnsi="Palatino Linotype" w:cs="Palatino Linotype"/>
          <w:color w:val="000000"/>
        </w:rPr>
        <w:t xml:space="preserve"> </w:t>
      </w:r>
    </w:p>
    <w:p w:rsidR="0051730B" w:rsidRPr="00A473A4" w:rsidRDefault="0051730B" w:rsidP="00A473A4">
      <w:pPr>
        <w:pBdr>
          <w:top w:val="nil"/>
          <w:left w:val="nil"/>
          <w:bottom w:val="nil"/>
          <w:right w:val="nil"/>
          <w:between w:val="nil"/>
        </w:pBdr>
        <w:ind w:left="720" w:right="-943"/>
        <w:rPr>
          <w:rFonts w:ascii="Palatino Linotype" w:eastAsia="Palatino Linotype" w:hAnsi="Palatino Linotype" w:cs="Palatino Linotype"/>
          <w:color w:val="000000"/>
        </w:rPr>
      </w:pPr>
    </w:p>
    <w:p w:rsidR="0051730B" w:rsidRPr="00A473A4" w:rsidRDefault="0051730B" w:rsidP="00A473A4">
      <w:pPr>
        <w:numPr>
          <w:ilvl w:val="0"/>
          <w:numId w:val="1"/>
        </w:numPr>
        <w:spacing w:line="360" w:lineRule="auto"/>
        <w:ind w:right="-943"/>
        <w:jc w:val="both"/>
      </w:pPr>
      <w:r w:rsidRPr="00A473A4">
        <w:rPr>
          <w:rFonts w:ascii="Palatino Linotype" w:eastAsia="Palatino Linotype" w:hAnsi="Palatino Linotype" w:cs="Palatino Linotype"/>
          <w:color w:val="000000"/>
        </w:rPr>
        <w:t xml:space="preserve">De modo tal que el presente recurso de revisión se </w:t>
      </w:r>
      <w:r w:rsidRPr="00A473A4">
        <w:rPr>
          <w:rFonts w:ascii="Palatino Linotype" w:eastAsia="Palatino Linotype" w:hAnsi="Palatino Linotype" w:cs="Palatino Linotype"/>
        </w:rPr>
        <w:t>abocará</w:t>
      </w:r>
      <w:r w:rsidRPr="00A473A4">
        <w:rPr>
          <w:rFonts w:ascii="Palatino Linotype" w:eastAsia="Palatino Linotype" w:hAnsi="Palatino Linotype" w:cs="Palatino Linotype"/>
          <w:color w:val="000000"/>
        </w:rPr>
        <w:t xml:space="preserve"> en determinar si el </w:t>
      </w:r>
      <w:r w:rsidRPr="00A473A4">
        <w:rPr>
          <w:rFonts w:ascii="Palatino Linotype" w:eastAsia="Palatino Linotype" w:hAnsi="Palatino Linotype" w:cs="Palatino Linotype"/>
          <w:b/>
          <w:bCs/>
          <w:color w:val="000000"/>
        </w:rPr>
        <w:t>SUJETO</w:t>
      </w:r>
      <w:r w:rsidRPr="00A473A4">
        <w:rPr>
          <w:rFonts w:ascii="Palatino Linotype" w:eastAsia="Palatino Linotype" w:hAnsi="Palatino Linotype" w:cs="Palatino Linotype"/>
          <w:color w:val="000000"/>
        </w:rPr>
        <w:t xml:space="preserve"> </w:t>
      </w:r>
      <w:r w:rsidRPr="00A473A4">
        <w:rPr>
          <w:rFonts w:ascii="Palatino Linotype" w:eastAsia="Palatino Linotype" w:hAnsi="Palatino Linotype" w:cs="Palatino Linotype"/>
          <w:b/>
          <w:bCs/>
          <w:color w:val="000000"/>
        </w:rPr>
        <w:t>OBLIGADO</w:t>
      </w:r>
      <w:r w:rsidRPr="00A473A4">
        <w:rPr>
          <w:rFonts w:ascii="Palatino Linotype" w:eastAsia="Palatino Linotype" w:hAnsi="Palatino Linotype" w:cs="Palatino Linotype"/>
          <w:color w:val="000000"/>
        </w:rPr>
        <w:t xml:space="preserve"> con su respuesta ciertamente actualiza la causal de procedencia</w:t>
      </w:r>
      <w:r w:rsidRPr="00A473A4">
        <w:rPr>
          <w:rFonts w:ascii="Palatino Linotype" w:eastAsia="Palatino Linotype" w:hAnsi="Palatino Linotype" w:cs="Palatino Linotype"/>
          <w:b/>
          <w:bCs/>
          <w:color w:val="000000"/>
        </w:rPr>
        <w:t xml:space="preserve"> </w:t>
      </w:r>
      <w:r w:rsidRPr="00A473A4">
        <w:rPr>
          <w:rFonts w:ascii="Palatino Linotype" w:eastAsia="Palatino Linotype" w:hAnsi="Palatino Linotype" w:cs="Palatino Linotype"/>
          <w:color w:val="000000"/>
        </w:rPr>
        <w:t xml:space="preserve">antes señalada. </w:t>
      </w:r>
    </w:p>
    <w:p w:rsidR="0051730B" w:rsidRPr="00A473A4" w:rsidRDefault="0051730B" w:rsidP="00A473A4">
      <w:pPr>
        <w:spacing w:line="360" w:lineRule="auto"/>
        <w:ind w:right="-943"/>
        <w:jc w:val="both"/>
        <w:rPr>
          <w:rFonts w:ascii="Palatino Linotype" w:eastAsia="Palatino Linotype" w:hAnsi="Palatino Linotype" w:cs="Palatino Linotype"/>
        </w:rPr>
      </w:pPr>
    </w:p>
    <w:p w:rsidR="0051730B" w:rsidRPr="00A473A4" w:rsidRDefault="0051730B" w:rsidP="00A473A4">
      <w:pPr>
        <w:pStyle w:val="Ttulo2"/>
        <w:spacing w:before="0" w:line="360" w:lineRule="auto"/>
        <w:ind w:right="-943"/>
        <w:rPr>
          <w:rFonts w:ascii="Palatino Linotype" w:eastAsia="Palatino Linotype" w:hAnsi="Palatino Linotype" w:cs="Palatino Linotype"/>
          <w:b/>
          <w:bCs/>
          <w:color w:val="000000"/>
          <w:sz w:val="24"/>
          <w:szCs w:val="24"/>
        </w:rPr>
      </w:pPr>
      <w:bookmarkStart w:id="5" w:name="_heading=h.xpti13hr6hpr" w:colFirst="0" w:colLast="0"/>
      <w:bookmarkEnd w:id="5"/>
      <w:r w:rsidRPr="00A473A4">
        <w:rPr>
          <w:rFonts w:ascii="Palatino Linotype" w:eastAsia="Palatino Linotype" w:hAnsi="Palatino Linotype" w:cs="Palatino Linotype"/>
          <w:b/>
          <w:bCs/>
          <w:color w:val="000000"/>
          <w:sz w:val="24"/>
          <w:szCs w:val="24"/>
        </w:rPr>
        <w:t>CUARTO. Del estudio y resolución del asunto.</w:t>
      </w:r>
    </w:p>
    <w:p w:rsidR="003978FE"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Acotada la </w:t>
      </w:r>
      <w:r w:rsidRPr="00A473A4">
        <w:rPr>
          <w:rFonts w:ascii="Palatino Linotype" w:eastAsia="Palatino Linotype" w:hAnsi="Palatino Linotype" w:cs="Palatino Linotype"/>
          <w:i/>
          <w:iCs/>
          <w:color w:val="000000"/>
        </w:rPr>
        <w:t>Litis</w:t>
      </w:r>
      <w:r w:rsidRPr="00A473A4">
        <w:rPr>
          <w:rFonts w:ascii="Palatino Linotype" w:eastAsia="Palatino Linotype" w:hAnsi="Palatino Linotype" w:cs="Palatino Linotype"/>
          <w:color w:val="000000"/>
        </w:rPr>
        <w:t xml:space="preserve"> del presente asunto, </w:t>
      </w:r>
      <w:r w:rsidR="003978FE" w:rsidRPr="00A473A4">
        <w:rPr>
          <w:rFonts w:ascii="Palatino Linotype" w:eastAsia="Palatino Linotype" w:hAnsi="Palatino Linotype" w:cs="Palatino Linotype"/>
          <w:color w:val="000000"/>
        </w:rPr>
        <w:t xml:space="preserve">respecto lo solicitado y la información proporcionada por el </w:t>
      </w:r>
      <w:r w:rsidR="003978FE" w:rsidRPr="00A473A4">
        <w:rPr>
          <w:rFonts w:ascii="Palatino Linotype" w:eastAsia="Palatino Linotype" w:hAnsi="Palatino Linotype" w:cs="Palatino Linotype"/>
          <w:b/>
          <w:color w:val="000000"/>
        </w:rPr>
        <w:t xml:space="preserve">SUJETO OBLIGADO, </w:t>
      </w:r>
      <w:r w:rsidR="003978FE" w:rsidRPr="00A473A4">
        <w:rPr>
          <w:rFonts w:ascii="Palatino Linotype" w:eastAsia="Palatino Linotype" w:hAnsi="Palatino Linotype" w:cs="Palatino Linotype"/>
          <w:color w:val="000000"/>
        </w:rPr>
        <w:t>se refiere lo siguiente:</w:t>
      </w:r>
    </w:p>
    <w:p w:rsidR="003978FE" w:rsidRPr="00A473A4" w:rsidRDefault="003978FE" w:rsidP="00A473A4">
      <w:pPr>
        <w:pBdr>
          <w:top w:val="nil"/>
          <w:left w:val="nil"/>
          <w:bottom w:val="nil"/>
          <w:right w:val="nil"/>
          <w:between w:val="nil"/>
        </w:pBdr>
        <w:tabs>
          <w:tab w:val="left" w:pos="0"/>
        </w:tabs>
        <w:spacing w:line="360" w:lineRule="auto"/>
        <w:ind w:right="-943"/>
        <w:jc w:val="both"/>
        <w:rPr>
          <w:rFonts w:ascii="Palatino Linotype" w:eastAsia="Palatino Linotype" w:hAnsi="Palatino Linotype" w:cs="Palatino Linotype"/>
          <w:color w:val="000000"/>
        </w:rPr>
      </w:pPr>
    </w:p>
    <w:tbl>
      <w:tblPr>
        <w:tblStyle w:val="Tablaconcuadrcula"/>
        <w:tblW w:w="9776" w:type="dxa"/>
        <w:tblLook w:val="04A0" w:firstRow="1" w:lastRow="0" w:firstColumn="1" w:lastColumn="0" w:noHBand="0" w:noVBand="1"/>
      </w:tblPr>
      <w:tblGrid>
        <w:gridCol w:w="2207"/>
        <w:gridCol w:w="2324"/>
        <w:gridCol w:w="2410"/>
        <w:gridCol w:w="2835"/>
      </w:tblGrid>
      <w:tr w:rsidR="003978FE" w:rsidRPr="00A473A4" w:rsidTr="00AB0AA2">
        <w:tc>
          <w:tcPr>
            <w:tcW w:w="2207" w:type="dxa"/>
            <w:vAlign w:val="center"/>
          </w:tcPr>
          <w:p w:rsidR="003978FE" w:rsidRPr="00A473A4" w:rsidRDefault="003978FE" w:rsidP="00A473A4">
            <w:pPr>
              <w:jc w:val="center"/>
              <w:rPr>
                <w:rFonts w:ascii="Palatino Linotype" w:hAnsi="Palatino Linotype"/>
                <w:b/>
              </w:rPr>
            </w:pPr>
            <w:r w:rsidRPr="00A473A4">
              <w:rPr>
                <w:rFonts w:ascii="Palatino Linotype" w:hAnsi="Palatino Linotype"/>
                <w:b/>
              </w:rPr>
              <w:t>Solicitud</w:t>
            </w:r>
          </w:p>
        </w:tc>
        <w:tc>
          <w:tcPr>
            <w:tcW w:w="2324" w:type="dxa"/>
            <w:vAlign w:val="center"/>
          </w:tcPr>
          <w:p w:rsidR="003978FE" w:rsidRPr="00A473A4" w:rsidRDefault="003978FE" w:rsidP="00A473A4">
            <w:pPr>
              <w:jc w:val="center"/>
              <w:rPr>
                <w:rFonts w:ascii="Palatino Linotype" w:hAnsi="Palatino Linotype"/>
                <w:b/>
              </w:rPr>
            </w:pPr>
            <w:r w:rsidRPr="00A473A4">
              <w:rPr>
                <w:rFonts w:ascii="Palatino Linotype" w:hAnsi="Palatino Linotype"/>
                <w:b/>
              </w:rPr>
              <w:t>Respuesta</w:t>
            </w:r>
          </w:p>
        </w:tc>
        <w:tc>
          <w:tcPr>
            <w:tcW w:w="2410" w:type="dxa"/>
            <w:vAlign w:val="center"/>
          </w:tcPr>
          <w:p w:rsidR="003978FE" w:rsidRPr="00A473A4" w:rsidRDefault="003978FE" w:rsidP="00A473A4">
            <w:pPr>
              <w:jc w:val="center"/>
              <w:rPr>
                <w:rFonts w:ascii="Palatino Linotype" w:hAnsi="Palatino Linotype"/>
                <w:b/>
              </w:rPr>
            </w:pPr>
            <w:r w:rsidRPr="00A473A4">
              <w:rPr>
                <w:rFonts w:ascii="Palatino Linotype" w:hAnsi="Palatino Linotype"/>
                <w:b/>
              </w:rPr>
              <w:t>Informe Justificado</w:t>
            </w:r>
          </w:p>
        </w:tc>
        <w:tc>
          <w:tcPr>
            <w:tcW w:w="2835" w:type="dxa"/>
            <w:vAlign w:val="center"/>
          </w:tcPr>
          <w:p w:rsidR="003978FE" w:rsidRPr="00A473A4" w:rsidRDefault="003978FE" w:rsidP="00A473A4">
            <w:pPr>
              <w:jc w:val="center"/>
              <w:rPr>
                <w:rFonts w:ascii="Palatino Linotype" w:hAnsi="Palatino Linotype"/>
                <w:b/>
              </w:rPr>
            </w:pPr>
            <w:r w:rsidRPr="00A473A4">
              <w:rPr>
                <w:rFonts w:ascii="Palatino Linotype" w:hAnsi="Palatino Linotype"/>
                <w:b/>
              </w:rPr>
              <w:t>¿Colma?</w:t>
            </w:r>
          </w:p>
        </w:tc>
      </w:tr>
      <w:tr w:rsidR="003978FE" w:rsidRPr="00A473A4" w:rsidTr="00AB0AA2">
        <w:tc>
          <w:tcPr>
            <w:tcW w:w="2207"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t xml:space="preserve">Refugios: Número de refugios operados o financiados por la </w:t>
            </w:r>
            <w:r w:rsidRPr="00A473A4">
              <w:rPr>
                <w:rFonts w:ascii="Palatino Linotype" w:hAnsi="Palatino Linotype"/>
              </w:rPr>
              <w:lastRenderedPageBreak/>
              <w:t>Secretaría y su capacidad máxima de pernocta por municipio.</w:t>
            </w:r>
          </w:p>
        </w:tc>
        <w:tc>
          <w:tcPr>
            <w:tcW w:w="2324"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lastRenderedPageBreak/>
              <w:t xml:space="preserve">Al respecto, me permito informar que, actualmente el Gobierno del </w:t>
            </w:r>
            <w:r w:rsidRPr="00A473A4">
              <w:rPr>
                <w:rFonts w:ascii="Palatino Linotype" w:hAnsi="Palatino Linotype"/>
              </w:rPr>
              <w:lastRenderedPageBreak/>
              <w:t>Estado de México, a través de la Secretaría de las Mujeres, cuenta con 8 Refugios para Mujeres, sus Hijas e Hijos en Situación de Violencia, 2 Casas de Transición para Mujeres, sus Hijas e Hijos en Situación de Violencia y 1 Refugio para Mujeres de la Diversidad Sexual en Situación de Violencia; con un total de 76 vínculos (espacios para brindar alojamiento, refugio o pernocta); para atención diaria, los cuales se encuentran ubicados de manera estratégica en el Estado de México, para atender a los 125 municipios que conforman la entidad.</w:t>
            </w:r>
          </w:p>
        </w:tc>
        <w:tc>
          <w:tcPr>
            <w:tcW w:w="2410"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lastRenderedPageBreak/>
              <w:t xml:space="preserve">La Dirección General de Prevención y Atención a la </w:t>
            </w:r>
            <w:r w:rsidRPr="00A473A4">
              <w:rPr>
                <w:rFonts w:ascii="Palatino Linotype" w:hAnsi="Palatino Linotype"/>
              </w:rPr>
              <w:lastRenderedPageBreak/>
              <w:t>Violencia, precisando que no se cuenta con refugios en cada municipio del Estado de México, sino que solo se cuenta con 8 refugios para mujeres sus hijos e hijos en situación de violencia, 2 casas de transición y 1 refugio para mujeres de la diversidad sexual, precisando que con ello, se atiende a los 125 municipios de la entidad mexiquense.</w:t>
            </w:r>
          </w:p>
        </w:tc>
        <w:tc>
          <w:tcPr>
            <w:tcW w:w="2835" w:type="dxa"/>
            <w:vAlign w:val="center"/>
          </w:tcPr>
          <w:p w:rsidR="003978FE" w:rsidRPr="00A473A4" w:rsidRDefault="003978FE" w:rsidP="00A473A4">
            <w:pPr>
              <w:ind w:right="-108"/>
              <w:jc w:val="both"/>
              <w:rPr>
                <w:rFonts w:ascii="Palatino Linotype" w:hAnsi="Palatino Linotype"/>
              </w:rPr>
            </w:pPr>
            <w:r w:rsidRPr="00A473A4">
              <w:rPr>
                <w:rFonts w:ascii="Palatino Linotype" w:hAnsi="Palatino Linotype"/>
              </w:rPr>
              <w:lastRenderedPageBreak/>
              <w:t xml:space="preserve">Parcialmente, ya que el Sujeto Obligado fue preciso en referir el número de refugios y el </w:t>
            </w:r>
            <w:r w:rsidRPr="00A473A4">
              <w:rPr>
                <w:rFonts w:ascii="Palatino Linotype" w:hAnsi="Palatino Linotype"/>
              </w:rPr>
              <w:lastRenderedPageBreak/>
              <w:t xml:space="preserve">total de 76 espacios para brindar alojamiento. Sin embargo, no se proporcionó la capacidad de pernocta de cada uno de los refugios referidos. </w:t>
            </w:r>
          </w:p>
        </w:tc>
      </w:tr>
      <w:tr w:rsidR="003978FE" w:rsidRPr="00A473A4" w:rsidTr="00AB0AA2">
        <w:tc>
          <w:tcPr>
            <w:tcW w:w="2207"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lastRenderedPageBreak/>
              <w:t xml:space="preserve">Línea de Ayuda: Estadísticas mensuales de llamadas recibidas </w:t>
            </w:r>
            <w:r w:rsidRPr="00A473A4">
              <w:rPr>
                <w:rFonts w:ascii="Palatino Linotype" w:hAnsi="Palatino Linotype"/>
              </w:rPr>
              <w:lastRenderedPageBreak/>
              <w:t>en la línea de atención de emergencias, desglosadas por tipo de violencia reportada.</w:t>
            </w:r>
            <w:r w:rsidRPr="00A473A4">
              <w:rPr>
                <w:rFonts w:ascii="Palatino Linotype" w:hAnsi="Palatino Linotype" w:cs="Arial"/>
              </w:rPr>
              <w:t>​</w:t>
            </w:r>
          </w:p>
        </w:tc>
        <w:tc>
          <w:tcPr>
            <w:tcW w:w="2324"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lastRenderedPageBreak/>
              <w:t xml:space="preserve">Se entregó la estadística del año 2026 de los meses de enero, febrero y </w:t>
            </w:r>
            <w:r w:rsidRPr="00A473A4">
              <w:rPr>
                <w:rFonts w:ascii="Palatino Linotype" w:hAnsi="Palatino Linotype"/>
              </w:rPr>
              <w:lastRenderedPageBreak/>
              <w:t>marzo, por tipo de violencia.</w:t>
            </w:r>
          </w:p>
        </w:tc>
        <w:tc>
          <w:tcPr>
            <w:tcW w:w="2410"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lastRenderedPageBreak/>
              <w:t xml:space="preserve"> Se confirma respuesta primigenia.</w:t>
            </w:r>
          </w:p>
        </w:tc>
        <w:tc>
          <w:tcPr>
            <w:tcW w:w="2835" w:type="dxa"/>
            <w:vAlign w:val="center"/>
          </w:tcPr>
          <w:p w:rsidR="003978FE" w:rsidRPr="00A473A4" w:rsidRDefault="003978FE" w:rsidP="00A473A4">
            <w:pPr>
              <w:ind w:right="-108"/>
              <w:jc w:val="both"/>
              <w:rPr>
                <w:rFonts w:ascii="Palatino Linotype" w:hAnsi="Palatino Linotype"/>
              </w:rPr>
            </w:pPr>
            <w:r w:rsidRPr="00A473A4">
              <w:rPr>
                <w:rFonts w:ascii="Palatino Linotype" w:hAnsi="Palatino Linotype"/>
              </w:rPr>
              <w:t xml:space="preserve">Parcialmente, ya que derivado de que no se proporcionó temporalidad de la </w:t>
            </w:r>
            <w:r w:rsidRPr="00A473A4">
              <w:rPr>
                <w:rFonts w:ascii="Palatino Linotype" w:hAnsi="Palatino Linotype"/>
              </w:rPr>
              <w:lastRenderedPageBreak/>
              <w:t>información proporcionada, se debió atender la información de un año previo, es decir, del seis de mayo de dos mil veinticinco al seis de mayo de dos mil veintiséis.</w:t>
            </w:r>
          </w:p>
        </w:tc>
      </w:tr>
      <w:tr w:rsidR="003978FE" w:rsidRPr="00A473A4" w:rsidTr="00AB0AA2">
        <w:tc>
          <w:tcPr>
            <w:tcW w:w="2207"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lastRenderedPageBreak/>
              <w:t>Protocolos: Copia íntegra del protocolo de actuación para la atención de mujeres víctimas de violencia digital (Ley Olimpia).</w:t>
            </w:r>
          </w:p>
        </w:tc>
        <w:tc>
          <w:tcPr>
            <w:tcW w:w="2324"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t xml:space="preserve">Se informó que no se cuenta con un protocolo exclusivo para la modalidad de violencia digital, toda vez que se implementan protocolos generales de atención por cada servicio que se presta; con los cuales, de ser el cado se atiende a una persona víctima de violencia digital. </w:t>
            </w:r>
          </w:p>
        </w:tc>
        <w:tc>
          <w:tcPr>
            <w:tcW w:w="2410"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t>Se informó que no se cuenta con un protocolo exclusivo para la modalidad de violencia digital, no obstante, se remitió un link en formato cerrado en el que refirió se encuentran los protocolos con los que cuenta.</w:t>
            </w:r>
          </w:p>
        </w:tc>
        <w:tc>
          <w:tcPr>
            <w:tcW w:w="2835" w:type="dxa"/>
            <w:vAlign w:val="center"/>
          </w:tcPr>
          <w:p w:rsidR="003978FE" w:rsidRPr="00A473A4" w:rsidRDefault="003978FE" w:rsidP="00A473A4">
            <w:pPr>
              <w:ind w:right="-108"/>
              <w:jc w:val="both"/>
              <w:rPr>
                <w:rFonts w:ascii="Palatino Linotype" w:hAnsi="Palatino Linotype"/>
              </w:rPr>
            </w:pPr>
            <w:r w:rsidRPr="00A473A4">
              <w:rPr>
                <w:rFonts w:ascii="Palatino Linotype" w:hAnsi="Palatino Linotype"/>
              </w:rPr>
              <w:t>Si, ya que el Sujeto Obligado fue preciso en referir que no cuenta con el protocolo en especial, asimismo, este Órgano Resolutor no advierte dentro de la página oficial del Sujeto Obligado, un protocolo que corresponda al solicitado.</w:t>
            </w:r>
          </w:p>
        </w:tc>
      </w:tr>
      <w:tr w:rsidR="003978FE" w:rsidRPr="00A473A4" w:rsidTr="00AB0AA2">
        <w:tc>
          <w:tcPr>
            <w:tcW w:w="2207"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t>Centros de Justicia: Ubicación y horarios de atención de todos los Centros de Justicia para las Mujeres que dependen de su presupuesto.</w:t>
            </w:r>
          </w:p>
        </w:tc>
        <w:tc>
          <w:tcPr>
            <w:tcW w:w="2324"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t>Se informó que dichos centros se encuentran adscritos a la Fiscalía General de Justicia del Estado de México.</w:t>
            </w:r>
          </w:p>
        </w:tc>
        <w:tc>
          <w:tcPr>
            <w:tcW w:w="2410"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t xml:space="preserve">No se realizó pronunciamiento al respecto. </w:t>
            </w:r>
          </w:p>
        </w:tc>
        <w:tc>
          <w:tcPr>
            <w:tcW w:w="2835" w:type="dxa"/>
            <w:vAlign w:val="center"/>
          </w:tcPr>
          <w:p w:rsidR="003978FE" w:rsidRPr="00A473A4" w:rsidRDefault="003978FE" w:rsidP="00A473A4">
            <w:pPr>
              <w:ind w:right="-108"/>
              <w:jc w:val="both"/>
              <w:rPr>
                <w:rFonts w:ascii="Palatino Linotype" w:hAnsi="Palatino Linotype"/>
              </w:rPr>
            </w:pPr>
            <w:r w:rsidRPr="00A473A4">
              <w:rPr>
                <w:rFonts w:ascii="Palatino Linotype" w:hAnsi="Palatino Linotype"/>
              </w:rPr>
              <w:t>Si, ya que no se advierte inconformidad al respecto, en consecuencia, se trata de actos consentidos.</w:t>
            </w:r>
          </w:p>
        </w:tc>
      </w:tr>
      <w:tr w:rsidR="003978FE" w:rsidRPr="00A473A4" w:rsidTr="00AB0AA2">
        <w:tc>
          <w:tcPr>
            <w:tcW w:w="2207"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lastRenderedPageBreak/>
              <w:t>Unidades Móviles: Calendario y rutas de las unidades móviles de atención jurídica y psicológica programadas para el presente trimestre.</w:t>
            </w:r>
          </w:p>
        </w:tc>
        <w:tc>
          <w:tcPr>
            <w:tcW w:w="2324" w:type="dxa"/>
            <w:vAlign w:val="center"/>
          </w:tcPr>
          <w:p w:rsidR="003978FE" w:rsidRPr="00A473A4" w:rsidRDefault="003978FE" w:rsidP="00A473A4">
            <w:pPr>
              <w:jc w:val="both"/>
              <w:rPr>
                <w:rFonts w:ascii="Palatino Linotype" w:hAnsi="Palatino Linotype"/>
              </w:rPr>
            </w:pPr>
            <w:r w:rsidRPr="00A473A4">
              <w:rPr>
                <w:rFonts w:ascii="Palatino Linotype" w:hAnsi="Palatino Linotype"/>
              </w:rPr>
              <w:t xml:space="preserve">Informo que la calendarización corresponde a la Consejería Jurídica. </w:t>
            </w:r>
          </w:p>
          <w:p w:rsidR="003978FE" w:rsidRPr="00A473A4" w:rsidRDefault="003978FE" w:rsidP="00A473A4">
            <w:pPr>
              <w:jc w:val="both"/>
              <w:rPr>
                <w:rFonts w:ascii="Palatino Linotype" w:hAnsi="Palatino Linotype"/>
              </w:rPr>
            </w:pPr>
          </w:p>
          <w:p w:rsidR="003978FE" w:rsidRPr="00A473A4" w:rsidRDefault="003978FE" w:rsidP="00A473A4">
            <w:pPr>
              <w:jc w:val="both"/>
              <w:rPr>
                <w:rFonts w:ascii="Palatino Linotype" w:hAnsi="Palatino Linotype"/>
              </w:rPr>
            </w:pPr>
            <w:r w:rsidRPr="00A473A4">
              <w:rPr>
                <w:rFonts w:ascii="Palatino Linotype" w:hAnsi="Palatino Linotype"/>
              </w:rPr>
              <w:t>Informo que los Ayuntamientos llevan a cabo la solicitud para brindar el servicio de acuerdo a sus agendad y necesidades.</w:t>
            </w:r>
          </w:p>
        </w:tc>
        <w:tc>
          <w:tcPr>
            <w:tcW w:w="2410" w:type="dxa"/>
            <w:vAlign w:val="center"/>
          </w:tcPr>
          <w:p w:rsidR="003978FE" w:rsidRPr="00A473A4" w:rsidRDefault="00AB0AA2" w:rsidP="00A473A4">
            <w:pPr>
              <w:jc w:val="both"/>
              <w:rPr>
                <w:rFonts w:ascii="Palatino Linotype" w:hAnsi="Palatino Linotype"/>
              </w:rPr>
            </w:pPr>
            <w:r w:rsidRPr="00A473A4">
              <w:rPr>
                <w:rFonts w:ascii="Palatino Linotype" w:hAnsi="Palatino Linotype"/>
              </w:rPr>
              <w:t>Confirmó</w:t>
            </w:r>
            <w:r w:rsidR="003978FE" w:rsidRPr="00A473A4">
              <w:rPr>
                <w:rFonts w:ascii="Palatino Linotype" w:hAnsi="Palatino Linotype"/>
              </w:rPr>
              <w:t xml:space="preserve"> su respuesta primigenia.</w:t>
            </w:r>
          </w:p>
        </w:tc>
        <w:tc>
          <w:tcPr>
            <w:tcW w:w="2835" w:type="dxa"/>
            <w:vAlign w:val="center"/>
          </w:tcPr>
          <w:p w:rsidR="003978FE" w:rsidRPr="00A473A4" w:rsidRDefault="003978FE" w:rsidP="00A473A4">
            <w:pPr>
              <w:ind w:right="-108"/>
              <w:jc w:val="both"/>
              <w:rPr>
                <w:rFonts w:ascii="Palatino Linotype" w:hAnsi="Palatino Linotype"/>
              </w:rPr>
            </w:pPr>
            <w:r w:rsidRPr="00A473A4">
              <w:rPr>
                <w:rFonts w:ascii="Palatino Linotype" w:hAnsi="Palatino Linotype"/>
              </w:rPr>
              <w:t>No, ya que para las unidades móviles operan mediante un calendario mensual o semanal, si bien es cierto, para la programación de las mismas, de acuerdo a lo que refiere la página oficial, se debe presentar una solicitud 15 días previos para solicitar la unidad según corresponda, sin embargo si forma parte de sus funciones y/o atribuciones y debió hacer entrega de la información con la que cuente a la fecha de la solicitud.</w:t>
            </w:r>
          </w:p>
        </w:tc>
      </w:tr>
    </w:tbl>
    <w:p w:rsidR="0051730B" w:rsidRPr="00A473A4" w:rsidRDefault="00A473A4" w:rsidP="00A473A4">
      <w:pPr>
        <w:pBdr>
          <w:top w:val="nil"/>
          <w:left w:val="nil"/>
          <w:bottom w:val="nil"/>
          <w:right w:val="nil"/>
          <w:between w:val="nil"/>
        </w:pBdr>
        <w:tabs>
          <w:tab w:val="left" w:pos="0"/>
          <w:tab w:val="left" w:pos="1535"/>
        </w:tabs>
        <w:spacing w:line="360" w:lineRule="auto"/>
        <w:ind w:right="-94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b/>
      </w:r>
    </w:p>
    <w:p w:rsidR="003978FE"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De lo anterior,</w:t>
      </w:r>
      <w:r w:rsidR="003978FE" w:rsidRPr="00A473A4">
        <w:rPr>
          <w:rFonts w:ascii="Palatino Linotype" w:eastAsia="Palatino Linotype" w:hAnsi="Palatino Linotype" w:cs="Palatino Linotype"/>
          <w:color w:val="000000"/>
        </w:rPr>
        <w:t xml:space="preserve"> se arriba a la conclusión de no tenerse por colmada en su totalidad la solicitud de información que nos ocupa, derivado de que como quedo referido en la tabla anterior, </w:t>
      </w:r>
      <w:r w:rsidR="003E4774" w:rsidRPr="00A473A4">
        <w:rPr>
          <w:rFonts w:ascii="Palatino Linotype" w:eastAsia="Palatino Linotype" w:hAnsi="Palatino Linotype" w:cs="Palatino Linotype"/>
          <w:color w:val="000000"/>
        </w:rPr>
        <w:t>razones suficientes para ordenar la búsqueda exhaustiva y razonable, a efecto de que haga entrega de la información solicitada.</w:t>
      </w:r>
    </w:p>
    <w:p w:rsidR="003E4774" w:rsidRPr="00A473A4" w:rsidRDefault="003E4774" w:rsidP="00A473A4">
      <w:pPr>
        <w:spacing w:line="360" w:lineRule="auto"/>
        <w:ind w:right="-943"/>
        <w:jc w:val="both"/>
        <w:rPr>
          <w:rFonts w:ascii="Palatino Linotype" w:eastAsia="Palatino Linotype" w:hAnsi="Palatino Linotype" w:cs="Palatino Linotype"/>
          <w:color w:val="000000"/>
        </w:rPr>
      </w:pPr>
    </w:p>
    <w:p w:rsidR="003E4774" w:rsidRPr="00A473A4" w:rsidRDefault="003E4774"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Atento a lo anterior, se ordena que se haga entrega de la capacidad de pernocta de cada uno de los refugios referidos en respuesta, las estadísticas mensuales de llamadas recibidas en la línea de atención de emergencias al mayor grado de desagregación faltantes, el calendario de las rutas de las unidades móviles de atención jurídica y psicológicas </w:t>
      </w:r>
      <w:r w:rsidRPr="00A473A4">
        <w:rPr>
          <w:rFonts w:ascii="Palatino Linotype" w:eastAsia="Palatino Linotype" w:hAnsi="Palatino Linotype" w:cs="Palatino Linotype"/>
          <w:color w:val="000000"/>
        </w:rPr>
        <w:lastRenderedPageBreak/>
        <w:t>programas en el trimestre correspondiente a los meses de abril-mayo-junio, con la que cuente al siete de abril de dos mil veintiséis, lo anterior, de ser procedente en versión pública.</w:t>
      </w:r>
    </w:p>
    <w:p w:rsidR="00CB07C7" w:rsidRPr="00A473A4" w:rsidRDefault="00CB07C7" w:rsidP="00A473A4">
      <w:pPr>
        <w:spacing w:line="360" w:lineRule="auto"/>
        <w:ind w:right="-943"/>
        <w:jc w:val="both"/>
        <w:rPr>
          <w:rFonts w:ascii="Palatino Linotype" w:eastAsia="Palatino Linotype" w:hAnsi="Palatino Linotype" w:cs="Palatino Linotype"/>
          <w:color w:val="000000"/>
        </w:rPr>
      </w:pPr>
    </w:p>
    <w:p w:rsidR="00CB07C7" w:rsidRPr="00A473A4" w:rsidRDefault="00CB07C7"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Ahora bien, resulta necesario referir que, relativo a lo que se ordena, el </w:t>
      </w:r>
      <w:r w:rsidRPr="00A473A4">
        <w:rPr>
          <w:rFonts w:ascii="Palatino Linotype" w:eastAsia="Palatino Linotype" w:hAnsi="Palatino Linotype" w:cs="Palatino Linotype"/>
          <w:b/>
          <w:color w:val="000000"/>
        </w:rPr>
        <w:t xml:space="preserve">SUJETO OBLIGADO, </w:t>
      </w:r>
      <w:r w:rsidRPr="00A473A4">
        <w:rPr>
          <w:rFonts w:ascii="Palatino Linotype" w:eastAsia="Palatino Linotype" w:hAnsi="Palatino Linotype" w:cs="Palatino Linotype"/>
          <w:color w:val="000000"/>
        </w:rPr>
        <w:t>asumió contar con la información solicitada y únicamente respecto el rubro referente a la calendarización solicitada, se informó que no remitió lo solicitado por no ser de su competencia, por lo que al respecto, se refiere lo siguiente:</w:t>
      </w:r>
    </w:p>
    <w:p w:rsidR="00CB07C7" w:rsidRPr="00A473A4" w:rsidRDefault="00CB07C7" w:rsidP="00A473A4">
      <w:pPr>
        <w:spacing w:line="360" w:lineRule="auto"/>
        <w:ind w:right="-943"/>
        <w:jc w:val="center"/>
        <w:rPr>
          <w:rFonts w:ascii="Palatino Linotype" w:eastAsia="Palatino Linotype" w:hAnsi="Palatino Linotype" w:cs="Palatino Linotype"/>
          <w:b/>
          <w:color w:val="000000"/>
        </w:rPr>
      </w:pPr>
      <w:r w:rsidRPr="00A473A4">
        <w:rPr>
          <w:rFonts w:ascii="Palatino Linotype" w:eastAsia="Palatino Linotype" w:hAnsi="Palatino Linotype" w:cs="Palatino Linotype"/>
          <w:b/>
          <w:color w:val="000000"/>
        </w:rPr>
        <w:t>Manual de Organización de la Secretaría de las Mujeres</w:t>
      </w:r>
    </w:p>
    <w:p w:rsidR="00CB07C7" w:rsidRPr="00A473A4" w:rsidRDefault="00CB07C7" w:rsidP="00A473A4">
      <w:pPr>
        <w:ind w:left="709" w:right="-943"/>
        <w:jc w:val="both"/>
        <w:rPr>
          <w:rFonts w:ascii="Palatino Linotype" w:eastAsia="Palatino Linotype" w:hAnsi="Palatino Linotype" w:cs="Palatino Linotype"/>
          <w:b/>
          <w:i/>
          <w:color w:val="000000"/>
        </w:rPr>
      </w:pPr>
      <w:r w:rsidRPr="00A473A4">
        <w:rPr>
          <w:rFonts w:ascii="Palatino Linotype" w:eastAsia="Palatino Linotype" w:hAnsi="Palatino Linotype" w:cs="Palatino Linotype"/>
          <w:b/>
          <w:i/>
          <w:color w:val="000000"/>
        </w:rPr>
        <w:t xml:space="preserve">22700000060000S COORDINACIÓN JURÍDICA, DE IGUALDAD DE GÉNERO Y ERRADICACIÓN DE LA VIOLENCIA </w:t>
      </w:r>
    </w:p>
    <w:p w:rsidR="00CB07C7" w:rsidRPr="00A473A4" w:rsidRDefault="00CB07C7" w:rsidP="00A473A4">
      <w:pPr>
        <w:ind w:left="709" w:right="-943"/>
        <w:jc w:val="both"/>
        <w:rPr>
          <w:rFonts w:ascii="Palatino Linotype" w:eastAsia="Palatino Linotype" w:hAnsi="Palatino Linotype" w:cs="Palatino Linotype"/>
          <w:b/>
          <w:i/>
          <w:color w:val="000000"/>
        </w:rPr>
      </w:pPr>
    </w:p>
    <w:p w:rsidR="003978FE" w:rsidRPr="00A473A4" w:rsidRDefault="00CB07C7" w:rsidP="00A473A4">
      <w:pPr>
        <w:ind w:left="709" w:right="-943"/>
        <w:jc w:val="both"/>
        <w:rPr>
          <w:rFonts w:ascii="Palatino Linotype" w:eastAsia="Palatino Linotype" w:hAnsi="Palatino Linotype" w:cs="Palatino Linotype"/>
          <w:i/>
          <w:color w:val="000000"/>
        </w:rPr>
      </w:pPr>
      <w:r w:rsidRPr="00A473A4">
        <w:rPr>
          <w:rFonts w:ascii="Palatino Linotype" w:eastAsia="Palatino Linotype" w:hAnsi="Palatino Linotype" w:cs="Palatino Linotype"/>
          <w:b/>
          <w:i/>
          <w:color w:val="000000"/>
        </w:rPr>
        <w:t>OBJETIVO</w:t>
      </w:r>
      <w:r w:rsidRPr="00A473A4">
        <w:rPr>
          <w:rFonts w:ascii="Palatino Linotype" w:eastAsia="Palatino Linotype" w:hAnsi="Palatino Linotype" w:cs="Palatino Linotype"/>
          <w:i/>
          <w:color w:val="000000"/>
        </w:rPr>
        <w:t>: Planear, organizar y realizar las actividades de representación, defensa, asesoría y gestión de los intereses jurídicos de la Secretaría, así como efectuar el análisis, la elaboración e interpretación de proyectos de iniciativas de ley, reglamentos, acuerdos, convenios, contratos y demás disposiciones que regulen la actuación jurídica y administrativa de la dependencia y de los organismos auxiliares sectorizados a ésta; asimismo, instrumentar las acciones necesarias para dar cumplimiento a las atribuciones al interior de la Secretaría, mediante la adopción de prácticas institucionales, a fin de prevenir cualquier forma de violencia, desigualdad y discriminación en razón de género.</w:t>
      </w:r>
    </w:p>
    <w:p w:rsidR="003978FE" w:rsidRPr="00A473A4" w:rsidRDefault="003978FE" w:rsidP="00A473A4">
      <w:pPr>
        <w:pBdr>
          <w:top w:val="nil"/>
          <w:left w:val="nil"/>
          <w:bottom w:val="nil"/>
          <w:right w:val="nil"/>
          <w:between w:val="nil"/>
        </w:pBdr>
        <w:tabs>
          <w:tab w:val="left" w:pos="0"/>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 </w:t>
      </w:r>
      <w:r w:rsidR="008F58D8" w:rsidRPr="00A473A4">
        <w:rPr>
          <w:rFonts w:ascii="Palatino Linotype" w:eastAsia="Palatino Linotype" w:hAnsi="Palatino Linotype" w:cs="Palatino Linotype"/>
          <w:color w:val="000000"/>
        </w:rPr>
        <w:t xml:space="preserve">Es por lo anterior, que se ordena la búsqueda exhaustiva y razonable a efecto de que se haga entrega de la calendarización solicitada, ya que de acuerdo al deber se documentar que le asiste al </w:t>
      </w:r>
      <w:r w:rsidR="008F58D8" w:rsidRPr="00A473A4">
        <w:rPr>
          <w:rFonts w:ascii="Palatino Linotype" w:eastAsia="Palatino Linotype" w:hAnsi="Palatino Linotype" w:cs="Palatino Linotype"/>
          <w:b/>
          <w:color w:val="000000"/>
        </w:rPr>
        <w:t xml:space="preserve">SUJETO OBLIGADO, </w:t>
      </w:r>
      <w:r w:rsidR="008F58D8" w:rsidRPr="00A473A4">
        <w:rPr>
          <w:rFonts w:ascii="Palatino Linotype" w:eastAsia="Palatino Linotype" w:hAnsi="Palatino Linotype" w:cs="Palatino Linotype"/>
          <w:color w:val="000000"/>
        </w:rPr>
        <w:t>dicha información debe obrar en sus archivos, siendo de manera enunciativa más no limitativa la Coordinación Jurídica, de Igualdad de Género y Erradicación de la Violencia.</w:t>
      </w:r>
    </w:p>
    <w:p w:rsidR="0051730B" w:rsidRPr="00A473A4" w:rsidRDefault="0051730B" w:rsidP="00A473A4">
      <w:pPr>
        <w:tabs>
          <w:tab w:val="left" w:pos="0"/>
        </w:tabs>
        <w:spacing w:line="360" w:lineRule="auto"/>
        <w:ind w:right="-943"/>
        <w:jc w:val="both"/>
        <w:rPr>
          <w:rFonts w:ascii="Palatino Linotype" w:eastAsia="Palatino Linotype" w:hAnsi="Palatino Linotype" w:cs="Palatino Linotype"/>
          <w:b/>
          <w:bCs/>
          <w:color w:val="000000"/>
        </w:rPr>
      </w:pP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Al respecto, el derecho de acceso a la información pública es un derecho humano constitucionalmente reconocido en consecuencia todas las autoridades en el ámbito de sus </w:t>
      </w:r>
      <w:r w:rsidRPr="00A473A4">
        <w:rPr>
          <w:rFonts w:ascii="Palatino Linotype" w:eastAsia="Palatino Linotype" w:hAnsi="Palatino Linotype" w:cs="Palatino Linotype"/>
          <w:color w:val="000000"/>
        </w:rPr>
        <w:lastRenderedPageBreak/>
        <w:t xml:space="preserve">competencias, funciones y atribuciones tienen la obligación de respetarlo, protegerlo y </w:t>
      </w:r>
      <w:r w:rsidRPr="00A473A4">
        <w:rPr>
          <w:rFonts w:ascii="Palatino Linotype" w:eastAsia="Palatino Linotype" w:hAnsi="Palatino Linotype" w:cs="Palatino Linotype"/>
        </w:rPr>
        <w:t>garantizar</w:t>
      </w:r>
      <w:r w:rsidRPr="00A473A4">
        <w:rPr>
          <w:rFonts w:ascii="Palatino Linotype" w:eastAsia="Palatino Linotype" w:hAnsi="Palatino Linotype" w:cs="Palatino Linotype"/>
          <w:color w:val="000000"/>
        </w:rPr>
        <w:t xml:space="preserve">, así también </w:t>
      </w:r>
      <w:r w:rsidRPr="00A473A4">
        <w:rPr>
          <w:rFonts w:ascii="Palatino Linotype" w:eastAsia="Palatino Linotype" w:hAnsi="Palatino Linotype" w:cs="Palatino Linotype"/>
          <w:b/>
          <w:bCs/>
          <w:color w:val="000000"/>
        </w:rPr>
        <w:t>es su deber turnar la solicitud de información a todas las áreas dentro de su estructura orgánica que pudieran contar con lo solicitado</w:t>
      </w:r>
      <w:r w:rsidRPr="00A473A4">
        <w:rPr>
          <w:rFonts w:ascii="Palatino Linotype" w:eastAsia="Palatino Linotype" w:hAnsi="Palatino Linotype" w:cs="Palatino Linotype"/>
          <w:color w:val="000000"/>
        </w:rPr>
        <w:t>, a fin de dar cabal cumplimiento al derecho humano constitucionalmente reconocido.</w:t>
      </w:r>
    </w:p>
    <w:p w:rsidR="0051730B" w:rsidRPr="00A473A4" w:rsidRDefault="0051730B" w:rsidP="00A473A4">
      <w:pPr>
        <w:spacing w:line="360" w:lineRule="auto"/>
        <w:ind w:right="-943"/>
        <w:jc w:val="both"/>
        <w:rPr>
          <w:rFonts w:ascii="Palatino Linotype" w:eastAsia="Palatino Linotype" w:hAnsi="Palatino Linotype" w:cs="Palatino Linotype"/>
          <w:b/>
          <w:bCs/>
        </w:rPr>
      </w:pP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b/>
          <w:bCs/>
          <w:color w:val="000000"/>
        </w:rPr>
      </w:pPr>
      <w:r w:rsidRPr="00A473A4">
        <w:rPr>
          <w:rFonts w:ascii="Palatino Linotype" w:eastAsia="Palatino Linotype" w:hAnsi="Palatino Linotype" w:cs="Palatino Linotype"/>
          <w:color w:val="000000"/>
        </w:rPr>
        <w:t>En esa tesitura, el procedimiento de acceso a la información pública, descrito en el Título Séptimo de la Ley de Transparencia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rsidR="0051730B" w:rsidRPr="00A473A4" w:rsidRDefault="0051730B" w:rsidP="00A473A4">
      <w:pPr>
        <w:spacing w:line="360" w:lineRule="auto"/>
        <w:ind w:left="567" w:right="-943"/>
        <w:jc w:val="both"/>
        <w:rPr>
          <w:rFonts w:ascii="Palatino Linotype" w:eastAsia="Palatino Linotype" w:hAnsi="Palatino Linotype" w:cs="Palatino Linotype"/>
          <w:i/>
          <w:iCs/>
          <w:u w:val="single"/>
        </w:rPr>
      </w:pPr>
      <w:r w:rsidRPr="00A473A4">
        <w:rPr>
          <w:rFonts w:ascii="Palatino Linotype" w:eastAsia="Palatino Linotype" w:hAnsi="Palatino Linotype" w:cs="Palatino Linotype"/>
          <w:b/>
          <w:bCs/>
          <w:i/>
          <w:iCs/>
        </w:rPr>
        <w:t>“Artículo 162.</w:t>
      </w:r>
      <w:r w:rsidRPr="00A473A4">
        <w:rPr>
          <w:rFonts w:ascii="Palatino Linotype" w:eastAsia="Palatino Linotype" w:hAnsi="Palatino Linotype" w:cs="Palatino Linotype"/>
          <w:i/>
          <w:iCs/>
        </w:rPr>
        <w:t xml:space="preserve"> </w:t>
      </w:r>
      <w:r w:rsidRPr="00A473A4">
        <w:rPr>
          <w:rFonts w:ascii="Palatino Linotype" w:eastAsia="Palatino Linotype" w:hAnsi="Palatino Linotype" w:cs="Palatino Linotype"/>
          <w:i/>
          <w:iCs/>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51730B" w:rsidRPr="00A473A4" w:rsidRDefault="0051730B" w:rsidP="00A473A4">
      <w:pPr>
        <w:spacing w:line="360" w:lineRule="auto"/>
        <w:ind w:left="567" w:right="-943"/>
        <w:jc w:val="both"/>
        <w:rPr>
          <w:rFonts w:ascii="Palatino Linotype" w:eastAsia="Palatino Linotype" w:hAnsi="Palatino Linotype" w:cs="Palatino Linotype"/>
          <w:i/>
          <w:iCs/>
        </w:rPr>
      </w:pP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 local.</w:t>
      </w:r>
    </w:p>
    <w:p w:rsidR="0051730B" w:rsidRPr="00A473A4" w:rsidRDefault="0051730B" w:rsidP="00A473A4">
      <w:pPr>
        <w:spacing w:line="360" w:lineRule="auto"/>
        <w:ind w:right="-943"/>
        <w:jc w:val="both"/>
        <w:rPr>
          <w:rFonts w:ascii="Palatino Linotype" w:eastAsia="Palatino Linotype" w:hAnsi="Palatino Linotype" w:cs="Palatino Linotype"/>
        </w:rPr>
      </w:pP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De la normatividad en cita, se desprende que las Unidades de Transparencia, se erigen como el área responsable en cada Sujeto Obligado que tiene a su cargo la atención de las solicitudes de información que se realicen al amparo de la Ley. </w:t>
      </w: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lastRenderedPageBreak/>
        <w:t xml:space="preserve">El responsable de dicha área funge como enlace entre </w:t>
      </w:r>
      <w:r w:rsidRPr="00A473A4">
        <w:rPr>
          <w:rFonts w:ascii="Palatino Linotype" w:eastAsia="Palatino Linotype" w:hAnsi="Palatino Linotype" w:cs="Palatino Linotype"/>
          <w:b/>
          <w:bCs/>
          <w:color w:val="000000"/>
        </w:rPr>
        <w:t>EL SUJETO OBLIGADO</w:t>
      </w:r>
      <w:r w:rsidRPr="00A473A4">
        <w:rPr>
          <w:rFonts w:ascii="Palatino Linotype" w:eastAsia="Palatino Linotype" w:hAnsi="Palatino Linotype" w:cs="Palatino Linotype"/>
          <w:color w:val="000000"/>
        </w:rPr>
        <w:t xml:space="preserve"> y los solicitantes, y tiene bajo su responsabilidad el tramitar internamente la solicitud de información.</w:t>
      </w:r>
    </w:p>
    <w:p w:rsidR="0051730B" w:rsidRPr="00A473A4" w:rsidRDefault="0051730B" w:rsidP="00A473A4">
      <w:pPr>
        <w:pBdr>
          <w:top w:val="nil"/>
          <w:left w:val="nil"/>
          <w:bottom w:val="nil"/>
          <w:right w:val="nil"/>
          <w:between w:val="nil"/>
        </w:pBdr>
        <w:spacing w:line="360" w:lineRule="auto"/>
        <w:ind w:left="360" w:right="-943"/>
        <w:jc w:val="both"/>
        <w:rPr>
          <w:rFonts w:ascii="Palatino Linotype" w:eastAsia="Palatino Linotype" w:hAnsi="Palatino Linotype" w:cs="Palatino Linotype"/>
          <w:b/>
          <w:bCs/>
          <w:color w:val="000000"/>
        </w:rPr>
      </w:pP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De tal manera que, si bien, el Titular de la Unidad de Transparencia no tiene bajo su resguardo el archivo que contiene la documentación en donde consta la información solicitada, sino que pudiera obrar en las distintas áreas que conforman la estructura del </w:t>
      </w:r>
      <w:r w:rsidRPr="00A473A4">
        <w:rPr>
          <w:rFonts w:ascii="Palatino Linotype" w:eastAsia="Palatino Linotype" w:hAnsi="Palatino Linotype" w:cs="Palatino Linotype"/>
          <w:b/>
          <w:bCs/>
          <w:color w:val="000000"/>
        </w:rPr>
        <w:t xml:space="preserve">SUJETO OBLIGADO; </w:t>
      </w:r>
      <w:r w:rsidRPr="00A473A4">
        <w:rPr>
          <w:rFonts w:ascii="Palatino Linotype" w:eastAsia="Palatino Linotype" w:hAnsi="Palatino Linotype" w:cs="Palatino Linotype"/>
          <w:color w:val="000000"/>
        </w:rPr>
        <w:t>es por ello que, debe turnar la solicitud a todas las áreas que conforme a sus atribuciones y funciones generen, administren o posean la información requerida por la particular; pues tienen como función, buscar, localizar y poseer la información, así como entregarla.</w:t>
      </w:r>
    </w:p>
    <w:p w:rsidR="0051730B" w:rsidRPr="00A473A4" w:rsidRDefault="0051730B" w:rsidP="00A473A4">
      <w:pPr>
        <w:pBdr>
          <w:top w:val="nil"/>
          <w:left w:val="nil"/>
          <w:bottom w:val="nil"/>
          <w:right w:val="nil"/>
          <w:between w:val="nil"/>
        </w:pBdr>
        <w:spacing w:line="360" w:lineRule="auto"/>
        <w:ind w:left="360" w:right="-943"/>
        <w:jc w:val="both"/>
        <w:rPr>
          <w:rFonts w:ascii="Palatino Linotype" w:eastAsia="Palatino Linotype" w:hAnsi="Palatino Linotype" w:cs="Palatino Linotype"/>
          <w:color w:val="000000"/>
        </w:rPr>
      </w:pP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b/>
          <w:bCs/>
        </w:rPr>
        <w:t xml:space="preserve"> </w:t>
      </w:r>
      <w:r w:rsidRPr="00A473A4">
        <w:rPr>
          <w:rFonts w:ascii="Palatino Linotype" w:eastAsia="Palatino Linotype" w:hAnsi="Palatino Linotype" w:cs="Palatino Linotype"/>
          <w:color w:val="000000"/>
        </w:rPr>
        <w:t xml:space="preserve">Es así que, le corresponde al Titular de la Unidad de Transparencia el garantizar que las solicitudes se turnen a las áreas competentes que puedan contar con la información, con el objeto de que se realice una búsqueda exhaustiva y razonable de la misma. </w:t>
      </w:r>
    </w:p>
    <w:p w:rsidR="0051730B" w:rsidRPr="00A473A4" w:rsidRDefault="0051730B" w:rsidP="00A473A4">
      <w:pPr>
        <w:pBdr>
          <w:top w:val="nil"/>
          <w:left w:val="nil"/>
          <w:bottom w:val="nil"/>
          <w:right w:val="nil"/>
          <w:between w:val="nil"/>
        </w:pBdr>
        <w:tabs>
          <w:tab w:val="left" w:pos="0"/>
        </w:tabs>
        <w:spacing w:line="360" w:lineRule="auto"/>
        <w:ind w:right="-943"/>
        <w:jc w:val="both"/>
        <w:rPr>
          <w:rFonts w:ascii="Palatino Linotype" w:eastAsia="Palatino Linotype" w:hAnsi="Palatino Linotype" w:cs="Palatino Linotype"/>
          <w:color w:val="000000"/>
        </w:rPr>
      </w:pPr>
    </w:p>
    <w:p w:rsidR="0051730B" w:rsidRPr="00A473A4" w:rsidRDefault="00AB0AA2"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bCs/>
        </w:rPr>
        <w:t xml:space="preserve">Es </w:t>
      </w:r>
      <w:r w:rsidR="0051730B" w:rsidRPr="00A473A4">
        <w:rPr>
          <w:rFonts w:ascii="Palatino Linotype" w:eastAsia="Palatino Linotype" w:hAnsi="Palatino Linotype" w:cs="Palatino Linotype"/>
          <w:color w:val="000000"/>
        </w:rPr>
        <w:t xml:space="preserve">por lo anterior, que no se tiene por colmada en su totalidad la solicitud </w:t>
      </w:r>
      <w:r w:rsidR="003644CD" w:rsidRPr="00A473A4">
        <w:rPr>
          <w:rFonts w:ascii="Palatino Linotype" w:eastAsia="Palatino Linotype" w:hAnsi="Palatino Linotype" w:cs="Palatino Linotype"/>
          <w:b/>
          <w:bCs/>
          <w:color w:val="000000"/>
        </w:rPr>
        <w:t>00062/SEMUJS/IP/2026</w:t>
      </w:r>
      <w:r w:rsidR="0051730B" w:rsidRPr="00A473A4">
        <w:rPr>
          <w:rFonts w:ascii="Palatino Linotype" w:eastAsia="Palatino Linotype" w:hAnsi="Palatino Linotype" w:cs="Palatino Linotype"/>
          <w:b/>
          <w:bCs/>
          <w:color w:val="000000"/>
        </w:rPr>
        <w:t xml:space="preserve">, </w:t>
      </w:r>
      <w:r w:rsidR="0051730B" w:rsidRPr="00A473A4">
        <w:rPr>
          <w:rFonts w:ascii="Palatino Linotype" w:eastAsia="Palatino Linotype" w:hAnsi="Palatino Linotype" w:cs="Palatino Linotype"/>
          <w:color w:val="000000"/>
        </w:rPr>
        <w:t xml:space="preserve">que nos ocupa, resultando </w:t>
      </w:r>
      <w:r w:rsidR="0051730B" w:rsidRPr="00A473A4">
        <w:rPr>
          <w:rFonts w:ascii="Palatino Linotype" w:eastAsia="Palatino Linotype" w:hAnsi="Palatino Linotype" w:cs="Palatino Linotype"/>
          <w:b/>
          <w:bCs/>
          <w:color w:val="000000"/>
        </w:rPr>
        <w:t xml:space="preserve">MODIFICAR </w:t>
      </w:r>
      <w:r w:rsidR="0051730B" w:rsidRPr="00A473A4">
        <w:rPr>
          <w:rFonts w:ascii="Palatino Linotype" w:eastAsia="Palatino Linotype" w:hAnsi="Palatino Linotype" w:cs="Palatino Linotype"/>
          <w:color w:val="000000"/>
        </w:rPr>
        <w:t xml:space="preserve">la respuesta proporcionada por el </w:t>
      </w:r>
      <w:r w:rsidR="003644CD" w:rsidRPr="00A473A4">
        <w:rPr>
          <w:rFonts w:ascii="Palatino Linotype" w:eastAsia="Palatino Linotype" w:hAnsi="Palatino Linotype" w:cs="Palatino Linotype"/>
          <w:b/>
          <w:bCs/>
          <w:color w:val="000000"/>
        </w:rPr>
        <w:t>SUJETO OBLIGAD</w:t>
      </w:r>
      <w:r w:rsidR="0051730B" w:rsidRPr="00A473A4">
        <w:rPr>
          <w:rFonts w:ascii="Palatino Linotype" w:eastAsia="Palatino Linotype" w:hAnsi="Palatino Linotype" w:cs="Palatino Linotype"/>
          <w:b/>
          <w:bCs/>
          <w:color w:val="000000"/>
        </w:rPr>
        <w:t xml:space="preserve">O </w:t>
      </w:r>
      <w:r w:rsidR="0051730B" w:rsidRPr="00A473A4">
        <w:rPr>
          <w:rFonts w:ascii="Palatino Linotype" w:eastAsia="Palatino Linotype" w:hAnsi="Palatino Linotype" w:cs="Palatino Linotype"/>
          <w:color w:val="000000"/>
        </w:rPr>
        <w:t xml:space="preserve">y ordenar la búsqueda exhaustiva y razonable a efecto de que se dé cuenta de lo solicitado. </w:t>
      </w:r>
    </w:p>
    <w:p w:rsidR="0051730B" w:rsidRDefault="0051730B" w:rsidP="00A473A4">
      <w:pPr>
        <w:spacing w:line="360" w:lineRule="auto"/>
        <w:ind w:right="-943"/>
        <w:jc w:val="both"/>
        <w:rPr>
          <w:rFonts w:ascii="Palatino Linotype" w:eastAsia="Palatino Linotype" w:hAnsi="Palatino Linotype" w:cs="Palatino Linotype"/>
          <w:color w:val="000000"/>
        </w:rPr>
      </w:pPr>
    </w:p>
    <w:p w:rsidR="00A473A4" w:rsidRDefault="00A473A4" w:rsidP="00A473A4">
      <w:pPr>
        <w:spacing w:line="360" w:lineRule="auto"/>
        <w:ind w:right="-943"/>
        <w:jc w:val="both"/>
        <w:rPr>
          <w:rFonts w:ascii="Palatino Linotype" w:eastAsia="Palatino Linotype" w:hAnsi="Palatino Linotype" w:cs="Palatino Linotype"/>
          <w:color w:val="000000"/>
        </w:rPr>
      </w:pPr>
    </w:p>
    <w:p w:rsidR="00A473A4" w:rsidRDefault="00A473A4" w:rsidP="00A473A4">
      <w:pPr>
        <w:spacing w:line="360" w:lineRule="auto"/>
        <w:ind w:right="-943"/>
        <w:jc w:val="both"/>
        <w:rPr>
          <w:rFonts w:ascii="Palatino Linotype" w:eastAsia="Palatino Linotype" w:hAnsi="Palatino Linotype" w:cs="Palatino Linotype"/>
          <w:color w:val="000000"/>
        </w:rPr>
      </w:pPr>
    </w:p>
    <w:p w:rsidR="00A473A4" w:rsidRDefault="00A473A4" w:rsidP="00A473A4">
      <w:pPr>
        <w:spacing w:line="360" w:lineRule="auto"/>
        <w:ind w:right="-943"/>
        <w:jc w:val="both"/>
        <w:rPr>
          <w:rFonts w:ascii="Palatino Linotype" w:eastAsia="Palatino Linotype" w:hAnsi="Palatino Linotype" w:cs="Palatino Linotype"/>
          <w:color w:val="000000"/>
        </w:rPr>
      </w:pPr>
    </w:p>
    <w:p w:rsidR="00A473A4" w:rsidRDefault="00A473A4" w:rsidP="00A473A4">
      <w:pPr>
        <w:spacing w:line="360" w:lineRule="auto"/>
        <w:ind w:right="-943"/>
        <w:jc w:val="both"/>
        <w:rPr>
          <w:rFonts w:ascii="Palatino Linotype" w:eastAsia="Palatino Linotype" w:hAnsi="Palatino Linotype" w:cs="Palatino Linotype"/>
          <w:color w:val="000000"/>
        </w:rPr>
      </w:pPr>
    </w:p>
    <w:p w:rsidR="0051730B" w:rsidRPr="00A473A4" w:rsidRDefault="0051730B" w:rsidP="00A473A4">
      <w:p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b/>
          <w:bCs/>
          <w:color w:val="000000"/>
        </w:rPr>
        <w:lastRenderedPageBreak/>
        <w:t>QUINTO. De la versión pública.</w:t>
      </w:r>
    </w:p>
    <w:p w:rsidR="0051730B" w:rsidRPr="00A473A4" w:rsidRDefault="0051730B" w:rsidP="00A473A4">
      <w:pPr>
        <w:numPr>
          <w:ilvl w:val="0"/>
          <w:numId w:val="3"/>
        </w:numPr>
        <w:pBdr>
          <w:top w:val="nil"/>
          <w:left w:val="nil"/>
          <w:bottom w:val="nil"/>
          <w:right w:val="nil"/>
          <w:between w:val="nil"/>
        </w:pBdr>
        <w:tabs>
          <w:tab w:val="left" w:pos="851"/>
        </w:tabs>
        <w:spacing w:after="160" w:line="360" w:lineRule="auto"/>
        <w:ind w:right="-943"/>
        <w:jc w:val="both"/>
        <w:rPr>
          <w:rFonts w:ascii="Palatino Linotype" w:eastAsia="Palatino Linotype" w:hAnsi="Palatino Linotype" w:cs="Palatino Linotype"/>
          <w:b/>
          <w:bCs/>
          <w:color w:val="000000"/>
        </w:rPr>
      </w:pPr>
      <w:r w:rsidRPr="00A473A4">
        <w:rPr>
          <w:rFonts w:ascii="Palatino Linotype" w:eastAsia="Palatino Linotype" w:hAnsi="Palatino Linotype" w:cs="Palatino Linotype"/>
          <w:b/>
          <w:bCs/>
          <w:color w:val="000000"/>
        </w:rPr>
        <w:t xml:space="preserve">Nociones generales. </w:t>
      </w: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Debe destacarse que, debido a la naturaleza de la información solicitada</w:t>
      </w:r>
      <w:r w:rsidRPr="00A473A4">
        <w:rPr>
          <w:rFonts w:ascii="Palatino Linotype" w:eastAsia="Palatino Linotype" w:hAnsi="Palatino Linotype" w:cs="Palatino Linotype"/>
          <w:b/>
          <w:bCs/>
          <w:color w:val="000000"/>
        </w:rPr>
        <w:t xml:space="preserve">, </w:t>
      </w:r>
      <w:r w:rsidRPr="00A473A4">
        <w:rPr>
          <w:rFonts w:ascii="Palatino Linotype" w:eastAsia="Palatino Linotype" w:hAnsi="Palatino Linotype" w:cs="Palatino Linotype"/>
          <w:color w:val="000000"/>
        </w:rPr>
        <w:t xml:space="preserve">eventualmente pudiera obrar datos personales susceptibles de protegerse, el </w:t>
      </w:r>
      <w:r w:rsidRPr="00A473A4">
        <w:rPr>
          <w:rFonts w:ascii="Palatino Linotype" w:eastAsia="Palatino Linotype" w:hAnsi="Palatino Linotype" w:cs="Palatino Linotype"/>
          <w:b/>
          <w:bCs/>
          <w:color w:val="000000"/>
        </w:rPr>
        <w:t xml:space="preserve">SUJETO OBLIGADO </w:t>
      </w:r>
      <w:r w:rsidRPr="00A473A4">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51730B" w:rsidRPr="00A473A4" w:rsidRDefault="0051730B" w:rsidP="00A473A4">
      <w:pPr>
        <w:pBdr>
          <w:top w:val="nil"/>
          <w:left w:val="nil"/>
          <w:bottom w:val="nil"/>
          <w:right w:val="nil"/>
          <w:between w:val="nil"/>
        </w:pBdr>
        <w:spacing w:line="360" w:lineRule="auto"/>
        <w:ind w:right="-943"/>
        <w:jc w:val="both"/>
        <w:rPr>
          <w:rFonts w:ascii="Palatino Linotype" w:eastAsia="Palatino Linotype" w:hAnsi="Palatino Linotype" w:cs="Palatino Linotype"/>
          <w:b/>
          <w:bCs/>
          <w:color w:val="000000"/>
        </w:rPr>
      </w:pP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1730B" w:rsidRPr="00A473A4" w:rsidRDefault="0051730B" w:rsidP="00A473A4">
      <w:pPr>
        <w:pBdr>
          <w:top w:val="nil"/>
          <w:left w:val="nil"/>
          <w:bottom w:val="nil"/>
          <w:right w:val="nil"/>
          <w:between w:val="nil"/>
        </w:pBdr>
        <w:tabs>
          <w:tab w:val="left" w:pos="851"/>
        </w:tabs>
        <w:spacing w:line="360" w:lineRule="auto"/>
        <w:ind w:right="-943"/>
        <w:jc w:val="both"/>
        <w:rPr>
          <w:rFonts w:ascii="Palatino Linotype" w:eastAsia="Palatino Linotype" w:hAnsi="Palatino Linotype" w:cs="Palatino Linotype"/>
          <w:color w:val="000000"/>
        </w:rPr>
      </w:pPr>
    </w:p>
    <w:tbl>
      <w:tblPr>
        <w:tblW w:w="98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7271"/>
      </w:tblGrid>
      <w:tr w:rsidR="0051730B" w:rsidRPr="00A473A4" w:rsidTr="001C508F">
        <w:tc>
          <w:tcPr>
            <w:tcW w:w="2625" w:type="dxa"/>
          </w:tcPr>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a) Requisitos previos.</w:t>
            </w:r>
          </w:p>
        </w:tc>
        <w:tc>
          <w:tcPr>
            <w:tcW w:w="7271" w:type="dxa"/>
          </w:tcPr>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Los artículos 100 y 122 de la Ley Estatal y de la Ley General, vigente al momento de interponer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Además, se debe señalar el procedimiento, de los tres que establecen los artículos 132 y 106 de la Ley Estatal y General vigente </w:t>
            </w:r>
            <w:r w:rsidRPr="00A473A4">
              <w:rPr>
                <w:rFonts w:ascii="Palatino Linotype" w:eastAsia="Palatino Linotype" w:hAnsi="Palatino Linotype" w:cs="Palatino Linotype"/>
                <w:color w:val="000000"/>
              </w:rPr>
              <w:lastRenderedPageBreak/>
              <w:t>al momento de interponer la solicitud de información, respectivamente.</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A473A4">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A473A4">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51730B" w:rsidRPr="00A473A4" w:rsidTr="001C508F">
        <w:tc>
          <w:tcPr>
            <w:tcW w:w="2625" w:type="dxa"/>
          </w:tcPr>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lastRenderedPageBreak/>
              <w:t>b) Supuestos de clasificación.</w:t>
            </w:r>
          </w:p>
        </w:tc>
        <w:tc>
          <w:tcPr>
            <w:tcW w:w="7271" w:type="dxa"/>
          </w:tcPr>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Los artículos 116 y 143 de la Ley Estatal y de la Ley General, vigente al momento de interponer la solicitud de información, respectivamente, señalan los supuestos para que la información pueda ser clasificada como confidencial. Mientras que los artículos 105 y 130 de la Ley Estatal y de la Ley General, vigente al momento de interponer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lastRenderedPageBreak/>
              <w:t xml:space="preserve">El </w:t>
            </w:r>
            <w:r w:rsidRPr="00A473A4">
              <w:rPr>
                <w:rFonts w:ascii="Palatino Linotype" w:eastAsia="Palatino Linotype" w:hAnsi="Palatino Linotype" w:cs="Palatino Linotype"/>
                <w:b/>
                <w:bCs/>
                <w:color w:val="000000"/>
              </w:rPr>
              <w:t>Sujeto Obligado</w:t>
            </w:r>
            <w:r w:rsidRPr="00A473A4">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1730B" w:rsidRPr="00A473A4" w:rsidTr="001C508F">
        <w:tc>
          <w:tcPr>
            <w:tcW w:w="2625" w:type="dxa"/>
          </w:tcPr>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lastRenderedPageBreak/>
              <w:t>c) Formalidades para emitir el acuerdo de clasificación.</w:t>
            </w:r>
          </w:p>
        </w:tc>
        <w:tc>
          <w:tcPr>
            <w:tcW w:w="7271" w:type="dxa"/>
          </w:tcPr>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Es necesario que </w:t>
            </w:r>
            <w:r w:rsidRPr="00A473A4">
              <w:rPr>
                <w:rFonts w:ascii="Palatino Linotype" w:eastAsia="Palatino Linotype" w:hAnsi="Palatino Linotype" w:cs="Palatino Linotype"/>
                <w:b/>
                <w:bCs/>
                <w:color w:val="000000"/>
                <w:u w:val="single"/>
              </w:rPr>
              <w:t>el acto reúna con los requisitos elementales</w:t>
            </w:r>
            <w:r w:rsidRPr="00A473A4">
              <w:rPr>
                <w:rFonts w:ascii="Palatino Linotype" w:eastAsia="Palatino Linotype" w:hAnsi="Palatino Linotype" w:cs="Palatino Linotype"/>
                <w:color w:val="000000"/>
              </w:rPr>
              <w:t>, entre ellos, que la autoridad que va a emitir el acto de autoridad sea la legalmente facultada para ello.</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A473A4">
              <w:rPr>
                <w:rFonts w:ascii="Palatino Linotype" w:eastAsia="Palatino Linotype" w:hAnsi="Palatino Linotype" w:cs="Palatino Linotype"/>
              </w:rPr>
              <w:t>El área</w:t>
            </w:r>
            <w:r w:rsidRPr="00A473A4">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1730B" w:rsidRPr="00A473A4" w:rsidTr="001C508F">
        <w:tc>
          <w:tcPr>
            <w:tcW w:w="2625" w:type="dxa"/>
          </w:tcPr>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d) Requisitos de fondo del acuerdo de clasificación. </w:t>
            </w:r>
          </w:p>
        </w:tc>
        <w:tc>
          <w:tcPr>
            <w:tcW w:w="7271" w:type="dxa"/>
          </w:tcPr>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w:t>
            </w:r>
            <w:r w:rsidRPr="00A473A4">
              <w:rPr>
                <w:rFonts w:ascii="Palatino Linotype" w:eastAsia="Palatino Linotype" w:hAnsi="Palatino Linotype" w:cs="Palatino Linotype"/>
                <w:color w:val="000000"/>
              </w:rPr>
              <w:lastRenderedPageBreak/>
              <w:t xml:space="preserve">Transparencia, la ley señala que la carga de la prueba, para justificar las restricciones, corresponde a los </w:t>
            </w:r>
            <w:r w:rsidRPr="00A473A4">
              <w:rPr>
                <w:rFonts w:ascii="Palatino Linotype" w:eastAsia="Palatino Linotype" w:hAnsi="Palatino Linotype" w:cs="Palatino Linotype"/>
                <w:b/>
                <w:bCs/>
                <w:color w:val="000000"/>
              </w:rPr>
              <w:t>Sujetos Obligados</w:t>
            </w:r>
            <w:r w:rsidRPr="00A473A4">
              <w:rPr>
                <w:rFonts w:ascii="Palatino Linotype" w:eastAsia="Palatino Linotype" w:hAnsi="Palatino Linotype" w:cs="Palatino Linotype"/>
                <w:color w:val="000000"/>
              </w:rPr>
              <w:t xml:space="preserve">, por lo que deberán fundar y motivar debidamente la clasificación. </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De lo anterior, se desprende que para una correcta </w:t>
            </w:r>
            <w:r w:rsidRPr="00A473A4">
              <w:rPr>
                <w:rFonts w:ascii="Palatino Linotype" w:eastAsia="Palatino Linotype" w:hAnsi="Palatino Linotype" w:cs="Palatino Linotype"/>
                <w:b/>
                <w:bCs/>
                <w:color w:val="000000"/>
              </w:rPr>
              <w:t>clasificación total o parcial</w:t>
            </w:r>
            <w:r w:rsidRPr="00A473A4">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Ahora bien, </w:t>
            </w:r>
            <w:r w:rsidRPr="00A473A4">
              <w:rPr>
                <w:rFonts w:ascii="Palatino Linotype" w:eastAsia="Palatino Linotype" w:hAnsi="Palatino Linotype" w:cs="Palatino Linotype"/>
                <w:b/>
                <w:bCs/>
                <w:color w:val="000000"/>
                <w:u w:val="single"/>
              </w:rPr>
              <w:t>para cada caso además de fundar y motivar</w:t>
            </w:r>
            <w:r w:rsidRPr="00A473A4">
              <w:rPr>
                <w:rFonts w:ascii="Palatino Linotype" w:eastAsia="Palatino Linotype" w:hAnsi="Palatino Linotype" w:cs="Palatino Linotype"/>
                <w:color w:val="000000"/>
              </w:rPr>
              <w:t xml:space="preserve">, se debe identificar con claridad </w:t>
            </w:r>
            <w:r w:rsidRPr="00A473A4">
              <w:rPr>
                <w:rFonts w:ascii="Palatino Linotype" w:eastAsia="Palatino Linotype" w:hAnsi="Palatino Linotype" w:cs="Palatino Linotype"/>
              </w:rPr>
              <w:t>qué</w:t>
            </w:r>
            <w:r w:rsidRPr="00A473A4">
              <w:rPr>
                <w:rFonts w:ascii="Palatino Linotype" w:eastAsia="Palatino Linotype" w:hAnsi="Palatino Linotype" w:cs="Palatino Linotype"/>
                <w:color w:val="000000"/>
              </w:rPr>
              <w:t xml:space="preserve"> datos contenidos en las documentales que son susceptibles de suprimirse, por ejemplo; Clave Única de </w:t>
            </w:r>
            <w:r w:rsidRPr="00A473A4">
              <w:rPr>
                <w:rFonts w:ascii="Palatino Linotype" w:eastAsia="Palatino Linotype" w:hAnsi="Palatino Linotype" w:cs="Palatino Linotype"/>
                <w:color w:val="000000"/>
              </w:rPr>
              <w:lastRenderedPageBreak/>
              <w:t>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1730B" w:rsidRPr="00A473A4" w:rsidTr="001C508F">
        <w:tc>
          <w:tcPr>
            <w:tcW w:w="2625" w:type="dxa"/>
          </w:tcPr>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lastRenderedPageBreak/>
              <w:t xml:space="preserve">e) Condiciones especiales de la clasificación de la información como confidencial. </w:t>
            </w:r>
          </w:p>
        </w:tc>
        <w:tc>
          <w:tcPr>
            <w:tcW w:w="7271" w:type="dxa"/>
          </w:tcPr>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1730B" w:rsidRPr="00A473A4" w:rsidRDefault="0051730B" w:rsidP="001C50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1730B" w:rsidRPr="00A473A4" w:rsidRDefault="0051730B" w:rsidP="00A473A4">
      <w:pPr>
        <w:spacing w:line="360" w:lineRule="auto"/>
        <w:ind w:right="-943"/>
        <w:jc w:val="both"/>
        <w:rPr>
          <w:rFonts w:ascii="Palatino Linotype" w:eastAsia="Palatino Linotype" w:hAnsi="Palatino Linotype" w:cs="Palatino Linotype"/>
          <w:color w:val="000000"/>
        </w:rPr>
      </w:pPr>
      <w:bookmarkStart w:id="6" w:name="_heading=h.4d34og8" w:colFirst="0" w:colLast="0"/>
      <w:bookmarkEnd w:id="6"/>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t xml:space="preserve">Si el servidor público incumple con estas formalidades y entrega la información sin proteger los datos personales incumple con lo que estipula las disposiciones legales establecidas, asimismo que si entrega un documento testado sin el debido acuerdo de clasificación. </w:t>
      </w:r>
    </w:p>
    <w:p w:rsidR="0051730B" w:rsidRPr="00A473A4" w:rsidRDefault="0051730B" w:rsidP="00A473A4">
      <w:pPr>
        <w:spacing w:line="360" w:lineRule="auto"/>
        <w:ind w:right="-943"/>
        <w:jc w:val="both"/>
        <w:rPr>
          <w:rFonts w:ascii="Palatino Linotype" w:eastAsia="Palatino Linotype" w:hAnsi="Palatino Linotype" w:cs="Palatino Linotype"/>
          <w:color w:val="000000"/>
        </w:rPr>
      </w:pPr>
    </w:p>
    <w:p w:rsidR="0051730B" w:rsidRPr="00A473A4" w:rsidRDefault="0051730B" w:rsidP="00A473A4">
      <w:pPr>
        <w:numPr>
          <w:ilvl w:val="0"/>
          <w:numId w:val="1"/>
        </w:numPr>
        <w:spacing w:line="360" w:lineRule="auto"/>
        <w:ind w:right="-943"/>
        <w:jc w:val="both"/>
        <w:rPr>
          <w:rFonts w:ascii="Palatino Linotype" w:eastAsia="Palatino Linotype" w:hAnsi="Palatino Linotype" w:cs="Palatino Linotype"/>
          <w:color w:val="000000"/>
        </w:rPr>
      </w:pPr>
      <w:r w:rsidRPr="00A473A4">
        <w:rPr>
          <w:rFonts w:ascii="Palatino Linotype" w:eastAsia="Palatino Linotype" w:hAnsi="Palatino Linotype" w:cs="Palatino Linotype"/>
          <w:color w:val="000000"/>
        </w:rPr>
        <w:lastRenderedPageBreak/>
        <w:t>Por lo anteriormente expuesto, este Órgano Garante considera fundadas las razones o motivos de inconformidad que plantea el</w:t>
      </w:r>
      <w:r w:rsidRPr="00A473A4">
        <w:rPr>
          <w:rFonts w:ascii="Palatino Linotype" w:eastAsia="Palatino Linotype" w:hAnsi="Palatino Linotype" w:cs="Palatino Linotype"/>
          <w:b/>
          <w:bCs/>
          <w:color w:val="000000"/>
        </w:rPr>
        <w:t xml:space="preserve"> RECURRENTE</w:t>
      </w:r>
      <w:r w:rsidRPr="00A473A4">
        <w:rPr>
          <w:rFonts w:ascii="Palatino Linotype" w:eastAsia="Palatino Linotype" w:hAnsi="Palatino Linotype" w:cs="Palatino Linotype"/>
          <w:color w:val="000000"/>
        </w:rPr>
        <w:t xml:space="preserve">, determinando </w:t>
      </w:r>
      <w:r w:rsidRPr="00A473A4">
        <w:rPr>
          <w:rFonts w:ascii="Palatino Linotype" w:eastAsia="Palatino Linotype" w:hAnsi="Palatino Linotype" w:cs="Palatino Linotype"/>
          <w:b/>
          <w:bCs/>
          <w:color w:val="000000"/>
        </w:rPr>
        <w:t>MODIFICAR</w:t>
      </w:r>
      <w:r w:rsidRPr="00A473A4">
        <w:rPr>
          <w:rFonts w:ascii="Palatino Linotype" w:eastAsia="Palatino Linotype" w:hAnsi="Palatino Linotype" w:cs="Palatino Linotype"/>
          <w:color w:val="000000"/>
        </w:rPr>
        <w:t xml:space="preserve"> la respuesta del </w:t>
      </w:r>
      <w:r w:rsidRPr="00A473A4">
        <w:rPr>
          <w:rFonts w:ascii="Palatino Linotype" w:eastAsia="Palatino Linotype" w:hAnsi="Palatino Linotype" w:cs="Palatino Linotype"/>
          <w:b/>
          <w:bCs/>
          <w:color w:val="000000"/>
        </w:rPr>
        <w:t>SUJETO OBLIGADO</w:t>
      </w:r>
      <w:r w:rsidRPr="00A473A4">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A473A4">
        <w:rPr>
          <w:rFonts w:ascii="Palatino Linotype" w:eastAsia="Palatino Linotype" w:hAnsi="Palatino Linotype" w:cs="Palatino Linotype"/>
          <w:b/>
          <w:bCs/>
          <w:color w:val="000000"/>
        </w:rPr>
        <w:t>ÓRGANO GARANTE</w:t>
      </w:r>
      <w:r w:rsidRPr="00A473A4">
        <w:rPr>
          <w:rFonts w:ascii="Palatino Linotype" w:eastAsia="Palatino Linotype" w:hAnsi="Palatino Linotype" w:cs="Palatino Linotype"/>
          <w:color w:val="000000"/>
        </w:rPr>
        <w:t xml:space="preserve"> emite los siguientes.</w:t>
      </w:r>
    </w:p>
    <w:p w:rsidR="0051730B" w:rsidRPr="00A473A4" w:rsidRDefault="0051730B" w:rsidP="00A473A4">
      <w:p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Style w:val="Ttulo1"/>
        <w:spacing w:before="0" w:line="360" w:lineRule="auto"/>
        <w:ind w:right="-943"/>
        <w:jc w:val="center"/>
        <w:rPr>
          <w:b/>
          <w:bCs/>
          <w:color w:val="000000"/>
        </w:rPr>
      </w:pPr>
      <w:r w:rsidRPr="00A473A4">
        <w:rPr>
          <w:b/>
          <w:bCs/>
          <w:color w:val="000000"/>
        </w:rPr>
        <w:t>R E S O L U T I V O S</w:t>
      </w:r>
    </w:p>
    <w:p w:rsidR="0051730B" w:rsidRPr="00A473A4" w:rsidRDefault="0051730B" w:rsidP="00A473A4">
      <w:pPr>
        <w:spacing w:line="360" w:lineRule="auto"/>
        <w:ind w:right="-943"/>
        <w:rPr>
          <w:rFonts w:ascii="Palatino Linotype" w:eastAsia="Palatino Linotype" w:hAnsi="Palatino Linotype" w:cs="Palatino Linotype"/>
        </w:rPr>
      </w:pPr>
    </w:p>
    <w:p w:rsidR="0051730B" w:rsidRPr="00A473A4" w:rsidRDefault="0051730B" w:rsidP="00A473A4">
      <w:pPr>
        <w:spacing w:line="360" w:lineRule="auto"/>
        <w:ind w:right="-943"/>
        <w:jc w:val="both"/>
        <w:rPr>
          <w:rFonts w:ascii="Palatino Linotype" w:eastAsia="Palatino Linotype" w:hAnsi="Palatino Linotype" w:cs="Palatino Linotype"/>
        </w:rPr>
      </w:pPr>
      <w:r w:rsidRPr="00A473A4">
        <w:rPr>
          <w:rFonts w:ascii="Palatino Linotype" w:eastAsia="Palatino Linotype" w:hAnsi="Palatino Linotype" w:cs="Palatino Linotype"/>
          <w:b/>
          <w:bCs/>
        </w:rPr>
        <w:t>PRIMERO</w:t>
      </w:r>
      <w:r w:rsidRPr="00A473A4">
        <w:rPr>
          <w:rFonts w:ascii="Palatino Linotype" w:eastAsia="Palatino Linotype" w:hAnsi="Palatino Linotype" w:cs="Palatino Linotype"/>
        </w:rPr>
        <w:t>. Resultan fundadas las razones o motivos de inconformidad hechos valer en el Recurso de Revisión</w:t>
      </w:r>
      <w:r w:rsidR="00AB0AA2" w:rsidRPr="00A473A4">
        <w:rPr>
          <w:rFonts w:ascii="Palatino Linotype" w:eastAsia="Palatino Linotype" w:hAnsi="Palatino Linotype" w:cs="Palatino Linotype"/>
          <w:b/>
          <w:bCs/>
        </w:rPr>
        <w:t> 04748/INFOEM/IP/RR/2026</w:t>
      </w:r>
      <w:r w:rsidRPr="00A473A4">
        <w:rPr>
          <w:rFonts w:ascii="Palatino Linotype" w:eastAsia="Palatino Linotype" w:hAnsi="Palatino Linotype" w:cs="Palatino Linotype"/>
        </w:rPr>
        <w:t xml:space="preserve">en términos de los Considerandos </w:t>
      </w:r>
      <w:r w:rsidRPr="00A473A4">
        <w:rPr>
          <w:rFonts w:ascii="Palatino Linotype" w:eastAsia="Palatino Linotype" w:hAnsi="Palatino Linotype" w:cs="Palatino Linotype"/>
          <w:b/>
          <w:bCs/>
        </w:rPr>
        <w:t xml:space="preserve">Cuarto y Quinto </w:t>
      </w:r>
      <w:r w:rsidRPr="00A473A4">
        <w:rPr>
          <w:rFonts w:ascii="Palatino Linotype" w:eastAsia="Palatino Linotype" w:hAnsi="Palatino Linotype" w:cs="Palatino Linotype"/>
        </w:rPr>
        <w:t xml:space="preserve">de la presente resolución. </w:t>
      </w:r>
    </w:p>
    <w:p w:rsidR="0051730B" w:rsidRPr="00A473A4" w:rsidRDefault="0051730B" w:rsidP="00A473A4">
      <w:pPr>
        <w:spacing w:line="360" w:lineRule="auto"/>
        <w:ind w:right="-943"/>
        <w:jc w:val="both"/>
        <w:rPr>
          <w:rFonts w:ascii="Palatino Linotype" w:eastAsia="Palatino Linotype" w:hAnsi="Palatino Linotype" w:cs="Palatino Linotype"/>
        </w:rPr>
      </w:pPr>
    </w:p>
    <w:p w:rsidR="0051730B" w:rsidRPr="00A473A4" w:rsidRDefault="0051730B" w:rsidP="00A473A4">
      <w:pPr>
        <w:spacing w:line="360" w:lineRule="auto"/>
        <w:ind w:right="-943"/>
        <w:jc w:val="both"/>
        <w:rPr>
          <w:rFonts w:ascii="Palatino Linotype" w:eastAsia="Palatino Linotype" w:hAnsi="Palatino Linotype" w:cs="Palatino Linotype"/>
          <w:b/>
          <w:bCs/>
          <w:color w:val="000000"/>
        </w:rPr>
      </w:pPr>
      <w:bookmarkStart w:id="7" w:name="_heading=h.kdmne81acp2y" w:colFirst="0" w:colLast="0"/>
      <w:bookmarkEnd w:id="7"/>
      <w:r w:rsidRPr="00A473A4">
        <w:rPr>
          <w:rFonts w:ascii="Palatino Linotype" w:eastAsia="Palatino Linotype" w:hAnsi="Palatino Linotype" w:cs="Palatino Linotype"/>
          <w:b/>
          <w:bCs/>
        </w:rPr>
        <w:t xml:space="preserve">SEGUNDO. </w:t>
      </w:r>
      <w:r w:rsidRPr="00A473A4">
        <w:rPr>
          <w:rFonts w:ascii="Palatino Linotype" w:eastAsia="Palatino Linotype" w:hAnsi="Palatino Linotype" w:cs="Palatino Linotype"/>
          <w:color w:val="000000"/>
        </w:rPr>
        <w:t xml:space="preserve">Se </w:t>
      </w:r>
      <w:r w:rsidRPr="00A473A4">
        <w:rPr>
          <w:rFonts w:ascii="Palatino Linotype" w:eastAsia="Palatino Linotype" w:hAnsi="Palatino Linotype" w:cs="Palatino Linotype"/>
          <w:b/>
          <w:bCs/>
          <w:color w:val="000000"/>
        </w:rPr>
        <w:t xml:space="preserve">MODIFICA </w:t>
      </w:r>
      <w:r w:rsidR="003644CD" w:rsidRPr="00A473A4">
        <w:rPr>
          <w:rFonts w:ascii="Palatino Linotype" w:eastAsia="Palatino Linotype" w:hAnsi="Palatino Linotype" w:cs="Palatino Linotype"/>
          <w:color w:val="000000"/>
        </w:rPr>
        <w:t xml:space="preserve">la respuesta emitida por la </w:t>
      </w:r>
      <w:r w:rsidR="003644CD" w:rsidRPr="00A473A4">
        <w:rPr>
          <w:rFonts w:ascii="Palatino Linotype" w:eastAsia="Palatino Linotype" w:hAnsi="Palatino Linotype" w:cs="Palatino Linotype"/>
          <w:b/>
          <w:bCs/>
          <w:color w:val="000000"/>
        </w:rPr>
        <w:t xml:space="preserve">Secretaría de las Mujeres </w:t>
      </w:r>
      <w:r w:rsidRPr="00A473A4">
        <w:rPr>
          <w:rFonts w:ascii="Palatino Linotype" w:eastAsia="Palatino Linotype" w:hAnsi="Palatino Linotype" w:cs="Palatino Linotype"/>
          <w:color w:val="000000"/>
        </w:rPr>
        <w:t xml:space="preserve">y se </w:t>
      </w:r>
      <w:r w:rsidRPr="00A473A4">
        <w:rPr>
          <w:rFonts w:ascii="Palatino Linotype" w:eastAsia="Palatino Linotype" w:hAnsi="Palatino Linotype" w:cs="Palatino Linotype"/>
          <w:b/>
          <w:bCs/>
          <w:color w:val="000000"/>
        </w:rPr>
        <w:t>ORDENA</w:t>
      </w:r>
      <w:r w:rsidRPr="00A473A4">
        <w:rPr>
          <w:rFonts w:ascii="Palatino Linotype" w:eastAsia="Palatino Linotype" w:hAnsi="Palatino Linotype" w:cs="Palatino Linotype"/>
          <w:color w:val="000000"/>
        </w:rPr>
        <w:t xml:space="preserve"> entregar vía Sistema de Acceso a la Información Mexiquense </w:t>
      </w:r>
      <w:r w:rsidRPr="00A473A4">
        <w:rPr>
          <w:rFonts w:ascii="Palatino Linotype" w:eastAsia="Palatino Linotype" w:hAnsi="Palatino Linotype" w:cs="Palatino Linotype"/>
          <w:b/>
          <w:bCs/>
          <w:color w:val="000000"/>
        </w:rPr>
        <w:t>(SAIMEX)</w:t>
      </w:r>
      <w:r w:rsidRPr="00A473A4">
        <w:rPr>
          <w:rFonts w:ascii="Palatino Linotype" w:eastAsia="Palatino Linotype" w:hAnsi="Palatino Linotype" w:cs="Palatino Linotype"/>
          <w:color w:val="000000"/>
        </w:rPr>
        <w:t>, de ser procedente en versión pública, lo siguiente:</w:t>
      </w:r>
    </w:p>
    <w:p w:rsidR="0051730B" w:rsidRPr="00A473A4" w:rsidRDefault="0051730B" w:rsidP="00A473A4">
      <w:pPr>
        <w:ind w:right="-943"/>
        <w:jc w:val="both"/>
        <w:rPr>
          <w:rFonts w:ascii="Palatino Linotype" w:eastAsia="Palatino Linotype" w:hAnsi="Palatino Linotype" w:cs="Palatino Linotype"/>
          <w:b/>
          <w:bCs/>
          <w:color w:val="000000"/>
        </w:rPr>
      </w:pPr>
      <w:bookmarkStart w:id="8" w:name="_heading=h.qbfwbrg7df6e" w:colFirst="0" w:colLast="0"/>
      <w:bookmarkEnd w:id="8"/>
    </w:p>
    <w:p w:rsidR="0051730B" w:rsidRPr="00A473A4" w:rsidRDefault="003644CD" w:rsidP="00A473A4">
      <w:pPr>
        <w:numPr>
          <w:ilvl w:val="0"/>
          <w:numId w:val="4"/>
        </w:numPr>
        <w:pBdr>
          <w:top w:val="nil"/>
          <w:left w:val="nil"/>
          <w:bottom w:val="nil"/>
          <w:right w:val="nil"/>
          <w:between w:val="nil"/>
        </w:pBdr>
        <w:ind w:left="709" w:right="-943" w:hanging="283"/>
        <w:jc w:val="both"/>
        <w:rPr>
          <w:rFonts w:ascii="Palatino Linotype" w:eastAsia="Palatino Linotype" w:hAnsi="Palatino Linotype" w:cs="Palatino Linotype"/>
          <w:b/>
          <w:bCs/>
          <w:color w:val="000000"/>
        </w:rPr>
      </w:pPr>
      <w:r w:rsidRPr="00A473A4">
        <w:rPr>
          <w:rFonts w:ascii="Palatino Linotype" w:eastAsia="Palatino Linotype" w:hAnsi="Palatino Linotype" w:cs="Palatino Linotype"/>
          <w:b/>
          <w:bCs/>
          <w:color w:val="000000"/>
        </w:rPr>
        <w:t>Capacidad de pernocta de los refugios referidos en respuesta.</w:t>
      </w:r>
    </w:p>
    <w:p w:rsidR="003644CD" w:rsidRPr="00A473A4" w:rsidRDefault="00AB0AA2" w:rsidP="00A473A4">
      <w:pPr>
        <w:numPr>
          <w:ilvl w:val="0"/>
          <w:numId w:val="4"/>
        </w:numPr>
        <w:pBdr>
          <w:top w:val="nil"/>
          <w:left w:val="nil"/>
          <w:bottom w:val="nil"/>
          <w:right w:val="nil"/>
          <w:between w:val="nil"/>
        </w:pBdr>
        <w:ind w:left="709" w:right="-943" w:hanging="283"/>
        <w:jc w:val="both"/>
        <w:rPr>
          <w:rFonts w:ascii="Palatino Linotype" w:eastAsia="Palatino Linotype" w:hAnsi="Palatino Linotype" w:cs="Palatino Linotype"/>
          <w:b/>
          <w:bCs/>
          <w:color w:val="000000"/>
        </w:rPr>
      </w:pPr>
      <w:r w:rsidRPr="00A473A4">
        <w:rPr>
          <w:rFonts w:ascii="Palatino Linotype" w:eastAsia="Palatino Linotype" w:hAnsi="Palatino Linotype" w:cs="Palatino Linotype"/>
          <w:b/>
          <w:bCs/>
          <w:color w:val="000000"/>
        </w:rPr>
        <w:t>La</w:t>
      </w:r>
      <w:r w:rsidR="003644CD" w:rsidRPr="00A473A4">
        <w:rPr>
          <w:rFonts w:ascii="Palatino Linotype" w:eastAsia="Palatino Linotype" w:hAnsi="Palatino Linotype" w:cs="Palatino Linotype"/>
          <w:b/>
          <w:bCs/>
          <w:color w:val="000000"/>
        </w:rPr>
        <w:t xml:space="preserve"> estadística mensual de llamadas recibidas en la línea de atención de emergencias </w:t>
      </w:r>
      <w:r w:rsidR="00BB61E9" w:rsidRPr="00A473A4">
        <w:rPr>
          <w:rFonts w:ascii="Palatino Linotype" w:eastAsia="Palatino Linotype" w:hAnsi="Palatino Linotype" w:cs="Palatino Linotype"/>
          <w:b/>
          <w:bCs/>
          <w:color w:val="000000"/>
        </w:rPr>
        <w:t>del siete de abril  al treinta y uno de diciembre de dos mil veinticinco y del primero al siete de abril de dos mil veintiséis.</w:t>
      </w:r>
    </w:p>
    <w:p w:rsidR="0051730B" w:rsidRPr="00A473A4" w:rsidRDefault="003644CD" w:rsidP="00A473A4">
      <w:pPr>
        <w:numPr>
          <w:ilvl w:val="0"/>
          <w:numId w:val="4"/>
        </w:numPr>
        <w:pBdr>
          <w:top w:val="nil"/>
          <w:left w:val="nil"/>
          <w:bottom w:val="nil"/>
          <w:right w:val="nil"/>
          <w:between w:val="nil"/>
        </w:pBdr>
        <w:ind w:left="709" w:right="-943" w:hanging="283"/>
        <w:jc w:val="both"/>
        <w:rPr>
          <w:rFonts w:ascii="Palatino Linotype" w:eastAsia="Palatino Linotype" w:hAnsi="Palatino Linotype" w:cs="Palatino Linotype"/>
          <w:b/>
          <w:bCs/>
          <w:color w:val="000000"/>
        </w:rPr>
      </w:pPr>
      <w:r w:rsidRPr="00A473A4">
        <w:rPr>
          <w:rFonts w:ascii="Palatino Linotype" w:eastAsia="Palatino Linotype" w:hAnsi="Palatino Linotype" w:cs="Palatino Linotype"/>
          <w:b/>
          <w:color w:val="000000"/>
        </w:rPr>
        <w:t>Documento en donde conste o se adviertan las fechas de las rutas de las unidades móviles de atención jurídica y psicológicas programas en el trimestre correspondiente a los meses de abril-mayo-junio, con la que cuente al siete de abril de dos mil veintiséis</w:t>
      </w:r>
    </w:p>
    <w:p w:rsidR="0051730B" w:rsidRPr="00A473A4" w:rsidRDefault="0051730B" w:rsidP="00A473A4">
      <w:pPr>
        <w:pBdr>
          <w:top w:val="nil"/>
          <w:left w:val="nil"/>
          <w:bottom w:val="nil"/>
          <w:right w:val="nil"/>
          <w:between w:val="nil"/>
        </w:pBdr>
        <w:ind w:left="720" w:right="-943"/>
        <w:jc w:val="both"/>
        <w:rPr>
          <w:rFonts w:ascii="Palatino Linotype" w:eastAsia="Palatino Linotype" w:hAnsi="Palatino Linotype" w:cs="Palatino Linotype"/>
          <w:color w:val="000000"/>
        </w:rPr>
      </w:pPr>
    </w:p>
    <w:p w:rsidR="0051730B" w:rsidRPr="00A473A4" w:rsidRDefault="0051730B" w:rsidP="00A473A4">
      <w:pPr>
        <w:spacing w:line="360" w:lineRule="auto"/>
        <w:ind w:right="-943"/>
        <w:jc w:val="both"/>
        <w:rPr>
          <w:rFonts w:ascii="Palatino Linotype" w:eastAsia="Palatino Linotype" w:hAnsi="Palatino Linotype" w:cs="Palatino Linotype"/>
        </w:rPr>
      </w:pPr>
      <w:bookmarkStart w:id="9" w:name="_heading=h.4jmwdjgmchah" w:colFirst="0" w:colLast="0"/>
      <w:bookmarkEnd w:id="9"/>
      <w:r w:rsidRPr="00A473A4">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A473A4">
        <w:rPr>
          <w:rFonts w:ascii="Palatino Linotype" w:eastAsia="Palatino Linotype" w:hAnsi="Palatino Linotype" w:cs="Palatino Linotype"/>
          <w:b/>
          <w:bCs/>
        </w:rPr>
        <w:t xml:space="preserve"> RECURRENTE</w:t>
      </w:r>
      <w:r w:rsidRPr="00A473A4">
        <w:rPr>
          <w:rFonts w:ascii="Palatino Linotype" w:eastAsia="Palatino Linotype" w:hAnsi="Palatino Linotype" w:cs="Palatino Linotype"/>
        </w:rPr>
        <w:t>.</w:t>
      </w:r>
    </w:p>
    <w:p w:rsidR="0051730B" w:rsidRPr="00A473A4" w:rsidRDefault="0051730B" w:rsidP="00A473A4">
      <w:pPr>
        <w:tabs>
          <w:tab w:val="left" w:pos="8080"/>
        </w:tabs>
        <w:spacing w:line="360" w:lineRule="auto"/>
        <w:ind w:right="-943"/>
        <w:jc w:val="both"/>
        <w:rPr>
          <w:rFonts w:ascii="Palatino Linotype" w:eastAsia="Palatino Linotype" w:hAnsi="Palatino Linotype" w:cs="Palatino Linotype"/>
          <w:b/>
          <w:bCs/>
        </w:rPr>
      </w:pPr>
    </w:p>
    <w:p w:rsidR="0051730B" w:rsidRPr="00A473A4" w:rsidRDefault="0051730B" w:rsidP="00A473A4">
      <w:pPr>
        <w:tabs>
          <w:tab w:val="left" w:pos="8080"/>
        </w:tabs>
        <w:spacing w:line="360" w:lineRule="auto"/>
        <w:ind w:right="-943"/>
        <w:jc w:val="both"/>
        <w:rPr>
          <w:rFonts w:ascii="Palatino Linotype" w:eastAsia="Palatino Linotype" w:hAnsi="Palatino Linotype" w:cs="Palatino Linotype"/>
          <w:highlight w:val="white"/>
        </w:rPr>
      </w:pPr>
      <w:r w:rsidRPr="00A473A4">
        <w:rPr>
          <w:rFonts w:ascii="Palatino Linotype" w:eastAsia="Palatino Linotype" w:hAnsi="Palatino Linotype" w:cs="Palatino Linotype"/>
          <w:b/>
          <w:bCs/>
        </w:rPr>
        <w:t xml:space="preserve">TERCERO. </w:t>
      </w:r>
      <w:r w:rsidRPr="00A473A4">
        <w:rPr>
          <w:rFonts w:ascii="Palatino Linotype" w:eastAsia="Palatino Linotype" w:hAnsi="Palatino Linotype" w:cs="Palatino Linotype"/>
          <w:b/>
          <w:bCs/>
          <w:color w:val="222222"/>
          <w:highlight w:val="white"/>
        </w:rPr>
        <w:t>NOTIFÍQUESE</w:t>
      </w:r>
      <w:r w:rsidRPr="00A473A4">
        <w:rPr>
          <w:rFonts w:ascii="Palatino Linotype" w:eastAsia="Palatino Linotype" w:hAnsi="Palatino Linotype" w:cs="Palatino Linotype"/>
          <w:color w:val="222222"/>
          <w:highlight w:val="whit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A473A4">
        <w:rPr>
          <w:rFonts w:ascii="Palatino Linotype" w:eastAsia="Palatino Linotype" w:hAnsi="Palatino Linotype" w:cs="Palatino Linotype"/>
          <w:b/>
          <w:color w:val="222222"/>
          <w:highlight w:val="white"/>
        </w:rPr>
        <w:t>dé cumplimiento a lo ordenado dentro del plazo de diez días hábiles</w:t>
      </w:r>
      <w:r w:rsidRPr="00A473A4">
        <w:rPr>
          <w:rFonts w:ascii="Palatino Linotype" w:eastAsia="Palatino Linotype" w:hAnsi="Palatino Linotype" w:cs="Palatino Linotype"/>
          <w:color w:val="222222"/>
          <w:highlight w:val="whit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Pr="00A473A4">
        <w:rPr>
          <w:rFonts w:ascii="Palatino Linotype" w:eastAsia="Palatino Linotype" w:hAnsi="Palatino Linotype" w:cs="Palatino Linotype"/>
          <w:highlight w:val="white"/>
        </w:rPr>
        <w:t>.</w:t>
      </w:r>
    </w:p>
    <w:p w:rsidR="0051730B" w:rsidRPr="00A473A4" w:rsidRDefault="0051730B" w:rsidP="00A473A4">
      <w:pPr>
        <w:tabs>
          <w:tab w:val="left" w:pos="8080"/>
        </w:tabs>
        <w:spacing w:line="360" w:lineRule="auto"/>
        <w:ind w:right="-943"/>
        <w:jc w:val="both"/>
        <w:rPr>
          <w:rFonts w:ascii="Palatino Linotype" w:eastAsia="Palatino Linotype" w:hAnsi="Palatino Linotype" w:cs="Palatino Linotype"/>
          <w:highlight w:val="white"/>
        </w:rPr>
      </w:pPr>
    </w:p>
    <w:p w:rsidR="0051730B" w:rsidRPr="00A473A4" w:rsidRDefault="0051730B" w:rsidP="00A473A4">
      <w:pPr>
        <w:spacing w:line="360" w:lineRule="auto"/>
        <w:ind w:right="-943"/>
        <w:jc w:val="both"/>
        <w:rPr>
          <w:rFonts w:ascii="Palatino Linotype" w:eastAsia="Palatino Linotype" w:hAnsi="Palatino Linotype" w:cs="Palatino Linotype"/>
        </w:rPr>
      </w:pPr>
      <w:r w:rsidRPr="00A473A4">
        <w:rPr>
          <w:rFonts w:ascii="Palatino Linotype" w:eastAsia="Palatino Linotype" w:hAnsi="Palatino Linotype" w:cs="Palatino Linotype"/>
          <w:b/>
          <w:bCs/>
        </w:rPr>
        <w:t xml:space="preserve">CUARTO. </w:t>
      </w:r>
      <w:r w:rsidRPr="00A473A4">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A473A4">
        <w:rPr>
          <w:rFonts w:ascii="Palatino Linotype" w:eastAsia="Palatino Linotype" w:hAnsi="Palatino Linotype" w:cs="Palatino Linotype"/>
          <w:b/>
          <w:bCs/>
        </w:rPr>
        <w:t>SUJETO OBLIGADO</w:t>
      </w:r>
      <w:r w:rsidRPr="00A473A4">
        <w:rPr>
          <w:rFonts w:ascii="Palatino Linotype" w:eastAsia="Palatino Linotype" w:hAnsi="Palatino Linotype" w:cs="Palatino Linotype"/>
        </w:rPr>
        <w:t xml:space="preserve"> de manera fundada y motivada, podrá solicitar una ampliación de plazo para el cumplimiento de la presente resolución.</w:t>
      </w:r>
    </w:p>
    <w:p w:rsidR="0051730B" w:rsidRPr="00A473A4" w:rsidRDefault="0051730B" w:rsidP="00A473A4">
      <w:pPr>
        <w:spacing w:line="360" w:lineRule="auto"/>
        <w:ind w:right="-943"/>
        <w:jc w:val="both"/>
        <w:rPr>
          <w:rFonts w:ascii="Palatino Linotype" w:eastAsia="Palatino Linotype" w:hAnsi="Palatino Linotype" w:cs="Palatino Linotype"/>
        </w:rPr>
      </w:pPr>
    </w:p>
    <w:p w:rsidR="0051730B" w:rsidRPr="00A473A4" w:rsidRDefault="0051730B" w:rsidP="00A473A4">
      <w:pPr>
        <w:tabs>
          <w:tab w:val="left" w:pos="8080"/>
        </w:tabs>
        <w:spacing w:line="360" w:lineRule="auto"/>
        <w:ind w:right="-943"/>
        <w:jc w:val="both"/>
        <w:rPr>
          <w:rFonts w:ascii="Palatino Linotype" w:eastAsia="Palatino Linotype" w:hAnsi="Palatino Linotype" w:cs="Palatino Linotype"/>
        </w:rPr>
      </w:pPr>
      <w:bookmarkStart w:id="10" w:name="_heading=h.j020w8pflfcx" w:colFirst="0" w:colLast="0"/>
      <w:bookmarkEnd w:id="10"/>
      <w:r w:rsidRPr="00A473A4">
        <w:rPr>
          <w:rFonts w:ascii="Palatino Linotype" w:eastAsia="Palatino Linotype" w:hAnsi="Palatino Linotype" w:cs="Palatino Linotype"/>
          <w:b/>
          <w:bCs/>
        </w:rPr>
        <w:t xml:space="preserve">QUINTO. </w:t>
      </w:r>
      <w:r w:rsidRPr="00A473A4">
        <w:rPr>
          <w:rFonts w:ascii="Palatino Linotype" w:eastAsia="Palatino Linotype" w:hAnsi="Palatino Linotype" w:cs="Palatino Linotype"/>
        </w:rPr>
        <w:t xml:space="preserve">Notifíquese a </w:t>
      </w:r>
      <w:r w:rsidRPr="00A473A4">
        <w:rPr>
          <w:rFonts w:ascii="Palatino Linotype" w:eastAsia="Palatino Linotype" w:hAnsi="Palatino Linotype" w:cs="Palatino Linotype"/>
          <w:b/>
          <w:bCs/>
        </w:rPr>
        <w:t>EL RECURRENTE</w:t>
      </w:r>
      <w:r w:rsidRPr="00A473A4">
        <w:rPr>
          <w:rFonts w:ascii="Palatino Linotype" w:eastAsia="Palatino Linotype" w:hAnsi="Palatino Linotype" w:cs="Palatino Linotype"/>
        </w:rPr>
        <w:t xml:space="preserve"> la presente resolución, vía SAIMEX.</w:t>
      </w:r>
    </w:p>
    <w:p w:rsidR="0051730B" w:rsidRPr="00A473A4" w:rsidRDefault="0051730B" w:rsidP="00A473A4">
      <w:pPr>
        <w:tabs>
          <w:tab w:val="left" w:pos="8080"/>
        </w:tabs>
        <w:spacing w:line="360" w:lineRule="auto"/>
        <w:ind w:right="-943"/>
        <w:jc w:val="both"/>
        <w:rPr>
          <w:rFonts w:ascii="Palatino Linotype" w:eastAsia="Palatino Linotype" w:hAnsi="Palatino Linotype" w:cs="Palatino Linotype"/>
        </w:rPr>
      </w:pPr>
    </w:p>
    <w:p w:rsidR="0051730B" w:rsidRPr="00A473A4" w:rsidRDefault="0051730B" w:rsidP="00A473A4">
      <w:pPr>
        <w:shd w:val="clear" w:color="auto" w:fill="FFFFFF"/>
        <w:spacing w:line="360" w:lineRule="auto"/>
        <w:ind w:right="-943"/>
        <w:jc w:val="both"/>
        <w:rPr>
          <w:rFonts w:ascii="Palatino Linotype" w:eastAsia="Palatino Linotype" w:hAnsi="Palatino Linotype" w:cs="Palatino Linotype"/>
        </w:rPr>
      </w:pPr>
      <w:r w:rsidRPr="00A473A4">
        <w:rPr>
          <w:rFonts w:ascii="Palatino Linotype" w:eastAsia="Palatino Linotype" w:hAnsi="Palatino Linotype" w:cs="Palatino Linotype"/>
          <w:b/>
          <w:bCs/>
        </w:rPr>
        <w:lastRenderedPageBreak/>
        <w:t>SEXTO.</w:t>
      </w:r>
      <w:r w:rsidRPr="00A473A4">
        <w:rPr>
          <w:rFonts w:ascii="Palatino Linotype" w:eastAsia="Palatino Linotype" w:hAnsi="Palatino Linotype" w:cs="Palatino Linotype"/>
        </w:rPr>
        <w:t xml:space="preserve"> Se hace del conocimiento de </w:t>
      </w:r>
      <w:r w:rsidRPr="00A473A4">
        <w:rPr>
          <w:rFonts w:ascii="Palatino Linotype" w:eastAsia="Palatino Linotype" w:hAnsi="Palatino Linotype" w:cs="Palatino Linotype"/>
          <w:b/>
          <w:bCs/>
        </w:rPr>
        <w:t>EL RECURRENTE</w:t>
      </w:r>
      <w:r w:rsidRPr="00A473A4">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1730B" w:rsidRPr="00A473A4" w:rsidRDefault="0051730B" w:rsidP="00A473A4">
      <w:pPr>
        <w:shd w:val="clear" w:color="auto" w:fill="FFFFFF"/>
        <w:spacing w:line="360" w:lineRule="auto"/>
        <w:ind w:right="-943"/>
        <w:jc w:val="both"/>
        <w:rPr>
          <w:rFonts w:ascii="Palatino Linotype" w:eastAsia="Palatino Linotype" w:hAnsi="Palatino Linotype" w:cs="Palatino Linotype"/>
        </w:rPr>
      </w:pPr>
    </w:p>
    <w:p w:rsidR="009928E6" w:rsidRPr="00A473A4" w:rsidRDefault="009928E6" w:rsidP="00A473A4">
      <w:pPr>
        <w:spacing w:before="240" w:after="240" w:line="360" w:lineRule="auto"/>
        <w:ind w:right="-943" w:firstLine="1"/>
        <w:jc w:val="both"/>
        <w:rPr>
          <w:rFonts w:ascii="Palatino Linotype" w:hAnsi="Palatino Linotype"/>
        </w:rPr>
      </w:pPr>
      <w:bookmarkStart w:id="11" w:name="_Hlk99014733"/>
      <w:r w:rsidRPr="00A473A4">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A473A4">
        <w:rPr>
          <w:rFonts w:ascii="Palatino Linotype" w:hAnsi="Palatino Linotype" w:cs="Palatino Linotype"/>
          <w:color w:val="000000" w:themeColor="text1"/>
        </w:rPr>
        <w:t>ALEXIS TAPIA RAMÍREZ.</w:t>
      </w:r>
    </w:p>
    <w:bookmarkEnd w:id="11"/>
    <w:p w:rsidR="0051730B" w:rsidRPr="00A473A4" w:rsidRDefault="0051730B" w:rsidP="00A473A4">
      <w:pPr>
        <w:pBdr>
          <w:top w:val="nil"/>
          <w:left w:val="nil"/>
          <w:bottom w:val="nil"/>
          <w:right w:val="nil"/>
          <w:between w:val="nil"/>
        </w:pBdr>
        <w:tabs>
          <w:tab w:val="left" w:pos="567"/>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Bdr>
          <w:top w:val="nil"/>
          <w:left w:val="nil"/>
          <w:bottom w:val="nil"/>
          <w:right w:val="nil"/>
          <w:between w:val="nil"/>
        </w:pBdr>
        <w:tabs>
          <w:tab w:val="left" w:pos="567"/>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Bdr>
          <w:top w:val="nil"/>
          <w:left w:val="nil"/>
          <w:bottom w:val="nil"/>
          <w:right w:val="nil"/>
          <w:between w:val="nil"/>
        </w:pBdr>
        <w:tabs>
          <w:tab w:val="left" w:pos="567"/>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Bdr>
          <w:top w:val="nil"/>
          <w:left w:val="nil"/>
          <w:bottom w:val="nil"/>
          <w:right w:val="nil"/>
          <w:between w:val="nil"/>
        </w:pBdr>
        <w:tabs>
          <w:tab w:val="left" w:pos="567"/>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Bdr>
          <w:top w:val="nil"/>
          <w:left w:val="nil"/>
          <w:bottom w:val="nil"/>
          <w:right w:val="nil"/>
          <w:between w:val="nil"/>
        </w:pBdr>
        <w:tabs>
          <w:tab w:val="left" w:pos="567"/>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Bdr>
          <w:top w:val="nil"/>
          <w:left w:val="nil"/>
          <w:bottom w:val="nil"/>
          <w:right w:val="nil"/>
          <w:between w:val="nil"/>
        </w:pBdr>
        <w:tabs>
          <w:tab w:val="left" w:pos="567"/>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Bdr>
          <w:top w:val="nil"/>
          <w:left w:val="nil"/>
          <w:bottom w:val="nil"/>
          <w:right w:val="nil"/>
          <w:between w:val="nil"/>
        </w:pBdr>
        <w:tabs>
          <w:tab w:val="left" w:pos="567"/>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Bdr>
          <w:top w:val="nil"/>
          <w:left w:val="nil"/>
          <w:bottom w:val="nil"/>
          <w:right w:val="nil"/>
          <w:between w:val="nil"/>
        </w:pBdr>
        <w:tabs>
          <w:tab w:val="left" w:pos="567"/>
        </w:tabs>
        <w:spacing w:line="360" w:lineRule="auto"/>
        <w:ind w:right="-943"/>
        <w:jc w:val="both"/>
        <w:rPr>
          <w:rFonts w:ascii="Palatino Linotype" w:eastAsia="Palatino Linotype" w:hAnsi="Palatino Linotype" w:cs="Palatino Linotype"/>
          <w:color w:val="000000"/>
        </w:rPr>
      </w:pPr>
    </w:p>
    <w:p w:rsidR="0051730B" w:rsidRPr="00A473A4" w:rsidRDefault="0051730B" w:rsidP="00A473A4">
      <w:pPr>
        <w:pBdr>
          <w:top w:val="nil"/>
          <w:left w:val="nil"/>
          <w:bottom w:val="nil"/>
          <w:right w:val="nil"/>
          <w:between w:val="nil"/>
        </w:pBdr>
        <w:tabs>
          <w:tab w:val="left" w:pos="567"/>
        </w:tabs>
        <w:spacing w:line="360" w:lineRule="auto"/>
        <w:ind w:right="-943"/>
        <w:jc w:val="both"/>
        <w:rPr>
          <w:color w:val="000000"/>
        </w:rPr>
      </w:pPr>
    </w:p>
    <w:p w:rsidR="0051730B" w:rsidRPr="00A473A4" w:rsidRDefault="0051730B" w:rsidP="00A473A4">
      <w:pPr>
        <w:ind w:right="-943"/>
      </w:pPr>
    </w:p>
    <w:p w:rsidR="0051730B" w:rsidRPr="00A473A4" w:rsidRDefault="0051730B" w:rsidP="00A473A4">
      <w:pPr>
        <w:ind w:right="-943"/>
      </w:pPr>
    </w:p>
    <w:p w:rsidR="0051730B" w:rsidRPr="00A473A4" w:rsidRDefault="0051730B" w:rsidP="00A473A4">
      <w:pPr>
        <w:ind w:right="-943"/>
      </w:pPr>
    </w:p>
    <w:p w:rsidR="00FF7E97" w:rsidRPr="00A473A4" w:rsidRDefault="00FF7E97" w:rsidP="00A473A4">
      <w:pPr>
        <w:ind w:right="-943"/>
      </w:pPr>
    </w:p>
    <w:p w:rsidR="00FF7E97" w:rsidRPr="00A473A4" w:rsidRDefault="00FF7E97" w:rsidP="00A473A4">
      <w:pPr>
        <w:ind w:right="-943"/>
      </w:pPr>
    </w:p>
    <w:p w:rsidR="00B130FE" w:rsidRPr="00A473A4" w:rsidRDefault="00B130FE" w:rsidP="00A473A4">
      <w:pPr>
        <w:ind w:right="-943"/>
      </w:pPr>
    </w:p>
    <w:sectPr w:rsidR="00B130FE" w:rsidRPr="00A473A4">
      <w:headerReference w:type="default" r:id="rId8"/>
      <w:footerReference w:type="default" r:id="rId9"/>
      <w:headerReference w:type="first" r:id="rId10"/>
      <w:footerReference w:type="first" r:id="rId11"/>
      <w:pgSz w:w="12240" w:h="15840"/>
      <w:pgMar w:top="2268" w:right="1701" w:bottom="1560"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A96" w:rsidRDefault="001C2A96" w:rsidP="0051730B">
      <w:r>
        <w:separator/>
      </w:r>
    </w:p>
  </w:endnote>
  <w:endnote w:type="continuationSeparator" w:id="0">
    <w:p w:rsidR="001C2A96" w:rsidRDefault="001C2A96" w:rsidP="00517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8D8" w:rsidRDefault="008F58D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625F80">
      <w:rPr>
        <w:rFonts w:ascii="Palatino Linotype" w:eastAsia="Palatino Linotype" w:hAnsi="Palatino Linotype" w:cs="Palatino Linotype"/>
        <w:b/>
        <w:bCs/>
        <w:noProof/>
        <w:color w:val="000000"/>
        <w:sz w:val="22"/>
        <w:szCs w:val="22"/>
      </w:rPr>
      <w:t>11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625F80">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p>
  <w:p w:rsidR="008F58D8" w:rsidRDefault="008F58D8">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8D8" w:rsidRDefault="008F58D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25F80">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25F80">
      <w:rPr>
        <w:rFonts w:ascii="Palatino Linotype" w:eastAsia="Palatino Linotype" w:hAnsi="Palatino Linotype" w:cs="Palatino Linotype"/>
        <w:noProof/>
        <w:color w:val="000000"/>
        <w:sz w:val="22"/>
        <w:szCs w:val="22"/>
      </w:rPr>
      <w:t>22</w:t>
    </w:r>
    <w:r>
      <w:rPr>
        <w:rFonts w:ascii="Palatino Linotype" w:eastAsia="Palatino Linotype" w:hAnsi="Palatino Linotype" w:cs="Palatino Linotype"/>
        <w:color w:val="000000"/>
        <w:sz w:val="22"/>
        <w:szCs w:val="22"/>
      </w:rPr>
      <w:fldChar w:fldCharType="end"/>
    </w:r>
  </w:p>
  <w:p w:rsidR="008F58D8" w:rsidRDefault="008F58D8">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A96" w:rsidRDefault="001C2A96" w:rsidP="0051730B">
      <w:r>
        <w:separator/>
      </w:r>
    </w:p>
  </w:footnote>
  <w:footnote w:type="continuationSeparator" w:id="0">
    <w:p w:rsidR="001C2A96" w:rsidRDefault="001C2A96" w:rsidP="00517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175" w:type="dxa"/>
      <w:tblInd w:w="2552" w:type="dxa"/>
      <w:tblBorders>
        <w:top w:val="nil"/>
        <w:left w:val="nil"/>
        <w:bottom w:val="nil"/>
        <w:right w:val="nil"/>
        <w:insideH w:val="nil"/>
        <w:insideV w:val="nil"/>
      </w:tblBorders>
      <w:tblLayout w:type="fixed"/>
      <w:tblLook w:val="0400" w:firstRow="0" w:lastRow="0" w:firstColumn="0" w:lastColumn="0" w:noHBand="0" w:noVBand="1"/>
    </w:tblPr>
    <w:tblGrid>
      <w:gridCol w:w="3645"/>
      <w:gridCol w:w="4530"/>
    </w:tblGrid>
    <w:tr w:rsidR="008F58D8" w:rsidTr="00A473A4">
      <w:trPr>
        <w:trHeight w:val="138"/>
      </w:trPr>
      <w:tc>
        <w:tcPr>
          <w:tcW w:w="3645" w:type="dxa"/>
          <w:vAlign w:val="center"/>
        </w:tcPr>
        <w:p w:rsidR="008F58D8" w:rsidRDefault="008F58D8">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30" w:type="dxa"/>
          <w:vAlign w:val="center"/>
        </w:tcPr>
        <w:p w:rsidR="008F58D8" w:rsidRDefault="008F58D8">
          <w:pPr>
            <w:pBdr>
              <w:top w:val="nil"/>
              <w:left w:val="nil"/>
              <w:bottom w:val="nil"/>
              <w:right w:val="nil"/>
              <w:between w:val="nil"/>
            </w:pBdr>
            <w:tabs>
              <w:tab w:val="center" w:pos="4252"/>
              <w:tab w:val="right" w:pos="8504"/>
            </w:tabs>
            <w:ind w:right="-1020"/>
            <w:rPr>
              <w:rFonts w:ascii="Palatino Linotype" w:eastAsia="Palatino Linotype" w:hAnsi="Palatino Linotype" w:cs="Palatino Linotype"/>
              <w:color w:val="000000"/>
            </w:rPr>
          </w:pPr>
          <w:r w:rsidRPr="0051730B">
            <w:rPr>
              <w:rFonts w:ascii="Palatino Linotype" w:eastAsia="Palatino Linotype" w:hAnsi="Palatino Linotype" w:cs="Palatino Linotype"/>
              <w:color w:val="000000"/>
            </w:rPr>
            <w:t>04748/INFOEM/IP/RR/2026</w:t>
          </w:r>
        </w:p>
      </w:tc>
    </w:tr>
    <w:tr w:rsidR="008F58D8" w:rsidTr="00A473A4">
      <w:trPr>
        <w:trHeight w:val="233"/>
      </w:trPr>
      <w:tc>
        <w:tcPr>
          <w:tcW w:w="3645" w:type="dxa"/>
          <w:vAlign w:val="center"/>
        </w:tcPr>
        <w:p w:rsidR="008F58D8" w:rsidRDefault="008F58D8">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30" w:type="dxa"/>
          <w:vAlign w:val="center"/>
        </w:tcPr>
        <w:p w:rsidR="008F58D8" w:rsidRDefault="008F58D8">
          <w:pPr>
            <w:pBdr>
              <w:top w:val="nil"/>
              <w:left w:val="nil"/>
              <w:bottom w:val="nil"/>
              <w:right w:val="nil"/>
              <w:between w:val="nil"/>
            </w:pBdr>
            <w:tabs>
              <w:tab w:val="center" w:pos="4252"/>
              <w:tab w:val="right" w:pos="8504"/>
            </w:tabs>
            <w:ind w:right="-1020"/>
            <w:rPr>
              <w:rFonts w:ascii="Palatino Linotype" w:eastAsia="Palatino Linotype" w:hAnsi="Palatino Linotype" w:cs="Palatino Linotype"/>
              <w:color w:val="000000"/>
            </w:rPr>
          </w:pPr>
          <w:r w:rsidRPr="0051730B">
            <w:rPr>
              <w:rFonts w:ascii="Palatino Linotype" w:eastAsia="Palatino Linotype" w:hAnsi="Palatino Linotype" w:cs="Palatino Linotype"/>
              <w:color w:val="000000"/>
            </w:rPr>
            <w:t>Secretaría de las Mujeres</w:t>
          </w:r>
        </w:p>
      </w:tc>
    </w:tr>
    <w:tr w:rsidR="008F58D8" w:rsidTr="00A473A4">
      <w:trPr>
        <w:trHeight w:val="321"/>
      </w:trPr>
      <w:tc>
        <w:tcPr>
          <w:tcW w:w="3645" w:type="dxa"/>
          <w:vAlign w:val="center"/>
        </w:tcPr>
        <w:p w:rsidR="008F58D8" w:rsidRDefault="008F58D8">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530" w:type="dxa"/>
          <w:vAlign w:val="center"/>
        </w:tcPr>
        <w:p w:rsidR="008F58D8" w:rsidRDefault="008F58D8">
          <w:pPr>
            <w:pBdr>
              <w:top w:val="nil"/>
              <w:left w:val="nil"/>
              <w:bottom w:val="nil"/>
              <w:right w:val="nil"/>
              <w:between w:val="nil"/>
            </w:pBdr>
            <w:tabs>
              <w:tab w:val="center" w:pos="4252"/>
              <w:tab w:val="right" w:pos="8504"/>
            </w:tabs>
            <w:ind w:right="-102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F58D8" w:rsidRDefault="008F58D8">
    <w:pPr>
      <w:pBdr>
        <w:top w:val="nil"/>
        <w:left w:val="nil"/>
        <w:bottom w:val="nil"/>
        <w:right w:val="nil"/>
        <w:between w:val="nil"/>
      </w:pBdr>
      <w:tabs>
        <w:tab w:val="center" w:pos="4252"/>
        <w:tab w:val="right" w:pos="8504"/>
      </w:tabs>
      <w:rPr>
        <w:color w:val="000000"/>
      </w:rPr>
    </w:pPr>
    <w:r>
      <w:rPr>
        <w:noProof/>
        <w:color w:val="000000"/>
      </w:rPr>
      <w:drawing>
        <wp:anchor distT="0" distB="0" distL="0" distR="0" simplePos="0" relativeHeight="251657216" behindDoc="1" locked="0" layoutInCell="1" hidden="0" allowOverlap="1" wp14:anchorId="3373440C" wp14:editId="68064A03">
          <wp:simplePos x="0" y="0"/>
          <wp:positionH relativeFrom="page">
            <wp:posOffset>30785</wp:posOffset>
          </wp:positionH>
          <wp:positionV relativeFrom="page">
            <wp:posOffset>30480</wp:posOffset>
          </wp:positionV>
          <wp:extent cx="7695210" cy="10020839"/>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95210" cy="10020839"/>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5"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3930"/>
      <w:gridCol w:w="4335"/>
    </w:tblGrid>
    <w:tr w:rsidR="008F58D8" w:rsidTr="00A473A4">
      <w:trPr>
        <w:trHeight w:val="138"/>
      </w:trPr>
      <w:tc>
        <w:tcPr>
          <w:tcW w:w="3930" w:type="dxa"/>
          <w:vAlign w:val="center"/>
        </w:tcPr>
        <w:p w:rsidR="008F58D8" w:rsidRDefault="008F58D8">
          <w:pPr>
            <w:jc w:val="right"/>
            <w:rPr>
              <w:rFonts w:ascii="Palatino Linotype" w:eastAsia="Palatino Linotype" w:hAnsi="Palatino Linotype" w:cs="Palatino Linotype"/>
              <w:b/>
              <w:bCs/>
            </w:rPr>
          </w:pPr>
          <w:r>
            <w:rPr>
              <w:color w:val="000000"/>
            </w:rPr>
            <w:tab/>
          </w:r>
          <w:r>
            <w:rPr>
              <w:rFonts w:ascii="Palatino Linotype" w:eastAsia="Palatino Linotype" w:hAnsi="Palatino Linotype" w:cs="Palatino Linotype"/>
              <w:b/>
              <w:bCs/>
            </w:rPr>
            <w:t>RECURSO DE REVISIÓN:</w:t>
          </w:r>
        </w:p>
      </w:tc>
      <w:tc>
        <w:tcPr>
          <w:tcW w:w="4335" w:type="dxa"/>
          <w:vAlign w:val="center"/>
        </w:tcPr>
        <w:p w:rsidR="008F58D8" w:rsidRDefault="008F58D8">
          <w:pPr>
            <w:pBdr>
              <w:top w:val="nil"/>
              <w:left w:val="nil"/>
              <w:bottom w:val="nil"/>
              <w:right w:val="nil"/>
              <w:between w:val="nil"/>
            </w:pBdr>
            <w:tabs>
              <w:tab w:val="center" w:pos="4252"/>
              <w:tab w:val="right" w:pos="8504"/>
            </w:tabs>
            <w:ind w:right="-1310"/>
            <w:rPr>
              <w:rFonts w:ascii="Palatino Linotype" w:eastAsia="Palatino Linotype" w:hAnsi="Palatino Linotype" w:cs="Palatino Linotype"/>
              <w:color w:val="000000"/>
            </w:rPr>
          </w:pPr>
          <w:r w:rsidRPr="0051730B">
            <w:rPr>
              <w:rFonts w:ascii="Palatino Linotype" w:eastAsia="Palatino Linotype" w:hAnsi="Palatino Linotype" w:cs="Palatino Linotype"/>
              <w:color w:val="000000"/>
            </w:rPr>
            <w:t>04748/INFOEM/IP/RR/2026</w:t>
          </w:r>
        </w:p>
      </w:tc>
    </w:tr>
    <w:tr w:rsidR="008F58D8" w:rsidTr="00A473A4">
      <w:trPr>
        <w:trHeight w:val="233"/>
      </w:trPr>
      <w:tc>
        <w:tcPr>
          <w:tcW w:w="3930" w:type="dxa"/>
          <w:vAlign w:val="center"/>
        </w:tcPr>
        <w:p w:rsidR="008F58D8" w:rsidRDefault="008F58D8">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335" w:type="dxa"/>
        </w:tcPr>
        <w:p w:rsidR="008F58D8" w:rsidRDefault="00625F80">
          <w:pPr>
            <w:pBdr>
              <w:top w:val="nil"/>
              <w:left w:val="nil"/>
              <w:bottom w:val="nil"/>
              <w:right w:val="nil"/>
              <w:between w:val="nil"/>
            </w:pBdr>
            <w:tabs>
              <w:tab w:val="center" w:pos="4252"/>
              <w:tab w:val="right" w:pos="8504"/>
            </w:tabs>
            <w:ind w:right="-1310"/>
            <w:rPr>
              <w:rFonts w:ascii="Palatino Linotype" w:eastAsia="Palatino Linotype" w:hAnsi="Palatino Linotype" w:cs="Palatino Linotype"/>
              <w:color w:val="FF0000"/>
            </w:rPr>
          </w:pPr>
          <w:r>
            <w:rPr>
              <w:rFonts w:ascii="Palatino Linotype" w:eastAsia="Palatino Linotype" w:hAnsi="Palatino Linotype" w:cs="Palatino Linotype"/>
              <w:color w:val="000000"/>
            </w:rPr>
            <w:t>XXXX</w:t>
          </w:r>
        </w:p>
      </w:tc>
    </w:tr>
    <w:tr w:rsidR="008F58D8" w:rsidTr="00A473A4">
      <w:trPr>
        <w:trHeight w:val="321"/>
      </w:trPr>
      <w:tc>
        <w:tcPr>
          <w:tcW w:w="3930" w:type="dxa"/>
          <w:vAlign w:val="center"/>
        </w:tcPr>
        <w:p w:rsidR="008F58D8" w:rsidRDefault="008F58D8">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35" w:type="dxa"/>
          <w:vAlign w:val="center"/>
        </w:tcPr>
        <w:p w:rsidR="008F58D8" w:rsidRDefault="008F58D8">
          <w:pPr>
            <w:pBdr>
              <w:top w:val="nil"/>
              <w:left w:val="nil"/>
              <w:bottom w:val="nil"/>
              <w:right w:val="nil"/>
              <w:between w:val="nil"/>
            </w:pBdr>
            <w:tabs>
              <w:tab w:val="center" w:pos="4252"/>
              <w:tab w:val="right" w:pos="8504"/>
            </w:tabs>
            <w:ind w:right="-1310"/>
            <w:rPr>
              <w:rFonts w:ascii="Palatino Linotype" w:eastAsia="Palatino Linotype" w:hAnsi="Palatino Linotype" w:cs="Palatino Linotype"/>
              <w:color w:val="000000"/>
            </w:rPr>
          </w:pPr>
          <w:r w:rsidRPr="0051730B">
            <w:rPr>
              <w:rFonts w:ascii="Palatino Linotype" w:eastAsia="Palatino Linotype" w:hAnsi="Palatino Linotype" w:cs="Palatino Linotype"/>
              <w:color w:val="000000"/>
            </w:rPr>
            <w:t>Secretaría de las Mujeres</w:t>
          </w:r>
        </w:p>
      </w:tc>
    </w:tr>
    <w:tr w:rsidR="008F58D8" w:rsidTr="00A473A4">
      <w:trPr>
        <w:trHeight w:val="321"/>
      </w:trPr>
      <w:tc>
        <w:tcPr>
          <w:tcW w:w="3930" w:type="dxa"/>
          <w:vAlign w:val="center"/>
        </w:tcPr>
        <w:p w:rsidR="008F58D8" w:rsidRDefault="008F58D8">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35" w:type="dxa"/>
          <w:vAlign w:val="center"/>
        </w:tcPr>
        <w:p w:rsidR="008F58D8" w:rsidRDefault="008F58D8">
          <w:pPr>
            <w:pBdr>
              <w:top w:val="nil"/>
              <w:left w:val="nil"/>
              <w:bottom w:val="nil"/>
              <w:right w:val="nil"/>
              <w:between w:val="nil"/>
            </w:pBdr>
            <w:tabs>
              <w:tab w:val="center" w:pos="4252"/>
              <w:tab w:val="right" w:pos="8504"/>
            </w:tabs>
            <w:ind w:left="33" w:right="-131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F58D8" w:rsidRDefault="001C2A96">
    <w:pPr>
      <w:pBdr>
        <w:top w:val="nil"/>
        <w:left w:val="nil"/>
        <w:bottom w:val="nil"/>
        <w:right w:val="nil"/>
        <w:between w:val="nil"/>
      </w:pBdr>
      <w:tabs>
        <w:tab w:val="center" w:pos="4252"/>
        <w:tab w:val="right" w:pos="8504"/>
        <w:tab w:val="left" w:pos="3103"/>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71.85pt;margin-top:-133.05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9770A"/>
    <w:multiLevelType w:val="multilevel"/>
    <w:tmpl w:val="32F64FC4"/>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791F69"/>
    <w:multiLevelType w:val="multilevel"/>
    <w:tmpl w:val="89A03D4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DD463B"/>
    <w:multiLevelType w:val="multilevel"/>
    <w:tmpl w:val="F55EA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1BF087C"/>
    <w:multiLevelType w:val="multilevel"/>
    <w:tmpl w:val="640820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0B"/>
    <w:rsid w:val="001C2A96"/>
    <w:rsid w:val="001C508F"/>
    <w:rsid w:val="001F5614"/>
    <w:rsid w:val="00264FCD"/>
    <w:rsid w:val="003478E8"/>
    <w:rsid w:val="003644CD"/>
    <w:rsid w:val="003978FE"/>
    <w:rsid w:val="003E4774"/>
    <w:rsid w:val="0051730B"/>
    <w:rsid w:val="005A783E"/>
    <w:rsid w:val="00625F80"/>
    <w:rsid w:val="0065193C"/>
    <w:rsid w:val="006B1DC4"/>
    <w:rsid w:val="008F58D8"/>
    <w:rsid w:val="009928E6"/>
    <w:rsid w:val="00994CDA"/>
    <w:rsid w:val="00A473A4"/>
    <w:rsid w:val="00AB0AA2"/>
    <w:rsid w:val="00AE2E85"/>
    <w:rsid w:val="00B130FE"/>
    <w:rsid w:val="00BA7413"/>
    <w:rsid w:val="00BB61E9"/>
    <w:rsid w:val="00CB07C7"/>
    <w:rsid w:val="00EB2866"/>
    <w:rsid w:val="00FA124C"/>
    <w:rsid w:val="00FF7E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3A5AA40-A63F-41CC-AC10-5A671742F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730B"/>
    <w:pPr>
      <w:spacing w:after="0" w:line="240" w:lineRule="auto"/>
    </w:pPr>
    <w:rPr>
      <w:rFonts w:ascii="Calibri" w:eastAsia="Calibri" w:hAnsi="Calibri" w:cs="Calibri"/>
      <w:sz w:val="24"/>
      <w:szCs w:val="24"/>
      <w:lang w:eastAsia="es-MX"/>
    </w:rPr>
  </w:style>
  <w:style w:type="paragraph" w:styleId="Ttulo1">
    <w:name w:val="heading 1"/>
    <w:basedOn w:val="Normal"/>
    <w:next w:val="Normal"/>
    <w:link w:val="Ttulo1Car"/>
    <w:rsid w:val="0051730B"/>
    <w:pPr>
      <w:keepNext/>
      <w:keepLines/>
      <w:spacing w:before="240" w:line="259" w:lineRule="auto"/>
      <w:outlineLvl w:val="0"/>
    </w:pPr>
    <w:rPr>
      <w:rFonts w:ascii="Palatino Linotype" w:eastAsia="Palatino Linotype" w:hAnsi="Palatino Linotype" w:cs="Palatino Linotype"/>
    </w:rPr>
  </w:style>
  <w:style w:type="paragraph" w:styleId="Ttulo2">
    <w:name w:val="heading 2"/>
    <w:basedOn w:val="Normal"/>
    <w:next w:val="Normal"/>
    <w:link w:val="Ttulo2Car"/>
    <w:rsid w:val="0051730B"/>
    <w:pPr>
      <w:keepNext/>
      <w:keepLines/>
      <w:spacing w:before="40" w:line="259" w:lineRule="auto"/>
      <w:outlineLvl w:val="1"/>
    </w:pPr>
    <w:rPr>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1730B"/>
    <w:rPr>
      <w:rFonts w:ascii="Palatino Linotype" w:eastAsia="Palatino Linotype" w:hAnsi="Palatino Linotype" w:cs="Palatino Linotype"/>
      <w:sz w:val="24"/>
      <w:szCs w:val="24"/>
      <w:lang w:eastAsia="es-MX"/>
    </w:rPr>
  </w:style>
  <w:style w:type="character" w:customStyle="1" w:styleId="Ttulo2Car">
    <w:name w:val="Título 2 Car"/>
    <w:basedOn w:val="Fuentedeprrafopredeter"/>
    <w:link w:val="Ttulo2"/>
    <w:rsid w:val="0051730B"/>
    <w:rPr>
      <w:rFonts w:ascii="Calibri" w:eastAsia="Calibri" w:hAnsi="Calibri" w:cs="Calibri"/>
      <w:color w:val="2E75B5"/>
      <w:sz w:val="26"/>
      <w:szCs w:val="26"/>
      <w:lang w:eastAsia="es-MX"/>
    </w:rPr>
  </w:style>
  <w:style w:type="paragraph" w:styleId="Encabezado">
    <w:name w:val="header"/>
    <w:basedOn w:val="Normal"/>
    <w:link w:val="EncabezadoCar"/>
    <w:uiPriority w:val="99"/>
    <w:unhideWhenUsed/>
    <w:rsid w:val="0051730B"/>
    <w:pPr>
      <w:tabs>
        <w:tab w:val="center" w:pos="4419"/>
        <w:tab w:val="right" w:pos="8838"/>
      </w:tabs>
    </w:pPr>
  </w:style>
  <w:style w:type="character" w:customStyle="1" w:styleId="EncabezadoCar">
    <w:name w:val="Encabezado Car"/>
    <w:basedOn w:val="Fuentedeprrafopredeter"/>
    <w:link w:val="Encabezado"/>
    <w:uiPriority w:val="99"/>
    <w:rsid w:val="0051730B"/>
    <w:rPr>
      <w:rFonts w:ascii="Calibri" w:eastAsia="Calibri" w:hAnsi="Calibri" w:cs="Calibri"/>
      <w:sz w:val="24"/>
      <w:szCs w:val="24"/>
      <w:lang w:eastAsia="es-MX"/>
    </w:rPr>
  </w:style>
  <w:style w:type="paragraph" w:styleId="Piedepgina">
    <w:name w:val="footer"/>
    <w:basedOn w:val="Normal"/>
    <w:link w:val="PiedepginaCar"/>
    <w:uiPriority w:val="99"/>
    <w:unhideWhenUsed/>
    <w:rsid w:val="0051730B"/>
    <w:pPr>
      <w:tabs>
        <w:tab w:val="center" w:pos="4419"/>
        <w:tab w:val="right" w:pos="8838"/>
      </w:tabs>
    </w:pPr>
  </w:style>
  <w:style w:type="character" w:customStyle="1" w:styleId="PiedepginaCar">
    <w:name w:val="Pie de página Car"/>
    <w:basedOn w:val="Fuentedeprrafopredeter"/>
    <w:link w:val="Piedepgina"/>
    <w:uiPriority w:val="99"/>
    <w:rsid w:val="0051730B"/>
    <w:rPr>
      <w:rFonts w:ascii="Calibri" w:eastAsia="Calibri" w:hAnsi="Calibri" w:cs="Calibri"/>
      <w:sz w:val="24"/>
      <w:szCs w:val="24"/>
      <w:lang w:eastAsia="es-MX"/>
    </w:rPr>
  </w:style>
  <w:style w:type="character" w:styleId="Hipervnculo">
    <w:name w:val="Hyperlink"/>
    <w:basedOn w:val="Fuentedeprrafopredeter"/>
    <w:uiPriority w:val="99"/>
    <w:unhideWhenUsed/>
    <w:rsid w:val="001F5614"/>
    <w:rPr>
      <w:color w:val="0563C1" w:themeColor="hyperlink"/>
      <w:u w:val="single"/>
    </w:rPr>
  </w:style>
  <w:style w:type="table" w:styleId="Tablaconcuadrcula">
    <w:name w:val="Table Grid"/>
    <w:basedOn w:val="Tablanormal"/>
    <w:uiPriority w:val="39"/>
    <w:rsid w:val="00397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928310">
      <w:bodyDiv w:val="1"/>
      <w:marLeft w:val="0"/>
      <w:marRight w:val="0"/>
      <w:marTop w:val="0"/>
      <w:marBottom w:val="0"/>
      <w:divBdr>
        <w:top w:val="none" w:sz="0" w:space="0" w:color="auto"/>
        <w:left w:val="none" w:sz="0" w:space="0" w:color="auto"/>
        <w:bottom w:val="none" w:sz="0" w:space="0" w:color="auto"/>
        <w:right w:val="none" w:sz="0" w:space="0" w:color="auto"/>
      </w:divBdr>
    </w:div>
    <w:div w:id="375392051">
      <w:bodyDiv w:val="1"/>
      <w:marLeft w:val="0"/>
      <w:marRight w:val="0"/>
      <w:marTop w:val="0"/>
      <w:marBottom w:val="0"/>
      <w:divBdr>
        <w:top w:val="none" w:sz="0" w:space="0" w:color="auto"/>
        <w:left w:val="none" w:sz="0" w:space="0" w:color="auto"/>
        <w:bottom w:val="none" w:sz="0" w:space="0" w:color="auto"/>
        <w:right w:val="none" w:sz="0" w:space="0" w:color="auto"/>
      </w:divBdr>
    </w:div>
    <w:div w:id="995917675">
      <w:bodyDiv w:val="1"/>
      <w:marLeft w:val="0"/>
      <w:marRight w:val="0"/>
      <w:marTop w:val="0"/>
      <w:marBottom w:val="0"/>
      <w:divBdr>
        <w:top w:val="none" w:sz="0" w:space="0" w:color="auto"/>
        <w:left w:val="none" w:sz="0" w:space="0" w:color="auto"/>
        <w:bottom w:val="none" w:sz="0" w:space="0" w:color="auto"/>
        <w:right w:val="none" w:sz="0" w:space="0" w:color="auto"/>
      </w:divBdr>
    </w:div>
    <w:div w:id="175847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imex.org.mx/saimex/solicitud/downloadAttach/2766751.pa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22</Pages>
  <Words>5116</Words>
  <Characters>28144</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8</cp:revision>
  <cp:lastPrinted>2026-07-03T16:05:00Z</cp:lastPrinted>
  <dcterms:created xsi:type="dcterms:W3CDTF">2026-06-29T20:54:00Z</dcterms:created>
  <dcterms:modified xsi:type="dcterms:W3CDTF">2026-07-08T19:12:00Z</dcterms:modified>
</cp:coreProperties>
</file>