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29F" w:rsidRPr="00DA3B71" w:rsidRDefault="00D60CF2">
      <w:pPr>
        <w:tabs>
          <w:tab w:val="left" w:pos="3465"/>
        </w:tabs>
        <w:spacing w:line="360" w:lineRule="auto"/>
        <w:jc w:val="both"/>
        <w:rPr>
          <w:rFonts w:ascii="Palatino Linotype" w:eastAsia="Palatino Linotype" w:hAnsi="Palatino Linotype" w:cs="Palatino Linotype"/>
        </w:rPr>
      </w:pPr>
      <w:r w:rsidRPr="00DA3B71">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 fecha trece</w:t>
      </w:r>
      <w:r w:rsidR="00DA3B71">
        <w:rPr>
          <w:rFonts w:ascii="Palatino Linotype" w:eastAsia="Palatino Linotype" w:hAnsi="Palatino Linotype" w:cs="Palatino Linotype"/>
        </w:rPr>
        <w:t xml:space="preserve"> (13)</w:t>
      </w:r>
      <w:r w:rsidRPr="00DA3B71">
        <w:rPr>
          <w:rFonts w:ascii="Palatino Linotype" w:eastAsia="Palatino Linotype" w:hAnsi="Palatino Linotype" w:cs="Palatino Linotype"/>
        </w:rPr>
        <w:t xml:space="preserve"> de mayo de dos mil veintiséis.</w:t>
      </w:r>
    </w:p>
    <w:p w:rsidR="0051129F" w:rsidRPr="00DA3B71" w:rsidRDefault="0051129F">
      <w:pPr>
        <w:tabs>
          <w:tab w:val="left" w:pos="3465"/>
        </w:tabs>
        <w:spacing w:line="360" w:lineRule="auto"/>
        <w:jc w:val="both"/>
        <w:rPr>
          <w:rFonts w:ascii="Palatino Linotype" w:eastAsia="Palatino Linotype" w:hAnsi="Palatino Linotype" w:cs="Palatino Linotype"/>
        </w:rPr>
      </w:pPr>
    </w:p>
    <w:p w:rsidR="0051129F" w:rsidRPr="00DA3B71" w:rsidRDefault="00D60CF2">
      <w:pPr>
        <w:spacing w:line="360" w:lineRule="auto"/>
        <w:jc w:val="both"/>
        <w:rPr>
          <w:rFonts w:ascii="Palatino Linotype" w:eastAsia="Palatino Linotype" w:hAnsi="Palatino Linotype" w:cs="Palatino Linotype"/>
        </w:rPr>
      </w:pPr>
      <w:r w:rsidRPr="00DA3B71">
        <w:rPr>
          <w:rFonts w:ascii="Palatino Linotype" w:eastAsia="Palatino Linotype" w:hAnsi="Palatino Linotype" w:cs="Palatino Linotype"/>
          <w:b/>
          <w:bCs/>
        </w:rPr>
        <w:t xml:space="preserve">VISTAS </w:t>
      </w:r>
      <w:r w:rsidRPr="00DA3B71">
        <w:rPr>
          <w:rFonts w:ascii="Palatino Linotype" w:eastAsia="Palatino Linotype" w:hAnsi="Palatino Linotype" w:cs="Palatino Linotype"/>
        </w:rPr>
        <w:t xml:space="preserve">las constancias para resolver </w:t>
      </w:r>
      <w:r w:rsidRPr="00DA3B71">
        <w:rPr>
          <w:rFonts w:ascii="Palatino Linotype" w:eastAsia="Palatino Linotype" w:hAnsi="Palatino Linotype" w:cs="Palatino Linotype"/>
          <w:color w:val="000000"/>
        </w:rPr>
        <w:t xml:space="preserve">los Recursos de Revisión </w:t>
      </w:r>
      <w:r w:rsidRPr="00DA3B71">
        <w:rPr>
          <w:rFonts w:ascii="Palatino Linotype" w:eastAsia="Palatino Linotype" w:hAnsi="Palatino Linotype" w:cs="Palatino Linotype"/>
          <w:b/>
          <w:bCs/>
          <w:color w:val="000000"/>
        </w:rPr>
        <w:t>00978/INFOEM/IP/RR/2026, 01988/INFOEM/IP/RR/2026 y 01993/INFOEM/IP/RR/2026 acumulados</w:t>
      </w:r>
      <w:r w:rsidRPr="00DA3B71">
        <w:rPr>
          <w:rFonts w:ascii="Palatino Linotype" w:eastAsia="Palatino Linotype" w:hAnsi="Palatino Linotype" w:cs="Palatino Linotype"/>
          <w:color w:val="000000"/>
        </w:rPr>
        <w:t xml:space="preserve">, promovidos </w:t>
      </w:r>
      <w:r w:rsidRPr="00DA3B71">
        <w:rPr>
          <w:rFonts w:ascii="Palatino Linotype" w:eastAsia="Palatino Linotype" w:hAnsi="Palatino Linotype" w:cs="Palatino Linotype"/>
        </w:rPr>
        <w:t xml:space="preserve">por </w:t>
      </w:r>
      <w:r w:rsidR="00F10819">
        <w:rPr>
          <w:rFonts w:ascii="Palatino Linotype" w:eastAsia="Palatino Linotype" w:hAnsi="Palatino Linotype" w:cs="Palatino Linotype"/>
          <w:b/>
          <w:bCs/>
        </w:rPr>
        <w:t>XXXX</w:t>
      </w:r>
      <w:r w:rsidRPr="00DA3B71">
        <w:rPr>
          <w:rFonts w:ascii="Palatino Linotype" w:eastAsia="Palatino Linotype" w:hAnsi="Palatino Linotype" w:cs="Palatino Linotype"/>
        </w:rPr>
        <w:t xml:space="preserve">,  a quien en lo sucesivo se denominará como </w:t>
      </w:r>
      <w:r w:rsidRPr="00DA3B71">
        <w:rPr>
          <w:rFonts w:ascii="Palatino Linotype" w:eastAsia="Palatino Linotype" w:hAnsi="Palatino Linotype" w:cs="Palatino Linotype"/>
          <w:b/>
          <w:bCs/>
        </w:rPr>
        <w:t>LA</w:t>
      </w:r>
      <w:r w:rsidRPr="00DA3B71">
        <w:rPr>
          <w:rFonts w:ascii="Palatino Linotype" w:eastAsia="Palatino Linotype" w:hAnsi="Palatino Linotype" w:cs="Palatino Linotype"/>
        </w:rPr>
        <w:t xml:space="preserve"> </w:t>
      </w:r>
      <w:r w:rsidRPr="00DA3B71">
        <w:rPr>
          <w:rFonts w:ascii="Palatino Linotype" w:eastAsia="Palatino Linotype" w:hAnsi="Palatino Linotype" w:cs="Palatino Linotype"/>
          <w:b/>
          <w:bCs/>
        </w:rPr>
        <w:t>RECURRENTE</w:t>
      </w:r>
      <w:r w:rsidRPr="00DA3B71">
        <w:rPr>
          <w:rFonts w:ascii="Palatino Linotype" w:eastAsia="Palatino Linotype" w:hAnsi="Palatino Linotype" w:cs="Palatino Linotype"/>
        </w:rPr>
        <w:t xml:space="preserve">, en contra de la falta de respuesta a las solicitudes de información </w:t>
      </w:r>
      <w:r w:rsidRPr="00DA3B71">
        <w:rPr>
          <w:rFonts w:ascii="Palatino Linotype" w:eastAsia="Palatino Linotype" w:hAnsi="Palatino Linotype" w:cs="Palatino Linotype"/>
          <w:b/>
          <w:bCs/>
        </w:rPr>
        <w:t>00020/TEPOTZOT/IP/2026, 00025/TEPOTZOT/IP/2026 00008/TEPOTZOT/IP/2026</w:t>
      </w:r>
      <w:r w:rsidRPr="00DA3B71">
        <w:rPr>
          <w:rFonts w:ascii="Palatino Linotype" w:eastAsia="Palatino Linotype" w:hAnsi="Palatino Linotype" w:cs="Palatino Linotype"/>
        </w:rPr>
        <w:t xml:space="preserve">, por parte del </w:t>
      </w:r>
      <w:r w:rsidRPr="00DA3B71">
        <w:rPr>
          <w:rFonts w:ascii="Palatino Linotype" w:eastAsia="Palatino Linotype" w:hAnsi="Palatino Linotype" w:cs="Palatino Linotype"/>
          <w:b/>
          <w:bCs/>
        </w:rPr>
        <w:t xml:space="preserve">Ayuntamiento de Tepotzotlán, </w:t>
      </w:r>
      <w:r w:rsidRPr="00DA3B71">
        <w:rPr>
          <w:rFonts w:ascii="Palatino Linotype" w:eastAsia="Palatino Linotype" w:hAnsi="Palatino Linotype" w:cs="Palatino Linotype"/>
        </w:rPr>
        <w:t xml:space="preserve">en adelante el </w:t>
      </w:r>
      <w:r w:rsidRPr="00DA3B71">
        <w:rPr>
          <w:rFonts w:ascii="Palatino Linotype" w:eastAsia="Palatino Linotype" w:hAnsi="Palatino Linotype" w:cs="Palatino Linotype"/>
          <w:b/>
          <w:bCs/>
        </w:rPr>
        <w:t>SUJETO OBLIGADO</w:t>
      </w:r>
      <w:r w:rsidRPr="00DA3B71">
        <w:rPr>
          <w:rFonts w:ascii="Palatino Linotype" w:eastAsia="Palatino Linotype" w:hAnsi="Palatino Linotype" w:cs="Palatino Linotype"/>
        </w:rPr>
        <w:t>, se emite la presente resolución con base en los siguientes:</w:t>
      </w:r>
    </w:p>
    <w:p w:rsidR="0051129F" w:rsidRPr="00DA3B71" w:rsidRDefault="0051129F">
      <w:pPr>
        <w:jc w:val="both"/>
        <w:rPr>
          <w:rFonts w:ascii="Palatino Linotype" w:eastAsia="Palatino Linotype" w:hAnsi="Palatino Linotype" w:cs="Palatino Linotype"/>
        </w:rPr>
      </w:pPr>
    </w:p>
    <w:p w:rsidR="0051129F" w:rsidRPr="00DA3B71" w:rsidRDefault="00D60CF2">
      <w:pPr>
        <w:pStyle w:val="Ttulo1"/>
        <w:spacing w:before="0" w:line="360" w:lineRule="auto"/>
        <w:jc w:val="center"/>
        <w:rPr>
          <w:rFonts w:ascii="Palatino Linotype" w:eastAsia="Palatino Linotype" w:hAnsi="Palatino Linotype" w:cs="Palatino Linotype"/>
          <w:b/>
          <w:bCs/>
          <w:color w:val="000000"/>
          <w:sz w:val="24"/>
          <w:szCs w:val="24"/>
        </w:rPr>
      </w:pPr>
      <w:bookmarkStart w:id="0" w:name="_heading=h.gjdgxs" w:colFirst="0" w:colLast="0"/>
      <w:bookmarkEnd w:id="0"/>
      <w:r w:rsidRPr="00DA3B71">
        <w:rPr>
          <w:rFonts w:ascii="Palatino Linotype" w:eastAsia="Palatino Linotype" w:hAnsi="Palatino Linotype" w:cs="Palatino Linotype"/>
          <w:b/>
          <w:bCs/>
          <w:color w:val="000000"/>
          <w:sz w:val="24"/>
          <w:szCs w:val="24"/>
        </w:rPr>
        <w:t>A N T E C E D E N T E S</w:t>
      </w:r>
    </w:p>
    <w:p w:rsidR="0051129F" w:rsidRPr="00DA3B71" w:rsidRDefault="0051129F">
      <w:pPr>
        <w:pBdr>
          <w:top w:val="nil"/>
          <w:left w:val="nil"/>
          <w:bottom w:val="nil"/>
          <w:right w:val="nil"/>
          <w:between w:val="nil"/>
        </w:pBdr>
        <w:spacing w:line="360" w:lineRule="auto"/>
        <w:jc w:val="both"/>
        <w:rPr>
          <w:rFonts w:ascii="Palatino Linotype" w:eastAsia="Palatino Linotype" w:hAnsi="Palatino Linotype" w:cs="Palatino Linotype"/>
          <w:b/>
          <w:bCs/>
          <w:color w:val="000000"/>
          <w:u w:val="single"/>
        </w:rPr>
      </w:pPr>
    </w:p>
    <w:p w:rsidR="0051129F" w:rsidRPr="00DA3B71" w:rsidRDefault="00D60CF2">
      <w:pPr>
        <w:numPr>
          <w:ilvl w:val="0"/>
          <w:numId w:val="1"/>
        </w:numPr>
        <w:pBdr>
          <w:top w:val="nil"/>
          <w:left w:val="nil"/>
          <w:bottom w:val="nil"/>
          <w:right w:val="nil"/>
          <w:between w:val="nil"/>
        </w:pBdr>
        <w:tabs>
          <w:tab w:val="left" w:pos="0"/>
        </w:tabs>
        <w:spacing w:line="360" w:lineRule="auto"/>
        <w:ind w:left="0" w:firstLine="0"/>
        <w:jc w:val="both"/>
        <w:rPr>
          <w:color w:val="000000"/>
        </w:rPr>
      </w:pPr>
      <w:r w:rsidRPr="00DA3B71">
        <w:rPr>
          <w:rFonts w:ascii="Palatino Linotype" w:eastAsia="Palatino Linotype" w:hAnsi="Palatino Linotype" w:cs="Palatino Linotype"/>
          <w:color w:val="000000"/>
        </w:rPr>
        <w:t xml:space="preserve">El </w:t>
      </w:r>
      <w:r w:rsidRPr="00DA3B71">
        <w:rPr>
          <w:rFonts w:ascii="Palatino Linotype" w:eastAsia="Palatino Linotype" w:hAnsi="Palatino Linotype" w:cs="Palatino Linotype"/>
          <w:b/>
          <w:bCs/>
          <w:color w:val="000000"/>
        </w:rPr>
        <w:t>doce de enero de dos mil veintiséis</w:t>
      </w:r>
      <w:r w:rsidRPr="00DA3B71">
        <w:rPr>
          <w:rFonts w:ascii="Palatino Linotype" w:eastAsia="Palatino Linotype" w:hAnsi="Palatino Linotype" w:cs="Palatino Linotype"/>
          <w:color w:val="000000"/>
        </w:rPr>
        <w:t>,</w:t>
      </w:r>
      <w:r w:rsidRPr="00DA3B71">
        <w:rPr>
          <w:rFonts w:ascii="Palatino Linotype" w:eastAsia="Palatino Linotype" w:hAnsi="Palatino Linotype" w:cs="Palatino Linotype"/>
          <w:b/>
          <w:bCs/>
          <w:color w:val="000000"/>
        </w:rPr>
        <w:t xml:space="preserve"> </w:t>
      </w:r>
      <w:r w:rsidRPr="00DA3B71">
        <w:rPr>
          <w:rFonts w:ascii="Palatino Linotype" w:eastAsia="Palatino Linotype" w:hAnsi="Palatino Linotype" w:cs="Palatino Linotype"/>
          <w:color w:val="000000"/>
        </w:rPr>
        <w:t xml:space="preserve">se presentaron ante el Sujeto Obligado vía Sistema de Acceso a la Información Mexiquense, en adelante SAIMEX, las solicitudes de información </w:t>
      </w:r>
      <w:r w:rsidRPr="00DA3B71">
        <w:rPr>
          <w:rFonts w:ascii="Palatino Linotype" w:eastAsia="Palatino Linotype" w:hAnsi="Palatino Linotype" w:cs="Palatino Linotype"/>
        </w:rPr>
        <w:t xml:space="preserve">en las que requirió la </w:t>
      </w:r>
      <w:r w:rsidRPr="00DA3B71">
        <w:rPr>
          <w:rFonts w:ascii="Palatino Linotype" w:eastAsia="Palatino Linotype" w:hAnsi="Palatino Linotype" w:cs="Palatino Linotype"/>
          <w:color w:val="000000"/>
        </w:rPr>
        <w:t xml:space="preserve"> información pública:</w:t>
      </w:r>
    </w:p>
    <w:p w:rsidR="0051129F" w:rsidRPr="00DA3B71" w:rsidRDefault="0051129F">
      <w:pPr>
        <w:pBdr>
          <w:top w:val="nil"/>
          <w:left w:val="nil"/>
          <w:bottom w:val="nil"/>
          <w:right w:val="nil"/>
          <w:between w:val="nil"/>
        </w:pBdr>
        <w:jc w:val="both"/>
        <w:rPr>
          <w:rFonts w:ascii="Palatino Linotype" w:eastAsia="Palatino Linotype" w:hAnsi="Palatino Linotype" w:cs="Palatino Linotype"/>
          <w:color w:val="000000"/>
        </w:rPr>
      </w:pPr>
    </w:p>
    <w:tbl>
      <w:tblPr>
        <w:tblStyle w:val="a"/>
        <w:tblW w:w="9918"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3256"/>
        <w:gridCol w:w="6662"/>
      </w:tblGrid>
      <w:tr w:rsidR="0051129F" w:rsidRPr="00DA3B71" w:rsidTr="00DA3B71">
        <w:tc>
          <w:tcPr>
            <w:tcW w:w="3256" w:type="dxa"/>
            <w:shd w:val="clear" w:color="auto" w:fill="D9D9D9"/>
            <w:vAlign w:val="center"/>
          </w:tcPr>
          <w:p w:rsidR="0051129F" w:rsidRPr="00DA3B71" w:rsidRDefault="00D60CF2">
            <w:pPr>
              <w:jc w:val="center"/>
              <w:rPr>
                <w:rFonts w:ascii="Palatino Linotype" w:eastAsia="Palatino Linotype" w:hAnsi="Palatino Linotype" w:cs="Palatino Linotype"/>
                <w:b/>
                <w:bCs/>
              </w:rPr>
            </w:pPr>
            <w:r w:rsidRPr="00DA3B71">
              <w:rPr>
                <w:rFonts w:ascii="Palatino Linotype" w:eastAsia="Palatino Linotype" w:hAnsi="Palatino Linotype" w:cs="Palatino Linotype"/>
                <w:b/>
                <w:bCs/>
              </w:rPr>
              <w:t>Número de solicitud</w:t>
            </w:r>
          </w:p>
        </w:tc>
        <w:tc>
          <w:tcPr>
            <w:tcW w:w="6662" w:type="dxa"/>
            <w:shd w:val="clear" w:color="auto" w:fill="D9D9D9"/>
            <w:vAlign w:val="center"/>
          </w:tcPr>
          <w:p w:rsidR="0051129F" w:rsidRPr="00DA3B71" w:rsidRDefault="00D60CF2">
            <w:pPr>
              <w:jc w:val="center"/>
              <w:rPr>
                <w:rFonts w:ascii="Palatino Linotype" w:eastAsia="Palatino Linotype" w:hAnsi="Palatino Linotype" w:cs="Palatino Linotype"/>
                <w:b/>
                <w:bCs/>
              </w:rPr>
            </w:pPr>
            <w:r w:rsidRPr="00DA3B71">
              <w:rPr>
                <w:rFonts w:ascii="Palatino Linotype" w:eastAsia="Palatino Linotype" w:hAnsi="Palatino Linotype" w:cs="Palatino Linotype"/>
                <w:b/>
                <w:bCs/>
              </w:rPr>
              <w:t>Información requerida</w:t>
            </w:r>
          </w:p>
        </w:tc>
      </w:tr>
      <w:tr w:rsidR="0051129F" w:rsidRPr="00DA3B71" w:rsidTr="00DA3B71">
        <w:tc>
          <w:tcPr>
            <w:tcW w:w="3256" w:type="dxa"/>
            <w:vAlign w:val="center"/>
          </w:tcPr>
          <w:p w:rsidR="0051129F" w:rsidRPr="00DA3B71" w:rsidRDefault="00D60CF2">
            <w:pPr>
              <w:jc w:val="center"/>
              <w:rPr>
                <w:rFonts w:ascii="Palatino Linotype" w:eastAsia="Palatino Linotype" w:hAnsi="Palatino Linotype" w:cs="Palatino Linotype"/>
                <w:b/>
                <w:bCs/>
              </w:rPr>
            </w:pPr>
            <w:r w:rsidRPr="00DA3B71">
              <w:rPr>
                <w:rFonts w:ascii="Palatino Linotype" w:eastAsia="Palatino Linotype" w:hAnsi="Palatino Linotype" w:cs="Palatino Linotype"/>
                <w:b/>
                <w:bCs/>
              </w:rPr>
              <w:t xml:space="preserve">00020/TEPOTZOT/IP/2026 </w:t>
            </w:r>
          </w:p>
        </w:tc>
        <w:tc>
          <w:tcPr>
            <w:tcW w:w="6662" w:type="dxa"/>
          </w:tcPr>
          <w:p w:rsidR="0051129F" w:rsidRPr="00DA3B71" w:rsidRDefault="00D60CF2">
            <w:pPr>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“Solicito copia digital de la documentación comprobatoria del ejercicio del gasto de los recursos municipales transferidos al Instituto Municipal de Cultura Física y Deporte de Tepotzotlán durante los ejercicios fiscales 2023 a 2025, incluyendo pólizas, facturas, contratos y comprobantes de pago.” (Sic)</w:t>
            </w:r>
          </w:p>
        </w:tc>
      </w:tr>
      <w:tr w:rsidR="0051129F" w:rsidRPr="00DA3B71" w:rsidTr="00DA3B71">
        <w:tc>
          <w:tcPr>
            <w:tcW w:w="3256" w:type="dxa"/>
            <w:vAlign w:val="center"/>
          </w:tcPr>
          <w:p w:rsidR="0051129F" w:rsidRPr="00DA3B71" w:rsidRDefault="00D60CF2">
            <w:pPr>
              <w:jc w:val="center"/>
              <w:rPr>
                <w:rFonts w:ascii="Palatino Linotype" w:eastAsia="Palatino Linotype" w:hAnsi="Palatino Linotype" w:cs="Palatino Linotype"/>
                <w:b/>
                <w:bCs/>
              </w:rPr>
            </w:pPr>
            <w:r w:rsidRPr="00DA3B71">
              <w:rPr>
                <w:rFonts w:ascii="Palatino Linotype" w:eastAsia="Palatino Linotype" w:hAnsi="Palatino Linotype" w:cs="Palatino Linotype"/>
                <w:b/>
                <w:bCs/>
              </w:rPr>
              <w:t>00025/TEPOTZOT/IP/2026</w:t>
            </w:r>
          </w:p>
        </w:tc>
        <w:tc>
          <w:tcPr>
            <w:tcW w:w="6662" w:type="dxa"/>
          </w:tcPr>
          <w:p w:rsidR="0051129F" w:rsidRPr="00DA3B71" w:rsidRDefault="00D60CF2">
            <w:pPr>
              <w:jc w:val="both"/>
              <w:rPr>
                <w:rFonts w:ascii="Palatino Linotype" w:eastAsia="Palatino Linotype" w:hAnsi="Palatino Linotype" w:cs="Palatino Linotype"/>
              </w:rPr>
            </w:pPr>
            <w:r w:rsidRPr="00DA3B71">
              <w:rPr>
                <w:rFonts w:ascii="Palatino Linotype" w:eastAsia="Palatino Linotype" w:hAnsi="Palatino Linotype" w:cs="Palatino Linotype"/>
                <w:i/>
                <w:iCs/>
              </w:rPr>
              <w:t xml:space="preserve">“Solicito informar si el Cabildo del Ayuntamiento de Tepotzotlán ha conocido, discutido o aprobado informes, observaciones, auditorías o recomendaciones relacionadas con el Instituto </w:t>
            </w:r>
            <w:r w:rsidRPr="00DA3B71">
              <w:rPr>
                <w:rFonts w:ascii="Palatino Linotype" w:eastAsia="Palatino Linotype" w:hAnsi="Palatino Linotype" w:cs="Palatino Linotype"/>
                <w:i/>
                <w:iCs/>
              </w:rPr>
              <w:lastRenderedPageBreak/>
              <w:t>Municipal de Cultura Física y Deporte; en caso afirmativo, proporcionar copia digital de las actas correspondientes.” (Sic)</w:t>
            </w:r>
          </w:p>
        </w:tc>
      </w:tr>
      <w:tr w:rsidR="0051129F" w:rsidRPr="00DA3B71" w:rsidTr="00DA3B71">
        <w:tc>
          <w:tcPr>
            <w:tcW w:w="3256" w:type="dxa"/>
            <w:vAlign w:val="center"/>
          </w:tcPr>
          <w:p w:rsidR="0051129F" w:rsidRPr="00DA3B71" w:rsidRDefault="00D60CF2">
            <w:pPr>
              <w:jc w:val="center"/>
              <w:rPr>
                <w:rFonts w:ascii="Palatino Linotype" w:eastAsia="Palatino Linotype" w:hAnsi="Palatino Linotype" w:cs="Palatino Linotype"/>
                <w:b/>
                <w:bCs/>
              </w:rPr>
            </w:pPr>
            <w:r w:rsidRPr="00DA3B71">
              <w:rPr>
                <w:rFonts w:ascii="Palatino Linotype" w:eastAsia="Palatino Linotype" w:hAnsi="Palatino Linotype" w:cs="Palatino Linotype"/>
                <w:b/>
                <w:bCs/>
              </w:rPr>
              <w:lastRenderedPageBreak/>
              <w:t>00008/TEPOTZOT/IP/2026</w:t>
            </w:r>
          </w:p>
        </w:tc>
        <w:tc>
          <w:tcPr>
            <w:tcW w:w="6662" w:type="dxa"/>
          </w:tcPr>
          <w:p w:rsidR="0051129F" w:rsidRPr="00DA3B71" w:rsidRDefault="00D60CF2">
            <w:pPr>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“Solicito copia digital de las actas de Cabildo del Ayuntamiento de Tepotzotlán en las que se haya aprobado presupuesto, subsidios, transferencias, nombramientos o informes relacionados con el Instituto Municipal de Cultura Física y Deporte de Tepotzotlán durante los años 2024 y 2025.” (Sic)</w:t>
            </w:r>
          </w:p>
        </w:tc>
      </w:tr>
    </w:tbl>
    <w:p w:rsidR="0051129F" w:rsidRPr="00DA3B71" w:rsidRDefault="0051129F">
      <w:pPr>
        <w:pBdr>
          <w:top w:val="nil"/>
          <w:left w:val="nil"/>
          <w:bottom w:val="nil"/>
          <w:right w:val="nil"/>
          <w:between w:val="nil"/>
        </w:pBdr>
        <w:jc w:val="both"/>
        <w:rPr>
          <w:rFonts w:ascii="Palatino Linotype" w:eastAsia="Palatino Linotype" w:hAnsi="Palatino Linotype" w:cs="Palatino Linotype"/>
          <w:color w:val="000000"/>
        </w:rPr>
      </w:pPr>
    </w:p>
    <w:p w:rsidR="0051129F" w:rsidRPr="00DA3B71" w:rsidRDefault="0051129F">
      <w:pPr>
        <w:pBdr>
          <w:top w:val="nil"/>
          <w:left w:val="nil"/>
          <w:bottom w:val="nil"/>
          <w:right w:val="nil"/>
          <w:between w:val="nil"/>
        </w:pBdr>
        <w:spacing w:line="360" w:lineRule="auto"/>
        <w:ind w:left="851"/>
        <w:jc w:val="both"/>
        <w:rPr>
          <w:rFonts w:ascii="Palatino Linotype" w:eastAsia="Palatino Linotype" w:hAnsi="Palatino Linotype" w:cs="Palatino Linotype"/>
          <w:color w:val="000000"/>
        </w:rPr>
      </w:pPr>
    </w:p>
    <w:p w:rsidR="0051129F" w:rsidRPr="00DA3B71" w:rsidRDefault="00D60CF2">
      <w:pPr>
        <w:numPr>
          <w:ilvl w:val="0"/>
          <w:numId w:val="6"/>
        </w:numPr>
        <w:pBdr>
          <w:top w:val="nil"/>
          <w:left w:val="nil"/>
          <w:bottom w:val="nil"/>
          <w:right w:val="nil"/>
          <w:between w:val="nil"/>
        </w:pBdr>
        <w:tabs>
          <w:tab w:val="left" w:pos="0"/>
        </w:tabs>
        <w:spacing w:line="360" w:lineRule="auto"/>
        <w:ind w:left="709"/>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 xml:space="preserve">Se eligió como modalidad de entrega de la información: A través del </w:t>
      </w:r>
      <w:r w:rsidRPr="00DA3B71">
        <w:rPr>
          <w:rFonts w:ascii="Palatino Linotype" w:eastAsia="Palatino Linotype" w:hAnsi="Palatino Linotype" w:cs="Palatino Linotype"/>
          <w:b/>
          <w:bCs/>
          <w:color w:val="000000"/>
        </w:rPr>
        <w:t>SAIMEX.</w:t>
      </w:r>
    </w:p>
    <w:p w:rsidR="0051129F" w:rsidRPr="00DA3B71" w:rsidRDefault="0051129F">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bookmarkStart w:id="1" w:name="_GoBack"/>
      <w:bookmarkEnd w:id="1"/>
    </w:p>
    <w:p w:rsidR="0051129F" w:rsidRPr="00DA3B71" w:rsidRDefault="00D60CF2">
      <w:pPr>
        <w:numPr>
          <w:ilvl w:val="0"/>
          <w:numId w:val="1"/>
        </w:numPr>
        <w:pBdr>
          <w:top w:val="nil"/>
          <w:left w:val="nil"/>
          <w:bottom w:val="nil"/>
          <w:right w:val="nil"/>
          <w:between w:val="nil"/>
        </w:pBdr>
        <w:tabs>
          <w:tab w:val="left" w:pos="0"/>
        </w:tabs>
        <w:spacing w:line="360" w:lineRule="auto"/>
        <w:ind w:left="0" w:firstLine="0"/>
        <w:jc w:val="both"/>
        <w:rPr>
          <w:color w:val="000000"/>
        </w:rPr>
      </w:pPr>
      <w:r w:rsidRPr="00DA3B71">
        <w:rPr>
          <w:rFonts w:ascii="Palatino Linotype" w:eastAsia="Palatino Linotype" w:hAnsi="Palatino Linotype" w:cs="Palatino Linotype"/>
          <w:color w:val="000000"/>
        </w:rPr>
        <w:t>En fecha</w:t>
      </w:r>
      <w:r w:rsidRPr="00DA3B71">
        <w:rPr>
          <w:rFonts w:ascii="Palatino Linotype" w:eastAsia="Palatino Linotype" w:hAnsi="Palatino Linotype" w:cs="Palatino Linotype"/>
          <w:b/>
          <w:bCs/>
          <w:color w:val="000000"/>
        </w:rPr>
        <w:t xml:space="preserve"> diecinueve de enero de dos mil veintiséis</w:t>
      </w:r>
      <w:r w:rsidRPr="00DA3B71">
        <w:rPr>
          <w:rFonts w:ascii="Palatino Linotype" w:eastAsia="Palatino Linotype" w:hAnsi="Palatino Linotype" w:cs="Palatino Linotype"/>
          <w:color w:val="000000"/>
        </w:rPr>
        <w:t xml:space="preserve">, el Sujeto Obligado proporcionó respuesta a la solicitud de información </w:t>
      </w:r>
      <w:r w:rsidRPr="00DA3B71">
        <w:rPr>
          <w:rFonts w:ascii="Palatino Linotype" w:eastAsia="Palatino Linotype" w:hAnsi="Palatino Linotype" w:cs="Palatino Linotype"/>
          <w:b/>
          <w:bCs/>
          <w:color w:val="000000"/>
        </w:rPr>
        <w:t xml:space="preserve">00020/TEPOTZOT/IP/2026, </w:t>
      </w:r>
      <w:r w:rsidRPr="00DA3B71">
        <w:rPr>
          <w:rFonts w:ascii="Palatino Linotype" w:eastAsia="Palatino Linotype" w:hAnsi="Palatino Linotype" w:cs="Palatino Linotype"/>
          <w:color w:val="000000"/>
        </w:rPr>
        <w:t>a través del archivo digital siguiente:</w:t>
      </w:r>
    </w:p>
    <w:p w:rsidR="0051129F" w:rsidRPr="00DA3B71" w:rsidRDefault="00D60CF2">
      <w:pPr>
        <w:pBdr>
          <w:top w:val="nil"/>
          <w:left w:val="nil"/>
          <w:bottom w:val="nil"/>
          <w:right w:val="nil"/>
          <w:between w:val="nil"/>
        </w:pBdr>
        <w:tabs>
          <w:tab w:val="left" w:pos="567"/>
        </w:tabs>
        <w:ind w:left="567"/>
        <w:jc w:val="both"/>
        <w:rPr>
          <w:rFonts w:ascii="Palatino Linotype" w:eastAsia="Palatino Linotype" w:hAnsi="Palatino Linotype" w:cs="Palatino Linotype"/>
          <w:b/>
          <w:bCs/>
          <w:i/>
          <w:iCs/>
          <w:color w:val="000000"/>
        </w:rPr>
      </w:pPr>
      <w:r w:rsidRPr="00DA3B71">
        <w:rPr>
          <w:rFonts w:ascii="Palatino Linotype" w:eastAsia="Palatino Linotype" w:hAnsi="Palatino Linotype" w:cs="Palatino Linotype"/>
          <w:b/>
          <w:bCs/>
          <w:i/>
          <w:iCs/>
          <w:color w:val="000000"/>
        </w:rPr>
        <w:t>DAYF-096-2026.pdf</w:t>
      </w:r>
    </w:p>
    <w:p w:rsidR="0051129F" w:rsidRPr="00DA3B71" w:rsidRDefault="00D60CF2">
      <w:pPr>
        <w:pBdr>
          <w:top w:val="nil"/>
          <w:left w:val="nil"/>
          <w:bottom w:val="nil"/>
          <w:right w:val="nil"/>
          <w:between w:val="nil"/>
        </w:pBdr>
        <w:tabs>
          <w:tab w:val="left" w:pos="567"/>
        </w:tabs>
        <w:ind w:left="567"/>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OFIC. NUM. DAyF/096/2026 de fecha 03 de febrero de 2026 firmado por el Director de Administración y Finanzas a través del cual refiere lo siguiente:</w:t>
      </w:r>
    </w:p>
    <w:p w:rsidR="0051129F" w:rsidRPr="00DA3B71" w:rsidRDefault="0051129F">
      <w:pPr>
        <w:pBdr>
          <w:top w:val="nil"/>
          <w:left w:val="nil"/>
          <w:bottom w:val="nil"/>
          <w:right w:val="nil"/>
          <w:between w:val="nil"/>
        </w:pBdr>
        <w:tabs>
          <w:tab w:val="left" w:pos="567"/>
        </w:tabs>
        <w:ind w:left="567"/>
        <w:jc w:val="both"/>
        <w:rPr>
          <w:rFonts w:ascii="Palatino Linotype" w:eastAsia="Palatino Linotype" w:hAnsi="Palatino Linotype" w:cs="Palatino Linotype"/>
          <w:color w:val="000000"/>
        </w:rPr>
      </w:pPr>
    </w:p>
    <w:p w:rsidR="0051129F" w:rsidRPr="00DA3B71" w:rsidRDefault="00D60CF2">
      <w:pPr>
        <w:pBdr>
          <w:top w:val="nil"/>
          <w:left w:val="nil"/>
          <w:bottom w:val="nil"/>
          <w:right w:val="nil"/>
          <w:between w:val="nil"/>
        </w:pBdr>
        <w:tabs>
          <w:tab w:val="left" w:pos="567"/>
        </w:tabs>
        <w:ind w:left="567"/>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“De acuerdo con la Ley que crea el Organismo Público Descentralizado denominado Instituto Municipal de Cultura Física y Deporte de Tepotzotlán, el IMCUFIDE Tepotzotlán es un organismo público descentralizado de la administración pública municipal, dotado de personalidad jurídica y patrimonio propio, con autonomía técnica y de gestión, responsable directo del cumplimiento de sus atribuciones legales, administrativas, financieras y operativas.</w:t>
      </w:r>
    </w:p>
    <w:p w:rsidR="0051129F" w:rsidRPr="00DA3B71" w:rsidRDefault="0051129F">
      <w:pPr>
        <w:pBdr>
          <w:top w:val="nil"/>
          <w:left w:val="nil"/>
          <w:bottom w:val="nil"/>
          <w:right w:val="nil"/>
          <w:between w:val="nil"/>
        </w:pBdr>
        <w:tabs>
          <w:tab w:val="left" w:pos="567"/>
        </w:tabs>
        <w:ind w:left="567"/>
        <w:jc w:val="both"/>
        <w:rPr>
          <w:rFonts w:ascii="Palatino Linotype" w:eastAsia="Palatino Linotype" w:hAnsi="Palatino Linotype" w:cs="Palatino Linotype"/>
          <w:i/>
          <w:iCs/>
          <w:color w:val="000000"/>
        </w:rPr>
      </w:pPr>
    </w:p>
    <w:p w:rsidR="0051129F" w:rsidRPr="00DA3B71" w:rsidRDefault="00D60CF2">
      <w:pPr>
        <w:pBdr>
          <w:top w:val="nil"/>
          <w:left w:val="nil"/>
          <w:bottom w:val="nil"/>
          <w:right w:val="nil"/>
          <w:between w:val="nil"/>
        </w:pBdr>
        <w:tabs>
          <w:tab w:val="left" w:pos="567"/>
        </w:tabs>
        <w:ind w:left="567"/>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 xml:space="preserve">Derivado de lo anterior, </w:t>
      </w:r>
      <w:r w:rsidRPr="00DA3B71">
        <w:rPr>
          <w:rFonts w:ascii="Palatino Linotype" w:eastAsia="Palatino Linotype" w:hAnsi="Palatino Linotype" w:cs="Palatino Linotype"/>
          <w:b/>
          <w:bCs/>
          <w:i/>
          <w:iCs/>
          <w:color w:val="000000"/>
        </w:rPr>
        <w:t>la información solicitada no es generada, administrada ni resguardada por la Dirección de Administración y Finanzas del Municipio de Tepotzotlán</w:t>
      </w:r>
      <w:r w:rsidRPr="00DA3B71">
        <w:rPr>
          <w:rFonts w:ascii="Palatino Linotype" w:eastAsia="Palatino Linotype" w:hAnsi="Palatino Linotype" w:cs="Palatino Linotype"/>
          <w:i/>
          <w:iCs/>
          <w:color w:val="000000"/>
        </w:rPr>
        <w:t xml:space="preserve">, ni se encuentra vinculada al ejercicio directo de sus atribuciones, sino que </w:t>
      </w:r>
      <w:r w:rsidRPr="00DA3B71">
        <w:rPr>
          <w:rFonts w:ascii="Palatino Linotype" w:eastAsia="Palatino Linotype" w:hAnsi="Palatino Linotype" w:cs="Palatino Linotype"/>
          <w:b/>
          <w:bCs/>
          <w:i/>
          <w:iCs/>
          <w:color w:val="000000"/>
        </w:rPr>
        <w:t>corresponde al ámbito competencial del Instituto Municipal de Cultura Física y Deporte de Tepotzotlán, en su carácter de organismo público descentralizado</w:t>
      </w:r>
      <w:r w:rsidRPr="00DA3B71">
        <w:rPr>
          <w:rFonts w:ascii="Palatino Linotype" w:eastAsia="Palatino Linotype" w:hAnsi="Palatino Linotype" w:cs="Palatino Linotype"/>
          <w:i/>
          <w:iCs/>
          <w:color w:val="000000"/>
        </w:rPr>
        <w:t xml:space="preserve">. </w:t>
      </w:r>
    </w:p>
    <w:p w:rsidR="0051129F" w:rsidRPr="00DA3B71" w:rsidRDefault="0051129F">
      <w:pPr>
        <w:pBdr>
          <w:top w:val="nil"/>
          <w:left w:val="nil"/>
          <w:bottom w:val="nil"/>
          <w:right w:val="nil"/>
          <w:between w:val="nil"/>
        </w:pBdr>
        <w:tabs>
          <w:tab w:val="left" w:pos="567"/>
        </w:tabs>
        <w:ind w:left="567"/>
        <w:jc w:val="both"/>
        <w:rPr>
          <w:rFonts w:ascii="Palatino Linotype" w:eastAsia="Palatino Linotype" w:hAnsi="Palatino Linotype" w:cs="Palatino Linotype"/>
          <w:i/>
          <w:iCs/>
          <w:color w:val="000000"/>
        </w:rPr>
      </w:pPr>
    </w:p>
    <w:p w:rsidR="0051129F" w:rsidRPr="00DA3B71" w:rsidRDefault="00D60CF2">
      <w:pPr>
        <w:pBdr>
          <w:top w:val="nil"/>
          <w:left w:val="nil"/>
          <w:bottom w:val="nil"/>
          <w:right w:val="nil"/>
          <w:between w:val="nil"/>
        </w:pBdr>
        <w:tabs>
          <w:tab w:val="left" w:pos="567"/>
        </w:tabs>
        <w:ind w:left="567"/>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 xml:space="preserve">Por lo tanto, esta Dirección de Administración y Finanzas no cuenta con competencia material ni posesión documental respecto de la información requerida, actualizándose el supuesto previsto en </w:t>
      </w:r>
      <w:r w:rsidRPr="00DA3B71">
        <w:rPr>
          <w:rFonts w:ascii="Palatino Linotype" w:eastAsia="Palatino Linotype" w:hAnsi="Palatino Linotype" w:cs="Palatino Linotype"/>
          <w:i/>
          <w:iCs/>
          <w:color w:val="000000"/>
        </w:rPr>
        <w:lastRenderedPageBreak/>
        <w:t xml:space="preserve">los artículos 12 y 20 de la Ley de Transparencia y Acceso a la Información Pública del Estado de México y Municipios. </w:t>
      </w:r>
    </w:p>
    <w:p w:rsidR="0051129F" w:rsidRPr="00DA3B71" w:rsidRDefault="0051129F">
      <w:pPr>
        <w:pBdr>
          <w:top w:val="nil"/>
          <w:left w:val="nil"/>
          <w:bottom w:val="nil"/>
          <w:right w:val="nil"/>
          <w:between w:val="nil"/>
        </w:pBdr>
        <w:tabs>
          <w:tab w:val="left" w:pos="567"/>
        </w:tabs>
        <w:ind w:left="567"/>
        <w:jc w:val="both"/>
        <w:rPr>
          <w:rFonts w:ascii="Palatino Linotype" w:eastAsia="Palatino Linotype" w:hAnsi="Palatino Linotype" w:cs="Palatino Linotype"/>
          <w:i/>
          <w:iCs/>
          <w:color w:val="000000"/>
        </w:rPr>
      </w:pPr>
    </w:p>
    <w:p w:rsidR="0051129F" w:rsidRPr="00DA3B71" w:rsidRDefault="00D60CF2">
      <w:pPr>
        <w:pBdr>
          <w:top w:val="nil"/>
          <w:left w:val="nil"/>
          <w:bottom w:val="nil"/>
          <w:right w:val="nil"/>
          <w:between w:val="nil"/>
        </w:pBdr>
        <w:tabs>
          <w:tab w:val="left" w:pos="567"/>
        </w:tabs>
        <w:ind w:left="567"/>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 xml:space="preserve">En consecuencia, </w:t>
      </w:r>
      <w:r w:rsidRPr="00DA3B71">
        <w:rPr>
          <w:rFonts w:ascii="Palatino Linotype" w:eastAsia="Palatino Linotype" w:hAnsi="Palatino Linotype" w:cs="Palatino Linotype"/>
          <w:b/>
          <w:bCs/>
          <w:i/>
          <w:iCs/>
          <w:color w:val="000000"/>
        </w:rPr>
        <w:t>la Dirección de Administración y Finanzas se declara incompetente</w:t>
      </w:r>
      <w:r w:rsidRPr="00DA3B71">
        <w:rPr>
          <w:rFonts w:ascii="Palatino Linotype" w:eastAsia="Palatino Linotype" w:hAnsi="Palatino Linotype" w:cs="Palatino Linotype"/>
          <w:i/>
          <w:iCs/>
          <w:color w:val="000000"/>
        </w:rPr>
        <w:t xml:space="preserve"> para atender la solicitud de información planteada, al no tratarse de información que obre en sus archivos ni derive del ejercicio de sus facultades legales.” (Sic)</w:t>
      </w:r>
    </w:p>
    <w:p w:rsidR="0051129F" w:rsidRPr="00DA3B71" w:rsidRDefault="0051129F">
      <w:pPr>
        <w:pBdr>
          <w:top w:val="nil"/>
          <w:left w:val="nil"/>
          <w:bottom w:val="nil"/>
          <w:right w:val="nil"/>
          <w:between w:val="nil"/>
        </w:pBdr>
        <w:tabs>
          <w:tab w:val="left" w:pos="0"/>
        </w:tabs>
        <w:spacing w:line="360" w:lineRule="auto"/>
        <w:jc w:val="both"/>
        <w:rPr>
          <w:color w:val="000000"/>
        </w:rPr>
      </w:pPr>
    </w:p>
    <w:p w:rsidR="0051129F" w:rsidRPr="00DA3B71" w:rsidRDefault="00D60CF2">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 xml:space="preserve">En fecha </w:t>
      </w:r>
      <w:r w:rsidRPr="00DA3B71">
        <w:rPr>
          <w:rFonts w:ascii="Palatino Linotype" w:eastAsia="Palatino Linotype" w:hAnsi="Palatino Linotype" w:cs="Palatino Linotype"/>
          <w:b/>
          <w:bCs/>
          <w:color w:val="000000"/>
        </w:rPr>
        <w:t xml:space="preserve">tres de febrero de dos mil veintiséis, </w:t>
      </w:r>
      <w:r w:rsidRPr="00DA3B71">
        <w:rPr>
          <w:rFonts w:ascii="Palatino Linotype" w:eastAsia="Palatino Linotype" w:hAnsi="Palatino Linotype" w:cs="Palatino Linotype"/>
          <w:color w:val="000000"/>
        </w:rPr>
        <w:t xml:space="preserve">para las solicitudes de información </w:t>
      </w:r>
      <w:r w:rsidRPr="00DA3B71">
        <w:rPr>
          <w:rFonts w:ascii="Palatino Linotype" w:eastAsia="Palatino Linotype" w:hAnsi="Palatino Linotype" w:cs="Palatino Linotype"/>
          <w:b/>
          <w:bCs/>
          <w:color w:val="000000"/>
        </w:rPr>
        <w:t xml:space="preserve">00025/TEPOTZOT/IP/2026 y 00008/TEPOTZOT/IP/2026, </w:t>
      </w:r>
      <w:r w:rsidRPr="00DA3B71">
        <w:rPr>
          <w:rFonts w:ascii="Palatino Linotype" w:eastAsia="Palatino Linotype" w:hAnsi="Palatino Linotype" w:cs="Palatino Linotype"/>
          <w:color w:val="000000"/>
        </w:rPr>
        <w:t xml:space="preserve">el Sujeto Obligado </w:t>
      </w:r>
      <w:r w:rsidRPr="00DA3B71">
        <w:rPr>
          <w:rFonts w:ascii="Palatino Linotype" w:eastAsia="Palatino Linotype" w:hAnsi="Palatino Linotype" w:cs="Palatino Linotype"/>
          <w:b/>
          <w:bCs/>
          <w:color w:val="000000"/>
        </w:rPr>
        <w:t>notificó una prórroga</w:t>
      </w:r>
      <w:r w:rsidRPr="00DA3B71">
        <w:rPr>
          <w:rFonts w:ascii="Palatino Linotype" w:eastAsia="Palatino Linotype" w:hAnsi="Palatino Linotype" w:cs="Palatino Linotype"/>
          <w:color w:val="000000"/>
        </w:rPr>
        <w:t xml:space="preserve"> por 7 días para atender la solicitud de información de acuerdo a la Cuarta Sesión Extraordinaria 2026 del Comité de Transparencia de fecha 03 de febrero de 2026, en el acuerdo 02/SE/04/CT/2026, sin remitir la citada acta, contraviniendo lo establecido en el artículo 163 de la Ley de Transparencia y Acceso a la Información Pública del Estado de México y Municipios.</w:t>
      </w:r>
    </w:p>
    <w:p w:rsidR="0051129F" w:rsidRPr="00DA3B71" w:rsidRDefault="0051129F">
      <w:pPr>
        <w:pBdr>
          <w:top w:val="nil"/>
          <w:left w:val="nil"/>
          <w:bottom w:val="nil"/>
          <w:right w:val="nil"/>
          <w:between w:val="nil"/>
        </w:pBdr>
        <w:tabs>
          <w:tab w:val="left" w:pos="0"/>
        </w:tabs>
        <w:spacing w:line="360" w:lineRule="auto"/>
        <w:jc w:val="both"/>
        <w:rPr>
          <w:color w:val="000000"/>
        </w:rPr>
      </w:pPr>
    </w:p>
    <w:p w:rsidR="0051129F" w:rsidRPr="00DA3B71" w:rsidRDefault="00D60CF2">
      <w:pPr>
        <w:numPr>
          <w:ilvl w:val="0"/>
          <w:numId w:val="1"/>
        </w:numPr>
        <w:pBdr>
          <w:top w:val="nil"/>
          <w:left w:val="nil"/>
          <w:bottom w:val="nil"/>
          <w:right w:val="nil"/>
          <w:between w:val="nil"/>
        </w:pBdr>
        <w:tabs>
          <w:tab w:val="left" w:pos="0"/>
        </w:tabs>
        <w:spacing w:line="360" w:lineRule="auto"/>
        <w:ind w:left="0" w:firstLine="0"/>
        <w:jc w:val="both"/>
        <w:rPr>
          <w:color w:val="000000"/>
        </w:rPr>
      </w:pPr>
      <w:r w:rsidRPr="00DA3B71">
        <w:rPr>
          <w:rFonts w:ascii="Palatino Linotype" w:eastAsia="Palatino Linotype" w:hAnsi="Palatino Linotype" w:cs="Palatino Linotype"/>
          <w:color w:val="000000"/>
        </w:rPr>
        <w:t>El</w:t>
      </w:r>
      <w:r w:rsidRPr="00DA3B71">
        <w:rPr>
          <w:rFonts w:ascii="Palatino Linotype" w:eastAsia="Palatino Linotype" w:hAnsi="Palatino Linotype" w:cs="Palatino Linotype"/>
          <w:b/>
          <w:bCs/>
          <w:color w:val="000000"/>
        </w:rPr>
        <w:t xml:space="preserve"> veintitrés de enero y dieciséis de febrero de dos mil veintiséis</w:t>
      </w:r>
      <w:r w:rsidRPr="00DA3B71">
        <w:rPr>
          <w:rFonts w:ascii="Palatino Linotype" w:eastAsia="Palatino Linotype" w:hAnsi="Palatino Linotype" w:cs="Palatino Linotype"/>
          <w:color w:val="000000"/>
        </w:rPr>
        <w:t xml:space="preserve">, el particular interpuso recursos de revisión en contra de la respuesta proporcionada a la solicitud </w:t>
      </w:r>
      <w:r w:rsidRPr="00DA3B71">
        <w:rPr>
          <w:rFonts w:ascii="Palatino Linotype" w:eastAsia="Palatino Linotype" w:hAnsi="Palatino Linotype" w:cs="Palatino Linotype"/>
          <w:b/>
          <w:bCs/>
        </w:rPr>
        <w:t xml:space="preserve">00020/TEPOTZOT/IP/2026 </w:t>
      </w:r>
      <w:r w:rsidRPr="00DA3B71">
        <w:rPr>
          <w:rFonts w:ascii="Palatino Linotype" w:eastAsia="Palatino Linotype" w:hAnsi="Palatino Linotype" w:cs="Palatino Linotype"/>
        </w:rPr>
        <w:t>y</w:t>
      </w:r>
      <w:r w:rsidRPr="00DA3B71">
        <w:rPr>
          <w:rFonts w:ascii="Palatino Linotype" w:eastAsia="Palatino Linotype" w:hAnsi="Palatino Linotype" w:cs="Palatino Linotype"/>
          <w:color w:val="000000"/>
        </w:rPr>
        <w:t xml:space="preserve"> la </w:t>
      </w:r>
      <w:r w:rsidRPr="00DA3B71">
        <w:rPr>
          <w:rFonts w:ascii="Palatino Linotype" w:eastAsia="Palatino Linotype" w:hAnsi="Palatino Linotype" w:cs="Palatino Linotype"/>
          <w:b/>
          <w:bCs/>
          <w:color w:val="000000"/>
        </w:rPr>
        <w:t>falta de respuestas</w:t>
      </w:r>
      <w:r w:rsidRPr="00DA3B71">
        <w:rPr>
          <w:rFonts w:ascii="Palatino Linotype" w:eastAsia="Palatino Linotype" w:hAnsi="Palatino Linotype" w:cs="Palatino Linotype"/>
          <w:color w:val="000000"/>
        </w:rPr>
        <w:t xml:space="preserve"> emitidas por el Sujeto Obligado a las solicitudes </w:t>
      </w:r>
      <w:r w:rsidRPr="00DA3B71">
        <w:rPr>
          <w:rFonts w:ascii="Palatino Linotype" w:eastAsia="Palatino Linotype" w:hAnsi="Palatino Linotype" w:cs="Palatino Linotype"/>
          <w:b/>
          <w:bCs/>
        </w:rPr>
        <w:t xml:space="preserve">00025/TEPOTZOT/IP/2026 y 00008/TEPOTZOT/IP/2026, </w:t>
      </w:r>
      <w:r w:rsidRPr="00DA3B71">
        <w:rPr>
          <w:rFonts w:ascii="Palatino Linotype" w:eastAsia="Palatino Linotype" w:hAnsi="Palatino Linotype" w:cs="Palatino Linotype"/>
          <w:color w:val="000000"/>
        </w:rPr>
        <w:t>realizando las siguientes manifestaciones como acto impugnado y razones o motivos de inconformidad:</w:t>
      </w:r>
    </w:p>
    <w:p w:rsidR="0051129F" w:rsidRPr="00DA3B71" w:rsidRDefault="0051129F">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rsidR="0051129F" w:rsidRPr="00DA3B71" w:rsidRDefault="00D60CF2">
      <w:pPr>
        <w:pBdr>
          <w:top w:val="nil"/>
          <w:left w:val="nil"/>
          <w:bottom w:val="nil"/>
          <w:right w:val="nil"/>
          <w:between w:val="nil"/>
        </w:pBdr>
        <w:tabs>
          <w:tab w:val="left" w:pos="0"/>
        </w:tabs>
        <w:jc w:val="both"/>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t>Recursos de Revisión</w:t>
      </w:r>
      <w:r w:rsidRPr="00DA3B71">
        <w:rPr>
          <w:rFonts w:ascii="Palatino Linotype" w:eastAsia="Palatino Linotype" w:hAnsi="Palatino Linotype" w:cs="Palatino Linotype"/>
          <w:color w:val="000000"/>
        </w:rPr>
        <w:t xml:space="preserve"> </w:t>
      </w:r>
      <w:r w:rsidRPr="00DA3B71">
        <w:rPr>
          <w:rFonts w:ascii="Palatino Linotype" w:eastAsia="Palatino Linotype" w:hAnsi="Palatino Linotype" w:cs="Palatino Linotype"/>
          <w:b/>
          <w:bCs/>
          <w:color w:val="000000"/>
        </w:rPr>
        <w:t>00978/INFOEM/IP/RR/2026</w:t>
      </w:r>
    </w:p>
    <w:p w:rsidR="0051129F" w:rsidRPr="00DA3B71" w:rsidRDefault="00D60CF2" w:rsidP="00DA3B71">
      <w:pPr>
        <w:pStyle w:val="Prrafodelista"/>
        <w:numPr>
          <w:ilvl w:val="0"/>
          <w:numId w:val="11"/>
        </w:numPr>
        <w:pBdr>
          <w:top w:val="nil"/>
          <w:left w:val="nil"/>
          <w:bottom w:val="nil"/>
          <w:right w:val="nil"/>
          <w:between w:val="nil"/>
        </w:pBdr>
        <w:tabs>
          <w:tab w:val="left" w:pos="567"/>
        </w:tabs>
        <w:jc w:val="both"/>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t xml:space="preserve">Acto impugnado </w:t>
      </w:r>
    </w:p>
    <w:p w:rsidR="0051129F" w:rsidRPr="00DA3B71" w:rsidRDefault="00D60CF2">
      <w:pPr>
        <w:pBdr>
          <w:top w:val="nil"/>
          <w:left w:val="nil"/>
          <w:bottom w:val="nil"/>
          <w:right w:val="nil"/>
          <w:between w:val="nil"/>
        </w:pBdr>
        <w:tabs>
          <w:tab w:val="left" w:pos="567"/>
        </w:tabs>
        <w:ind w:left="567"/>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“Solicito copia digital de la documentación comprobatoria del ejercicio del gasto de los recursos municipales transferidos al Instituto Municipal de Cultura Física y Deporte de Tepotzotlán durante los ejercicios fiscales 2023 a 2025, incluyendo pólizas, facturas, contratos y comprobantes de pago. La respuesta emitida por la Dirección de Administración y Finanzas del H. Ayuntamiento de Tepotzotlán, mediante oficio DAYF/096/2026, en la cual se declara incompetente para atender la solicitud de información. “(Sic)</w:t>
      </w:r>
    </w:p>
    <w:p w:rsidR="0051129F" w:rsidRPr="00DA3B71" w:rsidRDefault="0051129F">
      <w:pPr>
        <w:pBdr>
          <w:top w:val="nil"/>
          <w:left w:val="nil"/>
          <w:bottom w:val="nil"/>
          <w:right w:val="nil"/>
          <w:between w:val="nil"/>
        </w:pBdr>
        <w:tabs>
          <w:tab w:val="left" w:pos="567"/>
        </w:tabs>
        <w:ind w:left="567"/>
        <w:jc w:val="both"/>
        <w:rPr>
          <w:rFonts w:ascii="Palatino Linotype" w:eastAsia="Palatino Linotype" w:hAnsi="Palatino Linotype" w:cs="Palatino Linotype"/>
          <w:b/>
          <w:bCs/>
          <w:color w:val="000000"/>
        </w:rPr>
      </w:pPr>
    </w:p>
    <w:p w:rsidR="0051129F" w:rsidRPr="00DA3B71" w:rsidRDefault="00D60CF2" w:rsidP="00DA3B71">
      <w:pPr>
        <w:pStyle w:val="Prrafodelista"/>
        <w:numPr>
          <w:ilvl w:val="0"/>
          <w:numId w:val="11"/>
        </w:numPr>
        <w:pBdr>
          <w:top w:val="nil"/>
          <w:left w:val="nil"/>
          <w:bottom w:val="nil"/>
          <w:right w:val="nil"/>
          <w:between w:val="nil"/>
        </w:pBdr>
        <w:tabs>
          <w:tab w:val="left" w:pos="567"/>
        </w:tabs>
        <w:jc w:val="both"/>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lastRenderedPageBreak/>
        <w:t>Razones o motivos de inconformidad</w:t>
      </w:r>
    </w:p>
    <w:p w:rsidR="0051129F" w:rsidRPr="00DA3B71" w:rsidRDefault="00D60CF2">
      <w:pPr>
        <w:pBdr>
          <w:top w:val="nil"/>
          <w:left w:val="nil"/>
          <w:bottom w:val="nil"/>
          <w:right w:val="nil"/>
          <w:between w:val="nil"/>
        </w:pBdr>
        <w:tabs>
          <w:tab w:val="left" w:pos="567"/>
        </w:tabs>
        <w:ind w:left="567"/>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“AGRAVIOS PRIMERO. Incompetencia indebidamente declarada. La autoridad responsable se limita a señalar que no es competente para conocer de la información solicitada, argumentando que corresponde al Instituto Municipal de Cultura Física y Deporte de Tepotzotlán (IMCUFIDE), por tratarse de un organismo público descentralizado. Sin embargo, dicha manifestación resulta jurídicamente insuficiente, ya que la solicitud versa sobre el ejercicio de recursos públicos municipales transferidos, los cuales necesariamente deben encontrarse registrados en los sistemas contables, presupuestales y financieros del propio Ayuntamiento, particularmente en la Dirección de Administración y Finanzas. Por lo tanto, al menos en lo relativo a: transferencias de recursos, partidas presupuestales, pólizas de egreso, registros contables, y comprobantes de ministración, la autoridad sí es materialmente competente y posee información relacionada con lo solicitado. SEGUNDO. Falta de canalización de la solicitud al sujeto obligado competente. Aun en el supuesto sin conceder de que la autoridad no fuera competente para conocer de la totalidad de la información, tenía la obligación legal de canalizar la solicitud al sujeto obligado que estimara competente, conforme a los principios y disposiciones de la Ley de Transparencia y Acceso a la Información Pública del Estado de México y Municipios. La autoridad omitió completamente dicha canalización, dejando al solicitante en estado de indefensión y trasladando indebidamente la carga de identificar a la autoridad competente. TERCERO. Violación al principio de máxima publicidad y a la obligación de búsqueda exhaustiva. La respuesta impugnada no acredita que se haya realizado una búsqueda seria, razonable y exhaustiva en los archivos físicos y electrónicos de la Dirección de Administración y Finanzas. Tampoco se emite acuerdo de inexistencia ni se describen los sistemas o áreas consultadas, por lo que se incumple con los principios de: máxima publicidad, exhaustividad, legalidad, y rendición de cuentas. CUARTO. Información de interés público y rendición de cuentas. La información solicitada se relaciona directamente con el uso y destino de recursos públicos municipales durante los ejercicios fiscales 2023, 2024 y 2025, lo cual constituye información de evidente interés público, vinculada con la fiscalización y control del gasto público. Negar su acceso mediante una simple declaratoria de incompetencia vulnera el derecho humano de acceso a la información consagrado en el artículo 6º constitucional. PETICIÓN Por lo expuesto, respetuosamente solicito a este H. Instituto Garante: Se revoque la respuesta emitida por la Dirección de Administración y Finanzas del H. Ayuntamiento de Tepotzotlán. Se ordene la realización de una búsqueda exhaustiva de la información solicitada en sus archivos y sistemas contables. Se instruya la entrega de la información que obre en su poder relacionada con las transferencias de recursos municipales al IMCUFIDE. Y, en su caso, se ordene la canalización formal de la solicitud al Instituto Municipal de Cultura Física y Deporte de Tepotzotlán para que proporcione la documentación restante. Protesto lo necesario.“ (Sic)</w:t>
      </w:r>
    </w:p>
    <w:p w:rsidR="0051129F" w:rsidRPr="00DA3B71" w:rsidRDefault="0051129F">
      <w:pPr>
        <w:pBdr>
          <w:top w:val="nil"/>
          <w:left w:val="nil"/>
          <w:bottom w:val="nil"/>
          <w:right w:val="nil"/>
          <w:between w:val="nil"/>
        </w:pBdr>
        <w:tabs>
          <w:tab w:val="left" w:pos="567"/>
        </w:tabs>
        <w:ind w:left="567"/>
        <w:jc w:val="both"/>
        <w:rPr>
          <w:rFonts w:ascii="Palatino Linotype" w:eastAsia="Palatino Linotype" w:hAnsi="Palatino Linotype" w:cs="Palatino Linotype"/>
          <w:b/>
          <w:bCs/>
          <w:color w:val="000000"/>
        </w:rPr>
      </w:pPr>
    </w:p>
    <w:p w:rsidR="0051129F" w:rsidRPr="00DA3B71" w:rsidRDefault="0051129F">
      <w:pPr>
        <w:pBdr>
          <w:top w:val="nil"/>
          <w:left w:val="nil"/>
          <w:bottom w:val="nil"/>
          <w:right w:val="nil"/>
          <w:between w:val="nil"/>
        </w:pBdr>
        <w:tabs>
          <w:tab w:val="left" w:pos="567"/>
        </w:tabs>
        <w:ind w:left="567"/>
        <w:jc w:val="both"/>
        <w:rPr>
          <w:rFonts w:ascii="Palatino Linotype" w:eastAsia="Palatino Linotype" w:hAnsi="Palatino Linotype" w:cs="Palatino Linotype"/>
          <w:b/>
          <w:bCs/>
          <w:color w:val="000000"/>
        </w:rPr>
      </w:pPr>
    </w:p>
    <w:p w:rsidR="0051129F" w:rsidRPr="00DA3B71" w:rsidRDefault="00D60CF2">
      <w:pPr>
        <w:pBdr>
          <w:top w:val="nil"/>
          <w:left w:val="nil"/>
          <w:bottom w:val="nil"/>
          <w:right w:val="nil"/>
          <w:between w:val="nil"/>
        </w:pBdr>
        <w:tabs>
          <w:tab w:val="left" w:pos="0"/>
        </w:tabs>
        <w:jc w:val="both"/>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t>Recursos de Revisión</w:t>
      </w:r>
      <w:r w:rsidRPr="00DA3B71">
        <w:rPr>
          <w:rFonts w:ascii="Palatino Linotype" w:eastAsia="Palatino Linotype" w:hAnsi="Palatino Linotype" w:cs="Palatino Linotype"/>
          <w:color w:val="000000"/>
        </w:rPr>
        <w:t xml:space="preserve"> </w:t>
      </w:r>
      <w:r w:rsidRPr="00DA3B71">
        <w:rPr>
          <w:rFonts w:ascii="Palatino Linotype" w:eastAsia="Palatino Linotype" w:hAnsi="Palatino Linotype" w:cs="Palatino Linotype"/>
          <w:b/>
          <w:bCs/>
          <w:color w:val="000000"/>
        </w:rPr>
        <w:t>01988/INFOEM/IP/RR/2026</w:t>
      </w:r>
    </w:p>
    <w:p w:rsidR="0051129F" w:rsidRPr="00DA3B71" w:rsidRDefault="00D60CF2" w:rsidP="00DA3B71">
      <w:pPr>
        <w:pStyle w:val="Prrafodelista"/>
        <w:numPr>
          <w:ilvl w:val="0"/>
          <w:numId w:val="11"/>
        </w:numPr>
        <w:pBdr>
          <w:top w:val="nil"/>
          <w:left w:val="nil"/>
          <w:bottom w:val="nil"/>
          <w:right w:val="nil"/>
          <w:between w:val="nil"/>
        </w:pBdr>
        <w:tabs>
          <w:tab w:val="left" w:pos="567"/>
        </w:tabs>
        <w:jc w:val="both"/>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t xml:space="preserve">Acto impugnado </w:t>
      </w:r>
    </w:p>
    <w:p w:rsidR="0051129F" w:rsidRPr="00DA3B71" w:rsidRDefault="00D60CF2">
      <w:pPr>
        <w:pBdr>
          <w:top w:val="nil"/>
          <w:left w:val="nil"/>
          <w:bottom w:val="nil"/>
          <w:right w:val="nil"/>
          <w:between w:val="nil"/>
        </w:pBdr>
        <w:tabs>
          <w:tab w:val="left" w:pos="567"/>
        </w:tabs>
        <w:ind w:left="567"/>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“Solicito informar si el Cabildo del Ayuntamiento de Tepotzotlán ha conocido, discutido o aprobado informes, observaciones, auditorías o recomendaciones relacionadas con el Instituto Municipal de Cultura Física y Deporte; en caso afirmativo, proporcionar copia digital de las actas correspondientes. “(Sic)</w:t>
      </w:r>
    </w:p>
    <w:p w:rsidR="0051129F" w:rsidRPr="00DA3B71" w:rsidRDefault="0051129F">
      <w:pPr>
        <w:pBdr>
          <w:top w:val="nil"/>
          <w:left w:val="nil"/>
          <w:bottom w:val="nil"/>
          <w:right w:val="nil"/>
          <w:between w:val="nil"/>
        </w:pBdr>
        <w:tabs>
          <w:tab w:val="left" w:pos="567"/>
        </w:tabs>
        <w:ind w:left="567"/>
        <w:jc w:val="both"/>
        <w:rPr>
          <w:rFonts w:ascii="Palatino Linotype" w:eastAsia="Palatino Linotype" w:hAnsi="Palatino Linotype" w:cs="Palatino Linotype"/>
          <w:b/>
          <w:bCs/>
          <w:color w:val="000000"/>
        </w:rPr>
      </w:pPr>
    </w:p>
    <w:p w:rsidR="0051129F" w:rsidRPr="00DA3B71" w:rsidRDefault="00D60CF2" w:rsidP="00DA3B71">
      <w:pPr>
        <w:pStyle w:val="Prrafodelista"/>
        <w:numPr>
          <w:ilvl w:val="0"/>
          <w:numId w:val="11"/>
        </w:numPr>
        <w:pBdr>
          <w:top w:val="nil"/>
          <w:left w:val="nil"/>
          <w:bottom w:val="nil"/>
          <w:right w:val="nil"/>
          <w:between w:val="nil"/>
        </w:pBdr>
        <w:tabs>
          <w:tab w:val="left" w:pos="567"/>
        </w:tabs>
        <w:jc w:val="both"/>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t>Razones o motivos de inconformidad</w:t>
      </w:r>
    </w:p>
    <w:p w:rsidR="0051129F" w:rsidRPr="00DA3B71" w:rsidRDefault="00D60CF2">
      <w:pPr>
        <w:pBdr>
          <w:top w:val="nil"/>
          <w:left w:val="nil"/>
          <w:bottom w:val="nil"/>
          <w:right w:val="nil"/>
          <w:between w:val="nil"/>
        </w:pBdr>
        <w:tabs>
          <w:tab w:val="left" w:pos="567"/>
        </w:tabs>
        <w:ind w:left="567"/>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w:t>
      </w:r>
      <w:r w:rsidRPr="00DA3B71">
        <w:rPr>
          <w:rFonts w:ascii="Palatino Linotype" w:eastAsia="Palatino Linotype" w:hAnsi="Palatino Linotype" w:cs="Palatino Linotype"/>
          <w:i/>
          <w:iCs/>
          <w:color w:val="000000"/>
        </w:rPr>
        <w:lastRenderedPageBreak/>
        <w:t>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rsidR="0051129F" w:rsidRPr="00DA3B71" w:rsidRDefault="0051129F">
      <w:pPr>
        <w:pBdr>
          <w:top w:val="nil"/>
          <w:left w:val="nil"/>
          <w:bottom w:val="nil"/>
          <w:right w:val="nil"/>
          <w:between w:val="nil"/>
        </w:pBdr>
        <w:tabs>
          <w:tab w:val="left" w:pos="0"/>
        </w:tabs>
        <w:jc w:val="both"/>
        <w:rPr>
          <w:rFonts w:ascii="Palatino Linotype" w:eastAsia="Palatino Linotype" w:hAnsi="Palatino Linotype" w:cs="Palatino Linotype"/>
          <w:b/>
          <w:bCs/>
          <w:color w:val="000000"/>
        </w:rPr>
      </w:pPr>
    </w:p>
    <w:p w:rsidR="0051129F" w:rsidRPr="00DA3B71" w:rsidRDefault="00D60CF2">
      <w:pPr>
        <w:pBdr>
          <w:top w:val="nil"/>
          <w:left w:val="nil"/>
          <w:bottom w:val="nil"/>
          <w:right w:val="nil"/>
          <w:between w:val="nil"/>
        </w:pBdr>
        <w:tabs>
          <w:tab w:val="left" w:pos="0"/>
        </w:tabs>
        <w:jc w:val="both"/>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t>Recursos de Revisión 01993/INFOEM/IP/RR/2026</w:t>
      </w:r>
    </w:p>
    <w:p w:rsidR="0051129F" w:rsidRPr="00DA3B71" w:rsidRDefault="00D60CF2" w:rsidP="00DA3B71">
      <w:pPr>
        <w:pStyle w:val="Prrafodelista"/>
        <w:numPr>
          <w:ilvl w:val="0"/>
          <w:numId w:val="11"/>
        </w:numPr>
        <w:pBdr>
          <w:top w:val="nil"/>
          <w:left w:val="nil"/>
          <w:bottom w:val="nil"/>
          <w:right w:val="nil"/>
          <w:between w:val="nil"/>
        </w:pBdr>
        <w:tabs>
          <w:tab w:val="left" w:pos="567"/>
        </w:tabs>
        <w:jc w:val="both"/>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t xml:space="preserve">Acto impugnado </w:t>
      </w:r>
    </w:p>
    <w:p w:rsidR="0051129F" w:rsidRPr="00DA3B71" w:rsidRDefault="00D60CF2">
      <w:pPr>
        <w:pBdr>
          <w:top w:val="nil"/>
          <w:left w:val="nil"/>
          <w:bottom w:val="nil"/>
          <w:right w:val="nil"/>
          <w:between w:val="nil"/>
        </w:pBdr>
        <w:tabs>
          <w:tab w:val="left" w:pos="567"/>
        </w:tabs>
        <w:ind w:left="567"/>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“Solicito copia digital de las actas de Cabildo del Ayuntamiento de Tepotzotlán en las que se haya aprobado presupuesto, subsidios, transferencias, nombramientos o informes relacionados con el Instituto Municipal de Cultura Física y Deporte de Tepotzotlán durante los años 2024 y 2025. “(Sic)</w:t>
      </w:r>
    </w:p>
    <w:p w:rsidR="0051129F" w:rsidRPr="00DA3B71" w:rsidRDefault="0051129F">
      <w:pPr>
        <w:pBdr>
          <w:top w:val="nil"/>
          <w:left w:val="nil"/>
          <w:bottom w:val="nil"/>
          <w:right w:val="nil"/>
          <w:between w:val="nil"/>
        </w:pBdr>
        <w:tabs>
          <w:tab w:val="left" w:pos="567"/>
        </w:tabs>
        <w:ind w:left="567"/>
        <w:jc w:val="both"/>
        <w:rPr>
          <w:rFonts w:ascii="Palatino Linotype" w:eastAsia="Palatino Linotype" w:hAnsi="Palatino Linotype" w:cs="Palatino Linotype"/>
          <w:b/>
          <w:bCs/>
          <w:color w:val="000000"/>
        </w:rPr>
      </w:pPr>
    </w:p>
    <w:p w:rsidR="0051129F" w:rsidRPr="00DA3B71" w:rsidRDefault="00D60CF2" w:rsidP="00DA3B71">
      <w:pPr>
        <w:pStyle w:val="Prrafodelista"/>
        <w:numPr>
          <w:ilvl w:val="0"/>
          <w:numId w:val="11"/>
        </w:numPr>
        <w:pBdr>
          <w:top w:val="nil"/>
          <w:left w:val="nil"/>
          <w:bottom w:val="nil"/>
          <w:right w:val="nil"/>
          <w:between w:val="nil"/>
        </w:pBdr>
        <w:tabs>
          <w:tab w:val="left" w:pos="567"/>
        </w:tabs>
        <w:jc w:val="both"/>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t>Razones o motivos de inconformidad</w:t>
      </w:r>
    </w:p>
    <w:p w:rsidR="0051129F" w:rsidRPr="00DA3B71" w:rsidRDefault="00D60CF2">
      <w:pPr>
        <w:pBdr>
          <w:top w:val="nil"/>
          <w:left w:val="nil"/>
          <w:bottom w:val="nil"/>
          <w:right w:val="nil"/>
          <w:between w:val="nil"/>
        </w:pBdr>
        <w:tabs>
          <w:tab w:val="left" w:pos="567"/>
        </w:tabs>
        <w:ind w:left="567"/>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w:t>
      </w:r>
      <w:r w:rsidRPr="00DA3B71">
        <w:rPr>
          <w:rFonts w:ascii="Palatino Linotype" w:eastAsia="Palatino Linotype" w:hAnsi="Palatino Linotype" w:cs="Palatino Linotype"/>
          <w:i/>
          <w:iCs/>
          <w:color w:val="000000"/>
        </w:rPr>
        <w:lastRenderedPageBreak/>
        <w:t>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rsidR="0051129F" w:rsidRPr="00DA3B71" w:rsidRDefault="0051129F">
      <w:pPr>
        <w:pBdr>
          <w:top w:val="nil"/>
          <w:left w:val="nil"/>
          <w:bottom w:val="nil"/>
          <w:right w:val="nil"/>
          <w:between w:val="nil"/>
        </w:pBdr>
        <w:tabs>
          <w:tab w:val="left" w:pos="0"/>
        </w:tabs>
        <w:jc w:val="both"/>
        <w:rPr>
          <w:rFonts w:ascii="Palatino Linotype" w:eastAsia="Palatino Linotype" w:hAnsi="Palatino Linotype" w:cs="Palatino Linotype"/>
          <w:color w:val="000000"/>
        </w:rPr>
      </w:pPr>
    </w:p>
    <w:p w:rsidR="0051129F" w:rsidRPr="00DA3B71" w:rsidRDefault="0051129F">
      <w:pPr>
        <w:jc w:val="both"/>
        <w:rPr>
          <w:rFonts w:ascii="Palatino Linotype" w:eastAsia="Palatino Linotype" w:hAnsi="Palatino Linotype" w:cs="Palatino Linotype"/>
          <w:b/>
          <w:bCs/>
          <w:color w:val="000000"/>
        </w:rPr>
      </w:pPr>
    </w:p>
    <w:p w:rsidR="0051129F" w:rsidRPr="00DA3B71" w:rsidRDefault="00D60CF2">
      <w:pPr>
        <w:numPr>
          <w:ilvl w:val="0"/>
          <w:numId w:val="1"/>
        </w:numPr>
        <w:pBdr>
          <w:top w:val="nil"/>
          <w:left w:val="nil"/>
          <w:bottom w:val="nil"/>
          <w:right w:val="nil"/>
          <w:between w:val="nil"/>
        </w:pBdr>
        <w:tabs>
          <w:tab w:val="left" w:pos="0"/>
        </w:tabs>
        <w:spacing w:line="360" w:lineRule="auto"/>
        <w:ind w:left="0" w:firstLine="0"/>
        <w:jc w:val="both"/>
        <w:rPr>
          <w:color w:val="000000"/>
        </w:rPr>
      </w:pPr>
      <w:r w:rsidRPr="00DA3B71">
        <w:rPr>
          <w:rFonts w:ascii="Palatino Linotype" w:eastAsia="Palatino Linotype" w:hAnsi="Palatino Linotype" w:cs="Palatino Linotype"/>
          <w:color w:val="000000"/>
        </w:rPr>
        <w:t xml:space="preserve">La Comisionada Ponente de origen con fundamento en lo dispuesto por el artículo 185, fracción II, de la ley de la materia, a través de los </w:t>
      </w:r>
      <w:r w:rsidRPr="00DA3B71">
        <w:rPr>
          <w:rFonts w:ascii="Palatino Linotype" w:eastAsia="Palatino Linotype" w:hAnsi="Palatino Linotype" w:cs="Palatino Linotype"/>
          <w:b/>
          <w:bCs/>
          <w:color w:val="000000"/>
        </w:rPr>
        <w:t xml:space="preserve">acuerdos de admisión </w:t>
      </w:r>
      <w:r w:rsidRPr="00DA3B71">
        <w:rPr>
          <w:rFonts w:ascii="Palatino Linotype" w:eastAsia="Palatino Linotype" w:hAnsi="Palatino Linotype" w:cs="Palatino Linotype"/>
          <w:color w:val="000000"/>
        </w:rPr>
        <w:t xml:space="preserve">de fechas </w:t>
      </w:r>
      <w:r w:rsidRPr="00DA3B71">
        <w:rPr>
          <w:rFonts w:ascii="Palatino Linotype" w:eastAsia="Palatino Linotype" w:hAnsi="Palatino Linotype" w:cs="Palatino Linotype"/>
          <w:b/>
          <w:bCs/>
          <w:color w:val="000000"/>
        </w:rPr>
        <w:t xml:space="preserve">veintiséis de enero, diecinueve y veinte de febrero de dos mil veintiséis, </w:t>
      </w:r>
      <w:r w:rsidRPr="00DA3B71">
        <w:rPr>
          <w:rFonts w:ascii="Palatino Linotype" w:eastAsia="Palatino Linotype" w:hAnsi="Palatino Linotype" w:cs="Palatino Linotype"/>
          <w:color w:val="000000"/>
        </w:rPr>
        <w:t xml:space="preserve">pusieron a disposición de las partes el expediente electrónico vía SAIMEX a efecto de que en un plazo máximo de siete días </w:t>
      </w:r>
      <w:r w:rsidRPr="00DA3B71">
        <w:rPr>
          <w:rFonts w:ascii="Palatino Linotype" w:eastAsia="Palatino Linotype" w:hAnsi="Palatino Linotype" w:cs="Palatino Linotype"/>
        </w:rPr>
        <w:t>manifestara</w:t>
      </w:r>
      <w:r w:rsidRPr="00DA3B71">
        <w:rPr>
          <w:rFonts w:ascii="Palatino Linotype" w:eastAsia="Palatino Linotype" w:hAnsi="Palatino Linotype" w:cs="Palatino Linotype"/>
          <w:color w:val="000000"/>
        </w:rPr>
        <w:t xml:space="preserve"> lo que a su derecho conviniera, </w:t>
      </w:r>
      <w:r w:rsidRPr="00DA3B71">
        <w:rPr>
          <w:rFonts w:ascii="Palatino Linotype" w:eastAsia="Palatino Linotype" w:hAnsi="Palatino Linotype" w:cs="Palatino Linotype"/>
        </w:rPr>
        <w:t>ofreciera</w:t>
      </w:r>
      <w:r w:rsidRPr="00DA3B71">
        <w:rPr>
          <w:rFonts w:ascii="Palatino Linotype" w:eastAsia="Palatino Linotype" w:hAnsi="Palatino Linotype" w:cs="Palatino Linotype"/>
          <w:color w:val="000000"/>
        </w:rPr>
        <w:t xml:space="preserve"> pruebas y alegatos según corresponda al caso concreto, de esta forma para que el </w:t>
      </w:r>
      <w:r w:rsidRPr="00DA3B71">
        <w:rPr>
          <w:rFonts w:ascii="Palatino Linotype" w:eastAsia="Palatino Linotype" w:hAnsi="Palatino Linotype" w:cs="Palatino Linotype"/>
          <w:b/>
          <w:bCs/>
          <w:color w:val="000000"/>
        </w:rPr>
        <w:t xml:space="preserve">SUJETO OBLIGADO </w:t>
      </w:r>
      <w:r w:rsidRPr="00DA3B71">
        <w:rPr>
          <w:rFonts w:ascii="Palatino Linotype" w:eastAsia="Palatino Linotype" w:hAnsi="Palatino Linotype" w:cs="Palatino Linotype"/>
        </w:rPr>
        <w:t>presentará</w:t>
      </w:r>
      <w:r w:rsidRPr="00DA3B71">
        <w:rPr>
          <w:rFonts w:ascii="Palatino Linotype" w:eastAsia="Palatino Linotype" w:hAnsi="Palatino Linotype" w:cs="Palatino Linotype"/>
          <w:color w:val="000000"/>
        </w:rPr>
        <w:t xml:space="preserve"> el Informe Justificado procedente.</w:t>
      </w:r>
    </w:p>
    <w:p w:rsidR="0051129F" w:rsidRPr="00DA3B71" w:rsidRDefault="0051129F">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51129F" w:rsidRPr="00DA3B71" w:rsidRDefault="00D60CF2">
      <w:pPr>
        <w:numPr>
          <w:ilvl w:val="0"/>
          <w:numId w:val="1"/>
        </w:numPr>
        <w:pBdr>
          <w:top w:val="nil"/>
          <w:left w:val="nil"/>
          <w:bottom w:val="nil"/>
          <w:right w:val="nil"/>
          <w:between w:val="nil"/>
        </w:pBdr>
        <w:spacing w:line="360" w:lineRule="auto"/>
        <w:ind w:left="0" w:firstLine="0"/>
        <w:jc w:val="both"/>
        <w:rPr>
          <w:color w:val="000000"/>
        </w:rPr>
      </w:pPr>
      <w:r w:rsidRPr="00DA3B71">
        <w:rPr>
          <w:rFonts w:ascii="Palatino Linotype" w:eastAsia="Palatino Linotype" w:hAnsi="Palatino Linotype" w:cs="Palatino Linotype"/>
          <w:b/>
          <w:bCs/>
          <w:color w:val="000000"/>
        </w:rPr>
        <w:lastRenderedPageBreak/>
        <w:t>E</w:t>
      </w:r>
      <w:r w:rsidRPr="00DA3B71">
        <w:rPr>
          <w:rFonts w:ascii="Palatino Linotype" w:eastAsia="Palatino Linotype" w:hAnsi="Palatino Linotype" w:cs="Palatino Linotype"/>
          <w:color w:val="000000"/>
        </w:rPr>
        <w:t>l Recurrente</w:t>
      </w:r>
      <w:r w:rsidRPr="00DA3B71">
        <w:rPr>
          <w:rFonts w:ascii="Palatino Linotype" w:eastAsia="Palatino Linotype" w:hAnsi="Palatino Linotype" w:cs="Palatino Linotype"/>
          <w:b/>
          <w:bCs/>
          <w:color w:val="000000"/>
        </w:rPr>
        <w:t xml:space="preserve"> </w:t>
      </w:r>
      <w:r w:rsidRPr="00DA3B71">
        <w:rPr>
          <w:rFonts w:ascii="Palatino Linotype" w:eastAsia="Palatino Linotype" w:hAnsi="Palatino Linotype" w:cs="Palatino Linotype"/>
          <w:color w:val="000000"/>
        </w:rPr>
        <w:t xml:space="preserve">dejó de realizar manifestaciones que a su derecho conviniera y asistiera. Por su parte, el Sujeto Obligado tampoco rindió </w:t>
      </w:r>
      <w:r w:rsidRPr="00DA3B71">
        <w:rPr>
          <w:rFonts w:ascii="Palatino Linotype" w:eastAsia="Palatino Linotype" w:hAnsi="Palatino Linotype" w:cs="Palatino Linotype"/>
          <w:b/>
          <w:bCs/>
          <w:color w:val="000000"/>
        </w:rPr>
        <w:t>informe justificado</w:t>
      </w:r>
      <w:r w:rsidRPr="00DA3B71">
        <w:rPr>
          <w:rFonts w:ascii="Palatino Linotype" w:eastAsia="Palatino Linotype" w:hAnsi="Palatino Linotype" w:cs="Palatino Linotype"/>
          <w:color w:val="000000"/>
        </w:rPr>
        <w:t xml:space="preserve"> en el recurso de revisión </w:t>
      </w:r>
      <w:r w:rsidRPr="00DA3B71">
        <w:rPr>
          <w:rFonts w:ascii="Palatino Linotype" w:eastAsia="Palatino Linotype" w:hAnsi="Palatino Linotype" w:cs="Palatino Linotype"/>
          <w:b/>
          <w:bCs/>
          <w:color w:val="000000"/>
        </w:rPr>
        <w:t>00978/INFOEM/IP/RR/2026</w:t>
      </w:r>
      <w:r w:rsidRPr="00DA3B71">
        <w:rPr>
          <w:rFonts w:ascii="Palatino Linotype" w:eastAsia="Palatino Linotype" w:hAnsi="Palatino Linotype" w:cs="Palatino Linotype"/>
          <w:color w:val="000000"/>
        </w:rPr>
        <w:t xml:space="preserve">; no obstante, en los recursos de revisión </w:t>
      </w:r>
      <w:r w:rsidRPr="00DA3B71">
        <w:rPr>
          <w:rFonts w:ascii="Palatino Linotype" w:eastAsia="Palatino Linotype" w:hAnsi="Palatino Linotype" w:cs="Palatino Linotype"/>
          <w:b/>
          <w:bCs/>
          <w:color w:val="000000"/>
        </w:rPr>
        <w:t>01988/INFOEM/IP/RR/2026 y 01993/INFOEM/IP/RR/2026</w:t>
      </w:r>
      <w:r w:rsidRPr="00DA3B71">
        <w:rPr>
          <w:rFonts w:ascii="Palatino Linotype" w:eastAsia="Palatino Linotype" w:hAnsi="Palatino Linotype" w:cs="Palatino Linotype"/>
          <w:color w:val="000000"/>
        </w:rPr>
        <w:t xml:space="preserve">, en fecha </w:t>
      </w:r>
      <w:r w:rsidRPr="00DA3B71">
        <w:rPr>
          <w:rFonts w:ascii="Palatino Linotype" w:eastAsia="Palatino Linotype" w:hAnsi="Palatino Linotype" w:cs="Palatino Linotype"/>
          <w:b/>
          <w:bCs/>
          <w:color w:val="000000"/>
        </w:rPr>
        <w:t>veinticinco de febrero de dos mil veintiséis</w:t>
      </w:r>
      <w:r w:rsidRPr="00DA3B71">
        <w:rPr>
          <w:color w:val="000000"/>
        </w:rPr>
        <w:t xml:space="preserve">, </w:t>
      </w:r>
      <w:r w:rsidRPr="00DA3B71">
        <w:rPr>
          <w:rFonts w:ascii="Palatino Linotype" w:eastAsia="Palatino Linotype" w:hAnsi="Palatino Linotype" w:cs="Palatino Linotype"/>
          <w:color w:val="000000"/>
        </w:rPr>
        <w:t xml:space="preserve">rindió </w:t>
      </w:r>
      <w:r w:rsidRPr="00DA3B71">
        <w:rPr>
          <w:rFonts w:ascii="Palatino Linotype" w:eastAsia="Palatino Linotype" w:hAnsi="Palatino Linotype" w:cs="Palatino Linotype"/>
          <w:b/>
          <w:bCs/>
          <w:color w:val="000000"/>
        </w:rPr>
        <w:t>informes justificados</w:t>
      </w:r>
      <w:r w:rsidRPr="00DA3B71">
        <w:rPr>
          <w:rFonts w:ascii="Palatino Linotype" w:eastAsia="Palatino Linotype" w:hAnsi="Palatino Linotype" w:cs="Palatino Linotype"/>
          <w:color w:val="000000"/>
        </w:rPr>
        <w:t xml:space="preserve"> a través de los siguientes archivos electrónicos, mismos que se describen toralmente a continuación:</w:t>
      </w:r>
    </w:p>
    <w:p w:rsidR="0051129F" w:rsidRPr="00DA3B71" w:rsidRDefault="00D60CF2">
      <w:pPr>
        <w:pBdr>
          <w:top w:val="nil"/>
          <w:left w:val="nil"/>
          <w:bottom w:val="nil"/>
          <w:right w:val="nil"/>
          <w:between w:val="nil"/>
        </w:pBdr>
        <w:ind w:left="567"/>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t>Recurso de Revisión 01988/INFOEM/IP/RR/2026</w:t>
      </w:r>
    </w:p>
    <w:p w:rsidR="0051129F" w:rsidRPr="00DA3B71" w:rsidRDefault="0051129F">
      <w:pPr>
        <w:pBdr>
          <w:top w:val="nil"/>
          <w:left w:val="nil"/>
          <w:bottom w:val="nil"/>
          <w:right w:val="nil"/>
          <w:between w:val="nil"/>
        </w:pBdr>
        <w:ind w:left="993"/>
        <w:rPr>
          <w:rFonts w:ascii="Palatino Linotype" w:eastAsia="Palatino Linotype" w:hAnsi="Palatino Linotype" w:cs="Palatino Linotype"/>
          <w:b/>
          <w:bCs/>
          <w:i/>
          <w:iCs/>
          <w:color w:val="000000"/>
        </w:rPr>
      </w:pPr>
    </w:p>
    <w:p w:rsidR="0051129F" w:rsidRPr="00DA3B71" w:rsidRDefault="00D60CF2">
      <w:pPr>
        <w:pBdr>
          <w:top w:val="nil"/>
          <w:left w:val="nil"/>
          <w:bottom w:val="nil"/>
          <w:right w:val="nil"/>
          <w:between w:val="nil"/>
        </w:pBdr>
        <w:ind w:left="993"/>
        <w:rPr>
          <w:rFonts w:ascii="Palatino Linotype" w:eastAsia="Palatino Linotype" w:hAnsi="Palatino Linotype" w:cs="Palatino Linotype"/>
          <w:b/>
          <w:bCs/>
          <w:i/>
          <w:iCs/>
          <w:color w:val="000000"/>
        </w:rPr>
      </w:pPr>
      <w:r w:rsidRPr="00DA3B71">
        <w:rPr>
          <w:rFonts w:ascii="Palatino Linotype" w:eastAsia="Palatino Linotype" w:hAnsi="Palatino Linotype" w:cs="Palatino Linotype"/>
          <w:b/>
          <w:bCs/>
          <w:i/>
          <w:iCs/>
          <w:color w:val="000000"/>
        </w:rPr>
        <w:t>HAT-SA-OI-269-2026_0001.pdf</w:t>
      </w:r>
    </w:p>
    <w:p w:rsidR="0051129F" w:rsidRPr="00DA3B71" w:rsidRDefault="00D60CF2">
      <w:pPr>
        <w:pBdr>
          <w:top w:val="nil"/>
          <w:left w:val="nil"/>
          <w:bottom w:val="nil"/>
          <w:right w:val="nil"/>
          <w:between w:val="nil"/>
        </w:pBdr>
        <w:ind w:left="993"/>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color w:val="000000"/>
        </w:rPr>
        <w:t>Oficio. HAT/SA/OI/269/2026 de fecha 12 de febrero de 2026, firmado por el Secretario del Ayuntamiento, a través del cual refiere que “</w:t>
      </w:r>
      <w:r w:rsidRPr="00DA3B71">
        <w:rPr>
          <w:rFonts w:ascii="Palatino Linotype" w:eastAsia="Palatino Linotype" w:hAnsi="Palatino Linotype" w:cs="Palatino Linotype"/>
          <w:i/>
          <w:iCs/>
          <w:color w:val="000000"/>
        </w:rPr>
        <w:t>se llevó a cabo una búsqueda exhaustiva y razonable en el libro de registro de folios internos de la Secretaría del Ayuntamiento, sin encontrar documentación alguna en la cual el Ayuntamiento de Tepotzotlán ha conocido, discutido o aprobado informes, observaciones, auditorías o recomendaciones relacionadas con el Instituto Municipal de Cultura Física y Deporte” (Sic)</w:t>
      </w:r>
    </w:p>
    <w:p w:rsidR="0051129F" w:rsidRPr="00DA3B71" w:rsidRDefault="0051129F">
      <w:pPr>
        <w:pBdr>
          <w:top w:val="nil"/>
          <w:left w:val="nil"/>
          <w:bottom w:val="nil"/>
          <w:right w:val="nil"/>
          <w:between w:val="nil"/>
        </w:pBdr>
        <w:ind w:left="993"/>
        <w:rPr>
          <w:rFonts w:ascii="Palatino Linotype" w:eastAsia="Palatino Linotype" w:hAnsi="Palatino Linotype" w:cs="Palatino Linotype"/>
          <w:color w:val="000000"/>
        </w:rPr>
      </w:pPr>
    </w:p>
    <w:p w:rsidR="0051129F" w:rsidRPr="00DA3B71" w:rsidRDefault="00D60CF2">
      <w:pPr>
        <w:pBdr>
          <w:top w:val="nil"/>
          <w:left w:val="nil"/>
          <w:bottom w:val="nil"/>
          <w:right w:val="nil"/>
          <w:between w:val="nil"/>
        </w:pBdr>
        <w:ind w:left="567"/>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t>Recurso de Revisión 01993/INFOEM/IP/RR/2026</w:t>
      </w:r>
    </w:p>
    <w:p w:rsidR="0051129F" w:rsidRPr="00DA3B71" w:rsidRDefault="0051129F">
      <w:pPr>
        <w:pBdr>
          <w:top w:val="nil"/>
          <w:left w:val="nil"/>
          <w:bottom w:val="nil"/>
          <w:right w:val="nil"/>
          <w:between w:val="nil"/>
        </w:pBdr>
        <w:ind w:left="567"/>
        <w:rPr>
          <w:rFonts w:ascii="Palatino Linotype" w:eastAsia="Palatino Linotype" w:hAnsi="Palatino Linotype" w:cs="Palatino Linotype"/>
          <w:b/>
          <w:bCs/>
          <w:color w:val="000000"/>
        </w:rPr>
      </w:pPr>
    </w:p>
    <w:p w:rsidR="0051129F" w:rsidRPr="00DA3B71" w:rsidRDefault="00D60CF2">
      <w:pPr>
        <w:pBdr>
          <w:top w:val="nil"/>
          <w:left w:val="nil"/>
          <w:bottom w:val="nil"/>
          <w:right w:val="nil"/>
          <w:between w:val="nil"/>
        </w:pBdr>
        <w:ind w:left="993"/>
        <w:rPr>
          <w:rFonts w:ascii="Palatino Linotype" w:eastAsia="Palatino Linotype" w:hAnsi="Palatino Linotype" w:cs="Palatino Linotype"/>
          <w:b/>
          <w:bCs/>
          <w:i/>
          <w:iCs/>
          <w:color w:val="000000"/>
        </w:rPr>
      </w:pPr>
      <w:r w:rsidRPr="00DA3B71">
        <w:rPr>
          <w:rFonts w:ascii="Palatino Linotype" w:eastAsia="Palatino Linotype" w:hAnsi="Palatino Linotype" w:cs="Palatino Linotype"/>
          <w:b/>
          <w:bCs/>
          <w:i/>
          <w:iCs/>
          <w:color w:val="000000"/>
        </w:rPr>
        <w:t>HAT-SA-OI-2026_0001.pdf</w:t>
      </w:r>
    </w:p>
    <w:p w:rsidR="0051129F" w:rsidRPr="00DA3B71" w:rsidRDefault="00D60CF2">
      <w:pPr>
        <w:pBdr>
          <w:top w:val="nil"/>
          <w:left w:val="nil"/>
          <w:bottom w:val="nil"/>
          <w:right w:val="nil"/>
          <w:between w:val="nil"/>
        </w:pBdr>
        <w:ind w:left="993"/>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Oficio. HAT/SA/OI/266/2026 de fecha 12 de febrero de 2026, firmado por el Secretario del Ayuntamiento a través del cual refiere la fuente de consulta para la información solicitada:</w:t>
      </w:r>
    </w:p>
    <w:p w:rsidR="0051129F" w:rsidRPr="00DA3B71" w:rsidRDefault="0051129F">
      <w:pPr>
        <w:pBdr>
          <w:top w:val="nil"/>
          <w:left w:val="nil"/>
          <w:bottom w:val="nil"/>
          <w:right w:val="nil"/>
          <w:between w:val="nil"/>
        </w:pBdr>
        <w:ind w:left="993"/>
        <w:rPr>
          <w:rFonts w:ascii="Palatino Linotype" w:eastAsia="Palatino Linotype" w:hAnsi="Palatino Linotype" w:cs="Palatino Linotype"/>
          <w:color w:val="000000"/>
        </w:rPr>
      </w:pPr>
    </w:p>
    <w:p w:rsidR="0051129F" w:rsidRPr="00DA3B71" w:rsidRDefault="00D60CF2">
      <w:pPr>
        <w:pBdr>
          <w:top w:val="nil"/>
          <w:left w:val="nil"/>
          <w:bottom w:val="nil"/>
          <w:right w:val="nil"/>
          <w:between w:val="nil"/>
        </w:pBdr>
        <w:ind w:left="993"/>
        <w:rPr>
          <w:rFonts w:ascii="Palatino Linotype" w:eastAsia="Palatino Linotype" w:hAnsi="Palatino Linotype" w:cs="Palatino Linotype"/>
          <w:color w:val="000000"/>
        </w:rPr>
      </w:pPr>
      <w:r w:rsidRPr="00DA3B71">
        <w:rPr>
          <w:rFonts w:ascii="Palatino Linotype" w:eastAsia="Palatino Linotype" w:hAnsi="Palatino Linotype" w:cs="Palatino Linotype"/>
          <w:noProof/>
          <w:color w:val="000000"/>
          <w:lang w:val="es-MX"/>
        </w:rPr>
        <w:drawing>
          <wp:inline distT="0" distB="0" distL="0" distR="0">
            <wp:extent cx="4658375" cy="91452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658375" cy="914528"/>
                    </a:xfrm>
                    <a:prstGeom prst="rect">
                      <a:avLst/>
                    </a:prstGeom>
                    <a:ln/>
                  </pic:spPr>
                </pic:pic>
              </a:graphicData>
            </a:graphic>
          </wp:inline>
        </w:drawing>
      </w:r>
    </w:p>
    <w:p w:rsidR="0051129F" w:rsidRPr="00DA3B71" w:rsidRDefault="0051129F">
      <w:pPr>
        <w:pBdr>
          <w:top w:val="nil"/>
          <w:left w:val="nil"/>
          <w:bottom w:val="nil"/>
          <w:right w:val="nil"/>
          <w:between w:val="nil"/>
        </w:pBdr>
        <w:ind w:left="993"/>
        <w:rPr>
          <w:rFonts w:ascii="Palatino Linotype" w:eastAsia="Palatino Linotype" w:hAnsi="Palatino Linotype" w:cs="Palatino Linotype"/>
          <w:color w:val="000000"/>
        </w:rPr>
      </w:pPr>
    </w:p>
    <w:p w:rsidR="0051129F" w:rsidRPr="00DA3B71" w:rsidRDefault="00D60CF2">
      <w:pPr>
        <w:pBdr>
          <w:top w:val="nil"/>
          <w:left w:val="nil"/>
          <w:bottom w:val="nil"/>
          <w:right w:val="nil"/>
          <w:between w:val="nil"/>
        </w:pBdr>
        <w:ind w:left="993"/>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Liga electrónica que se encuentra en formato cerrado.</w:t>
      </w:r>
    </w:p>
    <w:p w:rsidR="0051129F" w:rsidRPr="00DA3B71" w:rsidRDefault="0051129F">
      <w:pPr>
        <w:pBdr>
          <w:top w:val="nil"/>
          <w:left w:val="nil"/>
          <w:bottom w:val="nil"/>
          <w:right w:val="nil"/>
          <w:between w:val="nil"/>
        </w:pBdr>
        <w:jc w:val="both"/>
        <w:rPr>
          <w:rFonts w:ascii="Palatino Linotype" w:eastAsia="Palatino Linotype" w:hAnsi="Palatino Linotype" w:cs="Palatino Linotype"/>
          <w:b/>
          <w:bCs/>
          <w:i/>
          <w:iCs/>
          <w:color w:val="000000"/>
        </w:rPr>
      </w:pPr>
    </w:p>
    <w:p w:rsidR="0051129F" w:rsidRPr="00DA3B71" w:rsidRDefault="0051129F">
      <w:pPr>
        <w:pBdr>
          <w:top w:val="nil"/>
          <w:left w:val="nil"/>
          <w:bottom w:val="nil"/>
          <w:right w:val="nil"/>
          <w:between w:val="nil"/>
        </w:pBdr>
        <w:ind w:left="993"/>
        <w:jc w:val="both"/>
        <w:rPr>
          <w:rFonts w:ascii="Palatino Linotype" w:eastAsia="Palatino Linotype" w:hAnsi="Palatino Linotype" w:cs="Palatino Linotype"/>
          <w:color w:val="000000"/>
        </w:rPr>
      </w:pPr>
    </w:p>
    <w:p w:rsidR="0051129F" w:rsidRPr="00DA3B71" w:rsidRDefault="0051129F">
      <w:pPr>
        <w:pBdr>
          <w:top w:val="nil"/>
          <w:left w:val="nil"/>
          <w:bottom w:val="nil"/>
          <w:right w:val="nil"/>
          <w:between w:val="nil"/>
        </w:pBdr>
        <w:spacing w:line="360" w:lineRule="auto"/>
        <w:jc w:val="both"/>
        <w:rPr>
          <w:rFonts w:ascii="Palatino Linotype" w:eastAsia="Palatino Linotype" w:hAnsi="Palatino Linotype" w:cs="Palatino Linotype"/>
          <w:color w:val="000000"/>
        </w:rPr>
      </w:pPr>
      <w:bookmarkStart w:id="2" w:name="_heading=h.3znysh7" w:colFirst="0" w:colLast="0"/>
      <w:bookmarkEnd w:id="2"/>
    </w:p>
    <w:p w:rsidR="0051129F" w:rsidRPr="00DA3B71" w:rsidRDefault="00D60CF2">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lastRenderedPageBreak/>
        <w:t xml:space="preserve">Posteriormente, la Comisionada Ponente a través </w:t>
      </w:r>
      <w:r w:rsidRPr="00DA3B71">
        <w:rPr>
          <w:rFonts w:ascii="Palatino Linotype" w:eastAsia="Palatino Linotype" w:hAnsi="Palatino Linotype" w:cs="Palatino Linotype"/>
        </w:rPr>
        <w:t>del acuerdo</w:t>
      </w:r>
      <w:r w:rsidRPr="00DA3B71">
        <w:rPr>
          <w:rFonts w:ascii="Palatino Linotype" w:eastAsia="Palatino Linotype" w:hAnsi="Palatino Linotype" w:cs="Palatino Linotype"/>
          <w:color w:val="000000"/>
        </w:rPr>
        <w:t xml:space="preserve"> de fecha</w:t>
      </w:r>
      <w:r w:rsidRPr="00DA3B71">
        <w:rPr>
          <w:rFonts w:ascii="Palatino Linotype" w:eastAsia="Palatino Linotype" w:hAnsi="Palatino Linotype" w:cs="Palatino Linotype"/>
          <w:b/>
          <w:bCs/>
          <w:color w:val="000000"/>
        </w:rPr>
        <w:t xml:space="preserve"> seis de mayo de dos mil veintiséis</w:t>
      </w:r>
      <w:r w:rsidRPr="00DA3B71">
        <w:rPr>
          <w:rFonts w:ascii="Palatino Linotype" w:eastAsia="Palatino Linotype" w:hAnsi="Palatino Linotype" w:cs="Palatino Linotype"/>
          <w:color w:val="000000"/>
        </w:rPr>
        <w:t xml:space="preserve">, </w:t>
      </w:r>
      <w:r w:rsidRPr="00DA3B71">
        <w:rPr>
          <w:rFonts w:ascii="Palatino Linotype" w:eastAsia="Palatino Linotype" w:hAnsi="Palatino Linotype" w:cs="Palatino Linotype"/>
        </w:rPr>
        <w:t xml:space="preserve">con fundamento en el artículo 14, fracciones I, II, V y XVI del Reglamento Interior del Instituto de Transparencia, Acceso a la Información Pública y Protección de Datos Personales del Estado de México y Municipios, previo análisis de las características de los medios de impugnación identificados con los números </w:t>
      </w:r>
      <w:r w:rsidRPr="00DA3B71">
        <w:rPr>
          <w:rFonts w:ascii="Palatino Linotype" w:eastAsia="Palatino Linotype" w:hAnsi="Palatino Linotype" w:cs="Palatino Linotype"/>
          <w:b/>
          <w:bCs/>
          <w:color w:val="000000"/>
        </w:rPr>
        <w:t>00978/INFOEM/IP/RR/2026, 01988/INFOEM/IP/RR/2026 y 01993/INFOEM/IP/RR/2026</w:t>
      </w:r>
      <w:r w:rsidRPr="00DA3B71">
        <w:rPr>
          <w:rFonts w:ascii="Palatino Linotype" w:eastAsia="Palatino Linotype" w:hAnsi="Palatino Linotype" w:cs="Palatino Linotype"/>
          <w:b/>
          <w:bCs/>
        </w:rPr>
        <w:t xml:space="preserve">, </w:t>
      </w:r>
      <w:r w:rsidRPr="00DA3B71">
        <w:rPr>
          <w:rFonts w:ascii="Palatino Linotype" w:eastAsia="Palatino Linotype" w:hAnsi="Palatino Linotype" w:cs="Palatino Linotype"/>
        </w:rPr>
        <w:t xml:space="preserve">y toda vez que se advirtió conexidad entre estos, al haber sido promovidos por la misma persona, en los que se señaló como dependencia o entidad recurrida al </w:t>
      </w:r>
      <w:r w:rsidRPr="00DA3B71">
        <w:rPr>
          <w:rFonts w:ascii="Palatino Linotype" w:eastAsia="Palatino Linotype" w:hAnsi="Palatino Linotype" w:cs="Palatino Linotype"/>
          <w:b/>
          <w:bCs/>
        </w:rPr>
        <w:t>Ayuntamiento de Tepotzotlán</w:t>
      </w:r>
      <w:r w:rsidRPr="00DA3B71">
        <w:rPr>
          <w:rFonts w:ascii="Palatino Linotype" w:eastAsia="Palatino Linotype" w:hAnsi="Palatino Linotype" w:cs="Palatino Linotype"/>
        </w:rPr>
        <w:t xml:space="preserve">;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se </w:t>
      </w:r>
      <w:r w:rsidRPr="00DA3B71">
        <w:rPr>
          <w:rFonts w:ascii="Palatino Linotype" w:eastAsia="Palatino Linotype" w:hAnsi="Palatino Linotype" w:cs="Palatino Linotype"/>
          <w:b/>
          <w:bCs/>
        </w:rPr>
        <w:t>decreta</w:t>
      </w:r>
      <w:r w:rsidRPr="00DA3B71">
        <w:rPr>
          <w:rFonts w:ascii="Palatino Linotype" w:eastAsia="Palatino Linotype" w:hAnsi="Palatino Linotype" w:cs="Palatino Linotype"/>
        </w:rPr>
        <w:t xml:space="preserve"> la </w:t>
      </w:r>
      <w:r w:rsidRPr="00DA3B71">
        <w:rPr>
          <w:rFonts w:ascii="Palatino Linotype" w:eastAsia="Palatino Linotype" w:hAnsi="Palatino Linotype" w:cs="Palatino Linotype"/>
          <w:b/>
          <w:bCs/>
        </w:rPr>
        <w:t>acumulación</w:t>
      </w:r>
      <w:r w:rsidRPr="00DA3B71">
        <w:rPr>
          <w:rFonts w:ascii="Palatino Linotype" w:eastAsia="Palatino Linotype" w:hAnsi="Palatino Linotype" w:cs="Palatino Linotype"/>
        </w:rPr>
        <w:t xml:space="preserve"> de los Recursos de Revisión </w:t>
      </w:r>
      <w:r w:rsidRPr="00DA3B71">
        <w:rPr>
          <w:rFonts w:ascii="Palatino Linotype" w:eastAsia="Palatino Linotype" w:hAnsi="Palatino Linotype" w:cs="Palatino Linotype"/>
          <w:b/>
          <w:bCs/>
          <w:color w:val="000000"/>
        </w:rPr>
        <w:t xml:space="preserve">01988/INFOEM/IP/RR/2026 y 01993/INFOEM/IP/RR/2026 </w:t>
      </w:r>
      <w:r w:rsidRPr="00DA3B71">
        <w:rPr>
          <w:rFonts w:ascii="Palatino Linotype" w:eastAsia="Palatino Linotype" w:hAnsi="Palatino Linotype" w:cs="Palatino Linotype"/>
        </w:rPr>
        <w:t xml:space="preserve">al diverso </w:t>
      </w:r>
      <w:r w:rsidRPr="00DA3B71">
        <w:rPr>
          <w:rFonts w:ascii="Palatino Linotype" w:eastAsia="Palatino Linotype" w:hAnsi="Palatino Linotype" w:cs="Palatino Linotype"/>
          <w:b/>
          <w:bCs/>
          <w:color w:val="000000"/>
        </w:rPr>
        <w:t>00978/INFOEM/IP/RR/2026</w:t>
      </w:r>
      <w:r w:rsidRPr="00DA3B71">
        <w:rPr>
          <w:rFonts w:ascii="Palatino Linotype" w:eastAsia="Palatino Linotype" w:hAnsi="Palatino Linotype" w:cs="Palatino Linotype"/>
        </w:rPr>
        <w:t>, por ser este último el más antiguo, sustanciado bajo el índice de esta Ponencia.</w:t>
      </w:r>
    </w:p>
    <w:p w:rsidR="0051129F" w:rsidRPr="00DA3B71" w:rsidRDefault="0051129F">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rsidR="0051129F" w:rsidRPr="00DA3B71" w:rsidRDefault="00D60CF2">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b/>
          <w:bCs/>
          <w:color w:val="000000"/>
        </w:rPr>
      </w:pPr>
      <w:r w:rsidRPr="00DA3B71">
        <w:rPr>
          <w:rFonts w:ascii="Palatino Linotype" w:eastAsia="Palatino Linotype" w:hAnsi="Palatino Linotype" w:cs="Palatino Linotype"/>
          <w:color w:val="000000"/>
        </w:rPr>
        <w:t xml:space="preserve">En </w:t>
      </w:r>
      <w:r w:rsidRPr="00DA3B71">
        <w:rPr>
          <w:rFonts w:ascii="Palatino Linotype" w:eastAsia="Palatino Linotype" w:hAnsi="Palatino Linotype" w:cs="Palatino Linotype"/>
        </w:rPr>
        <w:t>fechas</w:t>
      </w:r>
      <w:r w:rsidRPr="00DA3B71">
        <w:rPr>
          <w:rFonts w:ascii="Palatino Linotype" w:eastAsia="Palatino Linotype" w:hAnsi="Palatino Linotype" w:cs="Palatino Linotype"/>
          <w:b/>
          <w:bCs/>
          <w:color w:val="000000"/>
        </w:rPr>
        <w:t xml:space="preserve"> nueve de abril y seis de mayo de dos mil veintiséis</w:t>
      </w:r>
      <w:r w:rsidRPr="00DA3B71">
        <w:rPr>
          <w:rFonts w:ascii="Palatino Linotype" w:eastAsia="Palatino Linotype" w:hAnsi="Palatino Linotype" w:cs="Palatino Linotype"/>
          <w:color w:val="000000"/>
        </w:rPr>
        <w:t xml:space="preserve">, se acordó </w:t>
      </w:r>
      <w:r w:rsidRPr="00DA3B71">
        <w:rPr>
          <w:rFonts w:ascii="Palatino Linotype" w:eastAsia="Palatino Linotype" w:hAnsi="Palatino Linotype" w:cs="Palatino Linotype"/>
          <w:b/>
          <w:bCs/>
          <w:color w:val="000000"/>
        </w:rPr>
        <w:t xml:space="preserve">ampliar el </w:t>
      </w:r>
      <w:r w:rsidRPr="00DA3B71">
        <w:rPr>
          <w:rFonts w:ascii="Palatino Linotype" w:eastAsia="Palatino Linotype" w:hAnsi="Palatino Linotype" w:cs="Palatino Linotype"/>
          <w:b/>
          <w:bCs/>
        </w:rPr>
        <w:t>plazo</w:t>
      </w:r>
      <w:r w:rsidRPr="00DA3B71">
        <w:rPr>
          <w:rFonts w:ascii="Palatino Linotype" w:eastAsia="Palatino Linotype" w:hAnsi="Palatino Linotype" w:cs="Palatino Linotype"/>
          <w:color w:val="000000"/>
        </w:rPr>
        <w:t xml:space="preserve"> para resolver el presente Recurso de Revisión.</w:t>
      </w:r>
      <w:r w:rsidRPr="00DA3B71">
        <w:rPr>
          <w:rFonts w:ascii="Palatino Linotype" w:eastAsia="Palatino Linotype" w:hAnsi="Palatino Linotype" w:cs="Palatino Linotype"/>
          <w:color w:val="000000"/>
        </w:rPr>
        <w:tab/>
      </w:r>
    </w:p>
    <w:p w:rsidR="0051129F" w:rsidRPr="00DA3B71" w:rsidRDefault="0051129F">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rsidR="0051129F" w:rsidRPr="00DA3B71" w:rsidRDefault="00D60CF2">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b/>
          <w:bCs/>
          <w:color w:val="000000"/>
        </w:rPr>
      </w:pPr>
      <w:r w:rsidRPr="00DA3B71">
        <w:rPr>
          <w:rFonts w:ascii="Palatino Linotype" w:eastAsia="Palatino Linotype" w:hAnsi="Palatino Linotype" w:cs="Palatino Linotype"/>
        </w:rPr>
        <w:t>Seguidamente</w:t>
      </w:r>
      <w:r w:rsidRPr="00DA3B71">
        <w:rPr>
          <w:rFonts w:ascii="Palatino Linotype" w:eastAsia="Palatino Linotype" w:hAnsi="Palatino Linotype" w:cs="Palatino Linotype"/>
          <w:color w:val="000000"/>
        </w:rPr>
        <w:t xml:space="preserve">, en fechas </w:t>
      </w:r>
      <w:r w:rsidRPr="00DA3B71">
        <w:rPr>
          <w:rFonts w:ascii="Palatino Linotype" w:eastAsia="Palatino Linotype" w:hAnsi="Palatino Linotype" w:cs="Palatino Linotype"/>
          <w:b/>
          <w:bCs/>
          <w:color w:val="000000"/>
        </w:rPr>
        <w:t>seis y doce de mayo de dos mil veintiséis</w:t>
      </w:r>
      <w:r w:rsidRPr="00DA3B71">
        <w:rPr>
          <w:rFonts w:ascii="Palatino Linotype" w:eastAsia="Palatino Linotype" w:hAnsi="Palatino Linotype" w:cs="Palatino Linotype"/>
          <w:color w:val="000000"/>
        </w:rPr>
        <w:t xml:space="preserve">, la Comisionada Ponente dictó el </w:t>
      </w:r>
      <w:r w:rsidRPr="00DA3B71">
        <w:rPr>
          <w:rFonts w:ascii="Palatino Linotype" w:eastAsia="Palatino Linotype" w:hAnsi="Palatino Linotype" w:cs="Palatino Linotype"/>
          <w:b/>
          <w:bCs/>
          <w:color w:val="000000"/>
        </w:rPr>
        <w:t>cierre del periodo de instrucción</w:t>
      </w:r>
      <w:r w:rsidRPr="00DA3B71">
        <w:rPr>
          <w:rFonts w:ascii="Palatino Linotype" w:eastAsia="Palatino Linotype" w:hAnsi="Palatino Linotype" w:cs="Palatino Linotype"/>
          <w:color w:val="000000"/>
        </w:rPr>
        <w:t xml:space="preserve"> y, ordenó la resolución que conforme a Derecho proceda:</w:t>
      </w:r>
      <w:r w:rsidR="00DA3B71">
        <w:rPr>
          <w:rFonts w:ascii="Palatino Linotype" w:eastAsia="Palatino Linotype" w:hAnsi="Palatino Linotype" w:cs="Palatino Linotype"/>
          <w:color w:val="000000"/>
        </w:rPr>
        <w:t xml:space="preserve"> ----------------------------------------------------------------------------------------------------</w:t>
      </w:r>
    </w:p>
    <w:p w:rsidR="0051129F" w:rsidRPr="00DA3B71" w:rsidRDefault="0051129F">
      <w:pPr>
        <w:pBdr>
          <w:top w:val="nil"/>
          <w:left w:val="nil"/>
          <w:bottom w:val="nil"/>
          <w:right w:val="nil"/>
          <w:between w:val="nil"/>
        </w:pBdr>
        <w:ind w:left="720"/>
        <w:rPr>
          <w:rFonts w:ascii="Palatino Linotype" w:eastAsia="Palatino Linotype" w:hAnsi="Palatino Linotype" w:cs="Palatino Linotype"/>
          <w:b/>
          <w:bCs/>
          <w:color w:val="000000"/>
        </w:rPr>
      </w:pPr>
    </w:p>
    <w:p w:rsidR="0051129F" w:rsidRPr="00DA3B71" w:rsidRDefault="0051129F">
      <w:pPr>
        <w:pBdr>
          <w:top w:val="nil"/>
          <w:left w:val="nil"/>
          <w:bottom w:val="nil"/>
          <w:right w:val="nil"/>
          <w:between w:val="nil"/>
        </w:pBdr>
        <w:spacing w:line="360" w:lineRule="auto"/>
        <w:rPr>
          <w:rFonts w:ascii="Palatino Linotype" w:eastAsia="Palatino Linotype" w:hAnsi="Palatino Linotype" w:cs="Palatino Linotype"/>
          <w:b/>
          <w:bCs/>
          <w:color w:val="000000"/>
        </w:rPr>
      </w:pPr>
    </w:p>
    <w:p w:rsidR="0051129F" w:rsidRPr="00DA3B71" w:rsidRDefault="00D60CF2">
      <w:pPr>
        <w:keepNext/>
        <w:keepLines/>
        <w:spacing w:line="360" w:lineRule="auto"/>
        <w:jc w:val="center"/>
        <w:rPr>
          <w:rFonts w:ascii="Palatino Linotype" w:eastAsia="Palatino Linotype" w:hAnsi="Palatino Linotype" w:cs="Palatino Linotype"/>
          <w:b/>
          <w:bCs/>
        </w:rPr>
      </w:pPr>
      <w:r w:rsidRPr="00DA3B71">
        <w:rPr>
          <w:rFonts w:ascii="Palatino Linotype" w:eastAsia="Palatino Linotype" w:hAnsi="Palatino Linotype" w:cs="Palatino Linotype"/>
          <w:b/>
          <w:bCs/>
        </w:rPr>
        <w:lastRenderedPageBreak/>
        <w:t xml:space="preserve">C O N S I D E R A N D O </w:t>
      </w:r>
    </w:p>
    <w:p w:rsidR="0051129F" w:rsidRPr="00DA3B71" w:rsidRDefault="0051129F">
      <w:pPr>
        <w:spacing w:line="360" w:lineRule="auto"/>
        <w:rPr>
          <w:rFonts w:ascii="Palatino Linotype" w:eastAsia="Palatino Linotype" w:hAnsi="Palatino Linotype" w:cs="Palatino Linotype"/>
        </w:rPr>
      </w:pPr>
    </w:p>
    <w:p w:rsidR="0051129F" w:rsidRPr="00DA3B71" w:rsidRDefault="00D60CF2">
      <w:pPr>
        <w:keepNext/>
        <w:keepLines/>
        <w:spacing w:line="360" w:lineRule="auto"/>
        <w:rPr>
          <w:rFonts w:ascii="Palatino Linotype" w:eastAsia="Palatino Linotype" w:hAnsi="Palatino Linotype" w:cs="Palatino Linotype"/>
          <w:b/>
          <w:bCs/>
        </w:rPr>
      </w:pPr>
      <w:r w:rsidRPr="00DA3B71">
        <w:rPr>
          <w:rFonts w:ascii="Palatino Linotype" w:eastAsia="Palatino Linotype" w:hAnsi="Palatino Linotype" w:cs="Palatino Linotype"/>
          <w:b/>
          <w:bCs/>
        </w:rPr>
        <w:t>PRIMERO. De la competencia</w:t>
      </w:r>
    </w:p>
    <w:p w:rsidR="0051129F" w:rsidRPr="00DA3B71" w:rsidRDefault="00D60CF2">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51129F" w:rsidRPr="00DA3B71" w:rsidRDefault="0051129F">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51129F" w:rsidRPr="00DA3B71" w:rsidRDefault="00D60CF2">
      <w:pPr>
        <w:keepNext/>
        <w:keepLines/>
        <w:spacing w:line="360" w:lineRule="auto"/>
        <w:rPr>
          <w:rFonts w:ascii="Palatino Linotype" w:eastAsia="Palatino Linotype" w:hAnsi="Palatino Linotype" w:cs="Palatino Linotype"/>
          <w:b/>
          <w:bCs/>
        </w:rPr>
      </w:pPr>
      <w:bookmarkStart w:id="3" w:name="_heading=h.tyjcwt" w:colFirst="0" w:colLast="0"/>
      <w:bookmarkEnd w:id="3"/>
      <w:r w:rsidRPr="00DA3B71">
        <w:rPr>
          <w:rFonts w:ascii="Palatino Linotype" w:eastAsia="Palatino Linotype" w:hAnsi="Palatino Linotype" w:cs="Palatino Linotype"/>
          <w:b/>
          <w:bCs/>
        </w:rPr>
        <w:t>SEGUNDO. De la oportunidad y procedencia.</w:t>
      </w:r>
    </w:p>
    <w:p w:rsidR="0051129F" w:rsidRPr="00DA3B71" w:rsidRDefault="00D60CF2">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 xml:space="preserve">El medio de impugnación </w:t>
      </w:r>
      <w:r w:rsidRPr="00DA3B71">
        <w:rPr>
          <w:rFonts w:ascii="Palatino Linotype" w:eastAsia="Palatino Linotype" w:hAnsi="Palatino Linotype" w:cs="Palatino Linotype"/>
          <w:b/>
          <w:bCs/>
        </w:rPr>
        <w:t>00978/INFOEM/IP/RR/2026</w:t>
      </w:r>
      <w:r w:rsidRPr="00DA3B71">
        <w:rPr>
          <w:rFonts w:ascii="Palatino Linotype" w:eastAsia="Palatino Linotype" w:hAnsi="Palatino Linotype" w:cs="Palatino Linotype"/>
        </w:rPr>
        <w:t xml:space="preserve"> fue presentados a través del </w:t>
      </w:r>
      <w:r w:rsidRPr="00DA3B71">
        <w:rPr>
          <w:rFonts w:ascii="Palatino Linotype" w:eastAsia="Palatino Linotype" w:hAnsi="Palatino Linotype" w:cs="Palatino Linotype"/>
          <w:b/>
          <w:bCs/>
        </w:rPr>
        <w:t>SAIMEX,</w:t>
      </w:r>
      <w:r w:rsidRPr="00DA3B71">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DA3B71">
        <w:rPr>
          <w:rFonts w:ascii="Palatino Linotype" w:eastAsia="Palatino Linotype" w:hAnsi="Palatino Linotype" w:cs="Palatino Linotype"/>
          <w:b/>
          <w:bCs/>
        </w:rPr>
        <w:t>SUJETO OBLIGADO</w:t>
      </w:r>
      <w:r w:rsidRPr="00DA3B71">
        <w:rPr>
          <w:rFonts w:ascii="Palatino Linotype" w:eastAsia="Palatino Linotype" w:hAnsi="Palatino Linotype" w:cs="Palatino Linotype"/>
        </w:rPr>
        <w:t xml:space="preserve"> entregó respuesta el </w:t>
      </w:r>
      <w:r w:rsidRPr="00DA3B71">
        <w:rPr>
          <w:rFonts w:ascii="Palatino Linotype" w:eastAsia="Palatino Linotype" w:hAnsi="Palatino Linotype" w:cs="Palatino Linotype"/>
          <w:b/>
          <w:bCs/>
        </w:rPr>
        <w:t>diecinueve de enero de dos mil veintiséis</w:t>
      </w:r>
      <w:r w:rsidRPr="00DA3B71">
        <w:rPr>
          <w:rFonts w:ascii="Palatino Linotype" w:eastAsia="Palatino Linotype" w:hAnsi="Palatino Linotype" w:cs="Palatino Linotype"/>
        </w:rPr>
        <w:t xml:space="preserve">, de tal forma que el plazo para interponer el recurso transcurrió del </w:t>
      </w:r>
      <w:r w:rsidRPr="00DA3B71">
        <w:rPr>
          <w:rFonts w:ascii="Palatino Linotype" w:eastAsia="Palatino Linotype" w:hAnsi="Palatino Linotype" w:cs="Palatino Linotype"/>
          <w:b/>
          <w:bCs/>
        </w:rPr>
        <w:t xml:space="preserve">veinte de enero al diez de febrero de dos mil veintiséis, </w:t>
      </w:r>
      <w:r w:rsidRPr="00DA3B71">
        <w:rPr>
          <w:rFonts w:ascii="Palatino Linotype" w:eastAsia="Palatino Linotype" w:hAnsi="Palatino Linotype" w:cs="Palatino Linotype"/>
        </w:rPr>
        <w:t xml:space="preserve">en consecuencia, si el </w:t>
      </w:r>
      <w:r w:rsidRPr="00DA3B71">
        <w:rPr>
          <w:rFonts w:ascii="Palatino Linotype" w:eastAsia="Palatino Linotype" w:hAnsi="Palatino Linotype" w:cs="Palatino Linotype"/>
          <w:b/>
          <w:bCs/>
        </w:rPr>
        <w:t>PARTICULAR</w:t>
      </w:r>
      <w:r w:rsidRPr="00DA3B71">
        <w:rPr>
          <w:rFonts w:ascii="Palatino Linotype" w:eastAsia="Palatino Linotype" w:hAnsi="Palatino Linotype" w:cs="Palatino Linotype"/>
        </w:rPr>
        <w:t xml:space="preserve"> presentó su inconformidad el </w:t>
      </w:r>
      <w:r w:rsidRPr="00DA3B71">
        <w:rPr>
          <w:rFonts w:ascii="Palatino Linotype" w:eastAsia="Palatino Linotype" w:hAnsi="Palatino Linotype" w:cs="Palatino Linotype"/>
          <w:b/>
          <w:bCs/>
        </w:rPr>
        <w:t>veintitrés de enero de dos mil veintiséis</w:t>
      </w:r>
      <w:r w:rsidRPr="00DA3B71">
        <w:rPr>
          <w:rFonts w:ascii="Palatino Linotype" w:eastAsia="Palatino Linotype" w:hAnsi="Palatino Linotype" w:cs="Palatino Linotype"/>
        </w:rPr>
        <w:t xml:space="preserve">, este  se encuentra dentro de los márgenes temporales previstos en el artículo 178 de la </w:t>
      </w:r>
      <w:r w:rsidRPr="00DA3B71">
        <w:rPr>
          <w:rFonts w:ascii="Palatino Linotype" w:eastAsia="Palatino Linotype" w:hAnsi="Palatino Linotype" w:cs="Palatino Linotype"/>
          <w:b/>
          <w:bCs/>
        </w:rPr>
        <w:t xml:space="preserve">Ley de Transparencia y Acceso a la Información Pública del Estado de México y Municipios </w:t>
      </w:r>
      <w:r w:rsidRPr="00DA3B71">
        <w:rPr>
          <w:rFonts w:ascii="Palatino Linotype" w:eastAsia="Palatino Linotype" w:hAnsi="Palatino Linotype" w:cs="Palatino Linotype"/>
        </w:rPr>
        <w:t xml:space="preserve">vigente. </w:t>
      </w:r>
    </w:p>
    <w:p w:rsidR="0051129F" w:rsidRPr="00DA3B71" w:rsidRDefault="00D60CF2">
      <w:pPr>
        <w:numPr>
          <w:ilvl w:val="0"/>
          <w:numId w:val="10"/>
        </w:numPr>
        <w:pBdr>
          <w:top w:val="nil"/>
          <w:left w:val="nil"/>
          <w:bottom w:val="nil"/>
          <w:right w:val="nil"/>
          <w:between w:val="nil"/>
        </w:pBdr>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lastRenderedPageBreak/>
        <w:t xml:space="preserve">De la </w:t>
      </w:r>
      <w:r w:rsidRPr="00DA3B71">
        <w:rPr>
          <w:rFonts w:ascii="Palatino Linotype" w:eastAsia="Palatino Linotype" w:hAnsi="Palatino Linotype" w:cs="Palatino Linotype"/>
          <w:b/>
          <w:bCs/>
        </w:rPr>
        <w:t>prórroga</w:t>
      </w:r>
      <w:r w:rsidRPr="00DA3B71">
        <w:rPr>
          <w:rFonts w:ascii="Palatino Linotype" w:eastAsia="Palatino Linotype" w:hAnsi="Palatino Linotype" w:cs="Palatino Linotype"/>
          <w:b/>
          <w:bCs/>
          <w:color w:val="000000"/>
        </w:rPr>
        <w:t xml:space="preserve"> indebida</w:t>
      </w:r>
    </w:p>
    <w:p w:rsidR="0051129F" w:rsidRPr="00DA3B71" w:rsidRDefault="0051129F">
      <w:pPr>
        <w:pBdr>
          <w:top w:val="nil"/>
          <w:left w:val="nil"/>
          <w:bottom w:val="nil"/>
          <w:right w:val="nil"/>
          <w:between w:val="nil"/>
        </w:pBdr>
        <w:ind w:left="720"/>
        <w:rPr>
          <w:rFonts w:ascii="Palatino Linotype" w:eastAsia="Palatino Linotype" w:hAnsi="Palatino Linotype" w:cs="Palatino Linotype"/>
          <w:b/>
          <w:bCs/>
        </w:rPr>
      </w:pPr>
    </w:p>
    <w:p w:rsidR="0051129F" w:rsidRPr="00DA3B71" w:rsidRDefault="00D60CF2">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222222"/>
        </w:rPr>
      </w:pPr>
      <w:r w:rsidRPr="00DA3B71">
        <w:rPr>
          <w:rFonts w:ascii="Palatino Linotype" w:eastAsia="Palatino Linotype" w:hAnsi="Palatino Linotype" w:cs="Palatino Linotype"/>
          <w:color w:val="000000"/>
        </w:rPr>
        <w:t xml:space="preserve">Por </w:t>
      </w:r>
      <w:r w:rsidRPr="00DA3B71">
        <w:rPr>
          <w:rFonts w:ascii="Palatino Linotype" w:eastAsia="Palatino Linotype" w:hAnsi="Palatino Linotype" w:cs="Palatino Linotype"/>
        </w:rPr>
        <w:t>otro</w:t>
      </w:r>
      <w:r w:rsidRPr="00DA3B71">
        <w:rPr>
          <w:rFonts w:ascii="Palatino Linotype" w:eastAsia="Palatino Linotype" w:hAnsi="Palatino Linotype" w:cs="Palatino Linotype"/>
          <w:color w:val="000000"/>
        </w:rPr>
        <w:t xml:space="preserve"> lado</w:t>
      </w:r>
      <w:r w:rsidRPr="00DA3B71">
        <w:rPr>
          <w:rFonts w:ascii="Palatino Linotype" w:eastAsia="Palatino Linotype" w:hAnsi="Palatino Linotype" w:cs="Palatino Linotype"/>
        </w:rPr>
        <w:t>, es menester señalar que</w:t>
      </w:r>
      <w:r w:rsidRPr="00DA3B71">
        <w:rPr>
          <w:rFonts w:ascii="Palatino Linotype" w:eastAsia="Palatino Linotype" w:hAnsi="Palatino Linotype" w:cs="Palatino Linotype"/>
          <w:color w:val="222222"/>
        </w:rPr>
        <w:t xml:space="preserve"> el </w:t>
      </w:r>
      <w:r w:rsidRPr="00DA3B71">
        <w:rPr>
          <w:rFonts w:ascii="Palatino Linotype" w:eastAsia="Palatino Linotype" w:hAnsi="Palatino Linotype" w:cs="Palatino Linotype"/>
          <w:b/>
          <w:bCs/>
          <w:color w:val="222222"/>
        </w:rPr>
        <w:t>SUJETO OBLIGADO</w:t>
      </w:r>
      <w:r w:rsidRPr="00DA3B71">
        <w:rPr>
          <w:rFonts w:ascii="Palatino Linotype" w:eastAsia="Palatino Linotype" w:hAnsi="Palatino Linotype" w:cs="Palatino Linotype"/>
          <w:color w:val="222222"/>
        </w:rPr>
        <w:t xml:space="preserve"> notificó en las solicitudes de información </w:t>
      </w:r>
      <w:r w:rsidRPr="00DA3B71">
        <w:rPr>
          <w:rFonts w:ascii="Palatino Linotype" w:eastAsia="Palatino Linotype" w:hAnsi="Palatino Linotype" w:cs="Palatino Linotype"/>
          <w:b/>
          <w:bCs/>
          <w:color w:val="222222"/>
        </w:rPr>
        <w:t>00025/TEPOTZOT/IP/2026 00008/TEPOTZOT/IP/2026</w:t>
      </w:r>
      <w:r w:rsidRPr="00DA3B71">
        <w:rPr>
          <w:rFonts w:ascii="Palatino Linotype" w:eastAsia="Palatino Linotype" w:hAnsi="Palatino Linotype" w:cs="Palatino Linotype"/>
          <w:color w:val="222222"/>
        </w:rPr>
        <w:t xml:space="preserve"> una prórroga que resulta</w:t>
      </w:r>
      <w:r w:rsidRPr="00DA3B71">
        <w:rPr>
          <w:rFonts w:ascii="Palatino Linotype" w:eastAsia="Palatino Linotype" w:hAnsi="Palatino Linotype" w:cs="Palatino Linotype"/>
          <w:b/>
          <w:bCs/>
          <w:i/>
          <w:iCs/>
          <w:color w:val="222222"/>
        </w:rPr>
        <w:t xml:space="preserve"> </w:t>
      </w:r>
      <w:r w:rsidRPr="00DA3B71">
        <w:rPr>
          <w:rFonts w:ascii="Palatino Linotype" w:eastAsia="Palatino Linotype" w:hAnsi="Palatino Linotype" w:cs="Palatino Linotype"/>
          <w:color w:val="000000"/>
        </w:rPr>
        <w:t>indebida</w:t>
      </w:r>
      <w:r w:rsidRPr="00DA3B71">
        <w:rPr>
          <w:rFonts w:ascii="Palatino Linotype" w:eastAsia="Palatino Linotype" w:hAnsi="Palatino Linotype" w:cs="Palatino Linotype"/>
          <w:color w:val="222222"/>
        </w:rPr>
        <w:t>, toda vez que el artículo 163 de la ley de la materia señala lo siguiente:</w:t>
      </w:r>
    </w:p>
    <w:p w:rsidR="0051129F" w:rsidRPr="00DA3B71" w:rsidRDefault="00D60CF2">
      <w:pPr>
        <w:pBdr>
          <w:top w:val="nil"/>
          <w:left w:val="nil"/>
          <w:bottom w:val="nil"/>
          <w:right w:val="nil"/>
          <w:between w:val="nil"/>
        </w:pBdr>
        <w:ind w:left="709" w:right="900"/>
        <w:jc w:val="both"/>
        <w:rPr>
          <w:rFonts w:ascii="Palatino Linotype" w:eastAsia="Palatino Linotype" w:hAnsi="Palatino Linotype" w:cs="Palatino Linotype"/>
          <w:i/>
          <w:iCs/>
          <w:color w:val="222222"/>
        </w:rPr>
      </w:pPr>
      <w:r w:rsidRPr="00DA3B71">
        <w:rPr>
          <w:rFonts w:ascii="Palatino Linotype" w:eastAsia="Palatino Linotype" w:hAnsi="Palatino Linotype" w:cs="Palatino Linotype"/>
          <w:b/>
          <w:bCs/>
          <w:i/>
          <w:iCs/>
          <w:color w:val="222222"/>
        </w:rPr>
        <w:t>Artículo 163. </w:t>
      </w:r>
      <w:r w:rsidRPr="00DA3B71">
        <w:rPr>
          <w:rFonts w:ascii="Palatino Linotype" w:eastAsia="Palatino Linotype" w:hAnsi="Palatino Linotype" w:cs="Palatino Linotype"/>
          <w:i/>
          <w:iCs/>
          <w:color w:val="222222"/>
        </w:rPr>
        <w:t>La Unidad de Transparencia deberá notificar la respuesta a la solicitud al interesado en el menor tiempo posible, que no podrá exceder de quince días hábiles, contados a partir del día siguiente a la presentación de aquélla.</w:t>
      </w:r>
    </w:p>
    <w:p w:rsidR="0051129F" w:rsidRPr="00DA3B71" w:rsidRDefault="0051129F">
      <w:pPr>
        <w:pBdr>
          <w:top w:val="nil"/>
          <w:left w:val="nil"/>
          <w:bottom w:val="nil"/>
          <w:right w:val="nil"/>
          <w:between w:val="nil"/>
        </w:pBdr>
        <w:ind w:left="709" w:right="900"/>
        <w:jc w:val="both"/>
        <w:rPr>
          <w:rFonts w:ascii="Palatino Linotype" w:eastAsia="Palatino Linotype" w:hAnsi="Palatino Linotype" w:cs="Palatino Linotype"/>
          <w:color w:val="222222"/>
        </w:rPr>
      </w:pPr>
    </w:p>
    <w:p w:rsidR="0051129F" w:rsidRPr="00DA3B71" w:rsidRDefault="00D60CF2">
      <w:pPr>
        <w:pBdr>
          <w:top w:val="nil"/>
          <w:left w:val="nil"/>
          <w:bottom w:val="nil"/>
          <w:right w:val="nil"/>
          <w:between w:val="nil"/>
        </w:pBdr>
        <w:ind w:left="709" w:right="900"/>
        <w:jc w:val="both"/>
        <w:rPr>
          <w:rFonts w:ascii="Palatino Linotype" w:eastAsia="Palatino Linotype" w:hAnsi="Palatino Linotype" w:cs="Palatino Linotype"/>
          <w:i/>
          <w:iCs/>
          <w:color w:val="222222"/>
        </w:rPr>
      </w:pPr>
      <w:r w:rsidRPr="00DA3B71">
        <w:rPr>
          <w:rFonts w:ascii="Palatino Linotype" w:eastAsia="Palatino Linotype" w:hAnsi="Palatino Linotype" w:cs="Palatino Linotype"/>
          <w:i/>
          <w:iCs/>
          <w:color w:val="2222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rsidR="0051129F" w:rsidRPr="00DA3B71" w:rsidRDefault="0051129F">
      <w:pPr>
        <w:pBdr>
          <w:top w:val="nil"/>
          <w:left w:val="nil"/>
          <w:bottom w:val="nil"/>
          <w:right w:val="nil"/>
          <w:between w:val="nil"/>
        </w:pBdr>
        <w:ind w:left="709" w:right="900"/>
        <w:jc w:val="both"/>
        <w:rPr>
          <w:rFonts w:ascii="Palatino Linotype" w:eastAsia="Palatino Linotype" w:hAnsi="Palatino Linotype" w:cs="Palatino Linotype"/>
          <w:i/>
          <w:iCs/>
          <w:color w:val="222222"/>
        </w:rPr>
      </w:pPr>
    </w:p>
    <w:p w:rsidR="0051129F" w:rsidRPr="00DA3B71" w:rsidRDefault="00D60CF2">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b/>
          <w:bCs/>
          <w:color w:val="222222"/>
        </w:rPr>
      </w:pPr>
      <w:r w:rsidRPr="00DA3B71">
        <w:rPr>
          <w:rFonts w:ascii="Palatino Linotype" w:eastAsia="Palatino Linotype" w:hAnsi="Palatino Linotype" w:cs="Palatino Linotype"/>
        </w:rPr>
        <w:t>Solo</w:t>
      </w:r>
      <w:r w:rsidRPr="00DA3B71">
        <w:rPr>
          <w:rFonts w:ascii="Palatino Linotype" w:eastAsia="Palatino Linotype" w:hAnsi="Palatino Linotype" w:cs="Palatino Linotype"/>
          <w:color w:val="222222"/>
        </w:rPr>
        <w:t xml:space="preserve"> en </w:t>
      </w:r>
      <w:r w:rsidRPr="00DA3B71">
        <w:rPr>
          <w:rFonts w:ascii="Palatino Linotype" w:eastAsia="Palatino Linotype" w:hAnsi="Palatino Linotype" w:cs="Palatino Linotype"/>
          <w:color w:val="000000"/>
        </w:rPr>
        <w:t>aquellos</w:t>
      </w:r>
      <w:r w:rsidRPr="00DA3B71">
        <w:rPr>
          <w:rFonts w:ascii="Palatino Linotype" w:eastAsia="Palatino Linotype" w:hAnsi="Palatino Linotype" w:cs="Palatino Linotype"/>
          <w:color w:val="222222"/>
        </w:rPr>
        <w:t xml:space="preserve"> </w:t>
      </w:r>
      <w:r w:rsidRPr="00DA3B71">
        <w:rPr>
          <w:rFonts w:ascii="Palatino Linotype" w:eastAsia="Palatino Linotype" w:hAnsi="Palatino Linotype" w:cs="Palatino Linotype"/>
          <w:b/>
          <w:bCs/>
          <w:color w:val="222222"/>
        </w:rPr>
        <w:t>casos excepcionales</w:t>
      </w:r>
      <w:r w:rsidRPr="00DA3B71">
        <w:rPr>
          <w:rFonts w:ascii="Palatino Linotype" w:eastAsia="Palatino Linotype" w:hAnsi="Palatino Linotype" w:cs="Palatino Linotype"/>
          <w:color w:val="222222"/>
        </w:rPr>
        <w:t xml:space="preserve"> el </w:t>
      </w:r>
      <w:r w:rsidRPr="00DA3B71">
        <w:rPr>
          <w:rFonts w:ascii="Palatino Linotype" w:eastAsia="Palatino Linotype" w:hAnsi="Palatino Linotype" w:cs="Palatino Linotype"/>
          <w:b/>
          <w:bCs/>
          <w:color w:val="222222"/>
        </w:rPr>
        <w:t xml:space="preserve">SUJETO OBLIGADO </w:t>
      </w:r>
      <w:r w:rsidRPr="00DA3B71">
        <w:rPr>
          <w:rFonts w:ascii="Palatino Linotype" w:eastAsia="Palatino Linotype" w:hAnsi="Palatino Linotype" w:cs="Palatino Linotype"/>
          <w:color w:val="222222"/>
        </w:rPr>
        <w:t xml:space="preserve">podrá solicitar se amplíe el término de quince días para proporcionar respuesta a cualquier solicitud de </w:t>
      </w:r>
      <w:r w:rsidRPr="00DA3B71">
        <w:rPr>
          <w:rFonts w:ascii="Palatino Linotype" w:eastAsia="Palatino Linotype" w:hAnsi="Palatino Linotype" w:cs="Palatino Linotype"/>
          <w:color w:val="000000"/>
        </w:rPr>
        <w:t>información</w:t>
      </w:r>
      <w:r w:rsidRPr="00DA3B71">
        <w:rPr>
          <w:rFonts w:ascii="Palatino Linotype" w:eastAsia="Palatino Linotype" w:hAnsi="Palatino Linotype" w:cs="Palatino Linotype"/>
          <w:color w:val="222222"/>
        </w:rPr>
        <w:t xml:space="preserve">, plazo que podrá ser prorrogado por otros </w:t>
      </w:r>
      <w:r w:rsidRPr="00DA3B71">
        <w:rPr>
          <w:rFonts w:ascii="Palatino Linotype" w:eastAsia="Palatino Linotype" w:hAnsi="Palatino Linotype" w:cs="Palatino Linotype"/>
          <w:b/>
          <w:bCs/>
          <w:color w:val="222222"/>
        </w:rPr>
        <w:t>siete días más</w:t>
      </w:r>
      <w:r w:rsidRPr="00DA3B71">
        <w:rPr>
          <w:rFonts w:ascii="Palatino Linotype" w:eastAsia="Palatino Linotype" w:hAnsi="Palatino Linotype" w:cs="Palatino Linotype"/>
          <w:color w:val="222222"/>
        </w:rPr>
        <w:t xml:space="preserve">, siempre y cuando medien razones que justifiquen la ampliación, las cuales deberán estar </w:t>
      </w:r>
      <w:r w:rsidRPr="00DA3B71">
        <w:rPr>
          <w:rFonts w:ascii="Palatino Linotype" w:eastAsia="Palatino Linotype" w:hAnsi="Palatino Linotype" w:cs="Palatino Linotype"/>
          <w:b/>
          <w:bCs/>
          <w:color w:val="222222"/>
          <w:u w:val="single"/>
        </w:rPr>
        <w:t>fundadas y motivadas</w:t>
      </w:r>
      <w:r w:rsidRPr="00DA3B71">
        <w:rPr>
          <w:rFonts w:ascii="Palatino Linotype" w:eastAsia="Palatino Linotype" w:hAnsi="Palatino Linotype" w:cs="Palatino Linotype"/>
          <w:color w:val="222222"/>
        </w:rPr>
        <w:t xml:space="preserve">,  mismas que </w:t>
      </w:r>
      <w:r w:rsidRPr="00DA3B71">
        <w:rPr>
          <w:rFonts w:ascii="Palatino Linotype" w:eastAsia="Palatino Linotype" w:hAnsi="Palatino Linotype" w:cs="Palatino Linotype"/>
          <w:b/>
          <w:bCs/>
          <w:color w:val="222222"/>
        </w:rPr>
        <w:t xml:space="preserve">deberán ser aprobadas por los integrantes de su Comité de Transparencia mediante la emisión de una resolución </w:t>
      </w:r>
      <w:r w:rsidRPr="00DA3B71">
        <w:rPr>
          <w:rFonts w:ascii="Palatino Linotype" w:eastAsia="Palatino Linotype" w:hAnsi="Palatino Linotype" w:cs="Palatino Linotype"/>
          <w:color w:val="222222"/>
        </w:rPr>
        <w:t>que deberá notificarse al solicitante. Situación que, en el caso concreto, ocurrió de manera incorrecta.</w:t>
      </w:r>
    </w:p>
    <w:p w:rsidR="0051129F" w:rsidRPr="00DA3B71" w:rsidRDefault="0051129F">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rsidR="0051129F" w:rsidRPr="00DA3B71" w:rsidRDefault="00D60CF2">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222222"/>
        </w:rPr>
      </w:pPr>
      <w:r w:rsidRPr="00DA3B71">
        <w:rPr>
          <w:rFonts w:ascii="Palatino Linotype" w:eastAsia="Palatino Linotype" w:hAnsi="Palatino Linotype" w:cs="Palatino Linotype"/>
          <w:color w:val="222222"/>
        </w:rPr>
        <w:t xml:space="preserve">Lo anterior implica una alta responsabilidad, toda vez que dicha prórroga deberá recaer en un documento, debidamente </w:t>
      </w:r>
      <w:r w:rsidRPr="00DA3B71">
        <w:rPr>
          <w:rFonts w:ascii="Palatino Linotype" w:eastAsia="Palatino Linotype" w:hAnsi="Palatino Linotype" w:cs="Palatino Linotype"/>
          <w:b/>
          <w:bCs/>
          <w:color w:val="222222"/>
        </w:rPr>
        <w:t>validado y firmado</w:t>
      </w:r>
      <w:r w:rsidRPr="00DA3B71">
        <w:rPr>
          <w:rFonts w:ascii="Palatino Linotype" w:eastAsia="Palatino Linotype" w:hAnsi="Palatino Linotype" w:cs="Palatino Linotype"/>
          <w:color w:val="222222"/>
        </w:rPr>
        <w:t xml:space="preserve"> por los integrantes del Comité, lo cual no aconteció en la prórroga notificada por el Sujeto Obligado, toda vez que no remitió el acuerdo </w:t>
      </w:r>
      <w:r w:rsidRPr="00DA3B71">
        <w:rPr>
          <w:rFonts w:ascii="Palatino Linotype" w:eastAsia="Palatino Linotype" w:hAnsi="Palatino Linotype" w:cs="Palatino Linotype"/>
          <w:color w:val="222222"/>
        </w:rPr>
        <w:lastRenderedPageBreak/>
        <w:t>del Comité de Transparencia en el que se aprobó la prórroga de referencia, violentando lo dispuesto en el artículo 163 de la Ley de Transparencia y Acceso a la Información Pública del Estado de México y Municipios</w:t>
      </w:r>
      <w:r w:rsidRPr="00DA3B71">
        <w:rPr>
          <w:rFonts w:ascii="Palatino Linotype" w:eastAsia="Palatino Linotype" w:hAnsi="Palatino Linotype" w:cs="Palatino Linotype"/>
          <w:i/>
          <w:iCs/>
          <w:color w:val="222222"/>
        </w:rPr>
        <w:t>.</w:t>
      </w:r>
    </w:p>
    <w:p w:rsidR="0051129F" w:rsidRPr="00DA3B71" w:rsidRDefault="0051129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222222"/>
        </w:rPr>
      </w:pPr>
    </w:p>
    <w:p w:rsidR="0051129F" w:rsidRPr="00DA3B71" w:rsidRDefault="00D60CF2">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color w:val="222222"/>
        </w:rPr>
        <w:t>Por l</w:t>
      </w:r>
      <w:r w:rsidRPr="00DA3B71">
        <w:rPr>
          <w:rFonts w:ascii="Palatino Linotype" w:eastAsia="Palatino Linotype" w:hAnsi="Palatino Linotype" w:cs="Palatino Linotype"/>
        </w:rPr>
        <w:t>o</w:t>
      </w:r>
      <w:r w:rsidRPr="00DA3B71">
        <w:rPr>
          <w:rFonts w:ascii="Palatino Linotype" w:eastAsia="Palatino Linotype" w:hAnsi="Palatino Linotype" w:cs="Palatino Linotype"/>
          <w:color w:val="222222"/>
        </w:rPr>
        <w:t xml:space="preserve"> </w:t>
      </w:r>
      <w:r w:rsidRPr="00DA3B71">
        <w:rPr>
          <w:rFonts w:ascii="Palatino Linotype" w:eastAsia="Palatino Linotype" w:hAnsi="Palatino Linotype" w:cs="Palatino Linotype"/>
        </w:rPr>
        <w:t>que</w:t>
      </w:r>
      <w:r w:rsidRPr="00DA3B71">
        <w:rPr>
          <w:rFonts w:ascii="Palatino Linotype" w:eastAsia="Palatino Linotype" w:hAnsi="Palatino Linotype" w:cs="Palatino Linotype"/>
          <w:color w:val="222222"/>
        </w:rPr>
        <w:t xml:space="preserve"> se exhorta al Sujeto Obligado en subsecuentes ocasiones acatar las formalidades establecidas en la norma.</w:t>
      </w:r>
    </w:p>
    <w:p w:rsidR="0051129F" w:rsidRPr="00DA3B71" w:rsidRDefault="0051129F">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rsidR="0051129F" w:rsidRPr="00DA3B71" w:rsidRDefault="00D60CF2">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rPr>
        <w:t xml:space="preserve">Ahora bien, en lo que respecta a los recursos de revisión </w:t>
      </w:r>
      <w:r w:rsidRPr="00DA3B71">
        <w:rPr>
          <w:rFonts w:ascii="Palatino Linotype" w:eastAsia="Palatino Linotype" w:hAnsi="Palatino Linotype" w:cs="Palatino Linotype"/>
          <w:b/>
          <w:bCs/>
          <w:color w:val="000000"/>
        </w:rPr>
        <w:t xml:space="preserve">01988/INFOEM/IP/RR/2026 y 01993/INFOEM/IP/RR/2026 </w:t>
      </w:r>
      <w:r w:rsidRPr="00DA3B71">
        <w:rPr>
          <w:rFonts w:ascii="Palatino Linotype" w:eastAsia="Palatino Linotype" w:hAnsi="Palatino Linotype" w:cs="Palatino Linotype"/>
        </w:rPr>
        <w:t xml:space="preserve">es de precisar, que la Ley de Transparencia y Acceso a la Información Pública del Estado de </w:t>
      </w:r>
      <w:r w:rsidRPr="00DA3B71">
        <w:rPr>
          <w:rFonts w:ascii="Palatino Linotype" w:eastAsia="Palatino Linotype" w:hAnsi="Palatino Linotype" w:cs="Palatino Linotype"/>
          <w:color w:val="000000"/>
        </w:rPr>
        <w:t>México</w:t>
      </w:r>
      <w:r w:rsidRPr="00DA3B71">
        <w:rPr>
          <w:rFonts w:ascii="Palatino Linotype" w:eastAsia="Palatino Linotype" w:hAnsi="Palatino Linotype" w:cs="Palatino Linotype"/>
        </w:rPr>
        <w:t xml:space="preserve"> y Municipios, en el artículo 178 describe la procedencia del recurso de revisión, asimismo señala que el plazo del </w:t>
      </w:r>
      <w:r w:rsidRPr="00DA3B71">
        <w:rPr>
          <w:rFonts w:ascii="Palatino Linotype" w:eastAsia="Palatino Linotype" w:hAnsi="Palatino Linotype" w:cs="Palatino Linotype"/>
          <w:b/>
          <w:bCs/>
        </w:rPr>
        <w:t>SUJETO OBLIGADO</w:t>
      </w:r>
      <w:r w:rsidRPr="00DA3B71">
        <w:rPr>
          <w:rFonts w:ascii="Palatino Linotype" w:eastAsia="Palatino Linotype" w:hAnsi="Palatino Linotype" w:cs="Palatino Linotype"/>
        </w:rPr>
        <w:t xml:space="preserve"> para entregar la respuesta a una solicitud de información pública, es de quince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  </w:t>
      </w:r>
    </w:p>
    <w:p w:rsidR="0051129F" w:rsidRPr="00DA3B71" w:rsidRDefault="0051129F">
      <w:pPr>
        <w:tabs>
          <w:tab w:val="left" w:pos="284"/>
        </w:tabs>
        <w:spacing w:line="360" w:lineRule="auto"/>
        <w:jc w:val="both"/>
        <w:rPr>
          <w:rFonts w:ascii="Palatino Linotype" w:eastAsia="Palatino Linotype" w:hAnsi="Palatino Linotype" w:cs="Palatino Linotype"/>
          <w:color w:val="000000"/>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rPr>
        <w:t xml:space="preserve">Por ende, se constituye la figura jurídica de la </w:t>
      </w:r>
      <w:r w:rsidRPr="00DA3B71">
        <w:rPr>
          <w:rFonts w:ascii="Palatino Linotype" w:eastAsia="Palatino Linotype" w:hAnsi="Palatino Linotype" w:cs="Palatino Linotype"/>
          <w:b/>
          <w:bCs/>
          <w:i/>
          <w:iCs/>
        </w:rPr>
        <w:t>negativa ficta</w:t>
      </w:r>
      <w:r w:rsidRPr="00DA3B71">
        <w:rPr>
          <w:rFonts w:ascii="Palatino Linotype" w:eastAsia="Palatino Linotype" w:hAnsi="Palatino Linotype" w:cs="Palatino Linotype"/>
        </w:rPr>
        <w:t xml:space="preserve">, cuya esencia es atribuir un efecto negativo al silencio de la autoridad administrativa frente a las instancias y solicitudes que hagan los particulares, lo cual encuentra sustento en lo que establece el artículo </w:t>
      </w:r>
      <w:r w:rsidRPr="00DA3B71">
        <w:rPr>
          <w:rFonts w:ascii="Palatino Linotype" w:eastAsia="Palatino Linotype" w:hAnsi="Palatino Linotype" w:cs="Palatino Linotype"/>
          <w:b/>
          <w:bCs/>
        </w:rPr>
        <w:t>178</w:t>
      </w:r>
      <w:r w:rsidRPr="00DA3B71">
        <w:rPr>
          <w:rFonts w:ascii="Palatino Linotype" w:eastAsia="Palatino Linotype" w:hAnsi="Palatino Linotype" w:cs="Palatino Linotype"/>
        </w:rPr>
        <w:t xml:space="preserve"> segundo párrafo de </w:t>
      </w:r>
      <w:r w:rsidRPr="00DA3B71">
        <w:rPr>
          <w:rFonts w:ascii="Palatino Linotype" w:eastAsia="Palatino Linotype" w:hAnsi="Palatino Linotype" w:cs="Palatino Linotype"/>
          <w:b/>
          <w:bCs/>
        </w:rPr>
        <w:t>Ley de Transparencia y Acceso a la Información Pública del Estado de México y Municipios</w:t>
      </w:r>
      <w:r w:rsidRPr="00DA3B71">
        <w:rPr>
          <w:rFonts w:ascii="Palatino Linotype" w:eastAsia="Palatino Linotype" w:hAnsi="Palatino Linotype" w:cs="Palatino Linotype"/>
          <w:color w:val="000000"/>
          <w:highlight w:val="white"/>
        </w:rPr>
        <w:t xml:space="preserve">, que dispone; ante la falta de respuesta del </w:t>
      </w:r>
      <w:r w:rsidRPr="00DA3B71">
        <w:rPr>
          <w:rFonts w:ascii="Palatino Linotype" w:eastAsia="Palatino Linotype" w:hAnsi="Palatino Linotype" w:cs="Palatino Linotype"/>
          <w:b/>
          <w:bCs/>
          <w:color w:val="000000"/>
          <w:highlight w:val="white"/>
        </w:rPr>
        <w:t>SUJETO OBLIGADO,</w:t>
      </w:r>
      <w:r w:rsidRPr="00DA3B71">
        <w:rPr>
          <w:rFonts w:ascii="Palatino Linotype" w:eastAsia="Palatino Linotype" w:hAnsi="Palatino Linotype" w:cs="Palatino Linotype"/>
          <w:color w:val="000000"/>
          <w:highlight w:val="white"/>
        </w:rPr>
        <w:t xml:space="preserve"> dentro de los plazos establecidos en esta Ley, a una solicitud de acceso a la información pública, el recurso </w:t>
      </w:r>
      <w:r w:rsidRPr="00DA3B71">
        <w:rPr>
          <w:rFonts w:ascii="Palatino Linotype" w:eastAsia="Palatino Linotype" w:hAnsi="Palatino Linotype" w:cs="Palatino Linotype"/>
          <w:b/>
          <w:bCs/>
          <w:color w:val="000000"/>
          <w:highlight w:val="white"/>
        </w:rPr>
        <w:t xml:space="preserve">podrá ser interpuesto en cualquier momento. </w:t>
      </w:r>
    </w:p>
    <w:p w:rsidR="0051129F" w:rsidRPr="00DA3B71" w:rsidRDefault="0051129F">
      <w:pPr>
        <w:tabs>
          <w:tab w:val="left" w:pos="284"/>
        </w:tabs>
        <w:rPr>
          <w:rFonts w:ascii="Palatino Linotype" w:eastAsia="Palatino Linotype" w:hAnsi="Palatino Linotype" w:cs="Palatino Linotype"/>
          <w:color w:val="000000"/>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rPr>
        <w:lastRenderedPageBreak/>
        <w:t xml:space="preserve">Por lo que, tratándose de la </w:t>
      </w:r>
      <w:r w:rsidRPr="00DA3B71">
        <w:rPr>
          <w:rFonts w:ascii="Palatino Linotype" w:eastAsia="Palatino Linotype" w:hAnsi="Palatino Linotype" w:cs="Palatino Linotype"/>
          <w:i/>
          <w:iCs/>
        </w:rPr>
        <w:t>negativa ficta</w:t>
      </w:r>
      <w:r w:rsidRPr="00DA3B71">
        <w:rPr>
          <w:rFonts w:ascii="Palatino Linotype" w:eastAsia="Palatino Linotype" w:hAnsi="Palatino Linotype" w:cs="Palatino Linotype"/>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orden administrativo número 001-15, emitido por el Pleno del Instituto de Transparencia y Acceso a la Información Pública del Estado de México y Municipios, en la Sexta Sesión Ordinaria, y publicada en el Periódico Oficial “Gaceta del Gobierno” el veintitrés de abril de dos mil quince, relativo a la interposición del recurso de revisión en cualquier tiempo cuando exista </w:t>
      </w:r>
      <w:r w:rsidRPr="00DA3B71">
        <w:rPr>
          <w:rFonts w:ascii="Palatino Linotype" w:eastAsia="Palatino Linotype" w:hAnsi="Palatino Linotype" w:cs="Palatino Linotype"/>
          <w:i/>
          <w:iCs/>
        </w:rPr>
        <w:t>negativa ficta</w:t>
      </w:r>
      <w:r w:rsidRPr="00DA3B71">
        <w:rPr>
          <w:rFonts w:ascii="Palatino Linotype" w:eastAsia="Palatino Linotype" w:hAnsi="Palatino Linotype" w:cs="Palatino Linotype"/>
        </w:rPr>
        <w:t>, que señala:</w:t>
      </w:r>
    </w:p>
    <w:p w:rsidR="0051129F" w:rsidRPr="00DA3B71" w:rsidRDefault="00D60CF2">
      <w:pPr>
        <w:tabs>
          <w:tab w:val="left" w:pos="284"/>
          <w:tab w:val="left" w:pos="7655"/>
        </w:tabs>
        <w:spacing w:after="360"/>
        <w:ind w:left="1134"/>
        <w:jc w:val="center"/>
        <w:rPr>
          <w:rFonts w:ascii="Palatino Linotype" w:eastAsia="Palatino Linotype" w:hAnsi="Palatino Linotype" w:cs="Palatino Linotype"/>
          <w:b/>
          <w:bCs/>
        </w:rPr>
      </w:pPr>
      <w:r w:rsidRPr="00DA3B71">
        <w:rPr>
          <w:rFonts w:ascii="Palatino Linotype" w:eastAsia="Palatino Linotype" w:hAnsi="Palatino Linotype" w:cs="Palatino Linotype"/>
          <w:b/>
          <w:bCs/>
        </w:rPr>
        <w:t>Criterio 0001-15</w:t>
      </w:r>
    </w:p>
    <w:p w:rsidR="0051129F" w:rsidRPr="00DA3B71" w:rsidRDefault="00D60CF2">
      <w:pPr>
        <w:tabs>
          <w:tab w:val="left" w:pos="284"/>
          <w:tab w:val="left" w:pos="7655"/>
        </w:tabs>
        <w:spacing w:after="360"/>
        <w:ind w:left="1134"/>
        <w:jc w:val="both"/>
        <w:rPr>
          <w:rFonts w:ascii="Palatino Linotype" w:eastAsia="Palatino Linotype" w:hAnsi="Palatino Linotype" w:cs="Palatino Linotype"/>
          <w:i/>
          <w:iCs/>
        </w:rPr>
      </w:pPr>
      <w:r w:rsidRPr="00DA3B71">
        <w:rPr>
          <w:rFonts w:ascii="Palatino Linotype" w:eastAsia="Palatino Linotype" w:hAnsi="Palatino Linotype" w:cs="Palatino Linotype"/>
          <w:b/>
          <w:bCs/>
          <w:i/>
          <w:iCs/>
        </w:rPr>
        <w:t>NEGATIVA FICTA. PLAZO PARA INTERPONER EL RECURSO DE REVISIÓN TRATÁNDOSE DE.</w:t>
      </w:r>
      <w:r w:rsidRPr="00DA3B71">
        <w:rPr>
          <w:rFonts w:ascii="Palatino Linotype" w:eastAsia="Palatino Linotype" w:hAnsi="Palatino Linotype" w:cs="Palatino Linotype"/>
          <w:i/>
          <w:iCs/>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rsidR="0051129F" w:rsidRPr="00DA3B71" w:rsidRDefault="00D60CF2">
      <w:pPr>
        <w:numPr>
          <w:ilvl w:val="0"/>
          <w:numId w:val="1"/>
        </w:numPr>
        <w:tabs>
          <w:tab w:val="left" w:pos="284"/>
        </w:tabs>
        <w:spacing w:before="240" w:line="360" w:lineRule="auto"/>
        <w:ind w:left="0" w:firstLine="0"/>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 xml:space="preserve">Lo anterior, se explica porque la </w:t>
      </w:r>
      <w:r w:rsidRPr="00DA3B71">
        <w:rPr>
          <w:rFonts w:ascii="Palatino Linotype" w:eastAsia="Palatino Linotype" w:hAnsi="Palatino Linotype" w:cs="Palatino Linotype"/>
          <w:b/>
          <w:bCs/>
          <w:color w:val="000000"/>
          <w:u w:val="single"/>
        </w:rPr>
        <w:t>posible ausencia</w:t>
      </w:r>
      <w:r w:rsidRPr="00DA3B71">
        <w:rPr>
          <w:rFonts w:ascii="Palatino Linotype" w:eastAsia="Palatino Linotype" w:hAnsi="Palatino Linotype" w:cs="Palatino Linotype"/>
          <w:color w:val="000000"/>
        </w:rPr>
        <w:t xml:space="preserve"> de una respuesta en la solicitud constituye un acto que vulnera el derecho de manera continua y actualizable cada día en tanto, no se emita la respuesta a la que esté impuesto el </w:t>
      </w:r>
      <w:r w:rsidRPr="00DA3B71">
        <w:rPr>
          <w:rFonts w:ascii="Palatino Linotype" w:eastAsia="Palatino Linotype" w:hAnsi="Palatino Linotype" w:cs="Palatino Linotype"/>
          <w:b/>
          <w:bCs/>
          <w:color w:val="000000"/>
        </w:rPr>
        <w:t>SUJETO OBLIGADO</w:t>
      </w:r>
      <w:r w:rsidRPr="00DA3B71">
        <w:rPr>
          <w:rFonts w:ascii="Palatino Linotype" w:eastAsia="Palatino Linotype" w:hAnsi="Palatino Linotype" w:cs="Palatino Linotype"/>
          <w:color w:val="000000"/>
        </w:rPr>
        <w:t>.</w:t>
      </w:r>
    </w:p>
    <w:p w:rsidR="0051129F" w:rsidRPr="00DA3B71" w:rsidRDefault="00D60CF2">
      <w:pPr>
        <w:numPr>
          <w:ilvl w:val="0"/>
          <w:numId w:val="1"/>
        </w:numPr>
        <w:tabs>
          <w:tab w:val="left" w:pos="284"/>
        </w:tabs>
        <w:spacing w:before="240" w:line="360" w:lineRule="auto"/>
        <w:ind w:left="0" w:firstLine="0"/>
        <w:jc w:val="both"/>
        <w:rPr>
          <w:rFonts w:ascii="Palatino Linotype" w:eastAsia="Palatino Linotype" w:hAnsi="Palatino Linotype" w:cs="Palatino Linotype"/>
          <w:i/>
          <w:iCs/>
        </w:rPr>
      </w:pPr>
      <w:r w:rsidRPr="00DA3B71">
        <w:rPr>
          <w:rFonts w:ascii="Palatino Linotype" w:eastAsia="Palatino Linotype" w:hAnsi="Palatino Linotype" w:cs="Palatino Linotype"/>
        </w:rPr>
        <w:lastRenderedPageBreak/>
        <w:t xml:space="preserve">El </w:t>
      </w:r>
      <w:r w:rsidRPr="00DA3B71">
        <w:rPr>
          <w:rFonts w:ascii="Palatino Linotype" w:eastAsia="Palatino Linotype" w:hAnsi="Palatino Linotype" w:cs="Palatino Linotype"/>
          <w:color w:val="000000"/>
        </w:rPr>
        <w:t>artículo</w:t>
      </w:r>
      <w:r w:rsidRPr="00DA3B71">
        <w:rPr>
          <w:rFonts w:ascii="Palatino Linotype" w:eastAsia="Palatino Linotype" w:hAnsi="Palatino Linotype" w:cs="Palatino Linotype"/>
        </w:rPr>
        <w:t xml:space="preserve"> 179, fracción VII, de la Ley de Transparencia y Acceso a la Información Pública del Estado de México y Municipios, establece como supuesto de procedencia del recurso de revisión, la falta de respuesta a una solicitud de información por el </w:t>
      </w:r>
      <w:r w:rsidRPr="00DA3B71">
        <w:rPr>
          <w:rFonts w:ascii="Palatino Linotype" w:eastAsia="Palatino Linotype" w:hAnsi="Palatino Linotype" w:cs="Palatino Linotype"/>
          <w:b/>
          <w:bCs/>
        </w:rPr>
        <w:t>Sujeto Obligado</w:t>
      </w:r>
      <w:r w:rsidRPr="00DA3B71">
        <w:rPr>
          <w:rFonts w:ascii="Palatino Linotype" w:eastAsia="Palatino Linotype" w:hAnsi="Palatino Linotype" w:cs="Palatino Linotype"/>
        </w:rPr>
        <w:t xml:space="preserve">, hipótesis jurídica que se actualiza en este caso, aunado a que la parte </w:t>
      </w:r>
      <w:r w:rsidRPr="00DA3B71">
        <w:rPr>
          <w:rFonts w:ascii="Palatino Linotype" w:eastAsia="Palatino Linotype" w:hAnsi="Palatino Linotype" w:cs="Palatino Linotype"/>
          <w:b/>
          <w:bCs/>
        </w:rPr>
        <w:t>Recurrente</w:t>
      </w:r>
      <w:r w:rsidRPr="00DA3B71">
        <w:rPr>
          <w:rFonts w:ascii="Palatino Linotype" w:eastAsia="Palatino Linotype" w:hAnsi="Palatino Linotype" w:cs="Palatino Linotype"/>
        </w:rPr>
        <w:t xml:space="preserve"> combate la falta de respuesta por el </w:t>
      </w:r>
      <w:r w:rsidRPr="00DA3B71">
        <w:rPr>
          <w:rFonts w:ascii="Palatino Linotype" w:eastAsia="Palatino Linotype" w:hAnsi="Palatino Linotype" w:cs="Palatino Linotype"/>
          <w:b/>
          <w:bCs/>
        </w:rPr>
        <w:t>Sujeto Obligado</w:t>
      </w:r>
      <w:r w:rsidRPr="00DA3B71">
        <w:rPr>
          <w:rFonts w:ascii="Palatino Linotype" w:eastAsia="Palatino Linotype" w:hAnsi="Palatino Linotype" w:cs="Palatino Linotype"/>
        </w:rPr>
        <w:t>.</w:t>
      </w:r>
    </w:p>
    <w:p w:rsidR="0051129F" w:rsidRPr="00DA3B71" w:rsidRDefault="00D60CF2">
      <w:pPr>
        <w:numPr>
          <w:ilvl w:val="0"/>
          <w:numId w:val="1"/>
        </w:numPr>
        <w:tabs>
          <w:tab w:val="left" w:pos="284"/>
        </w:tabs>
        <w:spacing w:before="240"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 xml:space="preserve">Asimismo, no se actualiza ninguna causa de improcedencia de las referidas en el artículo 191, de la Ley de Transparencia y Acceso a la Información Pública del Estado </w:t>
      </w:r>
      <w:r w:rsidRPr="00DA3B71">
        <w:rPr>
          <w:rFonts w:ascii="Palatino Linotype" w:eastAsia="Palatino Linotype" w:hAnsi="Palatino Linotype" w:cs="Palatino Linotype"/>
          <w:color w:val="000000"/>
        </w:rPr>
        <w:t>de</w:t>
      </w:r>
      <w:r w:rsidRPr="00DA3B71">
        <w:rPr>
          <w:rFonts w:ascii="Palatino Linotype" w:eastAsia="Palatino Linotype" w:hAnsi="Palatino Linotype" w:cs="Palatino Linotype"/>
        </w:rPr>
        <w:t xml:space="preserv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51129F" w:rsidRPr="00DA3B71" w:rsidRDefault="0051129F">
      <w:pPr>
        <w:spacing w:line="360" w:lineRule="auto"/>
        <w:jc w:val="both"/>
        <w:rPr>
          <w:rFonts w:ascii="Palatino Linotype" w:eastAsia="Palatino Linotype" w:hAnsi="Palatino Linotype" w:cs="Palatino Linotype"/>
        </w:rPr>
      </w:pPr>
    </w:p>
    <w:p w:rsidR="0051129F" w:rsidRPr="00DA3B71" w:rsidRDefault="00D60CF2">
      <w:pPr>
        <w:pStyle w:val="Ttulo2"/>
        <w:rPr>
          <w:rFonts w:ascii="Palatino Linotype" w:eastAsia="Palatino Linotype" w:hAnsi="Palatino Linotype" w:cs="Palatino Linotype"/>
          <w:b/>
          <w:bCs/>
          <w:i/>
          <w:iCs/>
          <w:color w:val="000000"/>
          <w:sz w:val="24"/>
          <w:szCs w:val="24"/>
        </w:rPr>
      </w:pPr>
      <w:r w:rsidRPr="00DA3B71">
        <w:rPr>
          <w:rFonts w:ascii="Palatino Linotype" w:eastAsia="Palatino Linotype" w:hAnsi="Palatino Linotype" w:cs="Palatino Linotype"/>
          <w:b/>
          <w:bCs/>
          <w:color w:val="000000"/>
          <w:sz w:val="24"/>
          <w:szCs w:val="24"/>
        </w:rPr>
        <w:t xml:space="preserve">TERCERO. Del planteamiento de la </w:t>
      </w:r>
      <w:r w:rsidRPr="00DA3B71">
        <w:rPr>
          <w:rFonts w:ascii="Palatino Linotype" w:eastAsia="Palatino Linotype" w:hAnsi="Palatino Linotype" w:cs="Palatino Linotype"/>
          <w:b/>
          <w:bCs/>
          <w:i/>
          <w:iCs/>
          <w:color w:val="000000"/>
          <w:sz w:val="24"/>
          <w:szCs w:val="24"/>
        </w:rPr>
        <w:t>Litis.</w:t>
      </w:r>
    </w:p>
    <w:p w:rsidR="0051129F" w:rsidRPr="00DA3B71" w:rsidRDefault="00D60CF2">
      <w:pPr>
        <w:numPr>
          <w:ilvl w:val="0"/>
          <w:numId w:val="1"/>
        </w:numPr>
        <w:tabs>
          <w:tab w:val="left" w:pos="284"/>
        </w:tabs>
        <w:spacing w:before="240" w:line="360" w:lineRule="auto"/>
        <w:ind w:left="0" w:firstLine="0"/>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Se solicitó tener acceso, a la información que a continuación se simplifica:</w:t>
      </w:r>
    </w:p>
    <w:p w:rsidR="0051129F" w:rsidRPr="00DA3B71" w:rsidRDefault="00D60CF2">
      <w:pPr>
        <w:numPr>
          <w:ilvl w:val="0"/>
          <w:numId w:val="2"/>
        </w:numPr>
        <w:pBdr>
          <w:top w:val="nil"/>
          <w:left w:val="nil"/>
          <w:bottom w:val="nil"/>
          <w:right w:val="nil"/>
          <w:between w:val="nil"/>
        </w:pBdr>
        <w:jc w:val="both"/>
        <w:rPr>
          <w:rFonts w:ascii="Palatino Linotype" w:eastAsia="Palatino Linotype" w:hAnsi="Palatino Linotype" w:cs="Palatino Linotype"/>
          <w:b/>
          <w:bCs/>
          <w:color w:val="000000"/>
        </w:rPr>
      </w:pPr>
      <w:r w:rsidRPr="00DA3B71">
        <w:rPr>
          <w:rFonts w:ascii="Palatino Linotype" w:eastAsia="Palatino Linotype" w:hAnsi="Palatino Linotype" w:cs="Palatino Linotype"/>
          <w:i/>
          <w:iCs/>
          <w:color w:val="000000"/>
        </w:rPr>
        <w:t>Copia digital de la documentación comprobatoria del ejercicio del gasto de los recursos municipales transferidos al Instituto Municipal de Cultura Física y Deporte de Tepotzotlán, incluyendo pólizas, facturas, contratos y comprobantes de pago, durante los ejercicios fiscales 2023 a 2025.</w:t>
      </w:r>
    </w:p>
    <w:p w:rsidR="0051129F" w:rsidRPr="00DA3B71" w:rsidRDefault="00D60CF2">
      <w:pPr>
        <w:numPr>
          <w:ilvl w:val="0"/>
          <w:numId w:val="2"/>
        </w:numPr>
        <w:pBdr>
          <w:top w:val="nil"/>
          <w:left w:val="nil"/>
          <w:bottom w:val="nil"/>
          <w:right w:val="nil"/>
          <w:between w:val="nil"/>
        </w:pBdr>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i/>
          <w:iCs/>
          <w:color w:val="000000"/>
        </w:rPr>
        <w:t>Informar si el Cabildo del Ayuntamiento de Tepotzotlán ha conocido, discutido o aprobado informes, observaciones, auditorías o recomendaciones relacionadas con el Instituto Municipal de Cultura Física y Deporte; en caso afirmativo, proporcionar copia digital de las actas correspondientes.</w:t>
      </w:r>
    </w:p>
    <w:p w:rsidR="0051129F" w:rsidRPr="00DA3B71" w:rsidRDefault="00D60CF2">
      <w:pPr>
        <w:numPr>
          <w:ilvl w:val="0"/>
          <w:numId w:val="2"/>
        </w:numPr>
        <w:pBdr>
          <w:top w:val="nil"/>
          <w:left w:val="nil"/>
          <w:bottom w:val="nil"/>
          <w:right w:val="nil"/>
          <w:between w:val="nil"/>
        </w:pBdr>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i/>
          <w:iCs/>
          <w:color w:val="000000"/>
        </w:rPr>
        <w:t>Actas de Cabildo del Ayuntamiento de Tepotzotlán en las que se haya aprobado presupuesto, subsidios, transferencias, nombramientos o informes relacionados con el Instituto Municipal de Cultura Física y Deporte de Tepotzotlán durante los años 2024 y 2025.</w:t>
      </w:r>
    </w:p>
    <w:p w:rsidR="0051129F" w:rsidRPr="00DA3B71" w:rsidRDefault="0051129F">
      <w:pPr>
        <w:pBdr>
          <w:top w:val="nil"/>
          <w:left w:val="nil"/>
          <w:bottom w:val="nil"/>
          <w:right w:val="nil"/>
          <w:between w:val="nil"/>
        </w:pBdr>
        <w:ind w:left="720"/>
        <w:jc w:val="both"/>
        <w:rPr>
          <w:rFonts w:ascii="Palatino Linotype" w:eastAsia="Palatino Linotype" w:hAnsi="Palatino Linotype" w:cs="Palatino Linotype"/>
          <w:color w:val="000000"/>
        </w:rPr>
      </w:pPr>
    </w:p>
    <w:p w:rsidR="0051129F" w:rsidRPr="00DA3B71" w:rsidRDefault="0051129F">
      <w:pPr>
        <w:tabs>
          <w:tab w:val="left" w:pos="284"/>
        </w:tabs>
        <w:spacing w:line="360" w:lineRule="auto"/>
        <w:jc w:val="both"/>
        <w:rPr>
          <w:rFonts w:ascii="Palatino Linotype" w:eastAsia="Palatino Linotype" w:hAnsi="Palatino Linotype" w:cs="Palatino Linotype"/>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rPr>
        <w:t xml:space="preserve">En respuesta a la solicitud de información </w:t>
      </w:r>
      <w:r w:rsidRPr="00DA3B71">
        <w:rPr>
          <w:rFonts w:ascii="Palatino Linotype" w:eastAsia="Palatino Linotype" w:hAnsi="Palatino Linotype" w:cs="Palatino Linotype"/>
          <w:b/>
          <w:bCs/>
        </w:rPr>
        <w:t>00020/TEPOTZOT/IP/2026</w:t>
      </w:r>
      <w:r w:rsidRPr="00DA3B71">
        <w:rPr>
          <w:rFonts w:ascii="Palatino Linotype" w:eastAsia="Palatino Linotype" w:hAnsi="Palatino Linotype" w:cs="Palatino Linotype"/>
        </w:rPr>
        <w:t xml:space="preserve">, el </w:t>
      </w:r>
      <w:r w:rsidRPr="00DA3B71">
        <w:rPr>
          <w:rFonts w:ascii="Palatino Linotype" w:eastAsia="Palatino Linotype" w:hAnsi="Palatino Linotype" w:cs="Palatino Linotype"/>
          <w:b/>
          <w:bCs/>
        </w:rPr>
        <w:t xml:space="preserve">Sujeto </w:t>
      </w:r>
      <w:r w:rsidRPr="00DA3B71">
        <w:rPr>
          <w:rFonts w:ascii="Palatino Linotype" w:eastAsia="Palatino Linotype" w:hAnsi="Palatino Linotype" w:cs="Palatino Linotype"/>
          <w:b/>
          <w:bCs/>
          <w:color w:val="222222"/>
        </w:rPr>
        <w:t>Obligado</w:t>
      </w:r>
      <w:r w:rsidRPr="00DA3B71">
        <w:rPr>
          <w:rFonts w:ascii="Palatino Linotype" w:eastAsia="Palatino Linotype" w:hAnsi="Palatino Linotype" w:cs="Palatino Linotype"/>
          <w:b/>
          <w:bCs/>
        </w:rPr>
        <w:t xml:space="preserve"> </w:t>
      </w:r>
      <w:r w:rsidRPr="00DA3B71">
        <w:rPr>
          <w:rFonts w:ascii="Palatino Linotype" w:eastAsia="Palatino Linotype" w:hAnsi="Palatino Linotype" w:cs="Palatino Linotype"/>
        </w:rPr>
        <w:t xml:space="preserve">remitió los archivos ya descritos en el anterior párrafo 2, inconforme con la </w:t>
      </w:r>
      <w:r w:rsidRPr="00DA3B71">
        <w:rPr>
          <w:rFonts w:ascii="Palatino Linotype" w:eastAsia="Palatino Linotype" w:hAnsi="Palatino Linotype" w:cs="Palatino Linotype"/>
        </w:rPr>
        <w:lastRenderedPageBreak/>
        <w:t>respuesta, se interpuso recurso de revisión argumentando sustancialmente la incompetencia y la negativa a la información solicitada.</w:t>
      </w:r>
    </w:p>
    <w:p w:rsidR="0051129F" w:rsidRPr="00DA3B71" w:rsidRDefault="0051129F">
      <w:pPr>
        <w:tabs>
          <w:tab w:val="left" w:pos="284"/>
        </w:tabs>
        <w:spacing w:line="360" w:lineRule="auto"/>
        <w:jc w:val="both"/>
        <w:rPr>
          <w:rFonts w:ascii="Palatino Linotype" w:eastAsia="Palatino Linotype" w:hAnsi="Palatino Linotype" w:cs="Palatino Linotype"/>
          <w:color w:val="000000"/>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 xml:space="preserve">En lo que respecta a las solicitudes de información </w:t>
      </w:r>
      <w:r w:rsidRPr="00DA3B71">
        <w:rPr>
          <w:rFonts w:ascii="Palatino Linotype" w:eastAsia="Palatino Linotype" w:hAnsi="Palatino Linotype" w:cs="Palatino Linotype"/>
          <w:b/>
          <w:bCs/>
        </w:rPr>
        <w:t xml:space="preserve">00025/TEPOTZOT/IP/2026 00008/TEPOTZOT/IP/2026, </w:t>
      </w:r>
      <w:r w:rsidRPr="00DA3B71">
        <w:rPr>
          <w:rFonts w:ascii="Palatino Linotype" w:eastAsia="Palatino Linotype" w:hAnsi="Palatino Linotype" w:cs="Palatino Linotype"/>
        </w:rPr>
        <w:t xml:space="preserve">y toda vez </w:t>
      </w:r>
      <w:r w:rsidRPr="00DA3B71">
        <w:rPr>
          <w:rFonts w:ascii="Palatino Linotype" w:eastAsia="Palatino Linotype" w:hAnsi="Palatino Linotype" w:cs="Palatino Linotype"/>
          <w:color w:val="000000"/>
        </w:rPr>
        <w:t>que</w:t>
      </w:r>
      <w:r w:rsidRPr="00DA3B71">
        <w:rPr>
          <w:rFonts w:ascii="Palatino Linotype" w:eastAsia="Palatino Linotype" w:hAnsi="Palatino Linotype" w:cs="Palatino Linotype"/>
        </w:rPr>
        <w:t xml:space="preserve"> el </w:t>
      </w:r>
      <w:r w:rsidRPr="00DA3B71">
        <w:rPr>
          <w:rFonts w:ascii="Palatino Linotype" w:eastAsia="Palatino Linotype" w:hAnsi="Palatino Linotype" w:cs="Palatino Linotype"/>
          <w:b/>
          <w:bCs/>
        </w:rPr>
        <w:t>SUJETO OBLIGADO</w:t>
      </w:r>
      <w:r w:rsidRPr="00DA3B71">
        <w:rPr>
          <w:rFonts w:ascii="Palatino Linotype" w:eastAsia="Palatino Linotype" w:hAnsi="Palatino Linotype" w:cs="Palatino Linotype"/>
        </w:rPr>
        <w:t xml:space="preserve"> no emitió respuesta, el particular se dolió por la falta de la misma.</w:t>
      </w:r>
    </w:p>
    <w:p w:rsidR="0051129F" w:rsidRPr="00DA3B71" w:rsidRDefault="0051129F">
      <w:pPr>
        <w:tabs>
          <w:tab w:val="left" w:pos="284"/>
        </w:tabs>
        <w:spacing w:line="360" w:lineRule="auto"/>
        <w:jc w:val="both"/>
        <w:rPr>
          <w:rFonts w:ascii="Palatino Linotype" w:eastAsia="Palatino Linotype" w:hAnsi="Palatino Linotype" w:cs="Palatino Linotype"/>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 xml:space="preserve">En dichas condiciones, la controversia a resolver en el presente proveído, corresponde a determinar si se actualizan las causales de procedencia previstas en el artículo </w:t>
      </w:r>
      <w:r w:rsidRPr="00DA3B71">
        <w:rPr>
          <w:rFonts w:ascii="Palatino Linotype" w:eastAsia="Palatino Linotype" w:hAnsi="Palatino Linotype" w:cs="Palatino Linotype"/>
          <w:b/>
          <w:bCs/>
        </w:rPr>
        <w:t>179, fracciones I, IV y VII, de la Ley de Transparencia y Acceso a la Información Pública del Estado de México y Municipios</w:t>
      </w:r>
      <w:r w:rsidRPr="00DA3B71">
        <w:rPr>
          <w:rFonts w:ascii="Palatino Linotype" w:eastAsia="Palatino Linotype" w:hAnsi="Palatino Linotype" w:cs="Palatino Linotype"/>
        </w:rPr>
        <w:t xml:space="preserve">; </w:t>
      </w:r>
      <w:r w:rsidRPr="00DA3B71">
        <w:rPr>
          <w:rFonts w:ascii="Palatino Linotype" w:eastAsia="Palatino Linotype" w:hAnsi="Palatino Linotype" w:cs="Palatino Linotype"/>
          <w:color w:val="000000"/>
        </w:rPr>
        <w:t xml:space="preserve">fracciones que determinan las hipótesis relativas a </w:t>
      </w:r>
      <w:r w:rsidRPr="00DA3B71">
        <w:rPr>
          <w:rFonts w:ascii="Palatino Linotype" w:eastAsia="Palatino Linotype" w:hAnsi="Palatino Linotype" w:cs="Palatino Linotype"/>
          <w:b/>
          <w:bCs/>
          <w:color w:val="000000"/>
        </w:rPr>
        <w:t>la</w:t>
      </w:r>
      <w:r w:rsidRPr="00DA3B71">
        <w:rPr>
          <w:rFonts w:ascii="Palatino Linotype" w:eastAsia="Palatino Linotype" w:hAnsi="Palatino Linotype" w:cs="Palatino Linotype"/>
          <w:color w:val="000000"/>
        </w:rPr>
        <w:t xml:space="preserve"> </w:t>
      </w:r>
      <w:r w:rsidRPr="00DA3B71">
        <w:rPr>
          <w:rFonts w:ascii="Palatino Linotype" w:eastAsia="Palatino Linotype" w:hAnsi="Palatino Linotype" w:cs="Palatino Linotype"/>
          <w:b/>
          <w:bCs/>
          <w:color w:val="000000"/>
        </w:rPr>
        <w:t>negativa a la información solicitada, la declaración de incompetencia por el Sujeto Obligado y la</w:t>
      </w:r>
      <w:r w:rsidRPr="00DA3B71">
        <w:rPr>
          <w:rFonts w:ascii="Palatino Linotype" w:eastAsia="Palatino Linotype" w:hAnsi="Palatino Linotype" w:cs="Palatino Linotype"/>
          <w:color w:val="000000"/>
        </w:rPr>
        <w:t xml:space="preserve"> </w:t>
      </w:r>
      <w:r w:rsidRPr="00DA3B71">
        <w:rPr>
          <w:rFonts w:ascii="Palatino Linotype" w:eastAsia="Palatino Linotype" w:hAnsi="Palatino Linotype" w:cs="Palatino Linotype"/>
          <w:b/>
          <w:bCs/>
          <w:color w:val="000000"/>
        </w:rPr>
        <w:t>falta de respuesta a una solicitud de acceso a la información</w:t>
      </w:r>
      <w:r w:rsidRPr="00DA3B71">
        <w:rPr>
          <w:rFonts w:ascii="Palatino Linotype" w:eastAsia="Palatino Linotype" w:hAnsi="Palatino Linotype" w:cs="Palatino Linotype"/>
          <w:color w:val="000000"/>
        </w:rPr>
        <w:t xml:space="preserve">; </w:t>
      </w:r>
      <w:r w:rsidRPr="00DA3B71">
        <w:rPr>
          <w:rFonts w:ascii="Palatino Linotype" w:eastAsia="Palatino Linotype" w:hAnsi="Palatino Linotype" w:cs="Palatino Linotype"/>
        </w:rPr>
        <w:t>contexto del cual se dolió el Recurrente al momento de interponer su inconformidad.</w:t>
      </w:r>
      <w:r w:rsidRPr="00DA3B71">
        <w:rPr>
          <w:rFonts w:ascii="Palatino Linotype" w:eastAsia="Palatino Linotype" w:hAnsi="Palatino Linotype" w:cs="Palatino Linotype"/>
          <w:color w:val="000000"/>
        </w:rPr>
        <w:t xml:space="preserve"> De modo tal que el presente recurso de revisión se </w:t>
      </w:r>
      <w:r w:rsidRPr="00DA3B71">
        <w:rPr>
          <w:rFonts w:ascii="Palatino Linotype" w:eastAsia="Palatino Linotype" w:hAnsi="Palatino Linotype" w:cs="Palatino Linotype"/>
        </w:rPr>
        <w:t>abocará</w:t>
      </w:r>
      <w:r w:rsidRPr="00DA3B71">
        <w:rPr>
          <w:rFonts w:ascii="Palatino Linotype" w:eastAsia="Palatino Linotype" w:hAnsi="Palatino Linotype" w:cs="Palatino Linotype"/>
          <w:color w:val="000000"/>
        </w:rPr>
        <w:t xml:space="preserve"> en determinar si el Sujeto Obligado con su respuesta ciertamente actualiza la causal de procedencia</w:t>
      </w:r>
      <w:r w:rsidRPr="00DA3B71">
        <w:rPr>
          <w:rFonts w:ascii="Palatino Linotype" w:eastAsia="Palatino Linotype" w:hAnsi="Palatino Linotype" w:cs="Palatino Linotype"/>
          <w:b/>
          <w:bCs/>
          <w:color w:val="000000"/>
        </w:rPr>
        <w:t xml:space="preserve"> </w:t>
      </w:r>
      <w:r w:rsidRPr="00DA3B71">
        <w:rPr>
          <w:rFonts w:ascii="Palatino Linotype" w:eastAsia="Palatino Linotype" w:hAnsi="Palatino Linotype" w:cs="Palatino Linotype"/>
          <w:color w:val="000000"/>
        </w:rPr>
        <w:t xml:space="preserve">señalada. </w:t>
      </w:r>
    </w:p>
    <w:p w:rsidR="0051129F" w:rsidRPr="00DA3B71" w:rsidRDefault="0051129F">
      <w:pPr>
        <w:spacing w:line="360" w:lineRule="auto"/>
        <w:rPr>
          <w:rFonts w:ascii="Palatino Linotype" w:eastAsia="Palatino Linotype" w:hAnsi="Palatino Linotype" w:cs="Palatino Linotype"/>
        </w:rPr>
      </w:pPr>
    </w:p>
    <w:p w:rsidR="0051129F" w:rsidRPr="00DA3B71" w:rsidRDefault="00D60CF2">
      <w:pPr>
        <w:pStyle w:val="Ttulo2"/>
        <w:spacing w:before="0" w:line="360" w:lineRule="auto"/>
        <w:rPr>
          <w:rFonts w:ascii="Palatino Linotype" w:eastAsia="Palatino Linotype" w:hAnsi="Palatino Linotype" w:cs="Palatino Linotype"/>
          <w:b/>
          <w:bCs/>
          <w:color w:val="000000"/>
          <w:sz w:val="24"/>
          <w:szCs w:val="24"/>
        </w:rPr>
      </w:pPr>
      <w:bookmarkStart w:id="4" w:name="_heading=h.1t3h5sf" w:colFirst="0" w:colLast="0"/>
      <w:bookmarkEnd w:id="4"/>
      <w:r w:rsidRPr="00DA3B71">
        <w:rPr>
          <w:rFonts w:ascii="Palatino Linotype" w:eastAsia="Palatino Linotype" w:hAnsi="Palatino Linotype" w:cs="Palatino Linotype"/>
          <w:b/>
          <w:bCs/>
          <w:color w:val="000000"/>
          <w:sz w:val="24"/>
          <w:szCs w:val="24"/>
        </w:rPr>
        <w:t>CUARTO. Del estudio y resolución del asunto.</w:t>
      </w: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w:t>
      </w:r>
      <w:r w:rsidRPr="00DA3B71">
        <w:rPr>
          <w:rFonts w:ascii="Palatino Linotype" w:eastAsia="Palatino Linotype" w:hAnsi="Palatino Linotype" w:cs="Palatino Linotype"/>
        </w:rPr>
        <w:lastRenderedPageBreak/>
        <w:t>documentar todo acto que derive del ejercicio de sus facultades, competencias o funciones desde su origen la eventual publicidad y reutilización de la información que generen.</w:t>
      </w:r>
    </w:p>
    <w:p w:rsidR="0051129F" w:rsidRPr="00DA3B71" w:rsidRDefault="0051129F">
      <w:pPr>
        <w:spacing w:line="360" w:lineRule="auto"/>
        <w:jc w:val="both"/>
        <w:rPr>
          <w:rFonts w:ascii="Palatino Linotype" w:eastAsia="Palatino Linotype" w:hAnsi="Palatino Linotype" w:cs="Palatino Linotype"/>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51129F" w:rsidRPr="00DA3B71" w:rsidRDefault="0051129F">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51129F" w:rsidRPr="00DA3B71" w:rsidRDefault="0051129F">
      <w:pPr>
        <w:spacing w:line="360" w:lineRule="auto"/>
        <w:jc w:val="both"/>
        <w:rPr>
          <w:rFonts w:ascii="Palatino Linotype" w:eastAsia="Palatino Linotype" w:hAnsi="Palatino Linotype" w:cs="Palatino Linotype"/>
        </w:rPr>
      </w:pPr>
    </w:p>
    <w:p w:rsidR="0051129F" w:rsidRPr="00DA3B71" w:rsidRDefault="00D60CF2">
      <w:pPr>
        <w:numPr>
          <w:ilvl w:val="0"/>
          <w:numId w:val="7"/>
        </w:numPr>
        <w:pBdr>
          <w:top w:val="nil"/>
          <w:left w:val="nil"/>
          <w:bottom w:val="nil"/>
          <w:right w:val="nil"/>
          <w:between w:val="nil"/>
        </w:pBdr>
        <w:spacing w:line="360" w:lineRule="auto"/>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t>Del Sujeto Obligado.</w:t>
      </w: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 xml:space="preserve">La Ley Orgánica Municipal del Estado de México establece que la </w:t>
      </w:r>
      <w:r w:rsidRPr="00DA3B71">
        <w:rPr>
          <w:rFonts w:ascii="Palatino Linotype" w:eastAsia="Palatino Linotype" w:hAnsi="Palatino Linotype" w:cs="Palatino Linotype"/>
          <w:b/>
          <w:bCs/>
        </w:rPr>
        <w:t>Secretaría del Ayuntamiento</w:t>
      </w:r>
      <w:r w:rsidRPr="00DA3B71">
        <w:rPr>
          <w:rFonts w:ascii="Palatino Linotype" w:eastAsia="Palatino Linotype" w:hAnsi="Palatino Linotype" w:cs="Palatino Linotype"/>
        </w:rPr>
        <w:t xml:space="preserve"> estará a cargo de un Secretario, cuyas funciones se encuentran establecidas en el artículo 91, y dentro de las cuales se encuentran:</w:t>
      </w:r>
    </w:p>
    <w:p w:rsidR="0051129F" w:rsidRPr="00DA3B71" w:rsidRDefault="00D60CF2">
      <w:pPr>
        <w:tabs>
          <w:tab w:val="left" w:pos="284"/>
        </w:tabs>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lastRenderedPageBreak/>
        <w:t xml:space="preserve">Artículo 91.- La Secretaría del Ayuntamiento estará a cargo de un Secretario, el que, sin ser miembro del mismo, deberá ser nombrado por el propio Ayuntamiento a propuesta del Presidente Municipal como lo marca el artículo 31 de la presente ley. Sus faltas temporales serán cubiertas por quien designe el Ayuntamiento y sus atribuciones son las siguientes: </w:t>
      </w:r>
    </w:p>
    <w:p w:rsidR="0051129F" w:rsidRPr="00DA3B71" w:rsidRDefault="0051129F">
      <w:pPr>
        <w:tabs>
          <w:tab w:val="left" w:pos="284"/>
        </w:tabs>
        <w:ind w:left="567"/>
        <w:jc w:val="both"/>
        <w:rPr>
          <w:rFonts w:ascii="Palatino Linotype" w:eastAsia="Palatino Linotype" w:hAnsi="Palatino Linotype" w:cs="Palatino Linotype"/>
          <w:i/>
          <w:iCs/>
        </w:rPr>
      </w:pPr>
    </w:p>
    <w:p w:rsidR="0051129F" w:rsidRPr="00DA3B71" w:rsidRDefault="00D60CF2">
      <w:pPr>
        <w:tabs>
          <w:tab w:val="left" w:pos="284"/>
        </w:tabs>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 xml:space="preserve">I. Asistir a las sesiones del ayuntamiento y </w:t>
      </w:r>
      <w:r w:rsidRPr="00DA3B71">
        <w:rPr>
          <w:rFonts w:ascii="Palatino Linotype" w:eastAsia="Palatino Linotype" w:hAnsi="Palatino Linotype" w:cs="Palatino Linotype"/>
          <w:b/>
          <w:bCs/>
          <w:i/>
          <w:iCs/>
        </w:rPr>
        <w:t>levantar las actas correspondientes</w:t>
      </w:r>
      <w:r w:rsidRPr="00DA3B71">
        <w:rPr>
          <w:rFonts w:ascii="Palatino Linotype" w:eastAsia="Palatino Linotype" w:hAnsi="Palatino Linotype" w:cs="Palatino Linotype"/>
          <w:i/>
          <w:iCs/>
        </w:rPr>
        <w:t>;</w:t>
      </w:r>
    </w:p>
    <w:p w:rsidR="0051129F" w:rsidRPr="00DA3B71" w:rsidRDefault="00D60CF2">
      <w:pPr>
        <w:tabs>
          <w:tab w:val="left" w:pos="284"/>
        </w:tabs>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p>
    <w:p w:rsidR="0051129F" w:rsidRPr="00DA3B71" w:rsidRDefault="00D60CF2">
      <w:pPr>
        <w:tabs>
          <w:tab w:val="left" w:pos="284"/>
        </w:tabs>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 xml:space="preserve">IV. </w:t>
      </w:r>
      <w:r w:rsidRPr="00DA3B71">
        <w:rPr>
          <w:rFonts w:ascii="Palatino Linotype" w:eastAsia="Palatino Linotype" w:hAnsi="Palatino Linotype" w:cs="Palatino Linotype"/>
          <w:b/>
          <w:bCs/>
          <w:i/>
          <w:iCs/>
        </w:rPr>
        <w:t>Llevar y conservar los libros de actas de cabildo</w:t>
      </w:r>
      <w:r w:rsidRPr="00DA3B71">
        <w:rPr>
          <w:rFonts w:ascii="Palatino Linotype" w:eastAsia="Palatino Linotype" w:hAnsi="Palatino Linotype" w:cs="Palatino Linotype"/>
          <w:i/>
          <w:iCs/>
        </w:rPr>
        <w:t>, obteniendo las firmas de los asistentes a las sesiones;</w:t>
      </w:r>
    </w:p>
    <w:p w:rsidR="0051129F" w:rsidRPr="00DA3B71" w:rsidRDefault="00D60CF2">
      <w:pPr>
        <w:tabs>
          <w:tab w:val="left" w:pos="284"/>
        </w:tabs>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p>
    <w:p w:rsidR="0051129F" w:rsidRPr="00DA3B71" w:rsidRDefault="0051129F">
      <w:pPr>
        <w:tabs>
          <w:tab w:val="left" w:pos="284"/>
        </w:tabs>
        <w:spacing w:line="360" w:lineRule="auto"/>
        <w:jc w:val="both"/>
        <w:rPr>
          <w:rFonts w:ascii="Palatino Linotype" w:eastAsia="Palatino Linotype" w:hAnsi="Palatino Linotype" w:cs="Palatino Linotype"/>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La Presidenta Municipal se auxiliará en el ejercicio de sus facultades establecidas en las leyes correspondientes, ejecutando las mismas a través de las siguientes direcciones y áreas de la Administración Pública Municipal, mismas que estarán bajo su subordinación, de conformidad con el artículo 38 del Bando Municipal:</w:t>
      </w:r>
    </w:p>
    <w:p w:rsidR="0051129F" w:rsidRPr="00DA3B71" w:rsidRDefault="00D60CF2">
      <w:pPr>
        <w:tabs>
          <w:tab w:val="left" w:pos="284"/>
        </w:tabs>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rPr>
        <w:t xml:space="preserve"> </w:t>
      </w:r>
      <w:r w:rsidRPr="00DA3B71">
        <w:rPr>
          <w:rFonts w:ascii="Palatino Linotype" w:eastAsia="Palatino Linotype" w:hAnsi="Palatino Linotype" w:cs="Palatino Linotype"/>
          <w:i/>
          <w:iCs/>
        </w:rPr>
        <w:t xml:space="preserve">I. DEPENDENCIAS ADMINISTRATIVAS </w:t>
      </w:r>
    </w:p>
    <w:p w:rsidR="0051129F" w:rsidRPr="00DA3B71" w:rsidRDefault="00D60CF2">
      <w:pPr>
        <w:tabs>
          <w:tab w:val="left" w:pos="284"/>
        </w:tabs>
        <w:ind w:left="567"/>
        <w:jc w:val="both"/>
        <w:rPr>
          <w:rFonts w:ascii="Palatino Linotype" w:eastAsia="Palatino Linotype" w:hAnsi="Palatino Linotype" w:cs="Palatino Linotype"/>
          <w:b/>
          <w:bCs/>
          <w:i/>
          <w:iCs/>
        </w:rPr>
      </w:pPr>
      <w:r w:rsidRPr="00DA3B71">
        <w:rPr>
          <w:rFonts w:ascii="Palatino Linotype" w:eastAsia="Palatino Linotype" w:hAnsi="Palatino Linotype" w:cs="Palatino Linotype"/>
          <w:b/>
          <w:bCs/>
          <w:i/>
          <w:iCs/>
        </w:rPr>
        <w:t xml:space="preserve">1. Secretaría del Ayuntamiento; </w:t>
      </w:r>
    </w:p>
    <w:p w:rsidR="0051129F" w:rsidRPr="00DA3B71" w:rsidRDefault="00D60CF2">
      <w:pPr>
        <w:tabs>
          <w:tab w:val="left" w:pos="284"/>
        </w:tabs>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p>
    <w:p w:rsidR="0051129F" w:rsidRPr="00DA3B71" w:rsidRDefault="00D60CF2">
      <w:pPr>
        <w:tabs>
          <w:tab w:val="left" w:pos="284"/>
        </w:tabs>
        <w:spacing w:line="360" w:lineRule="auto"/>
        <w:ind w:left="567"/>
        <w:jc w:val="both"/>
        <w:rPr>
          <w:rFonts w:ascii="Palatino Linotype" w:eastAsia="Palatino Linotype" w:hAnsi="Palatino Linotype" w:cs="Palatino Linotype"/>
          <w:b/>
          <w:bCs/>
          <w:i/>
          <w:iCs/>
        </w:rPr>
      </w:pPr>
      <w:r w:rsidRPr="00DA3B71">
        <w:rPr>
          <w:rFonts w:ascii="Palatino Linotype" w:eastAsia="Palatino Linotype" w:hAnsi="Palatino Linotype" w:cs="Palatino Linotype"/>
          <w:b/>
          <w:bCs/>
          <w:i/>
          <w:iCs/>
        </w:rPr>
        <w:t>4. Dirección de Administración y Finanzas con funciones de Tesorería;</w:t>
      </w:r>
    </w:p>
    <w:p w:rsidR="0051129F" w:rsidRPr="00DA3B71" w:rsidRDefault="00D60CF2">
      <w:pPr>
        <w:tabs>
          <w:tab w:val="left" w:pos="284"/>
        </w:tabs>
        <w:spacing w:line="360" w:lineRule="auto"/>
        <w:ind w:left="567"/>
        <w:jc w:val="both"/>
        <w:rPr>
          <w:rFonts w:ascii="Palatino Linotype" w:eastAsia="Palatino Linotype" w:hAnsi="Palatino Linotype" w:cs="Palatino Linotype"/>
        </w:rPr>
      </w:pPr>
      <w:r w:rsidRPr="00DA3B71">
        <w:rPr>
          <w:rFonts w:ascii="Palatino Linotype" w:eastAsia="Palatino Linotype" w:hAnsi="Palatino Linotype" w:cs="Palatino Linotype"/>
          <w:b/>
          <w:bCs/>
          <w:i/>
          <w:iCs/>
        </w:rPr>
        <w:t>…</w:t>
      </w:r>
    </w:p>
    <w:p w:rsidR="0051129F" w:rsidRPr="00DA3B71" w:rsidRDefault="0051129F">
      <w:pPr>
        <w:tabs>
          <w:tab w:val="left" w:pos="284"/>
        </w:tabs>
        <w:spacing w:line="360" w:lineRule="auto"/>
        <w:jc w:val="both"/>
        <w:rPr>
          <w:rFonts w:ascii="Palatino Linotype" w:eastAsia="Palatino Linotype" w:hAnsi="Palatino Linotype" w:cs="Palatino Linotype"/>
          <w:i/>
          <w:iCs/>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 xml:space="preserve">El Ayuntamiento cuenta con la </w:t>
      </w:r>
      <w:r w:rsidRPr="00DA3B71">
        <w:rPr>
          <w:rFonts w:ascii="Palatino Linotype" w:eastAsia="Palatino Linotype" w:hAnsi="Palatino Linotype" w:cs="Palatino Linotype"/>
          <w:b/>
          <w:bCs/>
        </w:rPr>
        <w:t>Dirección de Administración y Finanzas</w:t>
      </w:r>
      <w:r w:rsidRPr="00DA3B71">
        <w:rPr>
          <w:rFonts w:ascii="Palatino Linotype" w:eastAsia="Palatino Linotype" w:hAnsi="Palatino Linotype" w:cs="Palatino Linotype"/>
        </w:rPr>
        <w:t xml:space="preserve">, que asumirá las funciones y atribuciones de la Tesorería, teniendo como funciones, en forma enunciativa y no limitativa, las establecidas en el artículo 95 de la Ley Orgánica Municipal del Estado de México, así como lo dispuesto por las leyes y reglamentos aplicables en el ámbito de su competencia. La </w:t>
      </w:r>
      <w:r w:rsidRPr="00DA3B71">
        <w:rPr>
          <w:rFonts w:ascii="Palatino Linotype" w:eastAsia="Palatino Linotype" w:hAnsi="Palatino Linotype" w:cs="Palatino Linotype"/>
          <w:b/>
          <w:bCs/>
        </w:rPr>
        <w:t>Dirección de Administración y Finanzas con funciones de Tesorería Municipal</w:t>
      </w:r>
      <w:r w:rsidRPr="00DA3B71">
        <w:rPr>
          <w:rFonts w:ascii="Palatino Linotype" w:eastAsia="Palatino Linotype" w:hAnsi="Palatino Linotype" w:cs="Palatino Linotype"/>
        </w:rPr>
        <w:t>, es el único órgano encargado de la recaudación de los ingresos municipales y responsable de realizar las erogaciones que lleve a cabo el Ayuntamiento, de conformidad con los artículos 47 y 48 del Bando Municipal 2025.</w:t>
      </w: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lastRenderedPageBreak/>
        <w:t xml:space="preserve">La </w:t>
      </w:r>
      <w:r w:rsidRPr="00DA3B71">
        <w:rPr>
          <w:rFonts w:ascii="Palatino Linotype" w:eastAsia="Palatino Linotype" w:hAnsi="Palatino Linotype" w:cs="Palatino Linotype"/>
          <w:b/>
          <w:bCs/>
        </w:rPr>
        <w:t>Dirección de Administración y Finanzas</w:t>
      </w:r>
      <w:r w:rsidRPr="00DA3B71">
        <w:rPr>
          <w:rFonts w:ascii="Palatino Linotype" w:eastAsia="Palatino Linotype" w:hAnsi="Palatino Linotype" w:cs="Palatino Linotype"/>
        </w:rPr>
        <w:t>, de conformidad con su Manual de Organización, tiene como objetivo el de Obtener, administrar y erogar responsablemente los recursos públicos con base a la disciplina presupuestaria, con la finalidad de mantener unas finanzas públicas sanas, así como Planear y coordinar la ejecución de las acciones que permitan la recaudación y control de los ingresos, así como los mecanismos que sean necesarios para la recuperación de los créditos fiscales a favor del H. Ayuntamiento y tiene dentro de sus funciones las siguientes:</w:t>
      </w:r>
    </w:p>
    <w:p w:rsidR="0051129F" w:rsidRPr="00DA3B71" w:rsidRDefault="00D60CF2">
      <w:pPr>
        <w:tabs>
          <w:tab w:val="left" w:pos="284"/>
        </w:tabs>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Atribuciones y Funciones</w:t>
      </w:r>
    </w:p>
    <w:p w:rsidR="0051129F" w:rsidRPr="00DA3B71" w:rsidRDefault="00D60CF2">
      <w:pPr>
        <w:tabs>
          <w:tab w:val="left" w:pos="284"/>
        </w:tabs>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p>
    <w:p w:rsidR="0051129F" w:rsidRPr="00DA3B71" w:rsidRDefault="00D60CF2">
      <w:pPr>
        <w:tabs>
          <w:tab w:val="left" w:pos="284"/>
        </w:tabs>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II. Vigilar que toda la documentación que soporta el ejercicio del gasto reúna los requisitos fiscales que establezcan las disposiciones fiscales federales, cuando hagan pagos a terceros y están obligados a ello en términos de Ley.</w:t>
      </w:r>
    </w:p>
    <w:p w:rsidR="0051129F" w:rsidRPr="00DA3B71" w:rsidRDefault="00D60CF2">
      <w:pPr>
        <w:tabs>
          <w:tab w:val="left" w:pos="284"/>
        </w:tabs>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p>
    <w:p w:rsidR="0051129F" w:rsidRPr="00DA3B71" w:rsidRDefault="00D60CF2">
      <w:pPr>
        <w:tabs>
          <w:tab w:val="left" w:pos="284"/>
        </w:tabs>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XVIII. Aplicar el Presupuesto de Egresos íntegramente a los programas señalados en el Plan de Desarrollo Municipal y someterlo a autorización del Ayuntamiento.</w:t>
      </w:r>
    </w:p>
    <w:p w:rsidR="0051129F" w:rsidRPr="00DA3B71" w:rsidRDefault="00D60CF2">
      <w:pPr>
        <w:tabs>
          <w:tab w:val="left" w:pos="284"/>
        </w:tabs>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p>
    <w:p w:rsidR="0051129F" w:rsidRPr="00DA3B71" w:rsidRDefault="00D60CF2">
      <w:pPr>
        <w:tabs>
          <w:tab w:val="left" w:pos="284"/>
        </w:tabs>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LVII. Coordinar e integrar el Proyecto de Presupuesto y Presupuesto Definitivo.</w:t>
      </w:r>
    </w:p>
    <w:p w:rsidR="0051129F" w:rsidRPr="00DA3B71" w:rsidRDefault="00D60CF2">
      <w:pPr>
        <w:tabs>
          <w:tab w:val="left" w:pos="284"/>
        </w:tabs>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p>
    <w:p w:rsidR="0051129F" w:rsidRPr="00DA3B71" w:rsidRDefault="00D60CF2">
      <w:pPr>
        <w:tabs>
          <w:tab w:val="left" w:pos="284"/>
        </w:tabs>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LVIII. Comunicar a las unidades administrativas los techos presupuestarios para la elaboración del anteproyecto de presupuestos.</w:t>
      </w:r>
    </w:p>
    <w:p w:rsidR="0051129F" w:rsidRPr="00DA3B71" w:rsidRDefault="00D60CF2">
      <w:pPr>
        <w:tabs>
          <w:tab w:val="left" w:pos="284"/>
        </w:tabs>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p>
    <w:p w:rsidR="0051129F" w:rsidRPr="00DA3B71" w:rsidRDefault="0051129F">
      <w:pPr>
        <w:tabs>
          <w:tab w:val="left" w:pos="284"/>
        </w:tabs>
        <w:spacing w:line="360" w:lineRule="auto"/>
        <w:jc w:val="both"/>
        <w:rPr>
          <w:rFonts w:ascii="Palatino Linotype" w:eastAsia="Palatino Linotype" w:hAnsi="Palatino Linotype" w:cs="Palatino Linotype"/>
        </w:rPr>
      </w:pPr>
    </w:p>
    <w:p w:rsidR="0051129F" w:rsidRPr="00DA3B71" w:rsidRDefault="00D60CF2">
      <w:pPr>
        <w:numPr>
          <w:ilvl w:val="0"/>
          <w:numId w:val="1"/>
        </w:numPr>
        <w:tabs>
          <w:tab w:val="left" w:pos="284"/>
        </w:tabs>
        <w:spacing w:line="360" w:lineRule="auto"/>
        <w:ind w:left="0" w:firstLine="0"/>
        <w:jc w:val="both"/>
      </w:pPr>
      <w:r w:rsidRPr="00DA3B71">
        <w:rPr>
          <w:rFonts w:ascii="Palatino Linotype" w:eastAsia="Palatino Linotype" w:hAnsi="Palatino Linotype" w:cs="Palatino Linotype"/>
        </w:rPr>
        <w:t xml:space="preserve">De lo expuesto es de precisar que se proporcionó respuesta a la solicitud de información </w:t>
      </w:r>
      <w:r w:rsidRPr="00DA3B71">
        <w:rPr>
          <w:rFonts w:ascii="Palatino Linotype" w:eastAsia="Palatino Linotype" w:hAnsi="Palatino Linotype" w:cs="Palatino Linotype"/>
          <w:b/>
          <w:bCs/>
        </w:rPr>
        <w:t xml:space="preserve">00020/TEPOTZOT/IP/2026 </w:t>
      </w:r>
      <w:r w:rsidRPr="00DA3B71">
        <w:rPr>
          <w:rFonts w:ascii="Palatino Linotype" w:eastAsia="Palatino Linotype" w:hAnsi="Palatino Linotype" w:cs="Palatino Linotype"/>
        </w:rPr>
        <w:t xml:space="preserve">a través de la </w:t>
      </w:r>
      <w:r w:rsidRPr="00DA3B71">
        <w:rPr>
          <w:rFonts w:ascii="Palatino Linotype" w:eastAsia="Palatino Linotype" w:hAnsi="Palatino Linotype" w:cs="Palatino Linotype"/>
          <w:b/>
          <w:bCs/>
        </w:rPr>
        <w:t>Dirección de Administración y Finanzas</w:t>
      </w:r>
      <w:r w:rsidRPr="00DA3B71">
        <w:rPr>
          <w:rFonts w:ascii="Palatino Linotype" w:eastAsia="Palatino Linotype" w:hAnsi="Palatino Linotype" w:cs="Palatino Linotype"/>
        </w:rPr>
        <w:t xml:space="preserve">; si bien, no se proporcionó respuesta a las solicitudes </w:t>
      </w:r>
      <w:r w:rsidRPr="00DA3B71">
        <w:rPr>
          <w:rFonts w:ascii="Palatino Linotype" w:eastAsia="Palatino Linotype" w:hAnsi="Palatino Linotype" w:cs="Palatino Linotype"/>
          <w:b/>
          <w:bCs/>
        </w:rPr>
        <w:t>00025/TEPOTZOT/IP/2026 00008/TEPOTZOT/IP/2026</w:t>
      </w:r>
      <w:r w:rsidRPr="00DA3B71">
        <w:rPr>
          <w:rFonts w:ascii="Palatino Linotype" w:eastAsia="Palatino Linotype" w:hAnsi="Palatino Linotype" w:cs="Palatino Linotype"/>
        </w:rPr>
        <w:t xml:space="preserve">, el Sujeto Obligado procuró resarcir dicho incumplimiento normativo remitiendo a través de informe justificado información emitida el </w:t>
      </w:r>
      <w:r w:rsidRPr="00DA3B71">
        <w:rPr>
          <w:rFonts w:ascii="Palatino Linotype" w:eastAsia="Palatino Linotype" w:hAnsi="Palatino Linotype" w:cs="Palatino Linotype"/>
          <w:b/>
          <w:bCs/>
        </w:rPr>
        <w:t>Secretario del Ayuntamiento</w:t>
      </w:r>
      <w:r w:rsidRPr="00DA3B71">
        <w:rPr>
          <w:rFonts w:ascii="Palatino Linotype" w:eastAsia="Palatino Linotype" w:hAnsi="Palatino Linotype" w:cs="Palatino Linotype"/>
        </w:rPr>
        <w:t>, por lo que podemos advertir que se</w:t>
      </w:r>
      <w:r w:rsidRPr="00DA3B71">
        <w:rPr>
          <w:rFonts w:ascii="Palatino Linotype" w:eastAsia="Palatino Linotype" w:hAnsi="Palatino Linotype" w:cs="Palatino Linotype"/>
          <w:b/>
          <w:bCs/>
        </w:rPr>
        <w:t xml:space="preserve"> siguió el procedimiento</w:t>
      </w:r>
      <w:r w:rsidRPr="00DA3B71">
        <w:rPr>
          <w:rFonts w:ascii="Palatino Linotype" w:eastAsia="Palatino Linotype" w:hAnsi="Palatino Linotype" w:cs="Palatino Linotype"/>
        </w:rPr>
        <w:t xml:space="preserve"> inmerso en la normatividad aplicable, ya que se </w:t>
      </w:r>
      <w:r w:rsidRPr="00DA3B71">
        <w:rPr>
          <w:rFonts w:ascii="Palatino Linotype" w:eastAsia="Palatino Linotype" w:hAnsi="Palatino Linotype" w:cs="Palatino Linotype"/>
          <w:b/>
          <w:bCs/>
        </w:rPr>
        <w:t xml:space="preserve">turnó el requerimiento de información a las unidades </w:t>
      </w:r>
      <w:r w:rsidRPr="00DA3B71">
        <w:rPr>
          <w:rFonts w:ascii="Palatino Linotype" w:eastAsia="Palatino Linotype" w:hAnsi="Palatino Linotype" w:cs="Palatino Linotype"/>
          <w:b/>
          <w:bCs/>
        </w:rPr>
        <w:lastRenderedPageBreak/>
        <w:t>administrativas competentes</w:t>
      </w:r>
      <w:r w:rsidRPr="00DA3B71">
        <w:rPr>
          <w:rFonts w:ascii="Palatino Linotype" w:eastAsia="Palatino Linotype" w:hAnsi="Palatino Linotype" w:cs="Palatino Linotype"/>
        </w:rPr>
        <w:t>,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51129F" w:rsidRPr="00DA3B71" w:rsidRDefault="00D60CF2">
      <w:pPr>
        <w:ind w:left="708" w:right="-220"/>
        <w:jc w:val="both"/>
        <w:rPr>
          <w:rFonts w:ascii="Palatino Linotype" w:eastAsia="Palatino Linotype" w:hAnsi="Palatino Linotype" w:cs="Palatino Linotype"/>
          <w:i/>
          <w:iCs/>
        </w:rPr>
      </w:pPr>
      <w:r w:rsidRPr="00DA3B71">
        <w:rPr>
          <w:rFonts w:ascii="Palatino Linotype" w:eastAsia="Palatino Linotype" w:hAnsi="Palatino Linotype" w:cs="Palatino Linotype"/>
          <w:b/>
          <w:bCs/>
          <w:i/>
          <w:iCs/>
        </w:rPr>
        <w:t>XXXIX.</w:t>
      </w:r>
      <w:r w:rsidRPr="00DA3B71">
        <w:rPr>
          <w:rFonts w:ascii="Palatino Linotype" w:eastAsia="Palatino Linotype" w:hAnsi="Palatino Linotype" w:cs="Palatino Linotype"/>
          <w:i/>
          <w:iCs/>
        </w:rPr>
        <w:t xml:space="preserve"> </w:t>
      </w:r>
      <w:r w:rsidRPr="00DA3B71">
        <w:rPr>
          <w:rFonts w:ascii="Palatino Linotype" w:eastAsia="Palatino Linotype" w:hAnsi="Palatino Linotype" w:cs="Palatino Linotype"/>
          <w:b/>
          <w:bCs/>
          <w:i/>
          <w:iCs/>
        </w:rPr>
        <w:t>Servidor público habilitado</w:t>
      </w:r>
      <w:r w:rsidRPr="00DA3B71">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51129F" w:rsidRPr="00DA3B71" w:rsidRDefault="0051129F">
      <w:pPr>
        <w:spacing w:line="360" w:lineRule="auto"/>
        <w:ind w:left="708" w:right="-787"/>
        <w:jc w:val="both"/>
        <w:rPr>
          <w:rFonts w:ascii="Palatino Linotype" w:eastAsia="Palatino Linotype" w:hAnsi="Palatino Linotype" w:cs="Palatino Linotype"/>
        </w:rPr>
      </w:pPr>
    </w:p>
    <w:p w:rsidR="0051129F" w:rsidRPr="00DA3B71" w:rsidRDefault="00D60CF2">
      <w:pPr>
        <w:numPr>
          <w:ilvl w:val="0"/>
          <w:numId w:val="1"/>
        </w:numPr>
        <w:tabs>
          <w:tab w:val="left" w:pos="284"/>
        </w:tabs>
        <w:spacing w:line="360" w:lineRule="auto"/>
        <w:ind w:left="0" w:firstLine="0"/>
        <w:jc w:val="both"/>
      </w:pPr>
      <w:r w:rsidRPr="00DA3B71">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51129F" w:rsidRPr="00DA3B71" w:rsidRDefault="00D60CF2">
      <w:pPr>
        <w:ind w:left="425" w:right="-220"/>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r w:rsidRPr="00DA3B71">
        <w:rPr>
          <w:rFonts w:ascii="Palatino Linotype" w:eastAsia="Palatino Linotype" w:hAnsi="Palatino Linotype" w:cs="Palatino Linotype"/>
          <w:b/>
          <w:bCs/>
          <w:i/>
          <w:iCs/>
        </w:rPr>
        <w:t>Artículo 162.</w:t>
      </w:r>
      <w:r w:rsidRPr="00DA3B71">
        <w:rPr>
          <w:rFonts w:ascii="Palatino Linotype" w:eastAsia="Palatino Linotype" w:hAnsi="Palatino Linotype" w:cs="Palatino Linotype"/>
          <w:i/>
          <w:iCs/>
        </w:rPr>
        <w:t xml:space="preserve"> Las unidades de transparencia deberán garantizar que las solicitudes se turnen a </w:t>
      </w:r>
      <w:r w:rsidRPr="00DA3B71">
        <w:rPr>
          <w:rFonts w:ascii="Palatino Linotype" w:eastAsia="Palatino Linotype" w:hAnsi="Palatino Linotype" w:cs="Palatino Linotype"/>
          <w:b/>
          <w:bCs/>
          <w:i/>
          <w:iCs/>
        </w:rPr>
        <w:t>todas las Áreas competentes</w:t>
      </w:r>
      <w:r w:rsidRPr="00DA3B71">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51129F" w:rsidRPr="00DA3B71" w:rsidRDefault="0051129F">
      <w:pPr>
        <w:tabs>
          <w:tab w:val="left" w:pos="284"/>
        </w:tabs>
        <w:spacing w:line="360" w:lineRule="auto"/>
        <w:jc w:val="both"/>
        <w:rPr>
          <w:rFonts w:ascii="Palatino Linotype" w:eastAsia="Palatino Linotype" w:hAnsi="Palatino Linotype" w:cs="Palatino Linotype"/>
          <w:color w:val="000000"/>
        </w:rPr>
      </w:pPr>
    </w:p>
    <w:p w:rsidR="0051129F" w:rsidRPr="00DA3B71" w:rsidRDefault="00D60CF2">
      <w:pPr>
        <w:numPr>
          <w:ilvl w:val="0"/>
          <w:numId w:val="1"/>
        </w:numPr>
        <w:tabs>
          <w:tab w:val="left" w:pos="284"/>
        </w:tabs>
        <w:spacing w:line="360" w:lineRule="auto"/>
        <w:ind w:left="0" w:firstLine="0"/>
        <w:jc w:val="both"/>
        <w:rPr>
          <w:color w:val="000000"/>
        </w:rPr>
      </w:pPr>
      <w:r w:rsidRPr="00DA3B71">
        <w:rPr>
          <w:rFonts w:ascii="Palatino Linotype" w:eastAsia="Palatino Linotype" w:hAnsi="Palatino Linotype" w:cs="Palatino Linotype"/>
          <w:color w:val="000000"/>
        </w:rPr>
        <w:t xml:space="preserve">Es de </w:t>
      </w:r>
      <w:r w:rsidRPr="00DA3B71">
        <w:rPr>
          <w:rFonts w:ascii="Palatino Linotype" w:eastAsia="Palatino Linotype" w:hAnsi="Palatino Linotype" w:cs="Palatino Linotype"/>
        </w:rPr>
        <w:t>subrayar</w:t>
      </w:r>
      <w:r w:rsidRPr="00DA3B71">
        <w:rPr>
          <w:rFonts w:ascii="Palatino Linotype" w:eastAsia="Palatino Linotype" w:hAnsi="Palatino Linotype" w:cs="Palatino Linotype"/>
          <w:color w:val="000000"/>
        </w:rPr>
        <w:t xml:space="preserve"> que el derecho de acceso a la información pública, consiste en que la información </w:t>
      </w:r>
      <w:r w:rsidRPr="00DA3B71">
        <w:rPr>
          <w:rFonts w:ascii="Palatino Linotype" w:eastAsia="Palatino Linotype" w:hAnsi="Palatino Linotype" w:cs="Palatino Linotype"/>
        </w:rPr>
        <w:t>solicitada</w:t>
      </w:r>
      <w:r w:rsidRPr="00DA3B71">
        <w:rPr>
          <w:rFonts w:ascii="Palatino Linotype" w:eastAsia="Palatino Linotype" w:hAnsi="Palatino Linotype" w:cs="Palatino Linotype"/>
          <w:color w:val="000000"/>
        </w:rPr>
        <w:t xml:space="preserve">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51129F" w:rsidRPr="00DA3B71" w:rsidRDefault="00D60CF2">
      <w:pPr>
        <w:ind w:left="567"/>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lastRenderedPageBreak/>
        <w:t>“</w:t>
      </w:r>
      <w:r w:rsidRPr="00DA3B71">
        <w:rPr>
          <w:rFonts w:ascii="Palatino Linotype" w:eastAsia="Palatino Linotype" w:hAnsi="Palatino Linotype" w:cs="Palatino Linotype"/>
          <w:b/>
          <w:bCs/>
          <w:i/>
          <w:iCs/>
          <w:color w:val="000000"/>
        </w:rPr>
        <w:t xml:space="preserve">Artículo 3. </w:t>
      </w:r>
      <w:r w:rsidRPr="00DA3B71">
        <w:rPr>
          <w:rFonts w:ascii="Palatino Linotype" w:eastAsia="Palatino Linotype" w:hAnsi="Palatino Linotype" w:cs="Palatino Linotype"/>
          <w:i/>
          <w:iCs/>
          <w:color w:val="000000"/>
        </w:rPr>
        <w:t>Para los efectos de la presente Ley se entenderá por:</w:t>
      </w:r>
    </w:p>
    <w:p w:rsidR="0051129F" w:rsidRPr="00DA3B71" w:rsidRDefault="00D60CF2">
      <w:pPr>
        <w:ind w:left="567"/>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w:t>
      </w:r>
    </w:p>
    <w:p w:rsidR="0051129F" w:rsidRPr="00DA3B71" w:rsidRDefault="00D60CF2">
      <w:pPr>
        <w:ind w:left="567"/>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b/>
          <w:bCs/>
          <w:i/>
          <w:iCs/>
          <w:color w:val="000000"/>
        </w:rPr>
        <w:t>XI. Documento:</w:t>
      </w:r>
      <w:r w:rsidRPr="00DA3B71">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51129F" w:rsidRPr="00DA3B71" w:rsidRDefault="00D60CF2">
      <w:pPr>
        <w:spacing w:line="360" w:lineRule="auto"/>
        <w:ind w:left="567"/>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w:t>
      </w:r>
    </w:p>
    <w:p w:rsidR="0051129F" w:rsidRPr="00DA3B71" w:rsidRDefault="0051129F">
      <w:pPr>
        <w:jc w:val="both"/>
        <w:rPr>
          <w:rFonts w:ascii="Palatino Linotype" w:eastAsia="Palatino Linotype" w:hAnsi="Palatino Linotype" w:cs="Palatino Linotype"/>
        </w:rPr>
      </w:pPr>
    </w:p>
    <w:p w:rsidR="0051129F" w:rsidRPr="00DA3B71" w:rsidRDefault="00D60CF2">
      <w:pPr>
        <w:numPr>
          <w:ilvl w:val="0"/>
          <w:numId w:val="1"/>
        </w:numPr>
        <w:tabs>
          <w:tab w:val="left" w:pos="284"/>
        </w:tabs>
        <w:spacing w:line="360" w:lineRule="auto"/>
        <w:ind w:left="0" w:firstLine="0"/>
        <w:jc w:val="both"/>
        <w:rPr>
          <w:color w:val="000000"/>
        </w:rPr>
      </w:pPr>
      <w:r w:rsidRPr="00DA3B71">
        <w:rPr>
          <w:rFonts w:ascii="Palatino Linotype" w:eastAsia="Palatino Linotype" w:hAnsi="Palatino Linotype" w:cs="Palatino Linotype"/>
          <w:color w:val="000000"/>
        </w:rPr>
        <w:t xml:space="preserve">Siendo aplicable el Criterio de interpretación en el orden administrativo número 0002-11, emitido por </w:t>
      </w:r>
      <w:r w:rsidRPr="00DA3B71">
        <w:rPr>
          <w:rFonts w:ascii="Palatino Linotype" w:eastAsia="Palatino Linotype" w:hAnsi="Palatino Linotype" w:cs="Palatino Linotype"/>
        </w:rPr>
        <w:t>Acuerdo</w:t>
      </w:r>
      <w:r w:rsidRPr="00DA3B71">
        <w:rPr>
          <w:rFonts w:ascii="Palatino Linotype" w:eastAsia="Palatino Linotype" w:hAnsi="Palatino Linotype" w:cs="Palatino Linotype"/>
          <w:color w:val="000000"/>
        </w:rPr>
        <w:t xml:space="preserve"> del Pleno del Instituto de Transparencia y Acceso a la Información Pública del Estado de México y Municipios; publicado en el Periódico Oficial del Gobierno del Estado Libre y </w:t>
      </w:r>
      <w:r w:rsidRPr="00DA3B71">
        <w:rPr>
          <w:rFonts w:ascii="Palatino Linotype" w:eastAsia="Palatino Linotype" w:hAnsi="Palatino Linotype" w:cs="Palatino Linotype"/>
        </w:rPr>
        <w:t>Soberano</w:t>
      </w:r>
      <w:r w:rsidRPr="00DA3B71">
        <w:rPr>
          <w:rFonts w:ascii="Palatino Linotype" w:eastAsia="Palatino Linotype" w:hAnsi="Palatino Linotype" w:cs="Palatino Linotype"/>
          <w:color w:val="000000"/>
        </w:rPr>
        <w:t xml:space="preserve"> de México “Gaceta del Gobierno”, el diecinueve de octubre de dos mil once, cuyo rubro y texto dispone:</w:t>
      </w:r>
    </w:p>
    <w:p w:rsidR="0051129F" w:rsidRPr="00DA3B71" w:rsidRDefault="00D60CF2">
      <w:pPr>
        <w:ind w:left="567"/>
        <w:jc w:val="both"/>
        <w:rPr>
          <w:rFonts w:ascii="Palatino Linotype" w:eastAsia="Palatino Linotype" w:hAnsi="Palatino Linotype" w:cs="Palatino Linotype"/>
          <w:b/>
          <w:bCs/>
          <w:i/>
          <w:iCs/>
        </w:rPr>
      </w:pPr>
      <w:r w:rsidRPr="00DA3B71">
        <w:rPr>
          <w:rFonts w:ascii="Palatino Linotype" w:eastAsia="Palatino Linotype" w:hAnsi="Palatino Linotype" w:cs="Palatino Linotype"/>
          <w:b/>
          <w:bCs/>
        </w:rPr>
        <w:t>“</w:t>
      </w:r>
      <w:r w:rsidRPr="00DA3B71">
        <w:rPr>
          <w:rFonts w:ascii="Palatino Linotype" w:eastAsia="Palatino Linotype" w:hAnsi="Palatino Linotype" w:cs="Palatino Linotype"/>
          <w:b/>
          <w:bCs/>
          <w:i/>
          <w:iCs/>
        </w:rPr>
        <w:t>CRITERIO 0002-11</w:t>
      </w:r>
    </w:p>
    <w:p w:rsidR="0051129F" w:rsidRPr="00DA3B71" w:rsidRDefault="00D60CF2">
      <w:pPr>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sidRPr="00DA3B71">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51129F" w:rsidRPr="00DA3B71" w:rsidRDefault="00D60CF2">
      <w:pPr>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En consecuencia el acceso a la información se refiere a que se cumplan cualquiera de los siguientes tres supuestos:</w:t>
      </w:r>
    </w:p>
    <w:p w:rsidR="0051129F" w:rsidRPr="00DA3B71" w:rsidRDefault="00D60CF2">
      <w:pPr>
        <w:ind w:left="567"/>
        <w:jc w:val="both"/>
        <w:rPr>
          <w:rFonts w:ascii="Palatino Linotype" w:eastAsia="Palatino Linotype" w:hAnsi="Palatino Linotype" w:cs="Palatino Linotype"/>
          <w:b/>
          <w:bCs/>
          <w:i/>
          <w:iCs/>
        </w:rPr>
      </w:pPr>
      <w:r w:rsidRPr="00DA3B71">
        <w:rPr>
          <w:rFonts w:ascii="Palatino Linotype" w:eastAsia="Palatino Linotype" w:hAnsi="Palatino Linotype" w:cs="Palatino Linotype"/>
          <w:b/>
          <w:bCs/>
          <w:i/>
          <w:iCs/>
        </w:rPr>
        <w:t xml:space="preserve">1) </w:t>
      </w:r>
      <w:r w:rsidRPr="00DA3B71">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51129F" w:rsidRPr="00DA3B71" w:rsidRDefault="00D60CF2">
      <w:pPr>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51129F" w:rsidRPr="00DA3B71" w:rsidRDefault="00D60CF2">
      <w:pPr>
        <w:ind w:left="567"/>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51129F" w:rsidRPr="00DA3B71" w:rsidRDefault="00D60CF2">
      <w:pPr>
        <w:tabs>
          <w:tab w:val="left" w:pos="851"/>
        </w:tabs>
        <w:spacing w:line="360" w:lineRule="auto"/>
        <w:ind w:left="567"/>
        <w:rPr>
          <w:rFonts w:ascii="Palatino Linotype" w:eastAsia="Palatino Linotype" w:hAnsi="Palatino Linotype" w:cs="Palatino Linotype"/>
        </w:rPr>
      </w:pPr>
      <w:r w:rsidRPr="00DA3B71">
        <w:rPr>
          <w:rFonts w:ascii="Palatino Linotype" w:eastAsia="Palatino Linotype" w:hAnsi="Palatino Linotype" w:cs="Palatino Linotype"/>
        </w:rPr>
        <w:t>(Énfasis Añadido)</w:t>
      </w:r>
    </w:p>
    <w:p w:rsidR="0051129F" w:rsidRPr="00DA3B71" w:rsidRDefault="0051129F">
      <w:pPr>
        <w:pBdr>
          <w:top w:val="nil"/>
          <w:left w:val="nil"/>
          <w:bottom w:val="nil"/>
          <w:right w:val="nil"/>
          <w:between w:val="nil"/>
        </w:pBdr>
        <w:jc w:val="both"/>
        <w:rPr>
          <w:rFonts w:ascii="Palatino Linotype" w:eastAsia="Palatino Linotype" w:hAnsi="Palatino Linotype" w:cs="Palatino Linotype"/>
          <w:color w:val="000000"/>
        </w:rPr>
      </w:pPr>
    </w:p>
    <w:p w:rsidR="0051129F" w:rsidRPr="00DA3B71" w:rsidRDefault="00D60CF2">
      <w:pPr>
        <w:numPr>
          <w:ilvl w:val="0"/>
          <w:numId w:val="1"/>
        </w:numPr>
        <w:tabs>
          <w:tab w:val="left" w:pos="284"/>
        </w:tabs>
        <w:spacing w:line="360" w:lineRule="auto"/>
        <w:ind w:left="0" w:firstLine="0"/>
        <w:jc w:val="both"/>
        <w:rPr>
          <w:color w:val="000000"/>
        </w:rPr>
      </w:pPr>
      <w:r w:rsidRPr="00DA3B71">
        <w:rPr>
          <w:rFonts w:ascii="Palatino Linotype" w:eastAsia="Palatino Linotype" w:hAnsi="Palatino Linotype" w:cs="Palatino Linotype"/>
          <w:color w:val="000000"/>
        </w:rPr>
        <w:lastRenderedPageBreak/>
        <w:t xml:space="preserve">Por su parte </w:t>
      </w:r>
      <w:r w:rsidRPr="00DA3B71">
        <w:rPr>
          <w:rFonts w:ascii="Palatino Linotype" w:eastAsia="Palatino Linotype" w:hAnsi="Palatino Linotype" w:cs="Palatino Linotype"/>
        </w:rPr>
        <w:t>los</w:t>
      </w:r>
      <w:r w:rsidRPr="00DA3B71">
        <w:rPr>
          <w:rFonts w:ascii="Palatino Linotype" w:eastAsia="Palatino Linotype" w:hAnsi="Palatino Linotype" w:cs="Palatino Linotype"/>
          <w:color w:val="000000"/>
        </w:rPr>
        <w:t xml:space="preserve"> artículos 160 y 166, de la Ley local en la materia, que se reproduce de la siguiente </w:t>
      </w:r>
      <w:r w:rsidRPr="00DA3B71">
        <w:rPr>
          <w:rFonts w:ascii="Palatino Linotype" w:eastAsia="Palatino Linotype" w:hAnsi="Palatino Linotype" w:cs="Palatino Linotype"/>
        </w:rPr>
        <w:t>forma</w:t>
      </w:r>
      <w:r w:rsidRPr="00DA3B71">
        <w:rPr>
          <w:rFonts w:ascii="Palatino Linotype" w:eastAsia="Palatino Linotype" w:hAnsi="Palatino Linotype" w:cs="Palatino Linotype"/>
          <w:color w:val="000000"/>
        </w:rPr>
        <w:t>:</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r w:rsidRPr="00DA3B71">
        <w:rPr>
          <w:rFonts w:ascii="Palatino Linotype" w:eastAsia="Palatino Linotype" w:hAnsi="Palatino Linotype" w:cs="Palatino Linotype"/>
          <w:b/>
          <w:bCs/>
          <w:i/>
          <w:iCs/>
        </w:rPr>
        <w:t>Artículo 160.</w:t>
      </w:r>
      <w:r w:rsidRPr="00DA3B71">
        <w:rPr>
          <w:rFonts w:ascii="Palatino Linotype" w:eastAsia="Palatino Linotype" w:hAnsi="Palatino Linotype" w:cs="Palatino Linotype"/>
          <w:i/>
          <w:iCs/>
        </w:rPr>
        <w:t xml:space="preserve"> </w:t>
      </w:r>
      <w:r w:rsidRPr="00DA3B71">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DA3B71">
        <w:rPr>
          <w:rFonts w:ascii="Palatino Linotype" w:eastAsia="Palatino Linotype" w:hAnsi="Palatino Linotype" w:cs="Palatino Linotype"/>
          <w:i/>
          <w:iCs/>
        </w:rPr>
        <w:t>.</w:t>
      </w:r>
    </w:p>
    <w:p w:rsidR="0051129F" w:rsidRPr="00DA3B71" w:rsidRDefault="0051129F">
      <w:pPr>
        <w:ind w:left="566"/>
        <w:jc w:val="both"/>
        <w:rPr>
          <w:rFonts w:ascii="Palatino Linotype" w:eastAsia="Palatino Linotype" w:hAnsi="Palatino Linotype" w:cs="Palatino Linotype"/>
          <w:i/>
          <w:iCs/>
        </w:rPr>
      </w:pP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En caso que la información solicitada consista en bases de datos se deberá privilegiar la entrega de la misma en formatos abiertos.</w:t>
      </w:r>
    </w:p>
    <w:p w:rsidR="0051129F" w:rsidRPr="00DA3B71" w:rsidRDefault="0051129F">
      <w:pPr>
        <w:ind w:left="566"/>
        <w:jc w:val="both"/>
        <w:rPr>
          <w:rFonts w:ascii="Palatino Linotype" w:eastAsia="Palatino Linotype" w:hAnsi="Palatino Linotype" w:cs="Palatino Linotype"/>
          <w:i/>
          <w:iCs/>
        </w:rPr>
      </w:pPr>
    </w:p>
    <w:p w:rsidR="0051129F" w:rsidRPr="00DA3B71" w:rsidRDefault="00D60CF2">
      <w:pPr>
        <w:ind w:left="566"/>
        <w:jc w:val="both"/>
        <w:rPr>
          <w:rFonts w:ascii="Palatino Linotype" w:eastAsia="Palatino Linotype" w:hAnsi="Palatino Linotype" w:cs="Palatino Linotype"/>
          <w:i/>
          <w:iCs/>
          <w:u w:val="single"/>
        </w:rPr>
      </w:pPr>
      <w:r w:rsidRPr="00DA3B71">
        <w:rPr>
          <w:rFonts w:ascii="Palatino Linotype" w:eastAsia="Palatino Linotype" w:hAnsi="Palatino Linotype" w:cs="Palatino Linotype"/>
          <w:b/>
          <w:bCs/>
          <w:i/>
          <w:iCs/>
        </w:rPr>
        <w:t>Artículo 166.</w:t>
      </w:r>
      <w:r w:rsidRPr="00DA3B71">
        <w:rPr>
          <w:rFonts w:ascii="Palatino Linotype" w:eastAsia="Palatino Linotype" w:hAnsi="Palatino Linotype" w:cs="Palatino Linotype"/>
          <w:i/>
          <w:iCs/>
        </w:rPr>
        <w:t xml:space="preserve"> </w:t>
      </w:r>
      <w:r w:rsidRPr="00DA3B71">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51129F" w:rsidRPr="00DA3B71" w:rsidRDefault="00D60CF2">
      <w:pPr>
        <w:spacing w:line="360" w:lineRule="auto"/>
        <w:ind w:left="566"/>
        <w:jc w:val="both"/>
        <w:rPr>
          <w:rFonts w:ascii="Palatino Linotype" w:eastAsia="Palatino Linotype" w:hAnsi="Palatino Linotype" w:cs="Palatino Linotype"/>
        </w:rPr>
      </w:pPr>
      <w:r w:rsidRPr="00DA3B71">
        <w:rPr>
          <w:rFonts w:ascii="Palatino Linotype" w:eastAsia="Palatino Linotype" w:hAnsi="Palatino Linotype" w:cs="Palatino Linotype"/>
        </w:rPr>
        <w:t>(Énfasis añadido)</w:t>
      </w:r>
    </w:p>
    <w:p w:rsidR="0051129F" w:rsidRPr="00DA3B71" w:rsidRDefault="0051129F">
      <w:pPr>
        <w:jc w:val="both"/>
        <w:rPr>
          <w:rFonts w:ascii="Palatino Linotype" w:eastAsia="Palatino Linotype" w:hAnsi="Palatino Linotype" w:cs="Palatino Linotype"/>
        </w:rPr>
      </w:pPr>
    </w:p>
    <w:p w:rsidR="0051129F" w:rsidRPr="00DA3B71" w:rsidRDefault="00D60CF2">
      <w:pPr>
        <w:numPr>
          <w:ilvl w:val="0"/>
          <w:numId w:val="1"/>
        </w:numPr>
        <w:tabs>
          <w:tab w:val="left" w:pos="284"/>
        </w:tabs>
        <w:spacing w:line="360" w:lineRule="auto"/>
        <w:ind w:left="0" w:firstLine="0"/>
        <w:jc w:val="both"/>
        <w:rPr>
          <w:color w:val="000000"/>
        </w:rPr>
      </w:pPr>
      <w:r w:rsidRPr="00DA3B71">
        <w:rPr>
          <w:rFonts w:ascii="Palatino Linotype" w:eastAsia="Palatino Linotype" w:hAnsi="Palatino Linotype" w:cs="Palatino Linotype"/>
          <w:color w:val="000000"/>
        </w:rPr>
        <w:t xml:space="preserve">Así que la obligación de los Sujetos Obligados de dar acceso a la información pública que generen, </w:t>
      </w:r>
      <w:r w:rsidRPr="00DA3B71">
        <w:rPr>
          <w:rFonts w:ascii="Palatino Linotype" w:eastAsia="Palatino Linotype" w:hAnsi="Palatino Linotype" w:cs="Palatino Linotype"/>
        </w:rPr>
        <w:t>administren</w:t>
      </w:r>
      <w:r w:rsidRPr="00DA3B71">
        <w:rPr>
          <w:rFonts w:ascii="Palatino Linotype" w:eastAsia="Palatino Linotype" w:hAnsi="Palatino Linotype" w:cs="Palatino Linotype"/>
          <w:color w:val="000000"/>
        </w:rPr>
        <w:t xml:space="preserve"> o posean, se tendrá por cumplida cuando el solicitante tenga a su disposición la información requerida, o cuando realice la consulta de la misma en el lugar que ésta se localice, siempre y cuando así resultare procedente.</w:t>
      </w:r>
    </w:p>
    <w:p w:rsidR="0051129F" w:rsidRPr="00DA3B71" w:rsidRDefault="0051129F">
      <w:pPr>
        <w:spacing w:line="360" w:lineRule="auto"/>
        <w:jc w:val="both"/>
        <w:rPr>
          <w:color w:val="000000"/>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i/>
          <w:iCs/>
        </w:rPr>
      </w:pPr>
      <w:r w:rsidRPr="00DA3B71">
        <w:rPr>
          <w:rFonts w:ascii="Palatino Linotype" w:eastAsia="Palatino Linotype" w:hAnsi="Palatino Linotype" w:cs="Palatino Linotype"/>
          <w:color w:val="000000"/>
        </w:rPr>
        <w:t>Con el objetivo de profundizar en el análisis de los presentes medios de impugnación, y proporcionar una comprensión integral, la siguiente tabla detalla el la información requerida, la respuesta proporcionada, las razones o motivos de inconformidad y la información proporcionada en informe justificado, a fin de determinar si el Sujeto Obligado colma con el requerimiento hecho.</w:t>
      </w:r>
    </w:p>
    <w:p w:rsidR="0051129F" w:rsidRPr="00DA3B71" w:rsidRDefault="0051129F">
      <w:pPr>
        <w:tabs>
          <w:tab w:val="left" w:pos="284"/>
        </w:tabs>
        <w:spacing w:line="360" w:lineRule="auto"/>
        <w:jc w:val="both"/>
        <w:rPr>
          <w:rFonts w:ascii="Palatino Linotype" w:eastAsia="Palatino Linotype" w:hAnsi="Palatino Linotype" w:cs="Palatino Linotype"/>
          <w:color w:val="000000"/>
        </w:rPr>
      </w:pPr>
    </w:p>
    <w:tbl>
      <w:tblPr>
        <w:tblStyle w:val="a0"/>
        <w:tblW w:w="10348" w:type="dxa"/>
        <w:tblInd w:w="-57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268"/>
        <w:gridCol w:w="1927"/>
        <w:gridCol w:w="2326"/>
        <w:gridCol w:w="1843"/>
        <w:gridCol w:w="1984"/>
      </w:tblGrid>
      <w:tr w:rsidR="0051129F" w:rsidRPr="00DA3B71" w:rsidTr="00DA3B71">
        <w:trPr>
          <w:trHeight w:val="426"/>
          <w:tblHeader/>
        </w:trPr>
        <w:tc>
          <w:tcPr>
            <w:tcW w:w="2268" w:type="dxa"/>
            <w:shd w:val="clear" w:color="auto" w:fill="D9D9D9"/>
            <w:vAlign w:val="center"/>
          </w:tcPr>
          <w:p w:rsidR="0051129F" w:rsidRPr="00DA3B71" w:rsidRDefault="00D60CF2">
            <w:pPr>
              <w:pBdr>
                <w:top w:val="nil"/>
                <w:left w:val="nil"/>
                <w:bottom w:val="nil"/>
                <w:right w:val="nil"/>
                <w:between w:val="nil"/>
              </w:pBdr>
              <w:jc w:val="center"/>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lastRenderedPageBreak/>
              <w:t>Información solicitada</w:t>
            </w:r>
          </w:p>
        </w:tc>
        <w:tc>
          <w:tcPr>
            <w:tcW w:w="1927" w:type="dxa"/>
            <w:shd w:val="clear" w:color="auto" w:fill="D9D9D9"/>
            <w:vAlign w:val="center"/>
          </w:tcPr>
          <w:p w:rsidR="0051129F" w:rsidRPr="00DA3B71" w:rsidRDefault="00D60CF2">
            <w:pPr>
              <w:pBdr>
                <w:top w:val="nil"/>
                <w:left w:val="nil"/>
                <w:bottom w:val="nil"/>
                <w:right w:val="nil"/>
                <w:between w:val="nil"/>
              </w:pBdr>
              <w:jc w:val="center"/>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Información proporcionada</w:t>
            </w:r>
          </w:p>
        </w:tc>
        <w:tc>
          <w:tcPr>
            <w:tcW w:w="2326" w:type="dxa"/>
            <w:shd w:val="clear" w:color="auto" w:fill="D9D9D9"/>
            <w:vAlign w:val="center"/>
          </w:tcPr>
          <w:p w:rsidR="0051129F" w:rsidRPr="00DA3B71" w:rsidRDefault="00D60CF2">
            <w:pPr>
              <w:pBdr>
                <w:top w:val="nil"/>
                <w:left w:val="nil"/>
                <w:bottom w:val="nil"/>
                <w:right w:val="nil"/>
                <w:between w:val="nil"/>
              </w:pBdr>
              <w:jc w:val="center"/>
              <w:rPr>
                <w:rFonts w:ascii="Palatino Linotype" w:eastAsia="Palatino Linotype" w:hAnsi="Palatino Linotype" w:cs="Palatino Linotype"/>
                <w:b/>
                <w:bCs/>
                <w:color w:val="000000"/>
              </w:rPr>
            </w:pPr>
            <w:r w:rsidRPr="00DA3B71">
              <w:rPr>
                <w:rFonts w:ascii="Palatino Linotype" w:eastAsia="Palatino Linotype" w:hAnsi="Palatino Linotype" w:cs="Palatino Linotype"/>
                <w:color w:val="000000"/>
              </w:rPr>
              <w:t>Razones o motivos de inconformidad</w:t>
            </w:r>
          </w:p>
        </w:tc>
        <w:tc>
          <w:tcPr>
            <w:tcW w:w="1843" w:type="dxa"/>
            <w:shd w:val="clear" w:color="auto" w:fill="D9D9D9"/>
            <w:vAlign w:val="center"/>
          </w:tcPr>
          <w:p w:rsidR="0051129F" w:rsidRPr="00DA3B71" w:rsidRDefault="00D60CF2">
            <w:pPr>
              <w:pBdr>
                <w:top w:val="nil"/>
                <w:left w:val="nil"/>
                <w:bottom w:val="nil"/>
                <w:right w:val="nil"/>
                <w:between w:val="nil"/>
              </w:pBdr>
              <w:jc w:val="center"/>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Información remitida en Informe Justificado</w:t>
            </w:r>
          </w:p>
        </w:tc>
        <w:tc>
          <w:tcPr>
            <w:tcW w:w="1984" w:type="dxa"/>
            <w:shd w:val="clear" w:color="auto" w:fill="D9D9D9"/>
            <w:vAlign w:val="center"/>
          </w:tcPr>
          <w:p w:rsidR="0051129F" w:rsidRPr="00DA3B71" w:rsidRDefault="00D60CF2">
            <w:pPr>
              <w:pBdr>
                <w:top w:val="nil"/>
                <w:left w:val="nil"/>
                <w:bottom w:val="nil"/>
                <w:right w:val="nil"/>
                <w:between w:val="nil"/>
              </w:pBdr>
              <w:jc w:val="center"/>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¿Colma?</w:t>
            </w:r>
          </w:p>
        </w:tc>
      </w:tr>
      <w:tr w:rsidR="0051129F" w:rsidRPr="00DA3B71" w:rsidTr="00DA3B71">
        <w:tc>
          <w:tcPr>
            <w:tcW w:w="2268" w:type="dxa"/>
            <w:shd w:val="clear" w:color="auto" w:fill="auto"/>
          </w:tcPr>
          <w:p w:rsidR="0051129F" w:rsidRPr="00DA3B71" w:rsidRDefault="00D60CF2">
            <w:pPr>
              <w:pBdr>
                <w:top w:val="nil"/>
                <w:left w:val="nil"/>
                <w:bottom w:val="nil"/>
                <w:right w:val="nil"/>
                <w:between w:val="nil"/>
              </w:pBdr>
              <w:ind w:left="29" w:right="2"/>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 xml:space="preserve">Copia digital de la </w:t>
            </w:r>
            <w:r w:rsidRPr="00DA3B71">
              <w:rPr>
                <w:rFonts w:ascii="Palatino Linotype" w:eastAsia="Palatino Linotype" w:hAnsi="Palatino Linotype" w:cs="Palatino Linotype"/>
                <w:b/>
                <w:bCs/>
                <w:i/>
                <w:iCs/>
                <w:color w:val="000000"/>
              </w:rPr>
              <w:t>documentación comprobatoria del ejercicio del gasto</w:t>
            </w:r>
            <w:r w:rsidRPr="00DA3B71">
              <w:rPr>
                <w:rFonts w:ascii="Palatino Linotype" w:eastAsia="Palatino Linotype" w:hAnsi="Palatino Linotype" w:cs="Palatino Linotype"/>
                <w:i/>
                <w:iCs/>
                <w:color w:val="000000"/>
              </w:rPr>
              <w:t xml:space="preserve"> de los recursos municipales transferidos al Instituto Municipal de Cultura Física y Deporte de Tepotzotlán durante los ejercicios fiscales 2023 a 2025, incluyendo pólizas, facturas, contratos y comprobantes de pago</w:t>
            </w:r>
          </w:p>
        </w:tc>
        <w:tc>
          <w:tcPr>
            <w:tcW w:w="1927" w:type="dxa"/>
            <w:shd w:val="clear" w:color="auto" w:fill="auto"/>
            <w:vAlign w:val="center"/>
          </w:tcPr>
          <w:p w:rsidR="0051129F" w:rsidRPr="00DA3B71" w:rsidRDefault="00D60CF2">
            <w:pPr>
              <w:jc w:val="both"/>
              <w:rPr>
                <w:rFonts w:ascii="Palatino Linotype" w:eastAsia="Palatino Linotype" w:hAnsi="Palatino Linotype" w:cs="Palatino Linotype"/>
              </w:rPr>
            </w:pPr>
            <w:r w:rsidRPr="00DA3B71">
              <w:rPr>
                <w:rFonts w:ascii="Palatino Linotype" w:eastAsia="Palatino Linotype" w:hAnsi="Palatino Linotype" w:cs="Palatino Linotype"/>
                <w:b/>
                <w:bCs/>
                <w:i/>
                <w:iCs/>
              </w:rPr>
              <w:t>La información solicitada no es generada, administrada ni resguardada por la Dirección de Administración y Finanzas del Municipio de Tepotzotlán</w:t>
            </w:r>
            <w:r w:rsidRPr="00DA3B71">
              <w:rPr>
                <w:rFonts w:ascii="Palatino Linotype" w:eastAsia="Palatino Linotype" w:hAnsi="Palatino Linotype" w:cs="Palatino Linotype"/>
                <w:i/>
                <w:iCs/>
              </w:rPr>
              <w:t xml:space="preserve">, ni se encuentra vinculada al ejercicio directo de sus atribuciones, sino que </w:t>
            </w:r>
            <w:r w:rsidRPr="00DA3B71">
              <w:rPr>
                <w:rFonts w:ascii="Palatino Linotype" w:eastAsia="Palatino Linotype" w:hAnsi="Palatino Linotype" w:cs="Palatino Linotype"/>
                <w:b/>
                <w:bCs/>
                <w:i/>
                <w:iCs/>
              </w:rPr>
              <w:t>corresponde al ámbito competencial del Instituto Municipal de Cultura Física y Deporte de Tepotzotlán, en su carácter de organismo público descentralizado</w:t>
            </w:r>
          </w:p>
        </w:tc>
        <w:tc>
          <w:tcPr>
            <w:tcW w:w="2326" w:type="dxa"/>
            <w:vAlign w:val="center"/>
          </w:tcPr>
          <w:p w:rsidR="0051129F" w:rsidRPr="00DA3B71" w:rsidRDefault="00D60CF2">
            <w:pPr>
              <w:pBdr>
                <w:top w:val="nil"/>
                <w:left w:val="nil"/>
                <w:bottom w:val="nil"/>
                <w:right w:val="nil"/>
                <w:between w:val="nil"/>
              </w:pBdr>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La incompetencia pronunciada por la Dirección de Administración y Finanzas y la negativa a la entrega de la información solicitada.</w:t>
            </w:r>
          </w:p>
        </w:tc>
        <w:tc>
          <w:tcPr>
            <w:tcW w:w="1843" w:type="dxa"/>
            <w:shd w:val="clear" w:color="auto" w:fill="auto"/>
            <w:vAlign w:val="center"/>
          </w:tcPr>
          <w:p w:rsidR="0051129F" w:rsidRPr="00DA3B71" w:rsidRDefault="00D60CF2">
            <w:pPr>
              <w:pBdr>
                <w:top w:val="nil"/>
                <w:left w:val="nil"/>
                <w:bottom w:val="nil"/>
                <w:right w:val="nil"/>
                <w:between w:val="nil"/>
              </w:pBdr>
              <w:jc w:val="center"/>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Sin informe</w:t>
            </w:r>
          </w:p>
        </w:tc>
        <w:tc>
          <w:tcPr>
            <w:tcW w:w="1984" w:type="dxa"/>
            <w:shd w:val="clear" w:color="auto" w:fill="auto"/>
            <w:vAlign w:val="center"/>
          </w:tcPr>
          <w:p w:rsidR="0051129F" w:rsidRPr="00DA3B71" w:rsidRDefault="00D60CF2">
            <w:pPr>
              <w:pBdr>
                <w:top w:val="nil"/>
                <w:left w:val="nil"/>
                <w:bottom w:val="nil"/>
                <w:right w:val="nil"/>
                <w:between w:val="nil"/>
              </w:pBdr>
              <w:jc w:val="center"/>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t>SI</w:t>
            </w:r>
          </w:p>
          <w:p w:rsidR="0051129F" w:rsidRPr="00DA3B71" w:rsidRDefault="0051129F">
            <w:pPr>
              <w:pBdr>
                <w:top w:val="nil"/>
                <w:left w:val="nil"/>
                <w:bottom w:val="nil"/>
                <w:right w:val="nil"/>
                <w:between w:val="nil"/>
              </w:pBdr>
              <w:jc w:val="both"/>
              <w:rPr>
                <w:rFonts w:ascii="Palatino Linotype" w:eastAsia="Palatino Linotype" w:hAnsi="Palatino Linotype" w:cs="Palatino Linotype"/>
                <w:b/>
                <w:bCs/>
                <w:color w:val="000000"/>
              </w:rPr>
            </w:pPr>
          </w:p>
          <w:p w:rsidR="0051129F" w:rsidRPr="00DA3B71" w:rsidRDefault="00D60CF2">
            <w:pPr>
              <w:pBdr>
                <w:top w:val="nil"/>
                <w:left w:val="nil"/>
                <w:bottom w:val="nil"/>
                <w:right w:val="nil"/>
                <w:between w:val="nil"/>
              </w:pBdr>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Al ser el INMCUFIDE de Tepotzotlán un organismo público descentralizado con personalidad jurídica y patrimonio propios, el Ayuntamiento de Tepotzotlán es incompetente para conocer de la información requerida, máxime que lo que pretende el solicitante es la comprobación del ejercicio del gasto que le es transferido a dicho Instituto.</w:t>
            </w:r>
          </w:p>
        </w:tc>
      </w:tr>
      <w:tr w:rsidR="0051129F" w:rsidRPr="00DA3B71" w:rsidTr="00DA3B71">
        <w:tc>
          <w:tcPr>
            <w:tcW w:w="2268" w:type="dxa"/>
            <w:shd w:val="clear" w:color="auto" w:fill="auto"/>
          </w:tcPr>
          <w:p w:rsidR="0051129F" w:rsidRPr="00DA3B71" w:rsidRDefault="00D60CF2">
            <w:pPr>
              <w:pBdr>
                <w:top w:val="nil"/>
                <w:left w:val="nil"/>
                <w:bottom w:val="nil"/>
                <w:right w:val="nil"/>
                <w:between w:val="nil"/>
              </w:pBdr>
              <w:ind w:left="29" w:right="2"/>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 xml:space="preserve">Informar </w:t>
            </w:r>
            <w:r w:rsidRPr="00DA3B71">
              <w:rPr>
                <w:rFonts w:ascii="Palatino Linotype" w:eastAsia="Palatino Linotype" w:hAnsi="Palatino Linotype" w:cs="Palatino Linotype"/>
                <w:b/>
                <w:bCs/>
                <w:i/>
                <w:iCs/>
                <w:color w:val="000000"/>
              </w:rPr>
              <w:t>si el Cabildo</w:t>
            </w:r>
            <w:r w:rsidRPr="00DA3B71">
              <w:rPr>
                <w:rFonts w:ascii="Palatino Linotype" w:eastAsia="Palatino Linotype" w:hAnsi="Palatino Linotype" w:cs="Palatino Linotype"/>
                <w:i/>
                <w:iCs/>
                <w:color w:val="000000"/>
              </w:rPr>
              <w:t xml:space="preserve"> del Ayuntamiento de Tepotzotlán </w:t>
            </w:r>
            <w:r w:rsidRPr="00DA3B71">
              <w:rPr>
                <w:rFonts w:ascii="Palatino Linotype" w:eastAsia="Palatino Linotype" w:hAnsi="Palatino Linotype" w:cs="Palatino Linotype"/>
                <w:b/>
                <w:bCs/>
                <w:i/>
                <w:iCs/>
                <w:color w:val="000000"/>
              </w:rPr>
              <w:t xml:space="preserve">ha </w:t>
            </w:r>
            <w:r w:rsidRPr="00DA3B71">
              <w:rPr>
                <w:rFonts w:ascii="Palatino Linotype" w:eastAsia="Palatino Linotype" w:hAnsi="Palatino Linotype" w:cs="Palatino Linotype"/>
                <w:b/>
                <w:bCs/>
                <w:i/>
                <w:iCs/>
                <w:color w:val="000000"/>
              </w:rPr>
              <w:lastRenderedPageBreak/>
              <w:t>conocido, discutido o aprobado informes, observaciones, auditorías o recomendaciones</w:t>
            </w:r>
            <w:r w:rsidRPr="00DA3B71">
              <w:rPr>
                <w:rFonts w:ascii="Palatino Linotype" w:eastAsia="Palatino Linotype" w:hAnsi="Palatino Linotype" w:cs="Palatino Linotype"/>
                <w:i/>
                <w:iCs/>
                <w:color w:val="000000"/>
              </w:rPr>
              <w:t xml:space="preserve"> relacionadas con el Instituto Municipal de Cultura Física y Deporte; en caso afirmativo, proporcionar copia digital de las </w:t>
            </w:r>
            <w:r w:rsidRPr="00DA3B71">
              <w:rPr>
                <w:rFonts w:ascii="Palatino Linotype" w:eastAsia="Palatino Linotype" w:hAnsi="Palatino Linotype" w:cs="Palatino Linotype"/>
                <w:b/>
                <w:bCs/>
                <w:i/>
                <w:iCs/>
                <w:color w:val="000000"/>
              </w:rPr>
              <w:t>actas</w:t>
            </w:r>
            <w:r w:rsidRPr="00DA3B71">
              <w:rPr>
                <w:rFonts w:ascii="Palatino Linotype" w:eastAsia="Palatino Linotype" w:hAnsi="Palatino Linotype" w:cs="Palatino Linotype"/>
                <w:i/>
                <w:iCs/>
                <w:color w:val="000000"/>
              </w:rPr>
              <w:t xml:space="preserve"> correspondientes</w:t>
            </w:r>
          </w:p>
        </w:tc>
        <w:tc>
          <w:tcPr>
            <w:tcW w:w="1927" w:type="dxa"/>
            <w:shd w:val="clear" w:color="auto" w:fill="auto"/>
            <w:vAlign w:val="center"/>
          </w:tcPr>
          <w:p w:rsidR="0051129F" w:rsidRPr="00DA3B71" w:rsidRDefault="00D60CF2">
            <w:pPr>
              <w:jc w:val="center"/>
              <w:rPr>
                <w:rFonts w:ascii="Palatino Linotype" w:eastAsia="Palatino Linotype" w:hAnsi="Palatino Linotype" w:cs="Palatino Linotype"/>
              </w:rPr>
            </w:pPr>
            <w:r w:rsidRPr="00DA3B71">
              <w:rPr>
                <w:rFonts w:ascii="Palatino Linotype" w:eastAsia="Palatino Linotype" w:hAnsi="Palatino Linotype" w:cs="Palatino Linotype"/>
              </w:rPr>
              <w:lastRenderedPageBreak/>
              <w:t>Sin respuesta</w:t>
            </w:r>
          </w:p>
        </w:tc>
        <w:tc>
          <w:tcPr>
            <w:tcW w:w="2326" w:type="dxa"/>
            <w:vAlign w:val="center"/>
          </w:tcPr>
          <w:p w:rsidR="0051129F" w:rsidRPr="00DA3B71" w:rsidRDefault="00D60CF2">
            <w:pPr>
              <w:pBdr>
                <w:top w:val="nil"/>
                <w:left w:val="nil"/>
                <w:bottom w:val="nil"/>
                <w:right w:val="nil"/>
                <w:between w:val="nil"/>
              </w:pBdr>
              <w:jc w:val="center"/>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La falta de respuesta</w:t>
            </w:r>
          </w:p>
        </w:tc>
        <w:tc>
          <w:tcPr>
            <w:tcW w:w="1843" w:type="dxa"/>
            <w:shd w:val="clear" w:color="auto" w:fill="auto"/>
          </w:tcPr>
          <w:p w:rsidR="0051129F" w:rsidRPr="00DA3B71" w:rsidRDefault="00D60CF2">
            <w:pPr>
              <w:pBdr>
                <w:top w:val="nil"/>
                <w:left w:val="nil"/>
                <w:bottom w:val="nil"/>
                <w:right w:val="nil"/>
                <w:between w:val="nil"/>
              </w:pBdr>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color w:val="000000"/>
              </w:rPr>
              <w:t xml:space="preserve">Pronunciamiento del Secretario del Ayuntamiento, </w:t>
            </w:r>
            <w:r w:rsidRPr="00DA3B71">
              <w:rPr>
                <w:rFonts w:ascii="Palatino Linotype" w:eastAsia="Palatino Linotype" w:hAnsi="Palatino Linotype" w:cs="Palatino Linotype"/>
                <w:color w:val="000000"/>
              </w:rPr>
              <w:lastRenderedPageBreak/>
              <w:t>a través del cual refiere que “</w:t>
            </w:r>
            <w:r w:rsidRPr="00DA3B71">
              <w:rPr>
                <w:rFonts w:ascii="Palatino Linotype" w:eastAsia="Palatino Linotype" w:hAnsi="Palatino Linotype" w:cs="Palatino Linotype"/>
                <w:i/>
                <w:iCs/>
                <w:color w:val="000000"/>
              </w:rPr>
              <w:t>se llevó a cabo una búsqueda exhaustiva y razonable en el libro de registro de folios internos de la Secretaría del Ayuntamiento, sin encontrar documentación alguna en la cual el Ayuntamiento de Tepotzotlán ha conocido, discutido o aprobado informes, observaciones, auditorías o recomendaciones relacionadas con el Instituto Municipal de Cultura Física y Deporte” (Sic)</w:t>
            </w:r>
          </w:p>
          <w:p w:rsidR="0051129F" w:rsidRPr="00DA3B71" w:rsidRDefault="0051129F">
            <w:pPr>
              <w:pBdr>
                <w:top w:val="nil"/>
                <w:left w:val="nil"/>
                <w:bottom w:val="nil"/>
                <w:right w:val="nil"/>
                <w:between w:val="nil"/>
              </w:pBdr>
              <w:jc w:val="both"/>
              <w:rPr>
                <w:rFonts w:ascii="Palatino Linotype" w:eastAsia="Palatino Linotype" w:hAnsi="Palatino Linotype" w:cs="Palatino Linotype"/>
                <w:color w:val="000000"/>
              </w:rPr>
            </w:pPr>
          </w:p>
        </w:tc>
        <w:tc>
          <w:tcPr>
            <w:tcW w:w="1984" w:type="dxa"/>
            <w:shd w:val="clear" w:color="auto" w:fill="auto"/>
            <w:vAlign w:val="center"/>
          </w:tcPr>
          <w:p w:rsidR="0051129F" w:rsidRPr="00DA3B71" w:rsidRDefault="00D60CF2">
            <w:pPr>
              <w:pBdr>
                <w:top w:val="nil"/>
                <w:left w:val="nil"/>
                <w:bottom w:val="nil"/>
                <w:right w:val="nil"/>
                <w:between w:val="nil"/>
              </w:pBdr>
              <w:jc w:val="center"/>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lastRenderedPageBreak/>
              <w:t>SI</w:t>
            </w:r>
          </w:p>
          <w:p w:rsidR="0051129F" w:rsidRPr="00DA3B71" w:rsidRDefault="0051129F">
            <w:pPr>
              <w:pBdr>
                <w:top w:val="nil"/>
                <w:left w:val="nil"/>
                <w:bottom w:val="nil"/>
                <w:right w:val="nil"/>
                <w:between w:val="nil"/>
              </w:pBdr>
              <w:jc w:val="center"/>
              <w:rPr>
                <w:rFonts w:ascii="Palatino Linotype" w:eastAsia="Palatino Linotype" w:hAnsi="Palatino Linotype" w:cs="Palatino Linotype"/>
                <w:b/>
                <w:bCs/>
                <w:color w:val="000000"/>
              </w:rPr>
            </w:pPr>
          </w:p>
          <w:p w:rsidR="0051129F" w:rsidRPr="00DA3B71" w:rsidRDefault="00D60CF2">
            <w:pPr>
              <w:pBdr>
                <w:top w:val="nil"/>
                <w:left w:val="nil"/>
                <w:bottom w:val="nil"/>
                <w:right w:val="nil"/>
                <w:between w:val="nil"/>
              </w:pBdr>
              <w:jc w:val="center"/>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Hechos negativos</w:t>
            </w:r>
          </w:p>
        </w:tc>
      </w:tr>
      <w:tr w:rsidR="0051129F" w:rsidRPr="00DA3B71" w:rsidTr="00DA3B71">
        <w:tc>
          <w:tcPr>
            <w:tcW w:w="2268" w:type="dxa"/>
            <w:shd w:val="clear" w:color="auto" w:fill="auto"/>
            <w:vAlign w:val="center"/>
          </w:tcPr>
          <w:p w:rsidR="0051129F" w:rsidRPr="00DA3B71" w:rsidRDefault="00D60CF2">
            <w:pPr>
              <w:pBdr>
                <w:top w:val="nil"/>
                <w:left w:val="nil"/>
                <w:bottom w:val="nil"/>
                <w:right w:val="nil"/>
                <w:between w:val="nil"/>
              </w:pBdr>
              <w:ind w:left="29" w:right="2"/>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b/>
                <w:bCs/>
                <w:i/>
                <w:iCs/>
                <w:color w:val="000000"/>
              </w:rPr>
              <w:t>Actas de Cabildo</w:t>
            </w:r>
            <w:r w:rsidRPr="00DA3B71">
              <w:rPr>
                <w:rFonts w:ascii="Palatino Linotype" w:eastAsia="Palatino Linotype" w:hAnsi="Palatino Linotype" w:cs="Palatino Linotype"/>
                <w:i/>
                <w:iCs/>
                <w:color w:val="000000"/>
              </w:rPr>
              <w:t xml:space="preserve"> del Ayuntamiento de </w:t>
            </w:r>
            <w:r w:rsidRPr="00DA3B71">
              <w:rPr>
                <w:rFonts w:ascii="Palatino Linotype" w:eastAsia="Palatino Linotype" w:hAnsi="Palatino Linotype" w:cs="Palatino Linotype"/>
                <w:i/>
                <w:iCs/>
                <w:color w:val="000000"/>
              </w:rPr>
              <w:lastRenderedPageBreak/>
              <w:t xml:space="preserve">Tepotzotlán en las que se haya </w:t>
            </w:r>
            <w:r w:rsidRPr="00DA3B71">
              <w:rPr>
                <w:rFonts w:ascii="Palatino Linotype" w:eastAsia="Palatino Linotype" w:hAnsi="Palatino Linotype" w:cs="Palatino Linotype"/>
                <w:b/>
                <w:bCs/>
                <w:i/>
                <w:iCs/>
                <w:color w:val="000000"/>
              </w:rPr>
              <w:t>aprobado presupuesto, subsidios, transferencias, nombramientos o informes</w:t>
            </w:r>
            <w:r w:rsidRPr="00DA3B71">
              <w:rPr>
                <w:rFonts w:ascii="Palatino Linotype" w:eastAsia="Palatino Linotype" w:hAnsi="Palatino Linotype" w:cs="Palatino Linotype"/>
                <w:i/>
                <w:iCs/>
                <w:color w:val="000000"/>
              </w:rPr>
              <w:t xml:space="preserve"> relacionados con el </w:t>
            </w:r>
            <w:r w:rsidRPr="00DA3B71">
              <w:rPr>
                <w:rFonts w:ascii="Palatino Linotype" w:eastAsia="Palatino Linotype" w:hAnsi="Palatino Linotype" w:cs="Palatino Linotype"/>
                <w:b/>
                <w:bCs/>
                <w:i/>
                <w:iCs/>
                <w:color w:val="000000"/>
              </w:rPr>
              <w:t>Instituto Municipal de Cultura Física y Deporte</w:t>
            </w:r>
            <w:r w:rsidRPr="00DA3B71">
              <w:rPr>
                <w:rFonts w:ascii="Palatino Linotype" w:eastAsia="Palatino Linotype" w:hAnsi="Palatino Linotype" w:cs="Palatino Linotype"/>
                <w:i/>
                <w:iCs/>
                <w:color w:val="000000"/>
              </w:rPr>
              <w:t xml:space="preserve"> de Tepotzotlán durante los años </w:t>
            </w:r>
            <w:r w:rsidRPr="00DA3B71">
              <w:rPr>
                <w:rFonts w:ascii="Palatino Linotype" w:eastAsia="Palatino Linotype" w:hAnsi="Palatino Linotype" w:cs="Palatino Linotype"/>
                <w:b/>
                <w:bCs/>
                <w:i/>
                <w:iCs/>
                <w:color w:val="000000"/>
              </w:rPr>
              <w:t>2024 y 2025</w:t>
            </w:r>
          </w:p>
        </w:tc>
        <w:tc>
          <w:tcPr>
            <w:tcW w:w="1927" w:type="dxa"/>
            <w:shd w:val="clear" w:color="auto" w:fill="auto"/>
            <w:vAlign w:val="center"/>
          </w:tcPr>
          <w:p w:rsidR="0051129F" w:rsidRPr="00DA3B71" w:rsidRDefault="00D60CF2">
            <w:pPr>
              <w:jc w:val="center"/>
              <w:rPr>
                <w:rFonts w:ascii="Palatino Linotype" w:eastAsia="Palatino Linotype" w:hAnsi="Palatino Linotype" w:cs="Palatino Linotype"/>
              </w:rPr>
            </w:pPr>
            <w:r w:rsidRPr="00DA3B71">
              <w:rPr>
                <w:rFonts w:ascii="Palatino Linotype" w:eastAsia="Palatino Linotype" w:hAnsi="Palatino Linotype" w:cs="Palatino Linotype"/>
              </w:rPr>
              <w:lastRenderedPageBreak/>
              <w:t>Sin respuesta</w:t>
            </w:r>
          </w:p>
        </w:tc>
        <w:tc>
          <w:tcPr>
            <w:tcW w:w="2326" w:type="dxa"/>
            <w:vAlign w:val="center"/>
          </w:tcPr>
          <w:p w:rsidR="0051129F" w:rsidRPr="00DA3B71" w:rsidRDefault="00D60CF2">
            <w:pPr>
              <w:pBdr>
                <w:top w:val="nil"/>
                <w:left w:val="nil"/>
                <w:bottom w:val="nil"/>
                <w:right w:val="nil"/>
                <w:between w:val="nil"/>
              </w:pBdr>
              <w:jc w:val="center"/>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La falta de respuesta</w:t>
            </w:r>
          </w:p>
        </w:tc>
        <w:tc>
          <w:tcPr>
            <w:tcW w:w="1843" w:type="dxa"/>
            <w:shd w:val="clear" w:color="auto" w:fill="auto"/>
            <w:vAlign w:val="center"/>
          </w:tcPr>
          <w:p w:rsidR="0051129F" w:rsidRPr="00DA3B71" w:rsidRDefault="00D60CF2">
            <w:pPr>
              <w:pBdr>
                <w:top w:val="nil"/>
                <w:left w:val="nil"/>
                <w:bottom w:val="nil"/>
                <w:right w:val="nil"/>
                <w:between w:val="nil"/>
              </w:pBdr>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 xml:space="preserve">Pronunciamiento del </w:t>
            </w:r>
            <w:r w:rsidRPr="00DA3B71">
              <w:rPr>
                <w:rFonts w:ascii="Palatino Linotype" w:eastAsia="Palatino Linotype" w:hAnsi="Palatino Linotype" w:cs="Palatino Linotype"/>
                <w:color w:val="000000"/>
              </w:rPr>
              <w:lastRenderedPageBreak/>
              <w:t>Secretario del Ayuntamiento, a través del cual refiere la fuente de consulta para la información solicitada, proporcionando una liga electrónica que se encuentra en formato cerrado.</w:t>
            </w:r>
          </w:p>
          <w:p w:rsidR="0051129F" w:rsidRPr="00DA3B71" w:rsidRDefault="0051129F">
            <w:pPr>
              <w:pBdr>
                <w:top w:val="nil"/>
                <w:left w:val="nil"/>
                <w:bottom w:val="nil"/>
                <w:right w:val="nil"/>
                <w:between w:val="nil"/>
              </w:pBdr>
              <w:jc w:val="center"/>
              <w:rPr>
                <w:rFonts w:ascii="Palatino Linotype" w:eastAsia="Palatino Linotype" w:hAnsi="Palatino Linotype" w:cs="Palatino Linotype"/>
                <w:color w:val="000000"/>
              </w:rPr>
            </w:pPr>
          </w:p>
        </w:tc>
        <w:tc>
          <w:tcPr>
            <w:tcW w:w="1984" w:type="dxa"/>
            <w:shd w:val="clear" w:color="auto" w:fill="auto"/>
            <w:vAlign w:val="center"/>
          </w:tcPr>
          <w:p w:rsidR="0051129F" w:rsidRPr="00DA3B71" w:rsidRDefault="00D60CF2">
            <w:pPr>
              <w:jc w:val="center"/>
              <w:rPr>
                <w:rFonts w:ascii="Palatino Linotype" w:eastAsia="Palatino Linotype" w:hAnsi="Palatino Linotype" w:cs="Palatino Linotype"/>
                <w:b/>
                <w:bCs/>
              </w:rPr>
            </w:pPr>
            <w:r w:rsidRPr="00DA3B71">
              <w:rPr>
                <w:rFonts w:ascii="Palatino Linotype" w:eastAsia="Palatino Linotype" w:hAnsi="Palatino Linotype" w:cs="Palatino Linotype"/>
                <w:b/>
                <w:bCs/>
              </w:rPr>
              <w:lastRenderedPageBreak/>
              <w:t>NO</w:t>
            </w:r>
          </w:p>
          <w:p w:rsidR="0051129F" w:rsidRPr="00DA3B71" w:rsidRDefault="0051129F">
            <w:pPr>
              <w:jc w:val="center"/>
              <w:rPr>
                <w:rFonts w:ascii="Palatino Linotype" w:eastAsia="Palatino Linotype" w:hAnsi="Palatino Linotype" w:cs="Palatino Linotype"/>
                <w:b/>
                <w:bCs/>
              </w:rPr>
            </w:pPr>
          </w:p>
          <w:p w:rsidR="0051129F" w:rsidRPr="00DA3B71" w:rsidRDefault="00D60CF2">
            <w:pPr>
              <w:jc w:val="center"/>
              <w:rPr>
                <w:rFonts w:ascii="Palatino Linotype" w:eastAsia="Palatino Linotype" w:hAnsi="Palatino Linotype" w:cs="Palatino Linotype"/>
              </w:rPr>
            </w:pPr>
            <w:r w:rsidRPr="00DA3B71">
              <w:rPr>
                <w:rFonts w:ascii="Palatino Linotype" w:eastAsia="Palatino Linotype" w:hAnsi="Palatino Linotype" w:cs="Palatino Linotype"/>
              </w:rPr>
              <w:lastRenderedPageBreak/>
              <w:t>Liga de consulta proporcionada en formato cerrado.</w:t>
            </w:r>
          </w:p>
        </w:tc>
      </w:tr>
    </w:tbl>
    <w:p w:rsidR="0051129F" w:rsidRPr="00DA3B71" w:rsidRDefault="0051129F">
      <w:pPr>
        <w:tabs>
          <w:tab w:val="left" w:pos="284"/>
        </w:tabs>
        <w:spacing w:line="360" w:lineRule="auto"/>
        <w:jc w:val="both"/>
        <w:rPr>
          <w:rFonts w:ascii="Palatino Linotype" w:eastAsia="Palatino Linotype" w:hAnsi="Palatino Linotype" w:cs="Palatino Linotype"/>
          <w:i/>
          <w:iCs/>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b/>
          <w:bCs/>
        </w:rPr>
      </w:pPr>
      <w:r w:rsidRPr="00DA3B71">
        <w:rPr>
          <w:rFonts w:ascii="Palatino Linotype" w:eastAsia="Palatino Linotype" w:hAnsi="Palatino Linotype" w:cs="Palatino Linotype"/>
        </w:rPr>
        <w:t xml:space="preserve">Por lo que respecta a la solicitud </w:t>
      </w:r>
      <w:r w:rsidRPr="00DA3B71">
        <w:rPr>
          <w:rFonts w:ascii="Palatino Linotype" w:eastAsia="Palatino Linotype" w:hAnsi="Palatino Linotype" w:cs="Palatino Linotype"/>
          <w:i/>
          <w:iCs/>
          <w:u w:val="single"/>
        </w:rPr>
        <w:t>Copia digital de la documentación comprobatoria del ejercicio del gasto de los recursos municipales transferidos al Instituto Municipal de Cultura Física y Deporte de Tepotzotlán, incluyendo pólizas, facturas, contratos y comprobantes de pago, durante los ejercicios fiscales 2023 a 2025.</w:t>
      </w:r>
      <w:r w:rsidRPr="00DA3B71">
        <w:rPr>
          <w:rFonts w:ascii="Palatino Linotype" w:eastAsia="Palatino Linotype" w:hAnsi="Palatino Linotype" w:cs="Palatino Linotype"/>
          <w:u w:val="single"/>
        </w:rPr>
        <w:t>,</w:t>
      </w:r>
      <w:r w:rsidRPr="00DA3B71">
        <w:rPr>
          <w:rFonts w:ascii="Palatino Linotype" w:eastAsia="Palatino Linotype" w:hAnsi="Palatino Linotype" w:cs="Palatino Linotype"/>
        </w:rPr>
        <w:t xml:space="preserve"> es de recordar que el Sujeto Obligado a través de la Dirección de Administración y Finanzas refirió que </w:t>
      </w:r>
      <w:r w:rsidRPr="00DA3B71">
        <w:rPr>
          <w:rFonts w:ascii="Palatino Linotype" w:eastAsia="Palatino Linotype" w:hAnsi="Palatino Linotype" w:cs="Palatino Linotype"/>
          <w:b/>
          <w:bCs/>
          <w:i/>
          <w:iCs/>
        </w:rPr>
        <w:t>la información solicitada no es generada, administrada ni resguardada por la Dirección de Administración y Finanzas del Municipio de Tepotzotlán</w:t>
      </w:r>
      <w:r w:rsidRPr="00DA3B71">
        <w:rPr>
          <w:rFonts w:ascii="Palatino Linotype" w:eastAsia="Palatino Linotype" w:hAnsi="Palatino Linotype" w:cs="Palatino Linotype"/>
          <w:i/>
          <w:iCs/>
        </w:rPr>
        <w:t xml:space="preserve">, ni se encuentra vinculada al ejercicio directo de sus atribuciones, sino que </w:t>
      </w:r>
      <w:r w:rsidRPr="00DA3B71">
        <w:rPr>
          <w:rFonts w:ascii="Palatino Linotype" w:eastAsia="Palatino Linotype" w:hAnsi="Palatino Linotype" w:cs="Palatino Linotype"/>
          <w:b/>
          <w:bCs/>
          <w:i/>
          <w:iCs/>
        </w:rPr>
        <w:t>corresponde al ámbito competencial del Instituto Municipal de Cultura Física y Deporte de Tepotzotlán, en su carácter de organismo público descentralizado</w:t>
      </w:r>
      <w:r w:rsidRPr="00DA3B71">
        <w:rPr>
          <w:rFonts w:ascii="Palatino Linotype" w:eastAsia="Palatino Linotype" w:hAnsi="Palatino Linotype" w:cs="Palatino Linotype"/>
          <w:b/>
          <w:bCs/>
        </w:rPr>
        <w:t>.</w:t>
      </w:r>
    </w:p>
    <w:p w:rsidR="0051129F" w:rsidRPr="00DA3B71" w:rsidRDefault="0051129F">
      <w:pPr>
        <w:tabs>
          <w:tab w:val="left" w:pos="284"/>
        </w:tabs>
        <w:spacing w:line="360" w:lineRule="auto"/>
        <w:jc w:val="both"/>
        <w:rPr>
          <w:rFonts w:ascii="Palatino Linotype" w:eastAsia="Palatino Linotype" w:hAnsi="Palatino Linotype" w:cs="Palatino Linotype"/>
          <w:b/>
          <w:bCs/>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lastRenderedPageBreak/>
        <w:t>Por ello en primer lugar es de recordar que la Dirección de Administración y Finanzas, asumirá las funciones y atribuciones de la Tesorería, teniendo como funciones, en forma enunciativa y no limitativa, las establecidas en el artículo 95 de la Ley Orgánica Municipal del Estado de México, dentro de las cuales se encuentran Administrar la hacienda pública municipal; Llevar los registros contables, financieros y administrativos de los ingresos, egresos, e inventarios; Proporcionar oportunamente al ayuntamiento todos los datos o informes que sean necesarios para la formulación del Presupuesto de Egresos Municipales, por lo que en una aproximación inicial puede presumirse que la información requerida es generada, administrada o poseída por esta unidad administrativa, lo cierto es que tal y como lo señaló el Sujeto Obligado, el 02 de abril de 2008, se publicó en el Periódico Oficial “Gaceta del Gobierno” la LEY QUE CREA EL ORGANISMO PÚBLICO DESCENTRALIZADO DENOMINADO INSTITUTO MUNICIPAL DE CULTURA FÍSICA Y DEPORTE DE TEPOTZOTLÁN, definiéndolo en su artículo 1 como un organismo público descentralizado con personalidad jurídica y patrimonio propios, cuyo patrimonio se integra con la asignación anual del 2% del total del presupuesto de egresos del Municipio.</w:t>
      </w:r>
    </w:p>
    <w:p w:rsidR="0051129F" w:rsidRPr="00DA3B71" w:rsidRDefault="0051129F">
      <w:pPr>
        <w:tabs>
          <w:tab w:val="left" w:pos="284"/>
        </w:tabs>
        <w:spacing w:line="360" w:lineRule="auto"/>
        <w:jc w:val="both"/>
        <w:rPr>
          <w:rFonts w:ascii="Palatino Linotype" w:eastAsia="Palatino Linotype" w:hAnsi="Palatino Linotype" w:cs="Palatino Linotype"/>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Dicho Instituto está organizado por una dirección y una junta directiva, el director tiene las facultades de Representar al Instituto, Presentar ante la junta directiva el proyecto anual del presupuesto de ingresos y de egresos, presentar ante la junta directiva estados financieros y balances anuales, por mencionar algunas.</w:t>
      </w:r>
    </w:p>
    <w:p w:rsidR="0051129F" w:rsidRPr="00DA3B71" w:rsidRDefault="0051129F">
      <w:pPr>
        <w:tabs>
          <w:tab w:val="left" w:pos="284"/>
        </w:tabs>
        <w:spacing w:line="360" w:lineRule="auto"/>
        <w:jc w:val="both"/>
        <w:rPr>
          <w:rFonts w:ascii="Palatino Linotype" w:eastAsia="Palatino Linotype" w:hAnsi="Palatino Linotype" w:cs="Palatino Linotype"/>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i/>
          <w:iCs/>
        </w:rPr>
      </w:pPr>
      <w:r w:rsidRPr="00DA3B71">
        <w:rPr>
          <w:rFonts w:ascii="Palatino Linotype" w:eastAsia="Palatino Linotype" w:hAnsi="Palatino Linotype" w:cs="Palatino Linotype"/>
        </w:rPr>
        <w:t xml:space="preserve">En consecuencia y toda vez que la intención del particular es conocer la documentación comprobatoria del ejercicio del gasto otorgado al Instituto, dicha información no obra en los </w:t>
      </w:r>
      <w:r w:rsidRPr="00DA3B71">
        <w:rPr>
          <w:rFonts w:ascii="Palatino Linotype" w:eastAsia="Palatino Linotype" w:hAnsi="Palatino Linotype" w:cs="Palatino Linotype"/>
        </w:rPr>
        <w:lastRenderedPageBreak/>
        <w:t>archivos del Ayuntamiento de Tepotzoltán, sino en los del Instituto Municipal de Cultura Física y Deporte de Tepotzotlán.</w:t>
      </w:r>
    </w:p>
    <w:p w:rsidR="0051129F" w:rsidRPr="00DA3B71" w:rsidRDefault="0051129F">
      <w:pPr>
        <w:tabs>
          <w:tab w:val="left" w:pos="284"/>
        </w:tabs>
        <w:spacing w:line="360" w:lineRule="auto"/>
        <w:jc w:val="both"/>
        <w:rPr>
          <w:rFonts w:ascii="Palatino Linotype" w:eastAsia="Palatino Linotype" w:hAnsi="Palatino Linotype" w:cs="Palatino Linotype"/>
          <w:i/>
          <w:iCs/>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i/>
          <w:iCs/>
        </w:rPr>
      </w:pPr>
      <w:r w:rsidRPr="00DA3B71">
        <w:rPr>
          <w:rFonts w:ascii="Palatino Linotype" w:eastAsia="Palatino Linotype" w:hAnsi="Palatino Linotype" w:cs="Palatino Linotype"/>
        </w:rPr>
        <w:t xml:space="preserve">Refuerza lo anterior la Tabla de aplicabilidad de las obligaciones de transparencia común en relación a la fracción XXV, del artículo 92,  misma que hace referencia a </w:t>
      </w:r>
      <w:r w:rsidRPr="00DA3B71">
        <w:rPr>
          <w:rFonts w:ascii="Palatino Linotype" w:eastAsia="Palatino Linotype" w:hAnsi="Palatino Linotype" w:cs="Palatino Linotype"/>
          <w:i/>
          <w:iCs/>
        </w:rPr>
        <w:t>La información financiera sobre el presupuesto asignado, así como los informes del ejercicio trimestral del gasto, en términos de la Ley General de Contabilidad Gubernamental y demás disposiciones jurídicas aplicables</w:t>
      </w:r>
      <w:r w:rsidRPr="00DA3B71">
        <w:rPr>
          <w:rFonts w:ascii="Palatino Linotype" w:eastAsia="Palatino Linotype" w:hAnsi="Palatino Linotype" w:cs="Palatino Linotype"/>
        </w:rPr>
        <w:t xml:space="preserve">; para el Instituto Municipal de Cultura Física y Deporte de Tepotzotlán, si aplican los rubros relativos a </w:t>
      </w:r>
      <w:r w:rsidRPr="00DA3B71">
        <w:rPr>
          <w:rFonts w:ascii="Palatino Linotype" w:eastAsia="Palatino Linotype" w:hAnsi="Palatino Linotype" w:cs="Palatino Linotype"/>
          <w:b/>
          <w:bCs/>
          <w:color w:val="000000"/>
        </w:rPr>
        <w:t>Presupuesto Asignado, Ejercicio de los egresos presupuestarios  e Información financiera de cuenta pública</w:t>
      </w:r>
      <w:r w:rsidRPr="00DA3B71">
        <w:rPr>
          <w:rFonts w:ascii="Palatino Linotype" w:eastAsia="Palatino Linotype" w:hAnsi="Palatino Linotype" w:cs="Palatino Linotype"/>
          <w:color w:val="000000"/>
        </w:rPr>
        <w:t>, tal como se ilustra con la imagen siguiente:</w:t>
      </w:r>
    </w:p>
    <w:p w:rsidR="0051129F" w:rsidRPr="00DA3B71" w:rsidRDefault="0051129F">
      <w:pPr>
        <w:tabs>
          <w:tab w:val="left" w:pos="284"/>
        </w:tabs>
        <w:spacing w:line="360" w:lineRule="auto"/>
        <w:jc w:val="both"/>
        <w:rPr>
          <w:rFonts w:ascii="Palatino Linotype" w:eastAsia="Palatino Linotype" w:hAnsi="Palatino Linotype" w:cs="Palatino Linotype"/>
          <w:color w:val="000000"/>
        </w:rPr>
      </w:pPr>
    </w:p>
    <w:p w:rsidR="0051129F" w:rsidRPr="00DA3B71" w:rsidRDefault="00D60CF2" w:rsidP="00DA3B71">
      <w:pPr>
        <w:tabs>
          <w:tab w:val="left" w:pos="284"/>
        </w:tabs>
        <w:spacing w:line="360" w:lineRule="auto"/>
        <w:jc w:val="center"/>
        <w:rPr>
          <w:rFonts w:ascii="Palatino Linotype" w:eastAsia="Palatino Linotype" w:hAnsi="Palatino Linotype" w:cs="Palatino Linotype"/>
          <w:i/>
          <w:iCs/>
        </w:rPr>
      </w:pPr>
      <w:bookmarkStart w:id="5" w:name="_heading=h.z86tz9s5ve95" w:colFirst="0" w:colLast="0"/>
      <w:bookmarkEnd w:id="5"/>
      <w:r w:rsidRPr="00DA3B71">
        <w:rPr>
          <w:rFonts w:ascii="Palatino Linotype" w:eastAsia="Palatino Linotype" w:hAnsi="Palatino Linotype" w:cs="Palatino Linotype"/>
          <w:i/>
          <w:iCs/>
          <w:noProof/>
          <w:lang w:val="es-MX"/>
        </w:rPr>
        <w:drawing>
          <wp:inline distT="0" distB="0" distL="0" distR="0">
            <wp:extent cx="5612130" cy="353441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612130" cy="3534410"/>
                    </a:xfrm>
                    <a:prstGeom prst="rect">
                      <a:avLst/>
                    </a:prstGeom>
                    <a:ln/>
                  </pic:spPr>
                </pic:pic>
              </a:graphicData>
            </a:graphic>
          </wp:inline>
        </w:drawing>
      </w:r>
    </w:p>
    <w:p w:rsidR="0051129F" w:rsidRPr="00DA3B71" w:rsidRDefault="0051129F">
      <w:pPr>
        <w:tabs>
          <w:tab w:val="left" w:pos="284"/>
        </w:tabs>
        <w:spacing w:line="360" w:lineRule="auto"/>
        <w:jc w:val="both"/>
        <w:rPr>
          <w:rFonts w:ascii="Palatino Linotype" w:eastAsia="Palatino Linotype" w:hAnsi="Palatino Linotype" w:cs="Palatino Linotype"/>
        </w:rPr>
      </w:pPr>
    </w:p>
    <w:p w:rsidR="0051129F" w:rsidRPr="00DA3B71" w:rsidRDefault="00D60CF2">
      <w:pPr>
        <w:numPr>
          <w:ilvl w:val="0"/>
          <w:numId w:val="3"/>
        </w:numPr>
        <w:spacing w:line="360" w:lineRule="auto"/>
        <w:ind w:right="-850"/>
        <w:jc w:val="both"/>
        <w:rPr>
          <w:rFonts w:ascii="Palatino Linotype" w:eastAsia="Palatino Linotype" w:hAnsi="Palatino Linotype" w:cs="Palatino Linotype"/>
          <w:b/>
          <w:bCs/>
        </w:rPr>
      </w:pPr>
      <w:r w:rsidRPr="00DA3B71">
        <w:rPr>
          <w:rFonts w:ascii="Palatino Linotype" w:eastAsia="Palatino Linotype" w:hAnsi="Palatino Linotype" w:cs="Palatino Linotype"/>
          <w:b/>
          <w:bCs/>
        </w:rPr>
        <w:lastRenderedPageBreak/>
        <w:t xml:space="preserve">De la declaratoria de incompetencia del Sujeto Obligado. </w:t>
      </w: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b/>
          <w:bCs/>
        </w:rPr>
      </w:pPr>
      <w:r w:rsidRPr="00DA3B71">
        <w:rPr>
          <w:rFonts w:ascii="Palatino Linotype" w:eastAsia="Palatino Linotype" w:hAnsi="Palatino Linotype" w:cs="Palatino Linotype"/>
        </w:rPr>
        <w:t xml:space="preserve">Al respecto, de los artículos 49, fracción II, 53, fracción III y 167 de la Ley de Transparencia y Acceso a la Información Pública del Estado de México y Municipios, se desprende que las Unidades de Transparencia son responsables de orientar a los particulares respecto de la dependencia, entidad u órgano que pudiera tener la información requerida, </w:t>
      </w:r>
      <w:r w:rsidRPr="00DA3B71">
        <w:rPr>
          <w:rFonts w:ascii="Palatino Linotype" w:eastAsia="Palatino Linotype" w:hAnsi="Palatino Linotype" w:cs="Palatino Linotype"/>
          <w:b/>
          <w:bCs/>
        </w:rPr>
        <w:t>cuando la misma no sea competencia del sujeto obligado ante el cual se formule la solicitud de acceso.</w:t>
      </w:r>
    </w:p>
    <w:p w:rsidR="0051129F" w:rsidRPr="00DA3B71" w:rsidRDefault="0051129F">
      <w:pPr>
        <w:spacing w:line="360" w:lineRule="auto"/>
        <w:ind w:right="-850"/>
        <w:rPr>
          <w:rFonts w:ascii="Palatino Linotype" w:eastAsia="Palatino Linotype" w:hAnsi="Palatino Linotype" w:cs="Palatino Linotype"/>
          <w:b/>
          <w:bCs/>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 xml:space="preserve">Asimismo, que los Comités de Transparencia tienen entre sus atribuciones confirmar, modificar o revocar la </w:t>
      </w:r>
      <w:r w:rsidRPr="00DA3B71">
        <w:rPr>
          <w:rFonts w:ascii="Palatino Linotype" w:eastAsia="Palatino Linotype" w:hAnsi="Palatino Linotype" w:cs="Palatino Linotype"/>
          <w:b/>
          <w:bCs/>
        </w:rPr>
        <w:t>declaración de incompetencia</w:t>
      </w:r>
      <w:r w:rsidRPr="00DA3B71">
        <w:rPr>
          <w:rFonts w:ascii="Palatino Linotype" w:eastAsia="Palatino Linotype" w:hAnsi="Palatino Linotype" w:cs="Palatino Linotype"/>
        </w:rPr>
        <w:t xml:space="preserve"> que realicen los titulares de las unidades administrativas.</w:t>
      </w:r>
    </w:p>
    <w:p w:rsidR="0051129F" w:rsidRPr="00DA3B71" w:rsidRDefault="00D60CF2" w:rsidP="00DA3B71">
      <w:pPr>
        <w:tabs>
          <w:tab w:val="left" w:pos="142"/>
          <w:tab w:val="left" w:pos="284"/>
        </w:tabs>
        <w:ind w:left="567" w:right="709"/>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r w:rsidRPr="00DA3B71">
        <w:rPr>
          <w:rFonts w:ascii="Palatino Linotype" w:eastAsia="Palatino Linotype" w:hAnsi="Palatino Linotype" w:cs="Palatino Linotype"/>
          <w:b/>
          <w:bCs/>
          <w:i/>
          <w:iCs/>
        </w:rPr>
        <w:t>Artículo 49.</w:t>
      </w:r>
      <w:r w:rsidRPr="00DA3B71">
        <w:rPr>
          <w:rFonts w:ascii="Palatino Linotype" w:eastAsia="Palatino Linotype" w:hAnsi="Palatino Linotype" w:cs="Palatino Linotype"/>
          <w:i/>
          <w:iCs/>
        </w:rPr>
        <w:t xml:space="preserve"> </w:t>
      </w:r>
      <w:r w:rsidRPr="00DA3B71">
        <w:rPr>
          <w:rFonts w:ascii="Palatino Linotype" w:eastAsia="Palatino Linotype" w:hAnsi="Palatino Linotype" w:cs="Palatino Linotype"/>
          <w:b/>
          <w:bCs/>
          <w:i/>
          <w:iCs/>
        </w:rPr>
        <w:t>Los Comités de Transparencia</w:t>
      </w:r>
      <w:r w:rsidRPr="00DA3B71">
        <w:rPr>
          <w:rFonts w:ascii="Palatino Linotype" w:eastAsia="Palatino Linotype" w:hAnsi="Palatino Linotype" w:cs="Palatino Linotype"/>
          <w:i/>
          <w:iCs/>
        </w:rPr>
        <w:t xml:space="preserve"> tendrán las siguientes atribuciones:</w:t>
      </w:r>
    </w:p>
    <w:p w:rsidR="0051129F" w:rsidRPr="00DA3B71" w:rsidRDefault="00D60CF2" w:rsidP="00DA3B71">
      <w:pPr>
        <w:tabs>
          <w:tab w:val="left" w:pos="142"/>
          <w:tab w:val="left" w:pos="284"/>
        </w:tabs>
        <w:ind w:left="567" w:right="709"/>
        <w:jc w:val="both"/>
        <w:rPr>
          <w:rFonts w:ascii="Palatino Linotype" w:eastAsia="Palatino Linotype" w:hAnsi="Palatino Linotype" w:cs="Palatino Linotype"/>
          <w:b/>
          <w:bCs/>
          <w:i/>
          <w:iCs/>
        </w:rPr>
      </w:pPr>
      <w:r w:rsidRPr="00DA3B71">
        <w:rPr>
          <w:rFonts w:ascii="Palatino Linotype" w:eastAsia="Palatino Linotype" w:hAnsi="Palatino Linotype" w:cs="Palatino Linotype"/>
          <w:b/>
          <w:bCs/>
          <w:i/>
          <w:iCs/>
        </w:rPr>
        <w:t>...</w:t>
      </w:r>
    </w:p>
    <w:p w:rsidR="0051129F" w:rsidRPr="00DA3B71" w:rsidRDefault="00D60CF2" w:rsidP="00DA3B71">
      <w:pPr>
        <w:tabs>
          <w:tab w:val="left" w:pos="142"/>
          <w:tab w:val="left" w:pos="284"/>
        </w:tabs>
        <w:ind w:left="567" w:right="709"/>
        <w:jc w:val="both"/>
        <w:rPr>
          <w:rFonts w:ascii="Palatino Linotype" w:eastAsia="Palatino Linotype" w:hAnsi="Palatino Linotype" w:cs="Palatino Linotype"/>
          <w:b/>
          <w:bCs/>
          <w:i/>
          <w:iCs/>
          <w:u w:val="single"/>
        </w:rPr>
      </w:pPr>
      <w:r w:rsidRPr="00DA3B71">
        <w:rPr>
          <w:rFonts w:ascii="Palatino Linotype" w:eastAsia="Palatino Linotype" w:hAnsi="Palatino Linotype" w:cs="Palatino Linotype"/>
          <w:b/>
          <w:bCs/>
          <w:i/>
          <w:iCs/>
        </w:rPr>
        <w:t>II.</w:t>
      </w:r>
      <w:r w:rsidRPr="00DA3B71">
        <w:rPr>
          <w:rFonts w:ascii="Palatino Linotype" w:eastAsia="Palatino Linotype" w:hAnsi="Palatino Linotype" w:cs="Palatino Linotype"/>
        </w:rPr>
        <w:t xml:space="preserve"> </w:t>
      </w:r>
      <w:r w:rsidRPr="00DA3B71">
        <w:rPr>
          <w:rFonts w:ascii="Palatino Linotype" w:eastAsia="Palatino Linotype" w:hAnsi="Palatino Linotype" w:cs="Palatino Linotype"/>
          <w:b/>
          <w:bCs/>
          <w:i/>
          <w:iCs/>
        </w:rPr>
        <w:t>Confirmar, modificar o revocar</w:t>
      </w:r>
      <w:r w:rsidRPr="00DA3B71">
        <w:rPr>
          <w:rFonts w:ascii="Palatino Linotype" w:eastAsia="Palatino Linotype" w:hAnsi="Palatino Linotype" w:cs="Palatino Linotype"/>
          <w:i/>
          <w:iCs/>
        </w:rPr>
        <w:t xml:space="preserve"> las determinaciones que en materia de ampliación del plazo de respuesta, clasificación de la información </w:t>
      </w:r>
      <w:r w:rsidRPr="00DA3B71">
        <w:rPr>
          <w:rFonts w:ascii="Palatino Linotype" w:eastAsia="Palatino Linotype" w:hAnsi="Palatino Linotype" w:cs="Palatino Linotype"/>
          <w:b/>
          <w:bCs/>
          <w:i/>
          <w:iCs/>
        </w:rPr>
        <w:t>y declaración</w:t>
      </w:r>
      <w:r w:rsidRPr="00DA3B71">
        <w:rPr>
          <w:rFonts w:ascii="Palatino Linotype" w:eastAsia="Palatino Linotype" w:hAnsi="Palatino Linotype" w:cs="Palatino Linotype"/>
          <w:i/>
          <w:iCs/>
        </w:rPr>
        <w:t xml:space="preserve"> de inexistencia o </w:t>
      </w:r>
      <w:r w:rsidRPr="00DA3B71">
        <w:rPr>
          <w:rFonts w:ascii="Palatino Linotype" w:eastAsia="Palatino Linotype" w:hAnsi="Palatino Linotype" w:cs="Palatino Linotype"/>
          <w:b/>
          <w:bCs/>
          <w:i/>
          <w:iCs/>
        </w:rPr>
        <w:t>de incompetencia realicen los titulares de las áreas de los sujetos obligados;</w:t>
      </w:r>
    </w:p>
    <w:p w:rsidR="0051129F" w:rsidRPr="00DA3B71" w:rsidRDefault="00D60CF2" w:rsidP="00DA3B71">
      <w:pPr>
        <w:tabs>
          <w:tab w:val="left" w:pos="142"/>
          <w:tab w:val="left" w:pos="284"/>
        </w:tabs>
        <w:ind w:left="567" w:right="709"/>
        <w:jc w:val="both"/>
        <w:rPr>
          <w:rFonts w:ascii="Palatino Linotype" w:eastAsia="Palatino Linotype" w:hAnsi="Palatino Linotype" w:cs="Palatino Linotype"/>
          <w:b/>
          <w:bCs/>
          <w:i/>
          <w:iCs/>
        </w:rPr>
      </w:pPr>
      <w:r w:rsidRPr="00DA3B71">
        <w:rPr>
          <w:rFonts w:ascii="Palatino Linotype" w:eastAsia="Palatino Linotype" w:hAnsi="Palatino Linotype" w:cs="Palatino Linotype"/>
          <w:b/>
          <w:bCs/>
          <w:i/>
          <w:iCs/>
        </w:rPr>
        <w:t>...</w:t>
      </w:r>
    </w:p>
    <w:p w:rsidR="0051129F" w:rsidRPr="00DA3B71" w:rsidRDefault="0051129F" w:rsidP="00DA3B71">
      <w:pPr>
        <w:tabs>
          <w:tab w:val="left" w:pos="142"/>
          <w:tab w:val="left" w:pos="284"/>
        </w:tabs>
        <w:ind w:left="567" w:right="709"/>
        <w:jc w:val="both"/>
        <w:rPr>
          <w:rFonts w:ascii="Palatino Linotype" w:eastAsia="Palatino Linotype" w:hAnsi="Palatino Linotype" w:cs="Palatino Linotype"/>
          <w:b/>
          <w:bCs/>
          <w:i/>
          <w:iCs/>
        </w:rPr>
      </w:pPr>
    </w:p>
    <w:p w:rsidR="0051129F" w:rsidRPr="00DA3B71" w:rsidRDefault="00D60CF2" w:rsidP="00DA3B71">
      <w:pPr>
        <w:tabs>
          <w:tab w:val="left" w:pos="142"/>
          <w:tab w:val="left" w:pos="284"/>
        </w:tabs>
        <w:ind w:left="567" w:right="709"/>
        <w:jc w:val="both"/>
        <w:rPr>
          <w:rFonts w:ascii="Palatino Linotype" w:eastAsia="Palatino Linotype" w:hAnsi="Palatino Linotype" w:cs="Palatino Linotype"/>
          <w:b/>
          <w:bCs/>
          <w:i/>
          <w:iCs/>
        </w:rPr>
      </w:pPr>
      <w:r w:rsidRPr="00DA3B71">
        <w:rPr>
          <w:rFonts w:ascii="Palatino Linotype" w:eastAsia="Palatino Linotype" w:hAnsi="Palatino Linotype" w:cs="Palatino Linotype"/>
          <w:b/>
          <w:bCs/>
          <w:i/>
          <w:iCs/>
        </w:rPr>
        <w:t xml:space="preserve">Artículo 53. Las Unidades de Transparencia tendrán las siguientes funciones: </w:t>
      </w:r>
    </w:p>
    <w:p w:rsidR="0051129F" w:rsidRPr="00DA3B71" w:rsidRDefault="00D60CF2" w:rsidP="00DA3B71">
      <w:pPr>
        <w:tabs>
          <w:tab w:val="left" w:pos="142"/>
          <w:tab w:val="left" w:pos="284"/>
        </w:tabs>
        <w:ind w:left="567" w:right="709"/>
        <w:jc w:val="both"/>
        <w:rPr>
          <w:rFonts w:ascii="Palatino Linotype" w:eastAsia="Palatino Linotype" w:hAnsi="Palatino Linotype" w:cs="Palatino Linotype"/>
          <w:b/>
          <w:bCs/>
          <w:i/>
          <w:iCs/>
        </w:rPr>
      </w:pPr>
      <w:r w:rsidRPr="00DA3B71">
        <w:rPr>
          <w:rFonts w:ascii="Palatino Linotype" w:eastAsia="Palatino Linotype" w:hAnsi="Palatino Linotype" w:cs="Palatino Linotype"/>
          <w:b/>
          <w:bCs/>
          <w:i/>
          <w:iCs/>
        </w:rPr>
        <w:t>…</w:t>
      </w:r>
    </w:p>
    <w:p w:rsidR="0051129F" w:rsidRPr="00DA3B71" w:rsidRDefault="00D60CF2" w:rsidP="00DA3B71">
      <w:pPr>
        <w:tabs>
          <w:tab w:val="left" w:pos="142"/>
          <w:tab w:val="left" w:pos="284"/>
        </w:tabs>
        <w:ind w:left="567" w:right="709"/>
        <w:jc w:val="both"/>
        <w:rPr>
          <w:rFonts w:ascii="Palatino Linotype" w:eastAsia="Palatino Linotype" w:hAnsi="Palatino Linotype" w:cs="Palatino Linotype"/>
          <w:b/>
          <w:bCs/>
          <w:i/>
          <w:iCs/>
        </w:rPr>
      </w:pPr>
      <w:r w:rsidRPr="00DA3B71">
        <w:rPr>
          <w:rFonts w:ascii="Palatino Linotype" w:eastAsia="Palatino Linotype" w:hAnsi="Palatino Linotype" w:cs="Palatino Linotype"/>
          <w:b/>
          <w:bCs/>
          <w:i/>
          <w:iCs/>
        </w:rPr>
        <w:t>III. Auxiliar a los particulares</w:t>
      </w:r>
      <w:r w:rsidRPr="00DA3B71">
        <w:rPr>
          <w:rFonts w:ascii="Palatino Linotype" w:eastAsia="Palatino Linotype" w:hAnsi="Palatino Linotype" w:cs="Palatino Linotype"/>
          <w:i/>
          <w:iCs/>
        </w:rPr>
        <w:t xml:space="preserve"> en la elaboración de solicitudes de acceso a la información y, en su caso, orientarlos </w:t>
      </w:r>
      <w:r w:rsidRPr="00DA3B71">
        <w:rPr>
          <w:rFonts w:ascii="Palatino Linotype" w:eastAsia="Palatino Linotype" w:hAnsi="Palatino Linotype" w:cs="Palatino Linotype"/>
          <w:b/>
          <w:bCs/>
          <w:i/>
          <w:iCs/>
        </w:rPr>
        <w:t>sobre los sujetos obligados competentes</w:t>
      </w:r>
      <w:r w:rsidRPr="00DA3B71">
        <w:rPr>
          <w:rFonts w:ascii="Palatino Linotype" w:eastAsia="Palatino Linotype" w:hAnsi="Palatino Linotype" w:cs="Palatino Linotype"/>
          <w:i/>
          <w:iCs/>
        </w:rPr>
        <w:t xml:space="preserve"> conforme a la normatividad aplicable;</w:t>
      </w:r>
    </w:p>
    <w:p w:rsidR="0051129F" w:rsidRPr="00DA3B71" w:rsidRDefault="00D60CF2" w:rsidP="00DA3B71">
      <w:pPr>
        <w:tabs>
          <w:tab w:val="left" w:pos="142"/>
          <w:tab w:val="left" w:pos="284"/>
        </w:tabs>
        <w:ind w:left="567" w:right="709"/>
        <w:jc w:val="both"/>
        <w:rPr>
          <w:rFonts w:ascii="Palatino Linotype" w:eastAsia="Palatino Linotype" w:hAnsi="Palatino Linotype" w:cs="Palatino Linotype"/>
          <w:b/>
          <w:bCs/>
          <w:i/>
          <w:iCs/>
        </w:rPr>
      </w:pPr>
      <w:r w:rsidRPr="00DA3B71">
        <w:rPr>
          <w:rFonts w:ascii="Palatino Linotype" w:eastAsia="Palatino Linotype" w:hAnsi="Palatino Linotype" w:cs="Palatino Linotype"/>
          <w:b/>
          <w:bCs/>
          <w:i/>
          <w:iCs/>
        </w:rPr>
        <w:t>…</w:t>
      </w:r>
    </w:p>
    <w:p w:rsidR="0051129F" w:rsidRPr="00DA3B71" w:rsidRDefault="0051129F" w:rsidP="00DA3B71">
      <w:pPr>
        <w:tabs>
          <w:tab w:val="left" w:pos="142"/>
          <w:tab w:val="left" w:pos="284"/>
        </w:tabs>
        <w:ind w:left="567" w:right="709"/>
        <w:jc w:val="both"/>
        <w:rPr>
          <w:rFonts w:ascii="Palatino Linotype" w:eastAsia="Palatino Linotype" w:hAnsi="Palatino Linotype" w:cs="Palatino Linotype"/>
          <w:b/>
          <w:bCs/>
          <w:i/>
          <w:iCs/>
        </w:rPr>
      </w:pPr>
    </w:p>
    <w:p w:rsidR="0051129F" w:rsidRPr="00DA3B71" w:rsidRDefault="00D60CF2" w:rsidP="00DA3B71">
      <w:pPr>
        <w:tabs>
          <w:tab w:val="left" w:pos="142"/>
          <w:tab w:val="left" w:pos="284"/>
        </w:tabs>
        <w:ind w:left="567" w:right="709"/>
        <w:jc w:val="both"/>
        <w:rPr>
          <w:rFonts w:ascii="Palatino Linotype" w:eastAsia="Palatino Linotype" w:hAnsi="Palatino Linotype" w:cs="Palatino Linotype"/>
          <w:b/>
          <w:bCs/>
          <w:i/>
          <w:iCs/>
        </w:rPr>
      </w:pPr>
      <w:r w:rsidRPr="00DA3B71">
        <w:rPr>
          <w:rFonts w:ascii="Palatino Linotype" w:eastAsia="Palatino Linotype" w:hAnsi="Palatino Linotype" w:cs="Palatino Linotype"/>
          <w:b/>
          <w:bCs/>
          <w:i/>
          <w:iCs/>
        </w:rPr>
        <w:t>Artículo 167</w:t>
      </w:r>
      <w:r w:rsidRPr="00DA3B71">
        <w:rPr>
          <w:rFonts w:ascii="Palatino Linotype" w:eastAsia="Palatino Linotype" w:hAnsi="Palatino Linotype" w:cs="Palatino Linotype"/>
          <w:i/>
          <w:iCs/>
        </w:rPr>
        <w:t xml:space="preserve">. </w:t>
      </w:r>
      <w:r w:rsidRPr="00DA3B71">
        <w:rPr>
          <w:rFonts w:ascii="Palatino Linotype" w:eastAsia="Palatino Linotype" w:hAnsi="Palatino Linotype" w:cs="Palatino Linotype"/>
          <w:b/>
          <w:bCs/>
          <w:i/>
          <w:iCs/>
        </w:rPr>
        <w:t>Cuando las unidades de transparencia determinen la notoria incompetencia</w:t>
      </w:r>
      <w:r w:rsidRPr="00DA3B71">
        <w:rPr>
          <w:rFonts w:ascii="Palatino Linotype" w:eastAsia="Palatino Linotype" w:hAnsi="Palatino Linotype" w:cs="Palatino Linotype"/>
          <w:i/>
          <w:iCs/>
        </w:rPr>
        <w:t xml:space="preserve"> por parte de los sujetos obligados, dentro del ámbito de aplicación, para atender la solicitud de acceso a la información, </w:t>
      </w:r>
      <w:r w:rsidRPr="00DA3B71">
        <w:rPr>
          <w:rFonts w:ascii="Palatino Linotype" w:eastAsia="Palatino Linotype" w:hAnsi="Palatino Linotype" w:cs="Palatino Linotype"/>
          <w:b/>
          <w:bCs/>
          <w:i/>
          <w:iCs/>
        </w:rPr>
        <w:t>deberán comunicarlo al solicitante, dentro de los tres días hábiles posteriores a la recepción de la solicitud</w:t>
      </w:r>
      <w:r w:rsidRPr="00DA3B71">
        <w:rPr>
          <w:rFonts w:ascii="Palatino Linotype" w:eastAsia="Palatino Linotype" w:hAnsi="Palatino Linotype" w:cs="Palatino Linotype"/>
          <w:i/>
          <w:iCs/>
        </w:rPr>
        <w:t xml:space="preserve"> y, </w:t>
      </w:r>
      <w:r w:rsidRPr="00DA3B71">
        <w:rPr>
          <w:rFonts w:ascii="Palatino Linotype" w:eastAsia="Palatino Linotype" w:hAnsi="Palatino Linotype" w:cs="Palatino Linotype"/>
          <w:b/>
          <w:bCs/>
          <w:i/>
          <w:iCs/>
        </w:rPr>
        <w:t>en su caso orientar al solicitante, el o los sujetos obligados competentes.</w:t>
      </w: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lastRenderedPageBreak/>
        <w:t xml:space="preserve">En esa tesitura, cuando las Unidades de Transparencia determinen </w:t>
      </w:r>
      <w:r w:rsidRPr="00DA3B71">
        <w:rPr>
          <w:rFonts w:ascii="Palatino Linotype" w:eastAsia="Palatino Linotype" w:hAnsi="Palatino Linotype" w:cs="Palatino Linotype"/>
          <w:b/>
          <w:bCs/>
        </w:rPr>
        <w:t>la notoria incompetencia</w:t>
      </w:r>
      <w:r w:rsidRPr="00DA3B71">
        <w:rPr>
          <w:rFonts w:ascii="Palatino Linotype" w:eastAsia="Palatino Linotype" w:hAnsi="Palatino Linotype" w:cs="Palatino Linotype"/>
        </w:rPr>
        <w:t xml:space="preserve"> por parte de los sujetos obligados deberán comunicar al solicitante la misma dentro de los tres días posteriores a la recepción de la solicitud, y, </w:t>
      </w:r>
      <w:r w:rsidRPr="00DA3B71">
        <w:rPr>
          <w:rFonts w:ascii="Palatino Linotype" w:eastAsia="Palatino Linotype" w:hAnsi="Palatino Linotype" w:cs="Palatino Linotype"/>
          <w:b/>
          <w:bCs/>
        </w:rPr>
        <w:t>en su caso orientar al solicitante</w:t>
      </w:r>
    </w:p>
    <w:p w:rsidR="0051129F" w:rsidRPr="00DA3B71" w:rsidRDefault="0051129F">
      <w:pPr>
        <w:spacing w:line="360" w:lineRule="auto"/>
        <w:ind w:right="-850"/>
        <w:rPr>
          <w:rFonts w:ascii="Palatino Linotype" w:eastAsia="Palatino Linotype" w:hAnsi="Palatino Linotype" w:cs="Palatino Linotype"/>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Como se logra observar, si bien la Ley de la materia, prevé el supuesto de incompetencia para que los sujetos obligados den atención a solicitudes de información, también lo es, que no se precisa en qué consiste dicho concepto; sobre dicha situación, según Cabanellas, Guillermo (1993), en el “Diccionario Jurídico Elemental” (p. 32 y 161), precisó los siguientes conceptos:</w:t>
      </w:r>
    </w:p>
    <w:p w:rsidR="0051129F" w:rsidRPr="00DA3B71" w:rsidRDefault="00D60CF2">
      <w:pPr>
        <w:numPr>
          <w:ilvl w:val="0"/>
          <w:numId w:val="4"/>
        </w:numPr>
        <w:ind w:right="49"/>
        <w:jc w:val="both"/>
        <w:rPr>
          <w:rFonts w:ascii="Palatino Linotype" w:eastAsia="Palatino Linotype" w:hAnsi="Palatino Linotype" w:cs="Palatino Linotype"/>
        </w:rPr>
      </w:pPr>
      <w:r w:rsidRPr="00DA3B71">
        <w:rPr>
          <w:rFonts w:ascii="Palatino Linotype" w:eastAsia="Palatino Linotype" w:hAnsi="Palatino Linotype" w:cs="Palatino Linotype"/>
          <w:b/>
          <w:bCs/>
        </w:rPr>
        <w:t xml:space="preserve">Competencia: </w:t>
      </w:r>
      <w:r w:rsidRPr="00DA3B71">
        <w:rPr>
          <w:rFonts w:ascii="Palatino Linotype" w:eastAsia="Palatino Linotype" w:hAnsi="Palatino Linotype" w:cs="Palatino Linotype"/>
        </w:rPr>
        <w:t>La capacidad de una autoridad para conocer sobre una materia o asunto.</w:t>
      </w:r>
    </w:p>
    <w:p w:rsidR="0051129F" w:rsidRPr="00DA3B71" w:rsidRDefault="00D60CF2">
      <w:pPr>
        <w:numPr>
          <w:ilvl w:val="0"/>
          <w:numId w:val="4"/>
        </w:numPr>
        <w:ind w:right="49"/>
        <w:jc w:val="both"/>
        <w:rPr>
          <w:rFonts w:ascii="Palatino Linotype" w:eastAsia="Palatino Linotype" w:hAnsi="Palatino Linotype" w:cs="Palatino Linotype"/>
        </w:rPr>
      </w:pPr>
      <w:r w:rsidRPr="00DA3B71">
        <w:rPr>
          <w:rFonts w:ascii="Palatino Linotype" w:eastAsia="Palatino Linotype" w:hAnsi="Palatino Linotype" w:cs="Palatino Linotype"/>
          <w:b/>
          <w:bCs/>
        </w:rPr>
        <w:t>Incompetencia:</w:t>
      </w:r>
      <w:r w:rsidRPr="00DA3B71">
        <w:rPr>
          <w:rFonts w:ascii="Palatino Linotype" w:eastAsia="Palatino Linotype" w:hAnsi="Palatino Linotype" w:cs="Palatino Linotype"/>
        </w:rPr>
        <w:t xml:space="preserve"> Falta de Competencia.</w:t>
      </w:r>
    </w:p>
    <w:p w:rsidR="0051129F" w:rsidRPr="00DA3B71" w:rsidRDefault="0051129F">
      <w:pPr>
        <w:spacing w:line="360" w:lineRule="auto"/>
        <w:ind w:right="-850"/>
        <w:rPr>
          <w:rFonts w:ascii="Palatino Linotype" w:eastAsia="Palatino Linotype" w:hAnsi="Palatino Linotype" w:cs="Palatino Linotype"/>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 xml:space="preserve">Por lo que, </w:t>
      </w:r>
      <w:r w:rsidRPr="00DA3B71">
        <w:rPr>
          <w:rFonts w:ascii="Palatino Linotype" w:eastAsia="Palatino Linotype" w:hAnsi="Palatino Linotype" w:cs="Palatino Linotype"/>
          <w:b/>
          <w:bCs/>
        </w:rPr>
        <w:t>la incompetencia</w:t>
      </w:r>
      <w:r w:rsidRPr="00DA3B71">
        <w:rPr>
          <w:rFonts w:ascii="Palatino Linotype" w:eastAsia="Palatino Linotype" w:hAnsi="Palatino Linotype" w:cs="Palatino Linotype"/>
        </w:rPr>
        <w:t xml:space="preserve">, radica en la incapacidad de una autoridad para conocer de un tema o asunto; en el mismo sentido, conviene traer a cuenta tesis aislada número III.2o.P.11 K, publicada en el Semanario Judicial de la Federación y su Gaceta, Novena Época, Tomo XV, Mayo de 2002, Pág. 1243, ya que precisa lo siguiente: </w:t>
      </w:r>
    </w:p>
    <w:p w:rsidR="0051129F" w:rsidRPr="00DA3B71" w:rsidRDefault="00D60CF2">
      <w:pPr>
        <w:ind w:left="567" w:right="49"/>
        <w:jc w:val="both"/>
        <w:rPr>
          <w:rFonts w:ascii="Palatino Linotype" w:eastAsia="Palatino Linotype" w:hAnsi="Palatino Linotype" w:cs="Palatino Linotype"/>
          <w:i/>
          <w:iCs/>
        </w:rPr>
      </w:pPr>
      <w:r w:rsidRPr="00DA3B71">
        <w:rPr>
          <w:rFonts w:ascii="Palatino Linotype" w:eastAsia="Palatino Linotype" w:hAnsi="Palatino Linotype" w:cs="Palatino Linotype"/>
          <w:b/>
          <w:bCs/>
          <w:i/>
          <w:iCs/>
        </w:rPr>
        <w:t xml:space="preserve">“LEGITIMACIÓN DE FUNCIONARIOS PÚBLICOS. LOS TRIBUNALES DE AMPARO, POR ESTAR VINCULADOS CON EL CONCEPTO DE COMPETENCIA A QUE SE REFIERE EL ARTÍCULO 16 CONSTITUCIONAL, NO PUEDEN CONOCER DE AQUÉLLA. </w:t>
      </w:r>
      <w:r w:rsidRPr="00DA3B71">
        <w:rPr>
          <w:rFonts w:ascii="Palatino Linotype" w:eastAsia="Palatino Linotype" w:hAnsi="Palatino Linotype" w:cs="Palatino Linotype"/>
          <w:i/>
          <w:iCs/>
        </w:rPr>
        <w:t>El artículo </w:t>
      </w:r>
      <w:hyperlink r:id="rId10">
        <w:r w:rsidRPr="00DA3B71">
          <w:rPr>
            <w:rFonts w:ascii="Palatino Linotype" w:eastAsia="Palatino Linotype" w:hAnsi="Palatino Linotype" w:cs="Palatino Linotype"/>
            <w:i/>
            <w:iCs/>
            <w:color w:val="0563C1"/>
            <w:u w:val="single"/>
          </w:rPr>
          <w:t>16 constitucional</w:t>
        </w:r>
      </w:hyperlink>
      <w:r w:rsidRPr="00DA3B71">
        <w:rPr>
          <w:rFonts w:ascii="Palatino Linotype" w:eastAsia="Palatino Linotype" w:hAnsi="Palatino Linotype" w:cs="Palatino Linotype"/>
          <w:i/>
          <w:iCs/>
        </w:rPr>
        <w:t> se refiere a la competencia que tienen las autoridades para conocer de determinadas conductas en particular, caso que corresponde a la esfera de atribuciones de las autoridades cuya competencia constituye el análisis del Poder Judicial de la Federación, mas no la forma en que una autoridad fue elegida o integrada, circunstancia que le compete estudiar a la autoridad individual o colegiada que otorgó el nombramiento o, en todo caso, el régimen establecido para ello, porque el precitado artículo constitucional no se refiere a la legitimación de un funcionario, ni a la manera como se incorpora a la función pública, sino a los límites fijados para la actuación del órgano frente a los particulares, ya que consagra una garantía individual y no un control interno de la organización administrativa.”</w:t>
      </w: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lastRenderedPageBreak/>
        <w:t xml:space="preserve">De la misma manera, resulta necesario traer a colación, el Criterio orientador 13/17, emitido por el Instituto Nacional de Transparencia, Acceso a la Información y Protección de Datos Personales, que dispone lo siguiente: </w:t>
      </w:r>
    </w:p>
    <w:p w:rsidR="0051129F" w:rsidRPr="00DA3B71" w:rsidRDefault="00D60CF2">
      <w:pPr>
        <w:ind w:left="1134" w:right="-850"/>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r w:rsidRPr="00DA3B71">
        <w:rPr>
          <w:rFonts w:ascii="Palatino Linotype" w:eastAsia="Palatino Linotype" w:hAnsi="Palatino Linotype" w:cs="Palatino Linotype"/>
          <w:b/>
          <w:bCs/>
          <w:i/>
          <w:iCs/>
        </w:rPr>
        <w:t xml:space="preserve">Incompetencia. </w:t>
      </w:r>
      <w:r w:rsidRPr="00DA3B71">
        <w:rPr>
          <w:rFonts w:ascii="Palatino Linotype" w:eastAsia="Palatino Linotype" w:hAnsi="Palatino Linotype" w:cs="Palatino Linotype"/>
          <w:i/>
          <w:iCs/>
        </w:rPr>
        <w:t>La incompetencia implica la ausencia de atribuciones del sujeto obligado para poseer la información solicitada; es decir, se trata de una cuestión de derecho, en tanto que no existan facultades para contar con lo requerido; por lo que la incompetencia es una cualidad atribuida al sujeto obligado que la declara.”</w:t>
      </w:r>
    </w:p>
    <w:p w:rsidR="0051129F" w:rsidRPr="00DA3B71" w:rsidRDefault="0051129F">
      <w:pPr>
        <w:spacing w:line="360" w:lineRule="auto"/>
        <w:ind w:right="-850"/>
        <w:rPr>
          <w:rFonts w:ascii="Palatino Linotype" w:eastAsia="Palatino Linotype" w:hAnsi="Palatino Linotype" w:cs="Palatino Linotype"/>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b/>
          <w:bCs/>
          <w:u w:val="single"/>
        </w:rPr>
      </w:pPr>
      <w:r w:rsidRPr="00DA3B71">
        <w:rPr>
          <w:rFonts w:ascii="Palatino Linotype" w:eastAsia="Palatino Linotype" w:hAnsi="Palatino Linotype" w:cs="Palatino Linotype"/>
        </w:rPr>
        <w:t>En tal virtud, la incompetencia</w:t>
      </w:r>
      <w:r w:rsidRPr="00DA3B71">
        <w:rPr>
          <w:rFonts w:ascii="Palatino Linotype" w:eastAsia="Palatino Linotype" w:hAnsi="Palatino Linotype" w:cs="Palatino Linotype"/>
          <w:b/>
          <w:bCs/>
        </w:rPr>
        <w:t xml:space="preserve"> </w:t>
      </w:r>
      <w:r w:rsidRPr="00DA3B71">
        <w:rPr>
          <w:rFonts w:ascii="Palatino Linotype" w:eastAsia="Palatino Linotype" w:hAnsi="Palatino Linotype" w:cs="Palatino Linotype"/>
        </w:rPr>
        <w:t xml:space="preserve">implica que, de conformidad con las atribuciones conferidas al Sujeto Obligado, no habría razón por la cual éste deba contar con la información solicitada, en cuyo caso, tendría que orientar al particular para que acuda a la instancia competente, por lo que, </w:t>
      </w:r>
      <w:r w:rsidRPr="00DA3B71">
        <w:rPr>
          <w:rFonts w:ascii="Palatino Linotype" w:eastAsia="Palatino Linotype" w:hAnsi="Palatino Linotype" w:cs="Palatino Linotype"/>
          <w:b/>
          <w:bCs/>
          <w:u w:val="single"/>
        </w:rPr>
        <w:t xml:space="preserve">de las actuaciones en el tablero de SAIMEX, el Sujeto Obligado notifica al particular la respuesta proporcionada por la Dirección de Administración y Finanzas, detallando los motivos del </w:t>
      </w:r>
      <w:r w:rsidR="00395D76" w:rsidRPr="00DA3B71">
        <w:rPr>
          <w:rFonts w:ascii="Palatino Linotype" w:eastAsia="Palatino Linotype" w:hAnsi="Palatino Linotype" w:cs="Palatino Linotype"/>
          <w:b/>
          <w:bCs/>
          <w:u w:val="single"/>
        </w:rPr>
        <w:t>por qué</w:t>
      </w:r>
      <w:r w:rsidRPr="00DA3B71">
        <w:rPr>
          <w:rFonts w:ascii="Palatino Linotype" w:eastAsia="Palatino Linotype" w:hAnsi="Palatino Linotype" w:cs="Palatino Linotype"/>
          <w:b/>
          <w:bCs/>
          <w:u w:val="single"/>
        </w:rPr>
        <w:t xml:space="preserve"> no es competente para conocer la petición formulada, en razón de que la información solicitada no es generada, administrada y no se encuentra en posesión del Ayuntamiento de Tepotzotlán, señalando que corresponde al ámbito competencial del Instituto Municipal de Cultura Física y Deporte de Tepotzotlán.</w:t>
      </w:r>
    </w:p>
    <w:p w:rsidR="0051129F" w:rsidRPr="00DA3B71" w:rsidRDefault="0051129F">
      <w:pPr>
        <w:spacing w:line="360" w:lineRule="auto"/>
        <w:ind w:right="-850"/>
        <w:jc w:val="both"/>
        <w:rPr>
          <w:rFonts w:ascii="Palatino Linotype" w:eastAsia="Palatino Linotype" w:hAnsi="Palatino Linotype" w:cs="Palatino Linotype"/>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 xml:space="preserve">Por lo anterior, ha quedado demostrado que el </w:t>
      </w:r>
      <w:r w:rsidRPr="00DA3B71">
        <w:rPr>
          <w:rFonts w:ascii="Palatino Linotype" w:eastAsia="Palatino Linotype" w:hAnsi="Palatino Linotype" w:cs="Palatino Linotype"/>
          <w:b/>
          <w:bCs/>
        </w:rPr>
        <w:t>Sujeto Obligado</w:t>
      </w:r>
      <w:r w:rsidRPr="00DA3B71">
        <w:rPr>
          <w:rFonts w:ascii="Palatino Linotype" w:eastAsia="Palatino Linotype" w:hAnsi="Palatino Linotype" w:cs="Palatino Linotype"/>
        </w:rPr>
        <w:t xml:space="preserve"> no es competente para generar, administrar y poseer la información solicitada, siendo materialmente imposible realizar la entrega de alguna documental que no ha generado, poseído o administrado el </w:t>
      </w:r>
      <w:r w:rsidRPr="00DA3B71">
        <w:rPr>
          <w:rFonts w:ascii="Palatino Linotype" w:eastAsia="Palatino Linotype" w:hAnsi="Palatino Linotype" w:cs="Palatino Linotype"/>
          <w:b/>
          <w:bCs/>
        </w:rPr>
        <w:t>SUJETO OBLIGADO.</w:t>
      </w:r>
    </w:p>
    <w:p w:rsidR="0051129F" w:rsidRPr="00DA3B71" w:rsidRDefault="0051129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 xml:space="preserve">Por lo argumentado anteriormente, se estima que los motivos de inconformidad planteados por el particular devienen </w:t>
      </w:r>
      <w:r w:rsidRPr="00DA3B71">
        <w:rPr>
          <w:rFonts w:ascii="Palatino Linotype" w:eastAsia="Palatino Linotype" w:hAnsi="Palatino Linotype" w:cs="Palatino Linotype"/>
          <w:b/>
          <w:bCs/>
        </w:rPr>
        <w:t>INFUNDADOS</w:t>
      </w:r>
      <w:r w:rsidRPr="00DA3B71">
        <w:rPr>
          <w:rFonts w:ascii="Palatino Linotype" w:eastAsia="Palatino Linotype" w:hAnsi="Palatino Linotype" w:cs="Palatino Linotype"/>
        </w:rPr>
        <w:t xml:space="preserve">, por lo que es procedente </w:t>
      </w:r>
      <w:r w:rsidRPr="00DA3B71">
        <w:rPr>
          <w:rFonts w:ascii="Palatino Linotype" w:eastAsia="Palatino Linotype" w:hAnsi="Palatino Linotype" w:cs="Palatino Linotype"/>
          <w:b/>
          <w:bCs/>
        </w:rPr>
        <w:lastRenderedPageBreak/>
        <w:t>CONFIRMAR</w:t>
      </w:r>
      <w:r w:rsidRPr="00DA3B71">
        <w:rPr>
          <w:rFonts w:ascii="Palatino Linotype" w:eastAsia="Palatino Linotype" w:hAnsi="Palatino Linotype" w:cs="Palatino Linotype"/>
        </w:rPr>
        <w:t xml:space="preserve"> la respuesta emitida por el </w:t>
      </w:r>
      <w:r w:rsidRPr="00DA3B71">
        <w:rPr>
          <w:rFonts w:ascii="Palatino Linotype" w:eastAsia="Palatino Linotype" w:hAnsi="Palatino Linotype" w:cs="Palatino Linotype"/>
          <w:b/>
          <w:bCs/>
        </w:rPr>
        <w:t xml:space="preserve">Ayuntamiento de Tepotzotlán, </w:t>
      </w:r>
      <w:r w:rsidRPr="00DA3B71">
        <w:rPr>
          <w:rFonts w:ascii="Palatino Linotype" w:eastAsia="Palatino Linotype" w:hAnsi="Palatino Linotype" w:cs="Palatino Linotype"/>
        </w:rPr>
        <w:t xml:space="preserve">a la solicitud de información </w:t>
      </w:r>
      <w:r w:rsidRPr="00DA3B71">
        <w:rPr>
          <w:rFonts w:ascii="Palatino Linotype" w:eastAsia="Palatino Linotype" w:hAnsi="Palatino Linotype" w:cs="Palatino Linotype"/>
          <w:b/>
          <w:bCs/>
        </w:rPr>
        <w:t>00020/TEPOTZOT/IP/2026.</w:t>
      </w:r>
    </w:p>
    <w:p w:rsidR="0051129F" w:rsidRPr="00DA3B71" w:rsidRDefault="0051129F">
      <w:pPr>
        <w:tabs>
          <w:tab w:val="left" w:pos="284"/>
        </w:tabs>
        <w:spacing w:line="360" w:lineRule="auto"/>
        <w:jc w:val="both"/>
        <w:rPr>
          <w:rFonts w:ascii="Palatino Linotype" w:eastAsia="Palatino Linotype" w:hAnsi="Palatino Linotype" w:cs="Palatino Linotype"/>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b/>
          <w:bCs/>
        </w:rPr>
      </w:pPr>
      <w:r w:rsidRPr="00DA3B71">
        <w:rPr>
          <w:rFonts w:ascii="Palatino Linotype" w:eastAsia="Palatino Linotype" w:hAnsi="Palatino Linotype" w:cs="Palatino Linotype"/>
        </w:rPr>
        <w:t xml:space="preserve">Por otra parte, en cuanto a la solicitud </w:t>
      </w:r>
      <w:r w:rsidRPr="00DA3B71">
        <w:rPr>
          <w:rFonts w:ascii="Palatino Linotype" w:eastAsia="Palatino Linotype" w:hAnsi="Palatino Linotype" w:cs="Palatino Linotype"/>
          <w:i/>
          <w:iCs/>
          <w:u w:val="single"/>
        </w:rPr>
        <w:t>Informar si el Cabildo del Ayuntamiento de Tepotzotlán ha conocido, discutido o aprobado informes, observaciones, auditorías o recomendaciones relacionadas con el Instituto Municipal de Cultura Física y Deporte; en caso afirmativo, proporcionar copia digital de las actas correspondientes</w:t>
      </w:r>
      <w:r w:rsidRPr="00DA3B71">
        <w:rPr>
          <w:rFonts w:ascii="Palatino Linotype" w:eastAsia="Palatino Linotype" w:hAnsi="Palatino Linotype" w:cs="Palatino Linotype"/>
          <w:u w:val="single"/>
        </w:rPr>
        <w:t>,</w:t>
      </w:r>
      <w:r w:rsidRPr="00DA3B71">
        <w:rPr>
          <w:rFonts w:ascii="Palatino Linotype" w:eastAsia="Palatino Linotype" w:hAnsi="Palatino Linotype" w:cs="Palatino Linotype"/>
        </w:rPr>
        <w:t xml:space="preserve"> a través de Informe Justificado el Sujeto Obligado refirió a través del Secretario del Ayuntamiento, unidad administrativa encargada de llevar y conservar los libros de actas de cabildo, en las cuales deberán asentarse los extractos de los acuerdos y asuntos tratados y el resultado de la votación, que </w:t>
      </w:r>
      <w:r w:rsidRPr="00DA3B71">
        <w:rPr>
          <w:rFonts w:ascii="Palatino Linotype" w:eastAsia="Palatino Linotype" w:hAnsi="Palatino Linotype" w:cs="Palatino Linotype"/>
          <w:b/>
          <w:bCs/>
        </w:rPr>
        <w:t>“</w:t>
      </w:r>
      <w:r w:rsidRPr="00DA3B71">
        <w:rPr>
          <w:rFonts w:ascii="Palatino Linotype" w:eastAsia="Palatino Linotype" w:hAnsi="Palatino Linotype" w:cs="Palatino Linotype"/>
          <w:b/>
          <w:bCs/>
          <w:i/>
          <w:iCs/>
        </w:rPr>
        <w:t xml:space="preserve">se llevó a cabo una búsqueda exhaustiva y razonable en el libro de registro de folios internos de la Secretaría del Ayuntamiento, </w:t>
      </w:r>
      <w:r w:rsidRPr="00DA3B71">
        <w:rPr>
          <w:rFonts w:ascii="Palatino Linotype" w:eastAsia="Palatino Linotype" w:hAnsi="Palatino Linotype" w:cs="Palatino Linotype"/>
          <w:b/>
          <w:bCs/>
          <w:i/>
          <w:iCs/>
          <w:u w:val="single"/>
        </w:rPr>
        <w:t>sin encontrar documentación alguna en la cual el Ayuntamiento de Tepotzotlán ha conocido, discutido o aprobado informes, observaciones, auditorías o recomendaciones relacionadas con el Instituto Municipal de Cultura Física y Deporte</w:t>
      </w:r>
      <w:r w:rsidRPr="00DA3B71">
        <w:rPr>
          <w:rFonts w:ascii="Palatino Linotype" w:eastAsia="Palatino Linotype" w:hAnsi="Palatino Linotype" w:cs="Palatino Linotype"/>
          <w:i/>
          <w:iCs/>
        </w:rPr>
        <w:t xml:space="preserve">” (Sic) </w:t>
      </w:r>
      <w:r w:rsidRPr="00DA3B71">
        <w:rPr>
          <w:rFonts w:ascii="Palatino Linotype" w:eastAsia="Palatino Linotype" w:hAnsi="Palatino Linotype" w:cs="Palatino Linotype"/>
        </w:rPr>
        <w:t>por lo que es de referir que nos encontramos ante un</w:t>
      </w:r>
      <w:r w:rsidRPr="00DA3B71">
        <w:rPr>
          <w:rFonts w:ascii="Palatino Linotype" w:eastAsia="Palatino Linotype" w:hAnsi="Palatino Linotype" w:cs="Palatino Linotype"/>
          <w:b/>
          <w:bCs/>
        </w:rPr>
        <w:t xml:space="preserve"> hecho negativo</w:t>
      </w:r>
      <w:r w:rsidRPr="00DA3B71">
        <w:rPr>
          <w:rFonts w:ascii="Palatino Linotype" w:eastAsia="Palatino Linotype" w:hAnsi="Palatino Linotype" w:cs="Palatino Linotype"/>
        </w:rPr>
        <w:t xml:space="preserve">, por lo que no resulta aplicable el artículo 19, de la Ley de la materia que nos constriñe a la emisión de un acuerdo de inexistencia, resultando aplicable la siguiente tesis: </w:t>
      </w:r>
    </w:p>
    <w:p w:rsidR="0051129F" w:rsidRPr="00DA3B71" w:rsidRDefault="00D60CF2">
      <w:pPr>
        <w:pBdr>
          <w:top w:val="nil"/>
          <w:left w:val="nil"/>
          <w:bottom w:val="nil"/>
          <w:right w:val="nil"/>
          <w:between w:val="nil"/>
        </w:pBdr>
        <w:ind w:left="1134" w:right="49"/>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w:t>
      </w:r>
      <w:r w:rsidRPr="00DA3B71">
        <w:rPr>
          <w:rFonts w:ascii="Palatino Linotype" w:eastAsia="Palatino Linotype" w:hAnsi="Palatino Linotype" w:cs="Palatino Linotype"/>
          <w:b/>
          <w:bCs/>
          <w:i/>
          <w:iCs/>
          <w:color w:val="000000"/>
        </w:rPr>
        <w:t>HECHOS NEGATIVOS, NO SON SUSCEPTIBLES DE DEMOSTRACIÓN.</w:t>
      </w:r>
    </w:p>
    <w:p w:rsidR="0051129F" w:rsidRPr="00DA3B71" w:rsidRDefault="00D60CF2">
      <w:pPr>
        <w:pBdr>
          <w:top w:val="nil"/>
          <w:left w:val="nil"/>
          <w:bottom w:val="nil"/>
          <w:right w:val="nil"/>
          <w:between w:val="nil"/>
        </w:pBdr>
        <w:ind w:left="1134" w:right="49"/>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Tratándose de un hecho negativo, el Juez no tiene por qué invocar prueba alguna de la que se desprenda, ya que es bien sabido que esta clase de hechos no son susceptibles de demostración.</w:t>
      </w:r>
    </w:p>
    <w:p w:rsidR="0051129F" w:rsidRPr="00DA3B71" w:rsidRDefault="0051129F">
      <w:pPr>
        <w:pBdr>
          <w:top w:val="nil"/>
          <w:left w:val="nil"/>
          <w:bottom w:val="nil"/>
          <w:right w:val="nil"/>
          <w:between w:val="nil"/>
        </w:pBdr>
        <w:ind w:left="1134" w:right="49"/>
        <w:jc w:val="both"/>
        <w:rPr>
          <w:rFonts w:ascii="Palatino Linotype" w:eastAsia="Palatino Linotype" w:hAnsi="Palatino Linotype" w:cs="Palatino Linotype"/>
          <w:i/>
          <w:iCs/>
          <w:color w:val="000000"/>
        </w:rPr>
      </w:pPr>
    </w:p>
    <w:p w:rsidR="0051129F" w:rsidRPr="00DA3B71" w:rsidRDefault="00D60CF2">
      <w:pPr>
        <w:pBdr>
          <w:top w:val="nil"/>
          <w:left w:val="nil"/>
          <w:bottom w:val="nil"/>
          <w:right w:val="nil"/>
          <w:between w:val="nil"/>
        </w:pBdr>
        <w:ind w:left="1134" w:right="49"/>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Amparo en revisión 2022/61. José García Florín (Menor). 9 de octubre de 1961. Cinco votos. Ponente: José Rivera Pérez Campos</w:t>
      </w:r>
    </w:p>
    <w:p w:rsidR="0051129F" w:rsidRPr="00DA3B71" w:rsidRDefault="0051129F">
      <w:pPr>
        <w:spacing w:line="360" w:lineRule="auto"/>
        <w:ind w:right="49"/>
        <w:jc w:val="both"/>
        <w:rPr>
          <w:rFonts w:ascii="Palatino Linotype" w:eastAsia="Palatino Linotype" w:hAnsi="Palatino Linotype" w:cs="Palatino Linotype"/>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b/>
          <w:bCs/>
          <w:color w:val="000000"/>
        </w:rPr>
      </w:pPr>
      <w:r w:rsidRPr="00DA3B71">
        <w:rPr>
          <w:rFonts w:ascii="Palatino Linotype" w:eastAsia="Palatino Linotype" w:hAnsi="Palatino Linotype" w:cs="Palatino Linotype"/>
        </w:rPr>
        <w:t xml:space="preserve">De lo que se desprende </w:t>
      </w:r>
      <w:r w:rsidRPr="00DA3B71">
        <w:rPr>
          <w:rFonts w:ascii="Palatino Linotype" w:eastAsia="Palatino Linotype" w:hAnsi="Palatino Linotype" w:cs="Palatino Linotype"/>
          <w:color w:val="000000"/>
        </w:rPr>
        <w:t>que</w:t>
      </w:r>
      <w:r w:rsidRPr="00DA3B71">
        <w:rPr>
          <w:rFonts w:ascii="Palatino Linotype" w:eastAsia="Palatino Linotype" w:hAnsi="Palatino Linotype" w:cs="Palatino Linotype"/>
        </w:rPr>
        <w:t xml:space="preserve"> es materialmente imposible realizar la entrega de alguna documental que no ha generado el </w:t>
      </w:r>
      <w:r w:rsidRPr="00DA3B71">
        <w:rPr>
          <w:rFonts w:ascii="Palatino Linotype" w:eastAsia="Palatino Linotype" w:hAnsi="Palatino Linotype" w:cs="Palatino Linotype"/>
          <w:b/>
          <w:bCs/>
        </w:rPr>
        <w:t>SUJETO OBLIGADO</w:t>
      </w:r>
      <w:r w:rsidRPr="00DA3B71">
        <w:rPr>
          <w:rFonts w:ascii="Palatino Linotype" w:eastAsia="Palatino Linotype" w:hAnsi="Palatino Linotype" w:cs="Palatino Linotype"/>
        </w:rPr>
        <w:t>.</w:t>
      </w: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b/>
          <w:bCs/>
          <w:color w:val="000000"/>
        </w:rPr>
      </w:pPr>
      <w:r w:rsidRPr="00DA3B71">
        <w:rPr>
          <w:rFonts w:ascii="Palatino Linotype" w:eastAsia="Palatino Linotype" w:hAnsi="Palatino Linotype" w:cs="Palatino Linotype"/>
        </w:rPr>
        <w:lastRenderedPageBreak/>
        <w:t xml:space="preserve">Por lo anterior  resulta necesario puntualizar con claridad que éste Órgano Protector del Derecho de Acceso a la Información no está facultado para pronunciarse sobre la veracidad de la información </w:t>
      </w:r>
      <w:r w:rsidRPr="00DA3B71">
        <w:rPr>
          <w:rFonts w:ascii="Palatino Linotype" w:eastAsia="Palatino Linotype" w:hAnsi="Palatino Linotype" w:cs="Palatino Linotype"/>
          <w:color w:val="000000"/>
        </w:rPr>
        <w:t>que</w:t>
      </w:r>
      <w:r w:rsidRPr="00DA3B71">
        <w:rPr>
          <w:rFonts w:ascii="Palatino Linotype" w:eastAsia="Palatino Linotype" w:hAnsi="Palatino Linotype" w:cs="Palatino Linotype"/>
        </w:rPr>
        <w:t xml:space="preserve"> los Sujetos Obligados ponen a disposición de los solicitantes; situación que se aleja de las atribuciones de este Instituto.</w:t>
      </w:r>
    </w:p>
    <w:p w:rsidR="0051129F" w:rsidRPr="00DA3B71" w:rsidRDefault="0051129F">
      <w:pPr>
        <w:pBdr>
          <w:top w:val="nil"/>
          <w:left w:val="nil"/>
          <w:bottom w:val="nil"/>
          <w:right w:val="nil"/>
          <w:between w:val="nil"/>
        </w:pBdr>
        <w:spacing w:line="360" w:lineRule="auto"/>
        <w:ind w:left="851" w:right="49"/>
        <w:jc w:val="both"/>
        <w:rPr>
          <w:rFonts w:ascii="Palatino Linotype" w:eastAsia="Palatino Linotype" w:hAnsi="Palatino Linotype" w:cs="Palatino Linotype"/>
          <w:i/>
          <w:iCs/>
          <w:color w:val="000000"/>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 xml:space="preserve">Así </w:t>
      </w:r>
      <w:r w:rsidRPr="00DA3B71">
        <w:rPr>
          <w:rFonts w:ascii="Palatino Linotype" w:eastAsia="Palatino Linotype" w:hAnsi="Palatino Linotype" w:cs="Palatino Linotype"/>
          <w:b/>
          <w:bCs/>
          <w:color w:val="000000"/>
        </w:rPr>
        <w:t>mismo</w:t>
      </w:r>
      <w:r w:rsidRPr="00DA3B71">
        <w:rPr>
          <w:rFonts w:ascii="Palatino Linotype" w:eastAsia="Palatino Linotype" w:hAnsi="Palatino Linotype" w:cs="Palatino Linotype"/>
        </w:rPr>
        <w:t xml:space="preserve">, la </w:t>
      </w:r>
      <w:r w:rsidRPr="00DA3B71">
        <w:rPr>
          <w:rFonts w:ascii="Palatino Linotype" w:eastAsia="Palatino Linotype" w:hAnsi="Palatino Linotype" w:cs="Palatino Linotype"/>
          <w:b/>
          <w:bCs/>
        </w:rPr>
        <w:t>Ley de Transparencia y Acceso a la Información Pública del Estado de México y Municipios</w:t>
      </w:r>
      <w:r w:rsidRPr="00DA3B71">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w:t>
      </w:r>
      <w:r w:rsidRPr="00DA3B71">
        <w:rPr>
          <w:rFonts w:ascii="Palatino Linotype" w:eastAsia="Palatino Linotype" w:hAnsi="Palatino Linotype" w:cs="Palatino Linotype"/>
          <w:b/>
          <w:bCs/>
        </w:rPr>
        <w:t>veracidad</w:t>
      </w:r>
      <w:r w:rsidRPr="00DA3B71">
        <w:rPr>
          <w:rFonts w:ascii="Palatino Linotype" w:eastAsia="Palatino Linotype" w:hAnsi="Palatino Linotype" w:cs="Palatino Linotype"/>
        </w:rPr>
        <w:t>, oportunidad entre otros, numeral en comento que a la letra señala:</w:t>
      </w:r>
    </w:p>
    <w:p w:rsidR="0051129F" w:rsidRPr="00DA3B71" w:rsidRDefault="00D60CF2">
      <w:pPr>
        <w:pBdr>
          <w:top w:val="nil"/>
          <w:left w:val="nil"/>
          <w:bottom w:val="nil"/>
          <w:right w:val="nil"/>
          <w:between w:val="nil"/>
        </w:pBdr>
        <w:ind w:left="646" w:right="49"/>
        <w:jc w:val="both"/>
        <w:rPr>
          <w:rFonts w:ascii="Palatino Linotype" w:eastAsia="Palatino Linotype" w:hAnsi="Palatino Linotype" w:cs="Palatino Linotype"/>
          <w:b/>
          <w:bCs/>
          <w:i/>
          <w:iCs/>
          <w:color w:val="000000"/>
        </w:rPr>
      </w:pPr>
      <w:r w:rsidRPr="00DA3B71">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DA3B71">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51129F" w:rsidRPr="00DA3B71" w:rsidRDefault="0051129F">
      <w:pPr>
        <w:spacing w:line="360" w:lineRule="auto"/>
        <w:ind w:right="49"/>
        <w:jc w:val="both"/>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i/>
          <w:iCs/>
        </w:rPr>
      </w:pPr>
      <w:r w:rsidRPr="00DA3B71">
        <w:rPr>
          <w:rFonts w:ascii="Palatino Linotype" w:eastAsia="Palatino Linotype" w:hAnsi="Palatino Linotype" w:cs="Palatino Linotype"/>
        </w:rPr>
        <w:t xml:space="preserve">Por lo anterior, éste </w:t>
      </w:r>
      <w:r w:rsidRPr="00DA3B71">
        <w:rPr>
          <w:rFonts w:ascii="Palatino Linotype" w:eastAsia="Palatino Linotype" w:hAnsi="Palatino Linotype" w:cs="Palatino Linotype"/>
          <w:color w:val="000000"/>
        </w:rPr>
        <w:t>Órgano</w:t>
      </w:r>
      <w:r w:rsidRPr="00DA3B71">
        <w:rPr>
          <w:rFonts w:ascii="Palatino Linotype" w:eastAsia="Palatino Linotype" w:hAnsi="Palatino Linotype" w:cs="Palatino Linotype"/>
        </w:rPr>
        <w:t xml:space="preserve"> Protector del Derecho de Acceso a la Información no está facultado para pronunciarse sobre la veracidad de la información que los Sujetos Obligados ponen a disposición de los solicitantes; situación que se aleja de las atribuciones de este Instituto.</w:t>
      </w:r>
    </w:p>
    <w:p w:rsidR="0051129F" w:rsidRPr="00DA3B71" w:rsidRDefault="0051129F">
      <w:pPr>
        <w:tabs>
          <w:tab w:val="left" w:pos="284"/>
        </w:tabs>
        <w:spacing w:line="360" w:lineRule="auto"/>
        <w:jc w:val="both"/>
        <w:rPr>
          <w:rFonts w:ascii="Palatino Linotype" w:eastAsia="Palatino Linotype" w:hAnsi="Palatino Linotype" w:cs="Palatino Linotype"/>
          <w:i/>
          <w:iCs/>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i/>
          <w:iCs/>
        </w:rPr>
      </w:pPr>
      <w:r w:rsidRPr="00DA3B71">
        <w:rPr>
          <w:rFonts w:ascii="Palatino Linotype" w:eastAsia="Palatino Linotype" w:hAnsi="Palatino Linotype" w:cs="Palatino Linotype"/>
        </w:rPr>
        <w:t xml:space="preserve">Consecuencia de ello, y toda vez que no se proporcionó respuesta primigenia, sino hubo pronunciamiento por el Sujeto Obligado a través de informe justificado, lo dable es </w:t>
      </w:r>
      <w:r w:rsidRPr="00DA3B71">
        <w:rPr>
          <w:rFonts w:ascii="Palatino Linotype" w:eastAsia="Palatino Linotype" w:hAnsi="Palatino Linotype" w:cs="Palatino Linotype"/>
          <w:b/>
          <w:bCs/>
        </w:rPr>
        <w:t>SOBRESEER</w:t>
      </w:r>
      <w:r w:rsidRPr="00DA3B71">
        <w:rPr>
          <w:rFonts w:ascii="Palatino Linotype" w:eastAsia="Palatino Linotype" w:hAnsi="Palatino Linotype" w:cs="Palatino Linotype"/>
        </w:rPr>
        <w:t xml:space="preserve"> el recurso de revisión </w:t>
      </w:r>
      <w:r w:rsidRPr="00DA3B71">
        <w:rPr>
          <w:rFonts w:ascii="Palatino Linotype" w:eastAsia="Palatino Linotype" w:hAnsi="Palatino Linotype" w:cs="Palatino Linotype"/>
          <w:b/>
          <w:bCs/>
          <w:color w:val="000000"/>
        </w:rPr>
        <w:t xml:space="preserve">01988/INFOEM/IP/RR/2026, </w:t>
      </w:r>
      <w:r w:rsidRPr="00DA3B71">
        <w:rPr>
          <w:rFonts w:ascii="Palatino Linotype" w:eastAsia="Palatino Linotype" w:hAnsi="Palatino Linotype" w:cs="Palatino Linotype"/>
          <w:color w:val="000000"/>
        </w:rPr>
        <w:t xml:space="preserve">por actualizar el supuesto </w:t>
      </w:r>
      <w:r w:rsidRPr="00DA3B71">
        <w:rPr>
          <w:rFonts w:ascii="Palatino Linotype" w:eastAsia="Palatino Linotype" w:hAnsi="Palatino Linotype" w:cs="Palatino Linotype"/>
          <w:color w:val="000000"/>
        </w:rPr>
        <w:lastRenderedPageBreak/>
        <w:t>normativo establecido en la fracción V, del artículo 192, de la ley de Transparencia local, mismo que establece que el recurso será sobreseído cuando por cualquier motivo quede sin materia el recurso:</w:t>
      </w:r>
    </w:p>
    <w:p w:rsidR="0051129F" w:rsidRPr="00DA3B71" w:rsidRDefault="00D60CF2">
      <w:pPr>
        <w:pBdr>
          <w:top w:val="nil"/>
          <w:left w:val="nil"/>
          <w:bottom w:val="nil"/>
          <w:right w:val="nil"/>
          <w:between w:val="nil"/>
        </w:pBdr>
        <w:ind w:left="646" w:right="49"/>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 xml:space="preserve">Artículo 192. El recurso será sobreseído, en todo o en parte, cuando una vez admitido, se actualicen alguno de los siguientes supuestos: </w:t>
      </w:r>
    </w:p>
    <w:p w:rsidR="0051129F" w:rsidRPr="00DA3B71" w:rsidRDefault="0051129F">
      <w:pPr>
        <w:pBdr>
          <w:top w:val="nil"/>
          <w:left w:val="nil"/>
          <w:bottom w:val="nil"/>
          <w:right w:val="nil"/>
          <w:between w:val="nil"/>
        </w:pBdr>
        <w:ind w:left="646" w:right="49"/>
        <w:jc w:val="both"/>
        <w:rPr>
          <w:rFonts w:ascii="Palatino Linotype" w:eastAsia="Palatino Linotype" w:hAnsi="Palatino Linotype" w:cs="Palatino Linotype"/>
          <w:i/>
          <w:iCs/>
          <w:color w:val="000000"/>
        </w:rPr>
      </w:pPr>
    </w:p>
    <w:p w:rsidR="0051129F" w:rsidRPr="00DA3B71" w:rsidRDefault="00D60CF2">
      <w:pPr>
        <w:pBdr>
          <w:top w:val="nil"/>
          <w:left w:val="nil"/>
          <w:bottom w:val="nil"/>
          <w:right w:val="nil"/>
          <w:between w:val="nil"/>
        </w:pBdr>
        <w:ind w:left="646" w:right="49"/>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 xml:space="preserve">I. El recurrente se desista expresamente del recurso; </w:t>
      </w:r>
    </w:p>
    <w:p w:rsidR="0051129F" w:rsidRPr="00DA3B71" w:rsidRDefault="00D60CF2">
      <w:pPr>
        <w:pBdr>
          <w:top w:val="nil"/>
          <w:left w:val="nil"/>
          <w:bottom w:val="nil"/>
          <w:right w:val="nil"/>
          <w:between w:val="nil"/>
        </w:pBdr>
        <w:ind w:left="646" w:right="49"/>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 xml:space="preserve">II. El recurrente fallezca o, tratándose de personas jurídicas colectivas, se disuelva; </w:t>
      </w:r>
    </w:p>
    <w:p w:rsidR="0051129F" w:rsidRPr="00DA3B71" w:rsidRDefault="00D60CF2">
      <w:pPr>
        <w:pBdr>
          <w:top w:val="nil"/>
          <w:left w:val="nil"/>
          <w:bottom w:val="nil"/>
          <w:right w:val="nil"/>
          <w:between w:val="nil"/>
        </w:pBdr>
        <w:ind w:left="646" w:right="49"/>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 xml:space="preserve">III. El sujeto obligado responsable del acto lo modifique o revoque de tal manera que el recurso de revisión quede sin materia; </w:t>
      </w:r>
    </w:p>
    <w:p w:rsidR="0051129F" w:rsidRPr="00DA3B71" w:rsidRDefault="00D60CF2">
      <w:pPr>
        <w:pBdr>
          <w:top w:val="nil"/>
          <w:left w:val="nil"/>
          <w:bottom w:val="nil"/>
          <w:right w:val="nil"/>
          <w:between w:val="nil"/>
        </w:pBdr>
        <w:ind w:left="646" w:right="49"/>
        <w:jc w:val="both"/>
        <w:rPr>
          <w:rFonts w:ascii="Palatino Linotype" w:eastAsia="Palatino Linotype" w:hAnsi="Palatino Linotype" w:cs="Palatino Linotype"/>
          <w:i/>
          <w:iCs/>
          <w:color w:val="000000"/>
        </w:rPr>
      </w:pPr>
      <w:r w:rsidRPr="00DA3B71">
        <w:rPr>
          <w:rFonts w:ascii="Palatino Linotype" w:eastAsia="Palatino Linotype" w:hAnsi="Palatino Linotype" w:cs="Palatino Linotype"/>
          <w:i/>
          <w:iCs/>
          <w:color w:val="000000"/>
        </w:rPr>
        <w:t xml:space="preserve">IV. Admitido el recurso de revisión, aparezca alguna causal de improcedencia en los términos de la presente Ley; y </w:t>
      </w:r>
    </w:p>
    <w:p w:rsidR="0051129F" w:rsidRPr="00DA3B71" w:rsidRDefault="00D60CF2">
      <w:pPr>
        <w:pBdr>
          <w:top w:val="nil"/>
          <w:left w:val="nil"/>
          <w:bottom w:val="nil"/>
          <w:right w:val="nil"/>
          <w:between w:val="nil"/>
        </w:pBdr>
        <w:ind w:left="646" w:right="49"/>
        <w:jc w:val="both"/>
        <w:rPr>
          <w:rFonts w:ascii="Palatino Linotype" w:eastAsia="Palatino Linotype" w:hAnsi="Palatino Linotype" w:cs="Palatino Linotype"/>
          <w:b/>
          <w:bCs/>
          <w:i/>
          <w:iCs/>
          <w:color w:val="000000"/>
        </w:rPr>
      </w:pPr>
      <w:r w:rsidRPr="00DA3B71">
        <w:rPr>
          <w:rFonts w:ascii="Palatino Linotype" w:eastAsia="Palatino Linotype" w:hAnsi="Palatino Linotype" w:cs="Palatino Linotype"/>
          <w:b/>
          <w:bCs/>
          <w:i/>
          <w:iCs/>
          <w:color w:val="000000"/>
        </w:rPr>
        <w:t>V. Cuando por cualquier motivo quede sin materia el recurso.</w:t>
      </w:r>
    </w:p>
    <w:p w:rsidR="0051129F" w:rsidRPr="00DA3B71" w:rsidRDefault="0051129F">
      <w:pPr>
        <w:spacing w:line="360" w:lineRule="auto"/>
        <w:ind w:right="49"/>
        <w:jc w:val="both"/>
        <w:rPr>
          <w:rFonts w:ascii="Palatino Linotype" w:eastAsia="Palatino Linotype" w:hAnsi="Palatino Linotype" w:cs="Palatino Linotype"/>
        </w:rPr>
      </w:pPr>
    </w:p>
    <w:p w:rsidR="0051129F" w:rsidRPr="00DA3B71" w:rsidRDefault="00D60CF2">
      <w:pPr>
        <w:numPr>
          <w:ilvl w:val="0"/>
          <w:numId w:val="1"/>
        </w:numPr>
        <w:tabs>
          <w:tab w:val="left" w:pos="284"/>
        </w:tabs>
        <w:spacing w:line="360" w:lineRule="auto"/>
        <w:ind w:left="0" w:right="49"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 xml:space="preserve">Respecto de la solicitud </w:t>
      </w:r>
      <w:r w:rsidRPr="00DA3B71">
        <w:rPr>
          <w:rFonts w:ascii="Palatino Linotype" w:eastAsia="Palatino Linotype" w:hAnsi="Palatino Linotype" w:cs="Palatino Linotype"/>
          <w:i/>
          <w:iCs/>
          <w:u w:val="single"/>
        </w:rPr>
        <w:t>Actas de Cabildo del Ayuntamiento de Tepotzotlán en las que se haya aprobado presupuesto, subsidios, transferencias, nombramientos o informes relacionados con el Instituto Municipal de Cultura Física y Deporte de Tepotzotlán durante los años 2024 y 2025.</w:t>
      </w:r>
      <w:r w:rsidRPr="00DA3B71">
        <w:rPr>
          <w:rFonts w:ascii="Palatino Linotype" w:eastAsia="Palatino Linotype" w:hAnsi="Palatino Linotype" w:cs="Palatino Linotype"/>
        </w:rPr>
        <w:t>, es de recordar que el Sujeto Obligado a través del Secretario del Ayuntamiento, unidad administrativa encargada de llevar y conservar los libros de actas de cabildo, refirió que la información solicitada podía ser consultada en el siguiente hipervínculo:</w:t>
      </w:r>
    </w:p>
    <w:p w:rsidR="0051129F" w:rsidRPr="00DA3B71" w:rsidRDefault="0051129F">
      <w:pPr>
        <w:tabs>
          <w:tab w:val="left" w:pos="284"/>
        </w:tabs>
        <w:spacing w:line="360" w:lineRule="auto"/>
        <w:ind w:right="49"/>
        <w:jc w:val="both"/>
        <w:rPr>
          <w:rFonts w:ascii="Palatino Linotype" w:eastAsia="Palatino Linotype" w:hAnsi="Palatino Linotype" w:cs="Palatino Linotype"/>
        </w:rPr>
      </w:pPr>
    </w:p>
    <w:p w:rsidR="0051129F" w:rsidRPr="00DA3B71" w:rsidRDefault="00D60CF2">
      <w:pPr>
        <w:tabs>
          <w:tab w:val="left" w:pos="284"/>
        </w:tabs>
        <w:spacing w:line="360" w:lineRule="auto"/>
        <w:ind w:right="49"/>
        <w:jc w:val="center"/>
        <w:rPr>
          <w:rFonts w:ascii="Palatino Linotype" w:eastAsia="Palatino Linotype" w:hAnsi="Palatino Linotype" w:cs="Palatino Linotype"/>
        </w:rPr>
      </w:pPr>
      <w:r w:rsidRPr="00DA3B71">
        <w:rPr>
          <w:rFonts w:ascii="Palatino Linotype" w:eastAsia="Palatino Linotype" w:hAnsi="Palatino Linotype" w:cs="Palatino Linotype"/>
          <w:noProof/>
          <w:color w:val="000000"/>
          <w:lang w:val="es-MX"/>
        </w:rPr>
        <w:drawing>
          <wp:inline distT="0" distB="0" distL="0" distR="0">
            <wp:extent cx="4658375" cy="91452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658375" cy="914528"/>
                    </a:xfrm>
                    <a:prstGeom prst="rect">
                      <a:avLst/>
                    </a:prstGeom>
                    <a:ln/>
                  </pic:spPr>
                </pic:pic>
              </a:graphicData>
            </a:graphic>
          </wp:inline>
        </w:drawing>
      </w:r>
    </w:p>
    <w:p w:rsidR="0051129F" w:rsidRPr="00DA3B71" w:rsidRDefault="0051129F">
      <w:pPr>
        <w:tabs>
          <w:tab w:val="left" w:pos="284"/>
        </w:tabs>
        <w:spacing w:line="360" w:lineRule="auto"/>
        <w:ind w:right="49"/>
        <w:jc w:val="center"/>
        <w:rPr>
          <w:rFonts w:ascii="Palatino Linotype" w:eastAsia="Palatino Linotype" w:hAnsi="Palatino Linotype" w:cs="Palatino Linotype"/>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 xml:space="preserve">No obstante, la liga fue proporcionada en formato cerrado, lo que </w:t>
      </w:r>
      <w:r w:rsidRPr="00DA3B71">
        <w:rPr>
          <w:rFonts w:ascii="Palatino Linotype" w:eastAsia="Palatino Linotype" w:hAnsi="Palatino Linotype" w:cs="Palatino Linotype"/>
          <w:color w:val="000000"/>
        </w:rPr>
        <w:t xml:space="preserve">implica que se digite dato por dato de cada uno de los caracteres, lo que facilita la existencia del error humano; por </w:t>
      </w:r>
      <w:r w:rsidRPr="00DA3B71">
        <w:rPr>
          <w:rFonts w:ascii="Palatino Linotype" w:eastAsia="Palatino Linotype" w:hAnsi="Palatino Linotype" w:cs="Palatino Linotype"/>
          <w:color w:val="000000"/>
        </w:rPr>
        <w:lastRenderedPageBreak/>
        <w:t xml:space="preserve">lo cual, en atención a los artículos 3° fracción VIII, XVI, 24, fracción V, 41 y 160 de la Ley de Transparencia vigente en la Entidad, los Sujetos Obligados y este Organismo Garante, deben velar por la generación y entrega de la información a los Particulares </w:t>
      </w:r>
      <w:r w:rsidRPr="00DA3B71">
        <w:rPr>
          <w:rFonts w:ascii="Palatino Linotype" w:eastAsia="Palatino Linotype" w:hAnsi="Palatino Linotype" w:cs="Palatino Linotype"/>
          <w:b/>
          <w:bCs/>
          <w:color w:val="000000"/>
        </w:rPr>
        <w:t>en formatos abiertos, con los efectos de facilitar la reutilización de la información</w:t>
      </w:r>
      <w:r w:rsidRPr="00DA3B71">
        <w:rPr>
          <w:rFonts w:ascii="Palatino Linotype" w:eastAsia="Palatino Linotype" w:hAnsi="Palatino Linotype" w:cs="Palatino Linotype"/>
          <w:color w:val="000000"/>
        </w:rPr>
        <w:t>, tal como a la letra refiere:</w:t>
      </w:r>
    </w:p>
    <w:p w:rsidR="0051129F" w:rsidRPr="00DA3B71" w:rsidRDefault="0051129F">
      <w:pPr>
        <w:ind w:left="566"/>
        <w:jc w:val="center"/>
        <w:rPr>
          <w:rFonts w:ascii="Palatino Linotype" w:eastAsia="Palatino Linotype" w:hAnsi="Palatino Linotype" w:cs="Palatino Linotype"/>
          <w:b/>
          <w:bCs/>
          <w:i/>
          <w:iCs/>
        </w:rPr>
      </w:pPr>
    </w:p>
    <w:p w:rsidR="0051129F" w:rsidRPr="00DA3B71" w:rsidRDefault="00D60CF2">
      <w:pPr>
        <w:ind w:left="566"/>
        <w:jc w:val="center"/>
        <w:rPr>
          <w:rFonts w:ascii="Palatino Linotype" w:eastAsia="Palatino Linotype" w:hAnsi="Palatino Linotype" w:cs="Palatino Linotype"/>
          <w:b/>
          <w:bCs/>
          <w:i/>
          <w:iCs/>
        </w:rPr>
      </w:pPr>
      <w:r w:rsidRPr="00DA3B71">
        <w:rPr>
          <w:rFonts w:ascii="Palatino Linotype" w:eastAsia="Palatino Linotype" w:hAnsi="Palatino Linotype" w:cs="Palatino Linotype"/>
          <w:b/>
          <w:bCs/>
          <w:i/>
          <w:iCs/>
        </w:rPr>
        <w:t>Ley de Transparencia y Acceso a la Información Pública del Estado de México y Municipios</w:t>
      </w:r>
    </w:p>
    <w:p w:rsidR="0051129F" w:rsidRPr="00DA3B71" w:rsidRDefault="0051129F">
      <w:pPr>
        <w:ind w:left="566"/>
        <w:jc w:val="center"/>
        <w:rPr>
          <w:rFonts w:ascii="Palatino Linotype" w:eastAsia="Palatino Linotype" w:hAnsi="Palatino Linotype" w:cs="Palatino Linotype"/>
          <w:b/>
          <w:bCs/>
          <w:i/>
          <w:iCs/>
        </w:rPr>
      </w:pP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b/>
          <w:bCs/>
          <w:i/>
          <w:iCs/>
        </w:rPr>
        <w:t>Artículo 3</w:t>
      </w:r>
      <w:r w:rsidRPr="00DA3B71">
        <w:rPr>
          <w:rFonts w:ascii="Palatino Linotype" w:eastAsia="Palatino Linotype" w:hAnsi="Palatino Linotype" w:cs="Palatino Linotype"/>
          <w:i/>
          <w:iCs/>
        </w:rPr>
        <w:t>. Para los efectos de la presente Ley se entenderá por:</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b/>
          <w:bCs/>
          <w:i/>
          <w:iCs/>
        </w:rPr>
        <w:t>VIII. Datos abiertos</w:t>
      </w:r>
      <w:r w:rsidRPr="00DA3B71">
        <w:rPr>
          <w:rFonts w:ascii="Palatino Linotype" w:eastAsia="Palatino Linotype" w:hAnsi="Palatino Linotype" w:cs="Palatino Linotype"/>
          <w:i/>
          <w:iCs/>
        </w:rPr>
        <w:t xml:space="preserve">: Los datos digitales de carácter público que son accesibles en línea que pueden ser usados, reutilizados y redistribuidos por cualquier interesado y que tienen las siguientes características: </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 xml:space="preserve">a) </w:t>
      </w:r>
      <w:r w:rsidRPr="00DA3B71">
        <w:rPr>
          <w:rFonts w:ascii="Palatino Linotype" w:eastAsia="Palatino Linotype" w:hAnsi="Palatino Linotype" w:cs="Palatino Linotype"/>
          <w:b/>
          <w:bCs/>
          <w:i/>
          <w:iCs/>
        </w:rPr>
        <w:t>Accesibles</w:t>
      </w:r>
      <w:r w:rsidRPr="00DA3B71">
        <w:rPr>
          <w:rFonts w:ascii="Palatino Linotype" w:eastAsia="Palatino Linotype" w:hAnsi="Palatino Linotype" w:cs="Palatino Linotype"/>
          <w:i/>
          <w:iCs/>
        </w:rPr>
        <w:t xml:space="preserve">: Los datos están disponibles para la gama más amplia de usuarios, para cualquier propósito; </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 xml:space="preserve">b) </w:t>
      </w:r>
      <w:r w:rsidRPr="00DA3B71">
        <w:rPr>
          <w:rFonts w:ascii="Palatino Linotype" w:eastAsia="Palatino Linotype" w:hAnsi="Palatino Linotype" w:cs="Palatino Linotype"/>
          <w:b/>
          <w:bCs/>
          <w:i/>
          <w:iCs/>
        </w:rPr>
        <w:t>Integrales</w:t>
      </w:r>
      <w:r w:rsidRPr="00DA3B71">
        <w:rPr>
          <w:rFonts w:ascii="Palatino Linotype" w:eastAsia="Palatino Linotype" w:hAnsi="Palatino Linotype" w:cs="Palatino Linotype"/>
          <w:i/>
          <w:iCs/>
        </w:rPr>
        <w:t>: Contienen el tema que describen a detalle y con los metadatos necesarios;</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 xml:space="preserve">c) </w:t>
      </w:r>
      <w:r w:rsidRPr="00DA3B71">
        <w:rPr>
          <w:rFonts w:ascii="Palatino Linotype" w:eastAsia="Palatino Linotype" w:hAnsi="Palatino Linotype" w:cs="Palatino Linotype"/>
          <w:b/>
          <w:bCs/>
          <w:i/>
          <w:iCs/>
        </w:rPr>
        <w:t>Gratuitos</w:t>
      </w:r>
      <w:r w:rsidRPr="00DA3B71">
        <w:rPr>
          <w:rFonts w:ascii="Palatino Linotype" w:eastAsia="Palatino Linotype" w:hAnsi="Palatino Linotype" w:cs="Palatino Linotype"/>
          <w:i/>
          <w:iCs/>
        </w:rPr>
        <w:t xml:space="preserve">: Se obtienen sin entregar a cambio contraprestación alguna; </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 xml:space="preserve">d) </w:t>
      </w:r>
      <w:r w:rsidRPr="00DA3B71">
        <w:rPr>
          <w:rFonts w:ascii="Palatino Linotype" w:eastAsia="Palatino Linotype" w:hAnsi="Palatino Linotype" w:cs="Palatino Linotype"/>
          <w:b/>
          <w:bCs/>
          <w:i/>
          <w:iCs/>
        </w:rPr>
        <w:t>No discriminatorios</w:t>
      </w:r>
      <w:r w:rsidRPr="00DA3B71">
        <w:rPr>
          <w:rFonts w:ascii="Palatino Linotype" w:eastAsia="Palatino Linotype" w:hAnsi="Palatino Linotype" w:cs="Palatino Linotype"/>
          <w:i/>
          <w:iCs/>
        </w:rPr>
        <w:t xml:space="preserve">: Los datos están disponibles para cualquier persona, sin necesidad de registro; </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 xml:space="preserve">e) </w:t>
      </w:r>
      <w:r w:rsidRPr="00DA3B71">
        <w:rPr>
          <w:rFonts w:ascii="Palatino Linotype" w:eastAsia="Palatino Linotype" w:hAnsi="Palatino Linotype" w:cs="Palatino Linotype"/>
          <w:b/>
          <w:bCs/>
          <w:i/>
          <w:iCs/>
        </w:rPr>
        <w:t>Oportunos</w:t>
      </w:r>
      <w:r w:rsidRPr="00DA3B71">
        <w:rPr>
          <w:rFonts w:ascii="Palatino Linotype" w:eastAsia="Palatino Linotype" w:hAnsi="Palatino Linotype" w:cs="Palatino Linotype"/>
          <w:i/>
          <w:iCs/>
        </w:rPr>
        <w:t>: Son actualizados, periódicamente, conforme se generen;</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 xml:space="preserve">f) </w:t>
      </w:r>
      <w:r w:rsidRPr="00DA3B71">
        <w:rPr>
          <w:rFonts w:ascii="Palatino Linotype" w:eastAsia="Palatino Linotype" w:hAnsi="Palatino Linotype" w:cs="Palatino Linotype"/>
          <w:b/>
          <w:bCs/>
          <w:i/>
          <w:iCs/>
        </w:rPr>
        <w:t>Permanentes</w:t>
      </w:r>
      <w:r w:rsidRPr="00DA3B71">
        <w:rPr>
          <w:rFonts w:ascii="Palatino Linotype" w:eastAsia="Palatino Linotype" w:hAnsi="Palatino Linotype" w:cs="Palatino Linotype"/>
          <w:i/>
          <w:iCs/>
        </w:rPr>
        <w:t xml:space="preserve">: Se conservan en el tiempo, para lo cual, las versiones históricas relevantes para uso público se mantendrán disponibles con identificadores adecuados al efecto; </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 xml:space="preserve">g) </w:t>
      </w:r>
      <w:r w:rsidRPr="00DA3B71">
        <w:rPr>
          <w:rFonts w:ascii="Palatino Linotype" w:eastAsia="Palatino Linotype" w:hAnsi="Palatino Linotype" w:cs="Palatino Linotype"/>
          <w:b/>
          <w:bCs/>
          <w:i/>
          <w:iCs/>
        </w:rPr>
        <w:t>Primarios</w:t>
      </w:r>
      <w:r w:rsidRPr="00DA3B71">
        <w:rPr>
          <w:rFonts w:ascii="Palatino Linotype" w:eastAsia="Palatino Linotype" w:hAnsi="Palatino Linotype" w:cs="Palatino Linotype"/>
          <w:i/>
          <w:iCs/>
        </w:rPr>
        <w:t xml:space="preserve">: Provienen de la fuente de origen con el máximo nivel de desagregación posible; </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 xml:space="preserve">h) </w:t>
      </w:r>
      <w:r w:rsidRPr="00DA3B71">
        <w:rPr>
          <w:rFonts w:ascii="Palatino Linotype" w:eastAsia="Palatino Linotype" w:hAnsi="Palatino Linotype" w:cs="Palatino Linotype"/>
          <w:b/>
          <w:bCs/>
          <w:i/>
          <w:iCs/>
        </w:rPr>
        <w:t>Legibles por máquinas</w:t>
      </w:r>
      <w:r w:rsidRPr="00DA3B71">
        <w:rPr>
          <w:rFonts w:ascii="Palatino Linotype" w:eastAsia="Palatino Linotype" w:hAnsi="Palatino Linotype" w:cs="Palatino Linotype"/>
          <w:i/>
          <w:iCs/>
        </w:rPr>
        <w:t xml:space="preserve">: Deberán estar estructurados, total o parcialmente, para ser procesados e interpretados por equipos electrónicos de manera automática; </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 xml:space="preserve">i) </w:t>
      </w:r>
      <w:r w:rsidRPr="00DA3B71">
        <w:rPr>
          <w:rFonts w:ascii="Palatino Linotype" w:eastAsia="Palatino Linotype" w:hAnsi="Palatino Linotype" w:cs="Palatino Linotype"/>
          <w:b/>
          <w:bCs/>
          <w:i/>
          <w:iCs/>
        </w:rPr>
        <w:t>En formatos abiertos</w:t>
      </w:r>
      <w:r w:rsidRPr="00DA3B71">
        <w:rPr>
          <w:rFonts w:ascii="Palatino Linotype" w:eastAsia="Palatino Linotype" w:hAnsi="Palatino Linotype" w:cs="Palatino Linotype"/>
          <w:i/>
          <w:iCs/>
        </w:rPr>
        <w:t xml:space="preserve">: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 y </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 xml:space="preserve">j) </w:t>
      </w:r>
      <w:r w:rsidRPr="00DA3B71">
        <w:rPr>
          <w:rFonts w:ascii="Palatino Linotype" w:eastAsia="Palatino Linotype" w:hAnsi="Palatino Linotype" w:cs="Palatino Linotype"/>
          <w:b/>
          <w:bCs/>
          <w:i/>
          <w:iCs/>
        </w:rPr>
        <w:t>De libre uso</w:t>
      </w:r>
      <w:r w:rsidRPr="00DA3B71">
        <w:rPr>
          <w:rFonts w:ascii="Palatino Linotype" w:eastAsia="Palatino Linotype" w:hAnsi="Palatino Linotype" w:cs="Palatino Linotype"/>
          <w:i/>
          <w:iCs/>
        </w:rPr>
        <w:t>: Citan la fuente de origen como único requerimiento para ser utilizados libremente.</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p>
    <w:p w:rsidR="0051129F" w:rsidRPr="00DA3B71" w:rsidRDefault="0051129F">
      <w:pPr>
        <w:ind w:left="566"/>
        <w:jc w:val="both"/>
        <w:rPr>
          <w:rFonts w:ascii="Palatino Linotype" w:eastAsia="Palatino Linotype" w:hAnsi="Palatino Linotype" w:cs="Palatino Linotype"/>
          <w:i/>
          <w:iCs/>
        </w:rPr>
      </w:pP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b/>
          <w:bCs/>
          <w:i/>
          <w:iCs/>
        </w:rPr>
        <w:lastRenderedPageBreak/>
        <w:t>XVI. Formatos abiertos</w:t>
      </w:r>
      <w:r w:rsidRPr="00DA3B71">
        <w:rPr>
          <w:rFonts w:ascii="Palatino Linotype" w:eastAsia="Palatino Linotype" w:hAnsi="Palatino Linotype" w:cs="Palatino Linotype"/>
          <w:i/>
          <w:iCs/>
        </w:rPr>
        <w:t>: Conjunto de características técnicas y de presentación de la información que corresponden a la estructura lógica usada para almacenar datos de forma integral y facilitan su procesamiento digital, cuyas especificaciones están disponibles públicamente y que permiten el acceso sin restricción de uso por parte de los usuarios;</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p>
    <w:p w:rsidR="0051129F" w:rsidRPr="00DA3B71" w:rsidRDefault="0051129F">
      <w:pPr>
        <w:ind w:left="566"/>
        <w:jc w:val="both"/>
        <w:rPr>
          <w:rFonts w:ascii="Palatino Linotype" w:eastAsia="Palatino Linotype" w:hAnsi="Palatino Linotype" w:cs="Palatino Linotype"/>
          <w:i/>
          <w:iCs/>
        </w:rPr>
      </w:pP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b/>
          <w:bCs/>
          <w:i/>
          <w:iCs/>
        </w:rPr>
        <w:t>Artículo 24</w:t>
      </w:r>
      <w:r w:rsidRPr="00DA3B71">
        <w:rPr>
          <w:rFonts w:ascii="Palatino Linotype" w:eastAsia="Palatino Linotype" w:hAnsi="Palatino Linotype" w:cs="Palatino Linotype"/>
          <w:i/>
          <w:iCs/>
        </w:rPr>
        <w:t>. Para el cumplimiento de los objetivos de esta Ley, los sujetos obligados deberán cumplir con las siguientes obligaciones, según corresponda, de acuerdo a su naturaleza:</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V. Promover la generación, documentación y publicación de la información en formatos abiertos y accesibles;</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p>
    <w:p w:rsidR="0051129F" w:rsidRPr="00DA3B71" w:rsidRDefault="0051129F">
      <w:pPr>
        <w:ind w:left="566"/>
        <w:jc w:val="both"/>
        <w:rPr>
          <w:rFonts w:ascii="Palatino Linotype" w:eastAsia="Palatino Linotype" w:hAnsi="Palatino Linotype" w:cs="Palatino Linotype"/>
          <w:i/>
          <w:iCs/>
        </w:rPr>
      </w:pP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b/>
          <w:bCs/>
          <w:i/>
          <w:iCs/>
        </w:rPr>
        <w:t>Artículo 41</w:t>
      </w:r>
      <w:r w:rsidRPr="00DA3B71">
        <w:rPr>
          <w:rFonts w:ascii="Palatino Linotype" w:eastAsia="Palatino Linotype" w:hAnsi="Palatino Linotype" w:cs="Palatino Linotype"/>
          <w:i/>
          <w:iCs/>
        </w:rPr>
        <w:t>. El Instituto promoverá la publicación de la información en datos abiertos y accesibles.</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p>
    <w:p w:rsidR="0051129F" w:rsidRPr="00DA3B71" w:rsidRDefault="0051129F">
      <w:pPr>
        <w:ind w:left="566"/>
        <w:jc w:val="both"/>
        <w:rPr>
          <w:rFonts w:ascii="Palatino Linotype" w:eastAsia="Palatino Linotype" w:hAnsi="Palatino Linotype" w:cs="Palatino Linotype"/>
          <w:i/>
          <w:iCs/>
        </w:rPr>
      </w:pP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b/>
          <w:bCs/>
          <w:i/>
          <w:iCs/>
        </w:rPr>
        <w:t>Artículo 160</w:t>
      </w:r>
      <w:r w:rsidRPr="00DA3B71">
        <w:rPr>
          <w:rFonts w:ascii="Palatino Linotype" w:eastAsia="Palatino Linotype" w:hAnsi="Palatino Linotype" w:cs="Palatino Linotype"/>
          <w:i/>
          <w:iC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 En caso que la información solicitada consista en bases de datos se deberá privilegiar la entrega de la misma en formatos abiertos.</w:t>
      </w:r>
    </w:p>
    <w:p w:rsidR="0051129F" w:rsidRPr="00DA3B71" w:rsidRDefault="0051129F">
      <w:pPr>
        <w:ind w:left="566"/>
        <w:jc w:val="both"/>
        <w:rPr>
          <w:rFonts w:ascii="Palatino Linotype" w:eastAsia="Palatino Linotype" w:hAnsi="Palatino Linotype" w:cs="Palatino Linotype"/>
          <w:i/>
          <w:iCs/>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b/>
          <w:bCs/>
          <w:color w:val="000000"/>
        </w:rPr>
      </w:pPr>
      <w:r w:rsidRPr="00DA3B71">
        <w:rPr>
          <w:rFonts w:ascii="Palatino Linotype" w:eastAsia="Palatino Linotype" w:hAnsi="Palatino Linotype" w:cs="Palatino Linotype"/>
          <w:color w:val="000000"/>
        </w:rPr>
        <w:t xml:space="preserve">Es así que, los Sujetos Obligados y este Organismo Garante, deben velar por la generación y entrega de la información a los Particulares </w:t>
      </w:r>
      <w:r w:rsidRPr="00DA3B71">
        <w:rPr>
          <w:rFonts w:ascii="Palatino Linotype" w:eastAsia="Palatino Linotype" w:hAnsi="Palatino Linotype" w:cs="Palatino Linotype"/>
          <w:b/>
          <w:bCs/>
          <w:color w:val="000000"/>
        </w:rPr>
        <w:t>en formatos abiertos, con los efectos de facilitar la reutilización de la información.</w:t>
      </w:r>
    </w:p>
    <w:p w:rsidR="0051129F" w:rsidRPr="00DA3B71" w:rsidRDefault="0051129F">
      <w:pPr>
        <w:spacing w:line="360" w:lineRule="auto"/>
        <w:jc w:val="both"/>
        <w:rPr>
          <w:rFonts w:ascii="Palatino Linotype" w:eastAsia="Palatino Linotype" w:hAnsi="Palatino Linotype" w:cs="Palatino Linotype"/>
          <w:b/>
          <w:bCs/>
          <w:color w:val="000000"/>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 xml:space="preserve">En este sentido, en acatamiento a lo estipulado en el artículo 161 de la Ley de Transparencia y Acceso a la Información Pública del Estado de México y Municipios, mismo que señala que cuando la información requerida por el solicitante ya esté disponible al público en medios impresos, tales como libros, compendios, trípticos, registros públicos, en formatos electrónicos disponibles en Internet o en cualquier otro medio, </w:t>
      </w:r>
      <w:r w:rsidRPr="00DA3B71">
        <w:rPr>
          <w:rFonts w:ascii="Palatino Linotype" w:eastAsia="Palatino Linotype" w:hAnsi="Palatino Linotype" w:cs="Palatino Linotype"/>
          <w:b/>
          <w:bCs/>
          <w:color w:val="000000"/>
          <w:u w:val="single"/>
        </w:rPr>
        <w:t xml:space="preserve">se le hará saber por el medio </w:t>
      </w:r>
      <w:r w:rsidRPr="00DA3B71">
        <w:rPr>
          <w:rFonts w:ascii="Palatino Linotype" w:eastAsia="Palatino Linotype" w:hAnsi="Palatino Linotype" w:cs="Palatino Linotype"/>
          <w:b/>
          <w:bCs/>
          <w:color w:val="000000"/>
          <w:u w:val="single"/>
        </w:rPr>
        <w:lastRenderedPageBreak/>
        <w:t>requerido por el solicitante la fuente, el lugar y la forma en que puede consultar, reproducir o adquirir dicha información en un plazo no mayor a cinco días hábiles. La fuente deberá ser precisa y concreta y no debe implicar que el solicitante realice la búsqueda en toda la información que se encuentre disponible.</w:t>
      </w:r>
    </w:p>
    <w:p w:rsidR="0051129F" w:rsidRPr="00DA3B71" w:rsidRDefault="0051129F">
      <w:pPr>
        <w:tabs>
          <w:tab w:val="left" w:pos="284"/>
        </w:tabs>
        <w:spacing w:line="360" w:lineRule="auto"/>
        <w:jc w:val="both"/>
        <w:rPr>
          <w:rFonts w:ascii="Palatino Linotype" w:eastAsia="Palatino Linotype" w:hAnsi="Palatino Linotype" w:cs="Palatino Linotype"/>
          <w:i/>
          <w:iCs/>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b/>
          <w:bCs/>
        </w:rPr>
      </w:pPr>
      <w:r w:rsidRPr="00DA3B71">
        <w:rPr>
          <w:rFonts w:ascii="Palatino Linotype" w:eastAsia="Palatino Linotype" w:hAnsi="Palatino Linotype" w:cs="Palatino Linotype"/>
        </w:rPr>
        <w:t xml:space="preserve"> Asimismo, conviene precisar que además de las obligaciones de transparencia común, los sujetos obligados municipales, deberán poner a disposición del público y actualizar la información relativa a las actas de sesiones de cabildo, de conformidad con el artículo 94, fracción II, inciso b), de la </w:t>
      </w:r>
      <w:r w:rsidRPr="00DA3B71">
        <w:rPr>
          <w:rFonts w:ascii="Palatino Linotype" w:eastAsia="Palatino Linotype" w:hAnsi="Palatino Linotype" w:cs="Palatino Linotype"/>
          <w:color w:val="000000"/>
        </w:rPr>
        <w:t>Ley de Transparencia y Acceso a la Información Pública del Estado de México y Municipios.</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Artículo 94. Además de las obligaciones de transparencia común a que se refiere el Capítulo II de este Título, los sujetos obligados del Poder Ejecutivo Local y municipales, deberán poner a disposición del público y actualizar la siguiente información:</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II. Adicionalmente en el caso de los municipios:</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ab/>
        <w:t xml:space="preserve">b) </w:t>
      </w:r>
      <w:r w:rsidRPr="00DA3B71">
        <w:rPr>
          <w:rFonts w:ascii="Palatino Linotype" w:eastAsia="Palatino Linotype" w:hAnsi="Palatino Linotype" w:cs="Palatino Linotype"/>
          <w:b/>
          <w:bCs/>
          <w:i/>
          <w:iCs/>
        </w:rPr>
        <w:t>Las actas de sesiones de cabildo</w:t>
      </w:r>
      <w:r w:rsidRPr="00DA3B71">
        <w:rPr>
          <w:rFonts w:ascii="Palatino Linotype" w:eastAsia="Palatino Linotype" w:hAnsi="Palatino Linotype" w:cs="Palatino Linotype"/>
          <w:i/>
          <w:iCs/>
        </w:rPr>
        <w:t>, los controles de asistencia de los integrantes del Ayuntamiento a las sesiones de cabildo y el sentido de votación de los miembros del cabildo sobre las iniciativas o acuerdos;</w:t>
      </w:r>
    </w:p>
    <w:p w:rsidR="0051129F" w:rsidRPr="00DA3B71" w:rsidRDefault="00D60CF2">
      <w:pPr>
        <w:ind w:left="566"/>
        <w:jc w:val="both"/>
        <w:rPr>
          <w:rFonts w:ascii="Palatino Linotype" w:eastAsia="Palatino Linotype" w:hAnsi="Palatino Linotype" w:cs="Palatino Linotype"/>
          <w:i/>
          <w:iCs/>
        </w:rPr>
      </w:pPr>
      <w:r w:rsidRPr="00DA3B71">
        <w:rPr>
          <w:rFonts w:ascii="Palatino Linotype" w:eastAsia="Palatino Linotype" w:hAnsi="Palatino Linotype" w:cs="Palatino Linotype"/>
          <w:i/>
          <w:iCs/>
        </w:rPr>
        <w:t>…</w:t>
      </w:r>
    </w:p>
    <w:p w:rsidR="0051129F" w:rsidRPr="00DA3B71" w:rsidRDefault="0051129F">
      <w:pPr>
        <w:tabs>
          <w:tab w:val="left" w:pos="284"/>
        </w:tabs>
        <w:spacing w:line="360" w:lineRule="auto"/>
        <w:jc w:val="both"/>
        <w:rPr>
          <w:rFonts w:ascii="Palatino Linotype" w:eastAsia="Palatino Linotype" w:hAnsi="Palatino Linotype" w:cs="Palatino Linotype"/>
          <w:b/>
          <w:bCs/>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i/>
          <w:iCs/>
        </w:rPr>
      </w:pPr>
      <w:r w:rsidRPr="00DA3B71">
        <w:rPr>
          <w:rFonts w:ascii="Palatino Linotype" w:eastAsia="Palatino Linotype" w:hAnsi="Palatino Linotype" w:cs="Palatino Linotype"/>
          <w:color w:val="000000"/>
        </w:rPr>
        <w:t xml:space="preserve">Por lo anterior, este Organismo Garante, considera viable </w:t>
      </w:r>
      <w:r w:rsidRPr="00DA3B71">
        <w:rPr>
          <w:rFonts w:ascii="Palatino Linotype" w:eastAsia="Palatino Linotype" w:hAnsi="Palatino Linotype" w:cs="Palatino Linotype"/>
          <w:b/>
          <w:bCs/>
        </w:rPr>
        <w:t>ORDENAR</w:t>
      </w:r>
      <w:r w:rsidRPr="00DA3B71">
        <w:rPr>
          <w:rFonts w:ascii="Palatino Linotype" w:eastAsia="Palatino Linotype" w:hAnsi="Palatino Linotype" w:cs="Palatino Linotype"/>
        </w:rPr>
        <w:t xml:space="preserve"> al </w:t>
      </w:r>
      <w:r w:rsidRPr="00DA3B71">
        <w:rPr>
          <w:rFonts w:ascii="Palatino Linotype" w:eastAsia="Palatino Linotype" w:hAnsi="Palatino Linotype" w:cs="Palatino Linotype"/>
          <w:b/>
          <w:bCs/>
        </w:rPr>
        <w:t>Sujeto Obligado</w:t>
      </w:r>
      <w:r w:rsidRPr="00DA3B71">
        <w:rPr>
          <w:rFonts w:ascii="Palatino Linotype" w:eastAsia="Palatino Linotype" w:hAnsi="Palatino Linotype" w:cs="Palatino Linotype"/>
        </w:rPr>
        <w:t xml:space="preserve">, entregar, de ser el caso en versión pública, las </w:t>
      </w:r>
      <w:r w:rsidRPr="00DA3B71">
        <w:rPr>
          <w:rFonts w:ascii="Palatino Linotype" w:eastAsia="Palatino Linotype" w:hAnsi="Palatino Linotype" w:cs="Palatino Linotype"/>
          <w:b/>
          <w:bCs/>
        </w:rPr>
        <w:t>Actas de Cabildo del Ayuntamiento de Tepotzotlán en las que se haya aprobado presupuesto, subsidios, transferencias, nombramientos o informes relacionados con el Instituto Municipal de Cultura Física y Deporte de Tepotzotlán, del 01 de enero de 2024 al 31 de diciembre de 2025.</w:t>
      </w:r>
    </w:p>
    <w:p w:rsidR="0051129F" w:rsidRPr="00DA3B71" w:rsidRDefault="0051129F">
      <w:pPr>
        <w:tabs>
          <w:tab w:val="left" w:pos="284"/>
        </w:tabs>
        <w:spacing w:line="360" w:lineRule="auto"/>
        <w:jc w:val="both"/>
        <w:rPr>
          <w:rFonts w:ascii="Palatino Linotype" w:eastAsia="Palatino Linotype" w:hAnsi="Palatino Linotype" w:cs="Palatino Linotype"/>
          <w:i/>
          <w:iCs/>
        </w:rPr>
      </w:pPr>
    </w:p>
    <w:p w:rsidR="0051129F" w:rsidRPr="00DA3B71" w:rsidRDefault="00D60CF2">
      <w:pPr>
        <w:numPr>
          <w:ilvl w:val="0"/>
          <w:numId w:val="9"/>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lastRenderedPageBreak/>
        <w:t xml:space="preserve">De la vista a los órganos de control interno competentes </w:t>
      </w: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 xml:space="preserve">Finalmente, es de señalar que, como ya se mencionó el </w:t>
      </w:r>
      <w:r w:rsidRPr="00DA3B71">
        <w:rPr>
          <w:rFonts w:ascii="Palatino Linotype" w:eastAsia="Palatino Linotype" w:hAnsi="Palatino Linotype" w:cs="Palatino Linotype"/>
          <w:b/>
          <w:bCs/>
        </w:rPr>
        <w:t>Sujeto Obligado</w:t>
      </w:r>
      <w:r w:rsidRPr="00DA3B71">
        <w:rPr>
          <w:rFonts w:ascii="Palatino Linotype" w:eastAsia="Palatino Linotype" w:hAnsi="Palatino Linotype" w:cs="Palatino Linotype"/>
        </w:rPr>
        <w:t>, omitió proporcionar la respuesta a las solicitudes de acceso a la información pública</w:t>
      </w:r>
      <w:r w:rsidR="00395D76" w:rsidRPr="00DA3B71">
        <w:rPr>
          <w:rFonts w:ascii="Palatino Linotype" w:eastAsia="Palatino Linotype" w:hAnsi="Palatino Linotype" w:cs="Palatino Linotype"/>
        </w:rPr>
        <w:t xml:space="preserve"> </w:t>
      </w:r>
      <w:r w:rsidR="00395D76" w:rsidRPr="00DA3B71">
        <w:rPr>
          <w:rFonts w:ascii="Palatino Linotype" w:eastAsia="Palatino Linotype" w:hAnsi="Palatino Linotype" w:cs="Palatino Linotype"/>
          <w:b/>
          <w:bCs/>
        </w:rPr>
        <w:t>00025/TEPOTZOT/IP/2026 00008/TEPOTZOT/IP/2026</w:t>
      </w:r>
      <w:r w:rsidRPr="00DA3B71">
        <w:rPr>
          <w:rFonts w:ascii="Palatino Linotype" w:eastAsia="Palatino Linotype" w:hAnsi="Palatino Linotype" w:cs="Palatino Linotype"/>
        </w:rPr>
        <w:t xml:space="preserve">, en el término contemplado en el ya citado artículo 163 de la ley de la materia, razón por la que, en términos de lo previsto en el artículo 190 de la Ley de Transparencia y Acceso a la Información Pública del Estado de México y Municipios, se </w:t>
      </w:r>
      <w:r w:rsidRPr="00DA3B71">
        <w:rPr>
          <w:rFonts w:ascii="Palatino Linotype" w:eastAsia="Palatino Linotype" w:hAnsi="Palatino Linotype" w:cs="Palatino Linotype"/>
          <w:b/>
          <w:bCs/>
        </w:rPr>
        <w:t xml:space="preserve">ORDENA </w:t>
      </w:r>
      <w:r w:rsidRPr="00DA3B71">
        <w:rPr>
          <w:rFonts w:ascii="Palatino Linotype" w:eastAsia="Palatino Linotype" w:hAnsi="Palatino Linotype" w:cs="Palatino Linotype"/>
        </w:rPr>
        <w:t xml:space="preserve">dar vista a la </w:t>
      </w:r>
      <w:r w:rsidRPr="00DA3B71">
        <w:rPr>
          <w:rFonts w:ascii="Palatino Linotype" w:eastAsia="Palatino Linotype" w:hAnsi="Palatino Linotype" w:cs="Palatino Linotype"/>
          <w:b/>
          <w:bCs/>
        </w:rPr>
        <w:t>Secretaría Técnica del Pleno</w:t>
      </w:r>
      <w:r w:rsidRPr="00DA3B71">
        <w:rPr>
          <w:rFonts w:ascii="Palatino Linotype" w:eastAsia="Palatino Linotype" w:hAnsi="Palatino Linotype" w:cs="Palatino Linotype"/>
        </w:rPr>
        <w:t xml:space="preserve"> a efecto de que ejerza las atribuciones previstas en la normatividad aplicable y comunique al Órgano Interno de Control Competente para que éste último, en ejercicio de sus atribuciones resuelva lo conducente y determine en su caso el grado de responsabilidad en el incumplimiento de las obligacione</w:t>
      </w:r>
      <w:r w:rsidR="00395D76" w:rsidRPr="00DA3B71">
        <w:rPr>
          <w:rFonts w:ascii="Palatino Linotype" w:eastAsia="Palatino Linotype" w:hAnsi="Palatino Linotype" w:cs="Palatino Linotype"/>
        </w:rPr>
        <w:t xml:space="preserve">s establecidas en la citada ley, únicamente respecto de las faltas de respuesta que dieron origen a los recursos de revisión </w:t>
      </w:r>
      <w:r w:rsidR="00395D76" w:rsidRPr="00DA3B71">
        <w:rPr>
          <w:rFonts w:ascii="Palatino Linotype" w:eastAsia="Palatino Linotype" w:hAnsi="Palatino Linotype" w:cs="Palatino Linotype"/>
          <w:b/>
          <w:bCs/>
        </w:rPr>
        <w:t>01988/INFOEM/IP/RR/2026 y 01993/INFOEM/IP/RR/2026.</w:t>
      </w:r>
    </w:p>
    <w:p w:rsidR="0051129F" w:rsidRPr="00DA3B71" w:rsidRDefault="0051129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1129F" w:rsidRPr="00DA3B71" w:rsidRDefault="00D60CF2">
      <w:pPr>
        <w:keepNext/>
        <w:keepLines/>
        <w:spacing w:after="160" w:line="360" w:lineRule="auto"/>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t>QUINTO. De la versión pública.</w:t>
      </w:r>
    </w:p>
    <w:p w:rsidR="0051129F" w:rsidRPr="00DA3B71" w:rsidRDefault="00D60CF2">
      <w:pPr>
        <w:keepNext/>
        <w:keepLines/>
        <w:numPr>
          <w:ilvl w:val="0"/>
          <w:numId w:val="8"/>
        </w:numPr>
        <w:tabs>
          <w:tab w:val="left" w:pos="284"/>
        </w:tabs>
        <w:spacing w:after="160" w:line="360" w:lineRule="auto"/>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t xml:space="preserve">Nociones generales. </w:t>
      </w: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color w:val="000000"/>
        </w:rPr>
        <w:t>Debido</w:t>
      </w:r>
      <w:r w:rsidRPr="00DA3B71">
        <w:rPr>
          <w:rFonts w:ascii="Palatino Linotype" w:eastAsia="Palatino Linotype" w:hAnsi="Palatino Linotype" w:cs="Palatino Linotype"/>
        </w:rPr>
        <w:t xml:space="preserve"> a la información solicitada por el </w:t>
      </w:r>
      <w:r w:rsidRPr="00DA3B71">
        <w:rPr>
          <w:rFonts w:ascii="Palatino Linotype" w:eastAsia="Palatino Linotype" w:hAnsi="Palatino Linotype" w:cs="Palatino Linotype"/>
          <w:b/>
          <w:bCs/>
        </w:rPr>
        <w:t>RECURRENTE</w:t>
      </w:r>
      <w:r w:rsidRPr="00DA3B71">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sidRPr="00DA3B71">
        <w:rPr>
          <w:rFonts w:ascii="Palatino Linotype" w:eastAsia="Palatino Linotype" w:hAnsi="Palatino Linotype" w:cs="Palatino Linotype"/>
          <w:b/>
          <w:bCs/>
        </w:rPr>
        <w:t xml:space="preserve">SUJETO OBLIGADO </w:t>
      </w:r>
      <w:r w:rsidRPr="00DA3B71">
        <w:rPr>
          <w:rFonts w:ascii="Palatino Linotype" w:eastAsia="Palatino Linotype" w:hAnsi="Palatino Linotype" w:cs="Palatino Linotype"/>
        </w:rPr>
        <w:t xml:space="preserve">deberá de hacer la adecuada versión pública, protegiendo los datos que no son susceptibles de ser proporcionados. </w:t>
      </w:r>
    </w:p>
    <w:p w:rsidR="0051129F" w:rsidRPr="00DA3B71" w:rsidRDefault="0051129F">
      <w:pPr>
        <w:tabs>
          <w:tab w:val="left" w:pos="0"/>
          <w:tab w:val="left" w:pos="284"/>
        </w:tabs>
        <w:spacing w:line="360" w:lineRule="auto"/>
        <w:jc w:val="both"/>
        <w:rPr>
          <w:rFonts w:ascii="Palatino Linotype" w:eastAsia="Palatino Linotype" w:hAnsi="Palatino Linotype" w:cs="Palatino Linotype"/>
          <w:highlight w:val="yellow"/>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 xml:space="preserve">No </w:t>
      </w:r>
      <w:r w:rsidRPr="00DA3B71">
        <w:rPr>
          <w:rFonts w:ascii="Palatino Linotype" w:eastAsia="Palatino Linotype" w:hAnsi="Palatino Linotype" w:cs="Palatino Linotype"/>
        </w:rPr>
        <w:t>pasa</w:t>
      </w:r>
      <w:r w:rsidRPr="00DA3B71">
        <w:rPr>
          <w:rFonts w:ascii="Palatino Linotype" w:eastAsia="Palatino Linotype" w:hAnsi="Palatino Linotype" w:cs="Palatino Linotype"/>
          <w:color w:val="000000"/>
        </w:rPr>
        <w:t xml:space="preserve"> desapercibido para este Órgano Garante que los sujetos obligados</w:t>
      </w:r>
      <w:r w:rsidRPr="00DA3B71">
        <w:rPr>
          <w:rFonts w:ascii="Palatino Linotype" w:eastAsia="Palatino Linotype" w:hAnsi="Palatino Linotype" w:cs="Palatino Linotype"/>
          <w:b/>
          <w:bCs/>
          <w:color w:val="000000"/>
        </w:rPr>
        <w:t xml:space="preserve"> </w:t>
      </w:r>
      <w:r w:rsidRPr="00DA3B71">
        <w:rPr>
          <w:rFonts w:ascii="Palatino Linotype" w:eastAsia="Palatino Linotype" w:hAnsi="Palatino Linotype" w:cs="Palatino Linotype"/>
          <w:color w:val="000000"/>
        </w:rPr>
        <w:t xml:space="preserve">serán responsables de los datos personales en su posesión y que, en caso de localizarse datos </w:t>
      </w:r>
      <w:r w:rsidRPr="00DA3B71">
        <w:rPr>
          <w:rFonts w:ascii="Palatino Linotype" w:eastAsia="Palatino Linotype" w:hAnsi="Palatino Linotype" w:cs="Palatino Linotype"/>
          <w:color w:val="000000"/>
        </w:rPr>
        <w:lastRenderedPageBreak/>
        <w:t>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51129F" w:rsidRPr="00DA3B71" w:rsidRDefault="0051129F">
      <w:pPr>
        <w:tabs>
          <w:tab w:val="left" w:pos="284"/>
        </w:tabs>
        <w:spacing w:after="160" w:line="360" w:lineRule="auto"/>
        <w:jc w:val="both"/>
        <w:rPr>
          <w:rFonts w:ascii="Palatino Linotype" w:eastAsia="Palatino Linotype" w:hAnsi="Palatino Linotype" w:cs="Palatino Linotype"/>
          <w:color w:val="000000"/>
        </w:rPr>
      </w:pPr>
    </w:p>
    <w:tbl>
      <w:tblPr>
        <w:tblStyle w:val="a1"/>
        <w:tblW w:w="991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29"/>
      </w:tblGrid>
      <w:tr w:rsidR="0051129F" w:rsidRPr="00DA3B71" w:rsidTr="00DA3B71">
        <w:tc>
          <w:tcPr>
            <w:tcW w:w="2689" w:type="dxa"/>
          </w:tcPr>
          <w:p w:rsidR="0051129F" w:rsidRPr="00DA3B71" w:rsidRDefault="00D60CF2">
            <w:pPr>
              <w:tabs>
                <w:tab w:val="left" w:pos="284"/>
              </w:tabs>
              <w:spacing w:line="360" w:lineRule="auto"/>
              <w:rPr>
                <w:rFonts w:ascii="Palatino Linotype" w:eastAsia="Palatino Linotype" w:hAnsi="Palatino Linotype" w:cs="Palatino Linotype"/>
                <w:b/>
                <w:bCs/>
              </w:rPr>
            </w:pPr>
            <w:r w:rsidRPr="00DA3B71">
              <w:rPr>
                <w:rFonts w:ascii="Palatino Linotype" w:eastAsia="Palatino Linotype" w:hAnsi="Palatino Linotype" w:cs="Palatino Linotype"/>
                <w:b/>
                <w:bCs/>
              </w:rPr>
              <w:t>a) Requisitos previos.</w:t>
            </w:r>
          </w:p>
        </w:tc>
        <w:tc>
          <w:tcPr>
            <w:tcW w:w="7229" w:type="dxa"/>
          </w:tcPr>
          <w:p w:rsidR="0051129F" w:rsidRPr="00DA3B71" w:rsidRDefault="00D60CF2">
            <w:pPr>
              <w:tabs>
                <w:tab w:val="left" w:pos="284"/>
              </w:tabs>
              <w:spacing w:line="360" w:lineRule="auto"/>
              <w:jc w:val="both"/>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t xml:space="preserve">Los artículos 100 y 122 de la Ley Estatal y de la Ley General, vigente a la fecha de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51129F" w:rsidRPr="00DA3B71" w:rsidRDefault="00D60CF2">
            <w:pPr>
              <w:tabs>
                <w:tab w:val="left" w:pos="284"/>
              </w:tabs>
              <w:spacing w:line="360" w:lineRule="auto"/>
              <w:jc w:val="both"/>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t>Al hacerlo tienen que precisar de qué información se trata, señalando el supuesto de clasificación (confidencialidad o reserva).</w:t>
            </w:r>
          </w:p>
          <w:p w:rsidR="0051129F" w:rsidRPr="00DA3B71" w:rsidRDefault="00D60CF2">
            <w:pPr>
              <w:tabs>
                <w:tab w:val="left" w:pos="284"/>
              </w:tabs>
              <w:spacing w:line="360" w:lineRule="auto"/>
              <w:jc w:val="both"/>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t>Además, se debe señalar el procedimiento, de los tres que establecen los artículos 132 y 106 de la Ley Estatal y General, respectivamente.</w:t>
            </w:r>
          </w:p>
          <w:p w:rsidR="0051129F" w:rsidRPr="00DA3B71" w:rsidRDefault="00D60CF2">
            <w:pPr>
              <w:tabs>
                <w:tab w:val="left" w:pos="284"/>
              </w:tabs>
              <w:spacing w:line="360" w:lineRule="auto"/>
              <w:jc w:val="both"/>
              <w:rPr>
                <w:rFonts w:ascii="Palatino Linotype" w:eastAsia="Palatino Linotype" w:hAnsi="Palatino Linotype" w:cs="Palatino Linotype"/>
                <w:b/>
                <w:bCs/>
              </w:rPr>
            </w:pPr>
            <w:r w:rsidRPr="00DA3B71">
              <w:rPr>
                <w:rFonts w:ascii="Palatino Linotype" w:eastAsia="Palatino Linotype" w:hAnsi="Palatino Linotype" w:cs="Palatino Linotype"/>
                <w:b/>
                <w:bCs/>
                <w:color w:val="000000"/>
              </w:rPr>
              <w:t xml:space="preserve">El último de estos requisitos previos consiste en que no se pueden emitir acuerdos de carácter general ni particular, esto es, </w:t>
            </w:r>
            <w:r w:rsidRPr="00DA3B71">
              <w:rPr>
                <w:rFonts w:ascii="Palatino Linotype" w:eastAsia="Palatino Linotype" w:hAnsi="Palatino Linotype" w:cs="Palatino Linotype"/>
                <w:b/>
                <w:bCs/>
                <w:color w:val="000000"/>
                <w:u w:val="single"/>
              </w:rPr>
              <w:t>no se puede hacer un acuerdo para clasificar de manera general todos los documentos de un expediente o área, sin</w:t>
            </w:r>
            <w:r w:rsidRPr="00DA3B71">
              <w:rPr>
                <w:rFonts w:ascii="Palatino Linotype" w:eastAsia="Palatino Linotype" w:hAnsi="Palatino Linotype" w:cs="Palatino Linotype"/>
                <w:b/>
                <w:bCs/>
                <w:color w:val="000000"/>
              </w:rPr>
              <w:t xml:space="preserve"> individualizar su análisis y tampoco se puede hacer un acuerdo por cada dato que se vaya a clasificar dentro de un documento con diez datos, por ejemplo, susceptibles de ser clasificados.</w:t>
            </w:r>
          </w:p>
        </w:tc>
      </w:tr>
      <w:tr w:rsidR="0051129F" w:rsidRPr="00DA3B71" w:rsidTr="00DA3B71">
        <w:tc>
          <w:tcPr>
            <w:tcW w:w="2689" w:type="dxa"/>
          </w:tcPr>
          <w:p w:rsidR="0051129F" w:rsidRPr="00DA3B71" w:rsidRDefault="00D60CF2">
            <w:pPr>
              <w:tabs>
                <w:tab w:val="left" w:pos="284"/>
              </w:tabs>
              <w:spacing w:line="360" w:lineRule="auto"/>
              <w:rPr>
                <w:rFonts w:ascii="Palatino Linotype" w:eastAsia="Palatino Linotype" w:hAnsi="Palatino Linotype" w:cs="Palatino Linotype"/>
                <w:b/>
                <w:bCs/>
              </w:rPr>
            </w:pPr>
            <w:r w:rsidRPr="00DA3B71">
              <w:rPr>
                <w:rFonts w:ascii="Palatino Linotype" w:eastAsia="Palatino Linotype" w:hAnsi="Palatino Linotype" w:cs="Palatino Linotype"/>
                <w:b/>
                <w:bCs/>
              </w:rPr>
              <w:lastRenderedPageBreak/>
              <w:t>b) Supuestos de clasificación.</w:t>
            </w:r>
          </w:p>
        </w:tc>
        <w:tc>
          <w:tcPr>
            <w:tcW w:w="7229" w:type="dxa"/>
          </w:tcPr>
          <w:p w:rsidR="0051129F" w:rsidRPr="00DA3B71" w:rsidRDefault="00D60CF2">
            <w:pPr>
              <w:tabs>
                <w:tab w:val="left" w:pos="284"/>
              </w:tabs>
              <w:spacing w:line="360" w:lineRule="auto"/>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51129F" w:rsidRPr="00DA3B71" w:rsidRDefault="00D60CF2">
            <w:pPr>
              <w:tabs>
                <w:tab w:val="left" w:pos="284"/>
              </w:tabs>
              <w:spacing w:line="360" w:lineRule="auto"/>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Los artículos 116 y 143 de la Ley Estatal y de la Ley General, vigente a la fecha de la solicitud de información, respectivamente, señalan los supuestos para que la información pueda ser clasificada como confidencial. Mientras que los artículos 105 y 130 de la Ley Estatal y de la Ley General, vigente a la fecha de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51129F" w:rsidRPr="00DA3B71" w:rsidRDefault="00D60CF2">
            <w:pPr>
              <w:tabs>
                <w:tab w:val="left" w:pos="284"/>
              </w:tabs>
              <w:spacing w:line="360" w:lineRule="auto"/>
              <w:jc w:val="both"/>
              <w:rPr>
                <w:rFonts w:ascii="Palatino Linotype" w:eastAsia="Palatino Linotype" w:hAnsi="Palatino Linotype" w:cs="Palatino Linotype"/>
              </w:rPr>
            </w:pPr>
            <w:r w:rsidRPr="00DA3B71">
              <w:rPr>
                <w:rFonts w:ascii="Palatino Linotype" w:eastAsia="Palatino Linotype" w:hAnsi="Palatino Linotype" w:cs="Palatino Linotype"/>
                <w:color w:val="000000"/>
              </w:rPr>
              <w:t xml:space="preserve">El </w:t>
            </w:r>
            <w:r w:rsidRPr="00DA3B71">
              <w:rPr>
                <w:rFonts w:ascii="Palatino Linotype" w:eastAsia="Palatino Linotype" w:hAnsi="Palatino Linotype" w:cs="Palatino Linotype"/>
                <w:b/>
                <w:bCs/>
                <w:color w:val="000000"/>
              </w:rPr>
              <w:t>Sujeto Obligado</w:t>
            </w:r>
            <w:r w:rsidRPr="00DA3B71">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51129F" w:rsidRPr="00DA3B71" w:rsidTr="00DA3B71">
        <w:tc>
          <w:tcPr>
            <w:tcW w:w="2689" w:type="dxa"/>
          </w:tcPr>
          <w:p w:rsidR="0051129F" w:rsidRPr="00DA3B71" w:rsidRDefault="00D60CF2">
            <w:pPr>
              <w:tabs>
                <w:tab w:val="left" w:pos="284"/>
              </w:tabs>
              <w:spacing w:line="360" w:lineRule="auto"/>
              <w:rPr>
                <w:rFonts w:ascii="Palatino Linotype" w:eastAsia="Palatino Linotype" w:hAnsi="Palatino Linotype" w:cs="Palatino Linotype"/>
                <w:b/>
                <w:bCs/>
              </w:rPr>
            </w:pPr>
            <w:r w:rsidRPr="00DA3B71">
              <w:rPr>
                <w:rFonts w:ascii="Palatino Linotype" w:eastAsia="Palatino Linotype" w:hAnsi="Palatino Linotype" w:cs="Palatino Linotype"/>
                <w:b/>
                <w:bCs/>
              </w:rPr>
              <w:t>c) Formalidades para emitir el acuerdo de clasificación.</w:t>
            </w:r>
          </w:p>
        </w:tc>
        <w:tc>
          <w:tcPr>
            <w:tcW w:w="7229" w:type="dxa"/>
          </w:tcPr>
          <w:p w:rsidR="0051129F" w:rsidRPr="00DA3B71" w:rsidRDefault="00D60CF2">
            <w:pPr>
              <w:tabs>
                <w:tab w:val="left" w:pos="284"/>
              </w:tabs>
              <w:spacing w:line="360" w:lineRule="auto"/>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51129F" w:rsidRPr="00DA3B71" w:rsidRDefault="00D60CF2">
            <w:pPr>
              <w:tabs>
                <w:tab w:val="left" w:pos="284"/>
              </w:tabs>
              <w:spacing w:line="360" w:lineRule="auto"/>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lastRenderedPageBreak/>
              <w:t xml:space="preserve">Es necesario que </w:t>
            </w:r>
            <w:r w:rsidRPr="00DA3B71">
              <w:rPr>
                <w:rFonts w:ascii="Palatino Linotype" w:eastAsia="Palatino Linotype" w:hAnsi="Palatino Linotype" w:cs="Palatino Linotype"/>
                <w:b/>
                <w:bCs/>
                <w:color w:val="000000"/>
                <w:u w:val="single"/>
              </w:rPr>
              <w:t>el acto reúna con los requisitos elementales</w:t>
            </w:r>
            <w:r w:rsidRPr="00DA3B71">
              <w:rPr>
                <w:rFonts w:ascii="Palatino Linotype" w:eastAsia="Palatino Linotype" w:hAnsi="Palatino Linotype" w:cs="Palatino Linotype"/>
                <w:color w:val="000000"/>
              </w:rPr>
              <w:t>, entre ellos, que la autoridad que va a emitir el acto de autoridad sea la legalmente facultada para ello.</w:t>
            </w:r>
          </w:p>
          <w:p w:rsidR="0051129F" w:rsidRPr="00DA3B71" w:rsidRDefault="00D60CF2">
            <w:pPr>
              <w:tabs>
                <w:tab w:val="left" w:pos="284"/>
              </w:tabs>
              <w:spacing w:line="360" w:lineRule="auto"/>
              <w:jc w:val="both"/>
              <w:rPr>
                <w:rFonts w:ascii="Palatino Linotype" w:eastAsia="Palatino Linotype" w:hAnsi="Palatino Linotype" w:cs="Palatino Linotype"/>
              </w:rPr>
            </w:pPr>
            <w:r w:rsidRPr="00DA3B71">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51129F" w:rsidRPr="00DA3B71" w:rsidTr="00DA3B71">
        <w:tc>
          <w:tcPr>
            <w:tcW w:w="2689" w:type="dxa"/>
          </w:tcPr>
          <w:p w:rsidR="0051129F" w:rsidRPr="00DA3B71" w:rsidRDefault="0051129F">
            <w:pPr>
              <w:tabs>
                <w:tab w:val="left" w:pos="284"/>
              </w:tabs>
              <w:spacing w:line="360" w:lineRule="auto"/>
              <w:rPr>
                <w:rFonts w:ascii="Palatino Linotype" w:eastAsia="Palatino Linotype" w:hAnsi="Palatino Linotype" w:cs="Palatino Linotype"/>
                <w:b/>
                <w:bCs/>
              </w:rPr>
            </w:pPr>
          </w:p>
          <w:p w:rsidR="0051129F" w:rsidRPr="00DA3B71" w:rsidRDefault="00D60CF2">
            <w:pPr>
              <w:tabs>
                <w:tab w:val="left" w:pos="284"/>
              </w:tabs>
              <w:spacing w:line="360" w:lineRule="auto"/>
              <w:jc w:val="both"/>
              <w:rPr>
                <w:rFonts w:ascii="Palatino Linotype" w:eastAsia="Palatino Linotype" w:hAnsi="Palatino Linotype" w:cs="Palatino Linotype"/>
                <w:b/>
                <w:bCs/>
              </w:rPr>
            </w:pPr>
            <w:r w:rsidRPr="00DA3B71">
              <w:rPr>
                <w:rFonts w:ascii="Palatino Linotype" w:eastAsia="Palatino Linotype" w:hAnsi="Palatino Linotype" w:cs="Palatino Linotype"/>
                <w:b/>
                <w:bCs/>
                <w:color w:val="000000"/>
              </w:rPr>
              <w:t xml:space="preserve">d) Requisitos de fondo del acuerdo de clasificación. </w:t>
            </w:r>
          </w:p>
        </w:tc>
        <w:tc>
          <w:tcPr>
            <w:tcW w:w="7229" w:type="dxa"/>
          </w:tcPr>
          <w:p w:rsidR="0051129F" w:rsidRPr="00DA3B71" w:rsidRDefault="00D60CF2">
            <w:pPr>
              <w:tabs>
                <w:tab w:val="left" w:pos="284"/>
              </w:tabs>
              <w:spacing w:line="360" w:lineRule="auto"/>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DA3B71">
              <w:rPr>
                <w:rFonts w:ascii="Palatino Linotype" w:eastAsia="Palatino Linotype" w:hAnsi="Palatino Linotype" w:cs="Palatino Linotype"/>
                <w:b/>
                <w:bCs/>
                <w:color w:val="000000"/>
              </w:rPr>
              <w:t>Sujetos Obligados</w:t>
            </w:r>
            <w:r w:rsidRPr="00DA3B71">
              <w:rPr>
                <w:rFonts w:ascii="Palatino Linotype" w:eastAsia="Palatino Linotype" w:hAnsi="Palatino Linotype" w:cs="Palatino Linotype"/>
                <w:color w:val="000000"/>
              </w:rPr>
              <w:t xml:space="preserve">, por lo que deberán fundar y motivar debidamente la clasificación. </w:t>
            </w:r>
          </w:p>
          <w:p w:rsidR="0051129F" w:rsidRPr="00DA3B71" w:rsidRDefault="00D60CF2">
            <w:pPr>
              <w:tabs>
                <w:tab w:val="left" w:pos="284"/>
              </w:tabs>
              <w:spacing w:line="360" w:lineRule="auto"/>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 xml:space="preserve">De lo anterior, se desprende que para una correcta </w:t>
            </w:r>
            <w:r w:rsidRPr="00DA3B71">
              <w:rPr>
                <w:rFonts w:ascii="Palatino Linotype" w:eastAsia="Palatino Linotype" w:hAnsi="Palatino Linotype" w:cs="Palatino Linotype"/>
                <w:b/>
                <w:bCs/>
                <w:color w:val="000000"/>
              </w:rPr>
              <w:t>clasificación total o parcial</w:t>
            </w:r>
            <w:r w:rsidRPr="00DA3B71">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todo acto que la autoridad pronuncie en el ejercicio de sus atribuciones, debe </w:t>
            </w:r>
            <w:r w:rsidRPr="00DA3B71">
              <w:rPr>
                <w:rFonts w:ascii="Palatino Linotype" w:eastAsia="Palatino Linotype" w:hAnsi="Palatino Linotype" w:cs="Palatino Linotype"/>
                <w:color w:val="000000"/>
              </w:rPr>
              <w:lastRenderedPageBreak/>
              <w:t>expresar los fundamentos legales que le dieron origen y las razones por las que se deben aplicar al caso concreto.</w:t>
            </w:r>
          </w:p>
          <w:p w:rsidR="0051129F" w:rsidRPr="00DA3B71" w:rsidRDefault="00D60CF2">
            <w:pPr>
              <w:tabs>
                <w:tab w:val="left" w:pos="284"/>
              </w:tabs>
              <w:spacing w:line="360" w:lineRule="auto"/>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51129F" w:rsidRPr="00DA3B71" w:rsidRDefault="00D60CF2">
            <w:pPr>
              <w:tabs>
                <w:tab w:val="left" w:pos="284"/>
              </w:tabs>
              <w:spacing w:line="360" w:lineRule="auto"/>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51129F" w:rsidRPr="00DA3B71" w:rsidRDefault="00D60CF2">
            <w:pPr>
              <w:tabs>
                <w:tab w:val="left" w:pos="284"/>
              </w:tabs>
              <w:spacing w:line="360" w:lineRule="auto"/>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t xml:space="preserve">Ahora bien, </w:t>
            </w:r>
            <w:r w:rsidRPr="00DA3B71">
              <w:rPr>
                <w:rFonts w:ascii="Palatino Linotype" w:eastAsia="Palatino Linotype" w:hAnsi="Palatino Linotype" w:cs="Palatino Linotype"/>
                <w:b/>
                <w:bCs/>
                <w:color w:val="000000"/>
                <w:u w:val="single"/>
              </w:rPr>
              <w:t>para cada caso además de fundar y motivar</w:t>
            </w:r>
            <w:r w:rsidRPr="00DA3B71">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1129F" w:rsidRPr="00DA3B71" w:rsidTr="00DA3B71">
        <w:tc>
          <w:tcPr>
            <w:tcW w:w="2689" w:type="dxa"/>
          </w:tcPr>
          <w:p w:rsidR="0051129F" w:rsidRPr="00DA3B71" w:rsidRDefault="00D60CF2">
            <w:pPr>
              <w:tabs>
                <w:tab w:val="left" w:pos="284"/>
              </w:tabs>
              <w:spacing w:line="360" w:lineRule="auto"/>
              <w:jc w:val="both"/>
              <w:rPr>
                <w:rFonts w:ascii="Palatino Linotype" w:eastAsia="Palatino Linotype" w:hAnsi="Palatino Linotype" w:cs="Palatino Linotype"/>
                <w:b/>
                <w:bCs/>
              </w:rPr>
            </w:pPr>
            <w:r w:rsidRPr="00DA3B71">
              <w:rPr>
                <w:rFonts w:ascii="Palatino Linotype" w:eastAsia="Palatino Linotype" w:hAnsi="Palatino Linotype" w:cs="Palatino Linotype"/>
                <w:b/>
                <w:bCs/>
              </w:rPr>
              <w:lastRenderedPageBreak/>
              <w:t xml:space="preserve">e) Condiciones especiales de la clasificación de la </w:t>
            </w:r>
            <w:r w:rsidRPr="00DA3B71">
              <w:rPr>
                <w:rFonts w:ascii="Palatino Linotype" w:eastAsia="Palatino Linotype" w:hAnsi="Palatino Linotype" w:cs="Palatino Linotype"/>
                <w:b/>
                <w:bCs/>
              </w:rPr>
              <w:lastRenderedPageBreak/>
              <w:t xml:space="preserve">información como confidencial. </w:t>
            </w:r>
          </w:p>
        </w:tc>
        <w:tc>
          <w:tcPr>
            <w:tcW w:w="7229" w:type="dxa"/>
          </w:tcPr>
          <w:p w:rsidR="0051129F" w:rsidRPr="00DA3B71" w:rsidRDefault="00D60CF2">
            <w:pPr>
              <w:tabs>
                <w:tab w:val="left" w:pos="284"/>
              </w:tabs>
              <w:spacing w:line="360" w:lineRule="auto"/>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lastRenderedPageBreak/>
              <w:t xml:space="preserve">Los artículos 148 y 120 de la Ley Estatal y de la Ley General, vigente a la fecha de la solicitud de información, respectivamente, establecen que aun tratándose de datos personales, se podrán proporcionar, incluso sin solicitar el consentimiento de su titular. </w:t>
            </w:r>
          </w:p>
          <w:p w:rsidR="0051129F" w:rsidRPr="00DA3B71" w:rsidRDefault="00D60CF2">
            <w:pPr>
              <w:tabs>
                <w:tab w:val="left" w:pos="284"/>
              </w:tabs>
              <w:spacing w:line="360" w:lineRule="auto"/>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color w:val="000000"/>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51129F" w:rsidRPr="00DA3B71" w:rsidRDefault="00D60CF2">
            <w:pPr>
              <w:tabs>
                <w:tab w:val="left" w:pos="284"/>
              </w:tabs>
              <w:spacing w:line="360" w:lineRule="auto"/>
              <w:rPr>
                <w:rFonts w:ascii="Palatino Linotype" w:eastAsia="Palatino Linotype" w:hAnsi="Palatino Linotype" w:cs="Palatino Linotype"/>
              </w:rPr>
            </w:pPr>
            <w:r w:rsidRPr="00DA3B71">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51129F" w:rsidRPr="00DA3B71" w:rsidRDefault="0051129F">
      <w:pPr>
        <w:tabs>
          <w:tab w:val="left" w:pos="284"/>
        </w:tabs>
        <w:spacing w:line="360" w:lineRule="auto"/>
        <w:rPr>
          <w:rFonts w:ascii="Palatino Linotype" w:eastAsia="Palatino Linotype" w:hAnsi="Palatino Linotype" w:cs="Palatino Linotype"/>
          <w:color w:val="000000"/>
        </w:rPr>
      </w:pPr>
    </w:p>
    <w:p w:rsidR="0051129F" w:rsidRPr="00DA3B71" w:rsidRDefault="0051129F">
      <w:pPr>
        <w:rPr>
          <w:rFonts w:ascii="Palatino Linotype" w:eastAsia="Palatino Linotype" w:hAnsi="Palatino Linotype" w:cs="Palatino Linotype"/>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 xml:space="preserve">En ese </w:t>
      </w:r>
      <w:r w:rsidRPr="00DA3B71">
        <w:rPr>
          <w:rFonts w:ascii="Palatino Linotype" w:eastAsia="Palatino Linotype" w:hAnsi="Palatino Linotype" w:cs="Palatino Linotype"/>
          <w:color w:val="000000"/>
        </w:rPr>
        <w:t>sentido</w:t>
      </w:r>
      <w:r w:rsidRPr="00DA3B71">
        <w:rPr>
          <w:rFonts w:ascii="Palatino Linotype" w:eastAsia="Palatino Linotype" w:hAnsi="Palatino Linotype" w:cs="Palatino Linotype"/>
        </w:rPr>
        <w:t xml:space="preserve">, el </w:t>
      </w:r>
      <w:r w:rsidRPr="00DA3B71">
        <w:rPr>
          <w:rFonts w:ascii="Palatino Linotype" w:eastAsia="Palatino Linotype" w:hAnsi="Palatino Linotype" w:cs="Palatino Linotype"/>
          <w:b/>
          <w:bCs/>
        </w:rPr>
        <w:t>SUJETO OBLIGADO</w:t>
      </w:r>
      <w:r w:rsidRPr="00DA3B71">
        <w:rPr>
          <w:rFonts w:ascii="Palatino Linotype" w:eastAsia="Palatino Linotype" w:hAnsi="Palatino Linotype" w:cs="Palatino Linotype"/>
        </w:rPr>
        <w:t xml:space="preserve"> deberá de emitir el Acuerdo del Comité de Transparencia, </w:t>
      </w:r>
      <w:r w:rsidRPr="00DA3B71">
        <w:rPr>
          <w:rFonts w:ascii="Palatino Linotype" w:eastAsia="Palatino Linotype" w:hAnsi="Palatino Linotype" w:cs="Palatino Linotype"/>
          <w:color w:val="000000"/>
        </w:rPr>
        <w:t>mediante</w:t>
      </w:r>
      <w:r w:rsidRPr="00DA3B71">
        <w:rPr>
          <w:rFonts w:ascii="Palatino Linotype" w:eastAsia="Palatino Linotype" w:hAnsi="Palatino Linotype" w:cs="Palatino Linotype"/>
        </w:rPr>
        <w:t xml:space="preserve"> el cual de manera fundada y motivada establezca las razones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51129F" w:rsidRPr="00DA3B71" w:rsidRDefault="0051129F">
      <w:pPr>
        <w:tabs>
          <w:tab w:val="left" w:pos="284"/>
        </w:tabs>
        <w:spacing w:line="360" w:lineRule="auto"/>
        <w:jc w:val="both"/>
        <w:rPr>
          <w:rFonts w:ascii="Palatino Linotype" w:eastAsia="Palatino Linotype" w:hAnsi="Palatino Linotype" w:cs="Palatino Linotype"/>
          <w:color w:val="000000"/>
        </w:rPr>
      </w:pPr>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color w:val="000000"/>
        </w:rPr>
      </w:pPr>
      <w:r w:rsidRPr="00DA3B71">
        <w:rPr>
          <w:rFonts w:ascii="Palatino Linotype" w:eastAsia="Palatino Linotype" w:hAnsi="Palatino Linotype" w:cs="Palatino Linotype"/>
        </w:rPr>
        <w:t xml:space="preserve">Derivado de lo establecido en párrafos anteriores, si el </w:t>
      </w:r>
      <w:r w:rsidRPr="00DA3B71">
        <w:rPr>
          <w:rFonts w:ascii="Palatino Linotype" w:eastAsia="Palatino Linotype" w:hAnsi="Palatino Linotype" w:cs="Palatino Linotype"/>
          <w:b/>
          <w:bCs/>
        </w:rPr>
        <w:t>SUJETO OBLIGADO</w:t>
      </w:r>
      <w:r w:rsidRPr="00DA3B71">
        <w:rPr>
          <w:rFonts w:ascii="Palatino Linotype" w:eastAsia="Palatino Linotype" w:hAnsi="Palatino Linotype" w:cs="Palatino Linotype"/>
        </w:rPr>
        <w:t xml:space="preserve"> incumple con estas formalidades y entrega la información sin proteger los datos personales o testando datos considerados como públicos incumple con lo que estipulan las disposiciones legales </w:t>
      </w:r>
      <w:r w:rsidRPr="00DA3B71">
        <w:rPr>
          <w:rFonts w:ascii="Palatino Linotype" w:eastAsia="Palatino Linotype" w:hAnsi="Palatino Linotype" w:cs="Palatino Linotype"/>
        </w:rPr>
        <w:lastRenderedPageBreak/>
        <w:t>establecidas, asimismo que si entrega un documento testado sin el debido acuerdo de clasificación.</w:t>
      </w:r>
    </w:p>
    <w:p w:rsidR="0051129F" w:rsidRPr="00DA3B71" w:rsidRDefault="0051129F">
      <w:pPr>
        <w:spacing w:line="360" w:lineRule="auto"/>
        <w:jc w:val="both"/>
        <w:rPr>
          <w:rFonts w:ascii="Palatino Linotype" w:eastAsia="Palatino Linotype" w:hAnsi="Palatino Linotype" w:cs="Palatino Linotype"/>
        </w:rPr>
      </w:pPr>
      <w:bookmarkStart w:id="6" w:name="_heading=h.3dy6vkm" w:colFirst="0" w:colLast="0"/>
      <w:bookmarkEnd w:id="6"/>
    </w:p>
    <w:p w:rsidR="0051129F" w:rsidRPr="00DA3B71" w:rsidRDefault="00D60CF2">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A3B71">
        <w:rPr>
          <w:rFonts w:ascii="Palatino Linotype" w:eastAsia="Palatino Linotype" w:hAnsi="Palatino Linotype" w:cs="Palatino Linotype"/>
        </w:rPr>
        <w:t xml:space="preserve">Por lo expuesto, y con fundamento en lo prescrito en los artículos </w:t>
      </w:r>
      <w:r w:rsidRPr="00DA3B71">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sidRPr="00DA3B71">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51129F" w:rsidRPr="00DA3B71" w:rsidRDefault="0051129F">
      <w:pPr>
        <w:spacing w:line="360" w:lineRule="auto"/>
        <w:jc w:val="both"/>
        <w:rPr>
          <w:rFonts w:ascii="Palatino Linotype" w:eastAsia="Palatino Linotype" w:hAnsi="Palatino Linotype" w:cs="Palatino Linotype"/>
          <w:color w:val="000000"/>
        </w:rPr>
      </w:pPr>
    </w:p>
    <w:p w:rsidR="0051129F" w:rsidRPr="00DA3B71" w:rsidRDefault="00D60CF2">
      <w:pPr>
        <w:spacing w:line="360" w:lineRule="auto"/>
        <w:jc w:val="center"/>
        <w:rPr>
          <w:rFonts w:ascii="Palatino Linotype" w:eastAsia="Palatino Linotype" w:hAnsi="Palatino Linotype" w:cs="Palatino Linotype"/>
          <w:b/>
          <w:bCs/>
        </w:rPr>
      </w:pPr>
      <w:r w:rsidRPr="00DA3B71">
        <w:rPr>
          <w:rFonts w:ascii="Palatino Linotype" w:eastAsia="Palatino Linotype" w:hAnsi="Palatino Linotype" w:cs="Palatino Linotype"/>
          <w:b/>
          <w:bCs/>
        </w:rPr>
        <w:t>R E S U E L V E</w:t>
      </w:r>
    </w:p>
    <w:p w:rsidR="0051129F" w:rsidRPr="00DA3B71" w:rsidRDefault="0051129F">
      <w:pPr>
        <w:tabs>
          <w:tab w:val="left" w:pos="3374"/>
        </w:tabs>
        <w:spacing w:line="360" w:lineRule="auto"/>
        <w:rPr>
          <w:rFonts w:ascii="Palatino Linotype" w:eastAsia="Palatino Linotype" w:hAnsi="Palatino Linotype" w:cs="Palatino Linotype"/>
        </w:rPr>
      </w:pPr>
    </w:p>
    <w:p w:rsidR="0051129F" w:rsidRPr="00DA3B71" w:rsidRDefault="00D60CF2">
      <w:pPr>
        <w:spacing w:line="360" w:lineRule="auto"/>
        <w:jc w:val="both"/>
        <w:rPr>
          <w:rFonts w:ascii="Palatino Linotype" w:eastAsia="Palatino Linotype" w:hAnsi="Palatino Linotype" w:cs="Palatino Linotype"/>
          <w:b/>
          <w:bCs/>
        </w:rPr>
      </w:pPr>
      <w:r w:rsidRPr="00DA3B71">
        <w:rPr>
          <w:rFonts w:ascii="Palatino Linotype" w:eastAsia="Palatino Linotype" w:hAnsi="Palatino Linotype" w:cs="Palatino Linotype"/>
          <w:b/>
          <w:bCs/>
        </w:rPr>
        <w:t xml:space="preserve">PRIMERO. </w:t>
      </w:r>
      <w:r w:rsidRPr="00DA3B71">
        <w:rPr>
          <w:rFonts w:ascii="Palatino Linotype" w:eastAsia="Palatino Linotype" w:hAnsi="Palatino Linotype" w:cs="Palatino Linotype"/>
        </w:rPr>
        <w:t xml:space="preserve">Resultan </w:t>
      </w:r>
      <w:r w:rsidRPr="00DA3B71">
        <w:rPr>
          <w:rFonts w:ascii="Palatino Linotype" w:eastAsia="Palatino Linotype" w:hAnsi="Palatino Linotype" w:cs="Palatino Linotype"/>
          <w:b/>
          <w:bCs/>
        </w:rPr>
        <w:t>INFUNDADAS</w:t>
      </w:r>
      <w:r w:rsidRPr="00DA3B71">
        <w:rPr>
          <w:rFonts w:ascii="Palatino Linotype" w:eastAsia="Palatino Linotype" w:hAnsi="Palatino Linotype" w:cs="Palatino Linotype"/>
        </w:rPr>
        <w:t xml:space="preserve"> las</w:t>
      </w:r>
      <w:r w:rsidRPr="00DA3B71">
        <w:rPr>
          <w:rFonts w:ascii="Palatino Linotype" w:eastAsia="Palatino Linotype" w:hAnsi="Palatino Linotype" w:cs="Palatino Linotype"/>
          <w:b/>
          <w:bCs/>
        </w:rPr>
        <w:t xml:space="preserve"> </w:t>
      </w:r>
      <w:r w:rsidRPr="00DA3B71">
        <w:rPr>
          <w:rFonts w:ascii="Palatino Linotype" w:eastAsia="Palatino Linotype" w:hAnsi="Palatino Linotype" w:cs="Palatino Linotype"/>
        </w:rPr>
        <w:t xml:space="preserve">razones o motivos de inconformidad hechos valer en el Recurso de Revisión </w:t>
      </w:r>
      <w:r w:rsidRPr="00DA3B71">
        <w:rPr>
          <w:rFonts w:ascii="Palatino Linotype" w:eastAsia="Palatino Linotype" w:hAnsi="Palatino Linotype" w:cs="Palatino Linotype"/>
          <w:b/>
          <w:bCs/>
          <w:color w:val="000000"/>
        </w:rPr>
        <w:t>00978/INFOEM/IP/RR/2026</w:t>
      </w:r>
      <w:r w:rsidRPr="00DA3B71">
        <w:rPr>
          <w:rFonts w:ascii="Palatino Linotype" w:eastAsia="Palatino Linotype" w:hAnsi="Palatino Linotype" w:cs="Palatino Linotype"/>
        </w:rPr>
        <w:t>,</w:t>
      </w:r>
      <w:r w:rsidRPr="00DA3B71">
        <w:rPr>
          <w:rFonts w:ascii="Palatino Linotype" w:eastAsia="Palatino Linotype" w:hAnsi="Palatino Linotype" w:cs="Palatino Linotype"/>
          <w:b/>
          <w:bCs/>
        </w:rPr>
        <w:t xml:space="preserve"> </w:t>
      </w:r>
      <w:r w:rsidRPr="00DA3B71">
        <w:rPr>
          <w:rFonts w:ascii="Palatino Linotype" w:eastAsia="Palatino Linotype" w:hAnsi="Palatino Linotype" w:cs="Palatino Linotype"/>
        </w:rPr>
        <w:t xml:space="preserve">en términos del </w:t>
      </w:r>
      <w:r w:rsidRPr="00DA3B71">
        <w:rPr>
          <w:rFonts w:ascii="Palatino Linotype" w:eastAsia="Palatino Linotype" w:hAnsi="Palatino Linotype" w:cs="Palatino Linotype"/>
          <w:b/>
          <w:bCs/>
        </w:rPr>
        <w:t>Considerando</w:t>
      </w:r>
      <w:r w:rsidRPr="00DA3B71">
        <w:rPr>
          <w:rFonts w:ascii="Palatino Linotype" w:eastAsia="Palatino Linotype" w:hAnsi="Palatino Linotype" w:cs="Palatino Linotype"/>
        </w:rPr>
        <w:t xml:space="preserve"> </w:t>
      </w:r>
      <w:r w:rsidRPr="00DA3B71">
        <w:rPr>
          <w:rFonts w:ascii="Palatino Linotype" w:eastAsia="Palatino Linotype" w:hAnsi="Palatino Linotype" w:cs="Palatino Linotype"/>
          <w:b/>
          <w:bCs/>
        </w:rPr>
        <w:t>CUARTO</w:t>
      </w:r>
      <w:r w:rsidRPr="00DA3B71">
        <w:rPr>
          <w:rFonts w:ascii="Palatino Linotype" w:eastAsia="Palatino Linotype" w:hAnsi="Palatino Linotype" w:cs="Palatino Linotype"/>
        </w:rPr>
        <w:t xml:space="preserve"> de la presente Resolución, por lo que se </w:t>
      </w:r>
      <w:r w:rsidRPr="00DA3B71">
        <w:rPr>
          <w:rFonts w:ascii="Palatino Linotype" w:eastAsia="Palatino Linotype" w:hAnsi="Palatino Linotype" w:cs="Palatino Linotype"/>
          <w:b/>
          <w:bCs/>
        </w:rPr>
        <w:t xml:space="preserve">CONFIRMA </w:t>
      </w:r>
      <w:r w:rsidRPr="00DA3B71">
        <w:rPr>
          <w:rFonts w:ascii="Palatino Linotype" w:eastAsia="Palatino Linotype" w:hAnsi="Palatino Linotype" w:cs="Palatino Linotype"/>
        </w:rPr>
        <w:t>la respuesta del Sujeto Obligado emitida a la solicitud de acceso a la información</w:t>
      </w:r>
      <w:r w:rsidRPr="00DA3B71">
        <w:rPr>
          <w:rFonts w:ascii="Palatino Linotype" w:eastAsia="Palatino Linotype" w:hAnsi="Palatino Linotype" w:cs="Palatino Linotype"/>
          <w:b/>
          <w:bCs/>
        </w:rPr>
        <w:t xml:space="preserve"> 00020/TEPOTZOT/IP/2026.</w:t>
      </w:r>
    </w:p>
    <w:p w:rsidR="0051129F" w:rsidRPr="00DA3B71" w:rsidRDefault="0051129F">
      <w:pPr>
        <w:spacing w:line="360" w:lineRule="auto"/>
        <w:jc w:val="both"/>
        <w:rPr>
          <w:rFonts w:ascii="Palatino Linotype" w:eastAsia="Palatino Linotype" w:hAnsi="Palatino Linotype" w:cs="Palatino Linotype"/>
        </w:rPr>
      </w:pPr>
    </w:p>
    <w:p w:rsidR="0051129F" w:rsidRPr="00DA3B71" w:rsidRDefault="00D60CF2">
      <w:pPr>
        <w:spacing w:line="360" w:lineRule="auto"/>
        <w:ind w:right="49"/>
        <w:jc w:val="both"/>
        <w:rPr>
          <w:rFonts w:ascii="Palatino Linotype" w:eastAsia="Palatino Linotype" w:hAnsi="Palatino Linotype" w:cs="Palatino Linotype"/>
        </w:rPr>
      </w:pPr>
      <w:r w:rsidRPr="00DA3B71">
        <w:rPr>
          <w:rFonts w:ascii="Palatino Linotype" w:eastAsia="Palatino Linotype" w:hAnsi="Palatino Linotype" w:cs="Palatino Linotype"/>
          <w:b/>
          <w:bCs/>
        </w:rPr>
        <w:t>SEGUNDO</w:t>
      </w:r>
      <w:r w:rsidRPr="00DA3B71">
        <w:rPr>
          <w:rFonts w:ascii="Palatino Linotype" w:eastAsia="Palatino Linotype" w:hAnsi="Palatino Linotype" w:cs="Palatino Linotype"/>
        </w:rPr>
        <w:t>. Se</w:t>
      </w:r>
      <w:r w:rsidRPr="00DA3B71">
        <w:rPr>
          <w:rFonts w:ascii="Palatino Linotype" w:eastAsia="Palatino Linotype" w:hAnsi="Palatino Linotype" w:cs="Palatino Linotype"/>
          <w:b/>
          <w:bCs/>
        </w:rPr>
        <w:t xml:space="preserve"> SOBRESEE </w:t>
      </w:r>
      <w:r w:rsidRPr="00DA3B71">
        <w:rPr>
          <w:rFonts w:ascii="Palatino Linotype" w:eastAsia="Palatino Linotype" w:hAnsi="Palatino Linotype" w:cs="Palatino Linotype"/>
        </w:rPr>
        <w:t xml:space="preserve">el Recurso de Revisión número </w:t>
      </w:r>
      <w:r w:rsidRPr="00DA3B71">
        <w:rPr>
          <w:rFonts w:ascii="Palatino Linotype" w:eastAsia="Palatino Linotype" w:hAnsi="Palatino Linotype" w:cs="Palatino Linotype"/>
          <w:b/>
          <w:bCs/>
          <w:color w:val="000000"/>
        </w:rPr>
        <w:t>01988/INFOEM/IP/RR/2026</w:t>
      </w:r>
      <w:r w:rsidRPr="00DA3B71">
        <w:rPr>
          <w:rFonts w:ascii="Palatino Linotype" w:eastAsia="Palatino Linotype" w:hAnsi="Palatino Linotype" w:cs="Palatino Linotype"/>
          <w:b/>
          <w:bCs/>
        </w:rPr>
        <w:t xml:space="preserve">, </w:t>
      </w:r>
      <w:r w:rsidRPr="00DA3B71">
        <w:rPr>
          <w:rFonts w:ascii="Palatino Linotype" w:eastAsia="Palatino Linotype" w:hAnsi="Palatino Linotype" w:cs="Palatino Linotype"/>
        </w:rPr>
        <w:t>al</w:t>
      </w:r>
      <w:r w:rsidRPr="00DA3B71">
        <w:rPr>
          <w:rFonts w:ascii="Palatino Linotype" w:eastAsia="Palatino Linotype" w:hAnsi="Palatino Linotype" w:cs="Palatino Linotype"/>
          <w:b/>
          <w:bCs/>
        </w:rPr>
        <w:t xml:space="preserve"> </w:t>
      </w:r>
      <w:r w:rsidRPr="00DA3B71">
        <w:rPr>
          <w:rFonts w:ascii="Palatino Linotype" w:eastAsia="Palatino Linotype" w:hAnsi="Palatino Linotype" w:cs="Palatino Linotype"/>
        </w:rPr>
        <w:t xml:space="preserve">actualizar el supuesto normativo establecido en la fracción V, del artículo 192, de la Ley de Transparencia y Acceso a la Información Pública del Estado de México y Municipios, mismo que establece que el recurso será sobreseído cuando por cualquier motivo quede sin materia el recurso, en términos del  </w:t>
      </w:r>
      <w:r w:rsidRPr="00DA3B71">
        <w:rPr>
          <w:rFonts w:ascii="Palatino Linotype" w:eastAsia="Palatino Linotype" w:hAnsi="Palatino Linotype" w:cs="Palatino Linotype"/>
          <w:b/>
          <w:bCs/>
        </w:rPr>
        <w:t>Considerando CUARTO</w:t>
      </w:r>
      <w:r w:rsidRPr="00DA3B71">
        <w:rPr>
          <w:rFonts w:ascii="Palatino Linotype" w:eastAsia="Palatino Linotype" w:hAnsi="Palatino Linotype" w:cs="Palatino Linotype"/>
        </w:rPr>
        <w:t xml:space="preserve"> de la presente Resolución.</w:t>
      </w:r>
    </w:p>
    <w:p w:rsidR="0051129F" w:rsidRPr="00DA3B71" w:rsidRDefault="0051129F">
      <w:pPr>
        <w:spacing w:line="360" w:lineRule="auto"/>
        <w:jc w:val="both"/>
        <w:rPr>
          <w:rFonts w:ascii="Palatino Linotype" w:eastAsia="Palatino Linotype" w:hAnsi="Palatino Linotype" w:cs="Palatino Linotype"/>
          <w:b/>
          <w:bCs/>
        </w:rPr>
      </w:pPr>
    </w:p>
    <w:p w:rsidR="0051129F" w:rsidRPr="00DA3B71" w:rsidRDefault="00D60CF2">
      <w:pPr>
        <w:spacing w:line="360" w:lineRule="auto"/>
        <w:jc w:val="both"/>
        <w:rPr>
          <w:rFonts w:ascii="Palatino Linotype" w:eastAsia="Palatino Linotype" w:hAnsi="Palatino Linotype" w:cs="Palatino Linotype"/>
        </w:rPr>
      </w:pPr>
      <w:bookmarkStart w:id="7" w:name="_heading=h.17dp8vu" w:colFirst="0" w:colLast="0"/>
      <w:bookmarkEnd w:id="7"/>
      <w:r w:rsidRPr="00DA3B71">
        <w:rPr>
          <w:rFonts w:ascii="Palatino Linotype" w:eastAsia="Palatino Linotype" w:hAnsi="Palatino Linotype" w:cs="Palatino Linotype"/>
          <w:b/>
          <w:bCs/>
        </w:rPr>
        <w:lastRenderedPageBreak/>
        <w:t>TERCERO.</w:t>
      </w:r>
      <w:r w:rsidRPr="00DA3B71">
        <w:rPr>
          <w:rFonts w:ascii="Palatino Linotype" w:eastAsia="Palatino Linotype" w:hAnsi="Palatino Linotype" w:cs="Palatino Linotype"/>
          <w:color w:val="2F5496"/>
        </w:rPr>
        <w:t xml:space="preserve"> </w:t>
      </w:r>
      <w:r w:rsidRPr="00DA3B71">
        <w:rPr>
          <w:rFonts w:ascii="Palatino Linotype" w:eastAsia="Palatino Linotype" w:hAnsi="Palatino Linotype" w:cs="Palatino Linotype"/>
        </w:rPr>
        <w:t>Se</w:t>
      </w:r>
      <w:r w:rsidRPr="00DA3B71">
        <w:rPr>
          <w:rFonts w:ascii="Palatino Linotype" w:eastAsia="Palatino Linotype" w:hAnsi="Palatino Linotype" w:cs="Palatino Linotype"/>
          <w:b/>
          <w:bCs/>
        </w:rPr>
        <w:t xml:space="preserve"> ORDENA </w:t>
      </w:r>
      <w:r w:rsidRPr="00DA3B71">
        <w:rPr>
          <w:rFonts w:ascii="Palatino Linotype" w:eastAsia="Palatino Linotype" w:hAnsi="Palatino Linotype" w:cs="Palatino Linotype"/>
        </w:rPr>
        <w:t xml:space="preserve">al </w:t>
      </w:r>
      <w:r w:rsidRPr="00DA3B71">
        <w:rPr>
          <w:rFonts w:ascii="Palatino Linotype" w:eastAsia="Palatino Linotype" w:hAnsi="Palatino Linotype" w:cs="Palatino Linotype"/>
          <w:b/>
          <w:bCs/>
        </w:rPr>
        <w:t xml:space="preserve">Sujeto Obligado </w:t>
      </w:r>
      <w:r w:rsidRPr="00DA3B71">
        <w:rPr>
          <w:rFonts w:ascii="Palatino Linotype" w:eastAsia="Palatino Linotype" w:hAnsi="Palatino Linotype" w:cs="Palatino Linotype"/>
        </w:rPr>
        <w:t xml:space="preserve">respecto de la solicitud de información </w:t>
      </w:r>
      <w:r w:rsidRPr="00DA3B71">
        <w:rPr>
          <w:rFonts w:ascii="Palatino Linotype" w:eastAsia="Palatino Linotype" w:hAnsi="Palatino Linotype" w:cs="Palatino Linotype"/>
          <w:b/>
          <w:bCs/>
        </w:rPr>
        <w:t xml:space="preserve">00008/TEPOTZOT/IP/2026, </w:t>
      </w:r>
      <w:r w:rsidRPr="00DA3B71">
        <w:rPr>
          <w:rFonts w:ascii="Palatino Linotype" w:eastAsia="Palatino Linotype" w:hAnsi="Palatino Linotype" w:cs="Palatino Linotype"/>
        </w:rPr>
        <w:t xml:space="preserve">entregar vía Sistema de Acceso a la Información Mexiquense </w:t>
      </w:r>
      <w:r w:rsidRPr="00DA3B71">
        <w:rPr>
          <w:rFonts w:ascii="Palatino Linotype" w:eastAsia="Palatino Linotype" w:hAnsi="Palatino Linotype" w:cs="Palatino Linotype"/>
          <w:b/>
          <w:bCs/>
        </w:rPr>
        <w:t>(SAIMEX)</w:t>
      </w:r>
      <w:r w:rsidRPr="00DA3B71">
        <w:rPr>
          <w:rFonts w:ascii="Palatino Linotype" w:eastAsia="Palatino Linotype" w:hAnsi="Palatino Linotype" w:cs="Palatino Linotype"/>
        </w:rPr>
        <w:t>, de ser procedente en versión pública la siguiente información:</w:t>
      </w:r>
    </w:p>
    <w:p w:rsidR="0051129F" w:rsidRPr="00DA3B71" w:rsidRDefault="0051129F">
      <w:pPr>
        <w:spacing w:line="360" w:lineRule="auto"/>
        <w:jc w:val="both"/>
        <w:rPr>
          <w:rFonts w:ascii="Palatino Linotype" w:eastAsia="Palatino Linotype" w:hAnsi="Palatino Linotype" w:cs="Palatino Linotype"/>
        </w:rPr>
      </w:pPr>
    </w:p>
    <w:p w:rsidR="0051129F" w:rsidRPr="00DA3B71" w:rsidRDefault="00D60CF2">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DA3B71">
        <w:rPr>
          <w:rFonts w:ascii="Palatino Linotype" w:eastAsia="Palatino Linotype" w:hAnsi="Palatino Linotype" w:cs="Palatino Linotype"/>
          <w:b/>
          <w:bCs/>
          <w:color w:val="000000"/>
        </w:rPr>
        <w:t>Actas de Cabildo en las que se haya aprobado presupuesto, subsidios, transferencias, nombramientos o informes relacionados con el Instituto Municipal de Cultura Física y Deporte de Tepotzotlán, del 01 de enero de 2024 al 31 de diciembre de 2025.</w:t>
      </w:r>
    </w:p>
    <w:p w:rsidR="0051129F" w:rsidRPr="00DA3B71" w:rsidRDefault="0051129F">
      <w:pPr>
        <w:pBdr>
          <w:top w:val="nil"/>
          <w:left w:val="nil"/>
          <w:bottom w:val="nil"/>
          <w:right w:val="nil"/>
          <w:between w:val="nil"/>
        </w:pBdr>
        <w:spacing w:line="360" w:lineRule="auto"/>
        <w:ind w:left="720"/>
        <w:jc w:val="both"/>
        <w:rPr>
          <w:rFonts w:ascii="Palatino Linotype" w:eastAsia="Palatino Linotype" w:hAnsi="Palatino Linotype" w:cs="Palatino Linotype"/>
          <w:b/>
          <w:bCs/>
          <w:color w:val="000000"/>
        </w:rPr>
      </w:pPr>
    </w:p>
    <w:p w:rsidR="0051129F" w:rsidRPr="00DA3B71" w:rsidRDefault="00D60CF2" w:rsidP="006B4332">
      <w:pPr>
        <w:tabs>
          <w:tab w:val="left" w:pos="8080"/>
        </w:tabs>
        <w:spacing w:line="360" w:lineRule="auto"/>
        <w:ind w:left="567"/>
        <w:jc w:val="both"/>
        <w:rPr>
          <w:rFonts w:ascii="Palatino Linotype" w:eastAsia="Palatino Linotype" w:hAnsi="Palatino Linotype" w:cs="Palatino Linotype"/>
          <w:b/>
          <w:bCs/>
        </w:rPr>
      </w:pPr>
      <w:r w:rsidRPr="00DA3B71">
        <w:rPr>
          <w:rFonts w:ascii="Palatino Linotype" w:eastAsia="Palatino Linotype" w:hAnsi="Palatino Linotype" w:cs="Palatino Linotype"/>
        </w:rPr>
        <w:t xml:space="preserve">Para efectos de lo anterior, de ser el caso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DA3B71">
        <w:rPr>
          <w:rFonts w:ascii="Palatino Linotype" w:eastAsia="Palatino Linotype" w:hAnsi="Palatino Linotype" w:cs="Palatino Linotype"/>
          <w:b/>
          <w:bCs/>
        </w:rPr>
        <w:t>RECURRENTE.</w:t>
      </w:r>
    </w:p>
    <w:p w:rsidR="0051129F" w:rsidRPr="00DA3B71" w:rsidRDefault="0051129F">
      <w:pPr>
        <w:spacing w:line="360" w:lineRule="auto"/>
        <w:jc w:val="both"/>
        <w:rPr>
          <w:rFonts w:ascii="Palatino Linotype" w:eastAsia="Palatino Linotype" w:hAnsi="Palatino Linotype" w:cs="Palatino Linotype"/>
        </w:rPr>
      </w:pPr>
    </w:p>
    <w:p w:rsidR="0051129F" w:rsidRPr="00DA3B71" w:rsidRDefault="00D60CF2">
      <w:pPr>
        <w:tabs>
          <w:tab w:val="left" w:pos="8080"/>
        </w:tabs>
        <w:spacing w:line="360" w:lineRule="auto"/>
        <w:jc w:val="both"/>
        <w:rPr>
          <w:rFonts w:ascii="Palatino Linotype" w:eastAsia="Palatino Linotype" w:hAnsi="Palatino Linotype" w:cs="Palatino Linotype"/>
          <w:b/>
          <w:bCs/>
        </w:rPr>
      </w:pPr>
      <w:r w:rsidRPr="00DA3B71">
        <w:rPr>
          <w:rFonts w:ascii="Palatino Linotype" w:eastAsia="Palatino Linotype" w:hAnsi="Palatino Linotype" w:cs="Palatino Linotype"/>
          <w:b/>
          <w:bCs/>
        </w:rPr>
        <w:t xml:space="preserve">CUARTO. </w:t>
      </w:r>
      <w:r w:rsidRPr="00DA3B71">
        <w:rPr>
          <w:rFonts w:ascii="Palatino Linotype" w:eastAsia="Palatino Linotype" w:hAnsi="Palatino Linotype" w:cs="Palatino Linotype"/>
          <w:b/>
          <w:bCs/>
          <w:color w:val="000000"/>
        </w:rPr>
        <w:t>Notifíquese</w:t>
      </w:r>
      <w:r w:rsidRPr="00DA3B71">
        <w:rPr>
          <w:rFonts w:ascii="Palatino Linotype" w:eastAsia="Palatino Linotype" w:hAnsi="Palatino Linotype" w:cs="Palatino Linotype"/>
          <w:color w:val="000000"/>
        </w:rPr>
        <w:t xml:space="preserve"> al </w:t>
      </w:r>
      <w:r w:rsidRPr="00DA3B71">
        <w:rPr>
          <w:rFonts w:ascii="Palatino Linotype" w:eastAsia="Palatino Linotype" w:hAnsi="Palatino Linotype" w:cs="Palatino Linotype"/>
          <w:color w:val="222222"/>
        </w:rPr>
        <w:t xml:space="preserve">Titular de la Unidad de Transparencia del </w:t>
      </w:r>
      <w:r w:rsidRPr="00DA3B71">
        <w:rPr>
          <w:rFonts w:ascii="Palatino Linotype" w:eastAsia="Palatino Linotype" w:hAnsi="Palatino Linotype" w:cs="Palatino Linotype"/>
          <w:b/>
          <w:bCs/>
          <w:color w:val="222222"/>
        </w:rPr>
        <w:t>SUJETO OBLIGADO</w:t>
      </w:r>
      <w:r w:rsidRPr="00DA3B71">
        <w:rPr>
          <w:rFonts w:ascii="Palatino Linotype" w:eastAsia="Palatino Linotype" w:hAnsi="Palatino Linotype" w:cs="Palatino Linotype"/>
          <w:color w:val="222222"/>
        </w:rPr>
        <w:t xml:space="preserve">, vía SAIMEX, la presente resolución, para que conforme al artículo 186 último párrafo, 189 segundo párrafo y 194 de la Ley de Transparencia y Acceso a la Información Pública del Estado de México y Municipios </w:t>
      </w:r>
      <w:r w:rsidRPr="00DA3B71">
        <w:rPr>
          <w:rFonts w:ascii="Palatino Linotype" w:eastAsia="Palatino Linotype" w:hAnsi="Palatino Linotype" w:cs="Palatino Linotype"/>
          <w:b/>
          <w:color w:val="222222"/>
        </w:rPr>
        <w:t>de cumplimiento a lo ordenado dentro del plazo de diez días hábiles</w:t>
      </w:r>
      <w:r w:rsidRPr="00DA3B71">
        <w:rPr>
          <w:rFonts w:ascii="Palatino Linotype" w:eastAsia="Palatino Linotype" w:hAnsi="Palatino Linotype" w:cs="Palatino Linotype"/>
          <w:color w:val="222222"/>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r w:rsidRPr="00DA3B71">
        <w:rPr>
          <w:rFonts w:ascii="Palatino Linotype" w:eastAsia="Palatino Linotype" w:hAnsi="Palatino Linotype" w:cs="Palatino Linotype"/>
          <w:highlight w:val="white"/>
        </w:rPr>
        <w:t>.</w:t>
      </w:r>
    </w:p>
    <w:p w:rsidR="0051129F" w:rsidRPr="00DA3B71" w:rsidRDefault="00D60CF2">
      <w:pPr>
        <w:shd w:val="clear" w:color="auto" w:fill="FFFFFF"/>
        <w:spacing w:line="360" w:lineRule="auto"/>
        <w:jc w:val="both"/>
        <w:rPr>
          <w:rFonts w:ascii="Palatino Linotype" w:eastAsia="Palatino Linotype" w:hAnsi="Palatino Linotype" w:cs="Palatino Linotype"/>
        </w:rPr>
      </w:pPr>
      <w:r w:rsidRPr="00DA3B71">
        <w:rPr>
          <w:rFonts w:ascii="Palatino Linotype" w:eastAsia="Palatino Linotype" w:hAnsi="Palatino Linotype" w:cs="Palatino Linotype"/>
          <w:b/>
          <w:bCs/>
        </w:rPr>
        <w:lastRenderedPageBreak/>
        <w:t xml:space="preserve">QUINTO. </w:t>
      </w:r>
      <w:r w:rsidRPr="00DA3B71">
        <w:rPr>
          <w:rFonts w:ascii="Palatino Linotype" w:eastAsia="Palatino Linotype" w:hAnsi="Palatino Linotype" w:cs="Palatino Linotype"/>
        </w:rPr>
        <w:t xml:space="preserve">Notifíquese al </w:t>
      </w:r>
      <w:r w:rsidRPr="00DA3B71">
        <w:rPr>
          <w:rFonts w:ascii="Palatino Linotype" w:eastAsia="Palatino Linotype" w:hAnsi="Palatino Linotype" w:cs="Palatino Linotype"/>
          <w:b/>
          <w:bCs/>
        </w:rPr>
        <w:t xml:space="preserve">RECURRENTE </w:t>
      </w:r>
      <w:r w:rsidRPr="00DA3B71">
        <w:rPr>
          <w:rFonts w:ascii="Palatino Linotype" w:eastAsia="Palatino Linotype" w:hAnsi="Palatino Linotype" w:cs="Palatino Linotype"/>
        </w:rPr>
        <w:t>la presente resolución vía Sistema de Acceso a Información Mexiquense (SAIMEX), y se hace de su conocimiento</w:t>
      </w:r>
      <w:r w:rsidRPr="00DA3B71">
        <w:rPr>
          <w:rFonts w:ascii="Palatino Linotype" w:eastAsia="Palatino Linotype" w:hAnsi="Palatino Linotype" w:cs="Palatino Linotype"/>
          <w:b/>
          <w:bCs/>
        </w:rPr>
        <w:t xml:space="preserve"> </w:t>
      </w:r>
      <w:r w:rsidRPr="00DA3B71">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51129F" w:rsidRPr="00DA3B71" w:rsidRDefault="0051129F">
      <w:pPr>
        <w:shd w:val="clear" w:color="auto" w:fill="FFFFFF"/>
        <w:spacing w:line="360" w:lineRule="auto"/>
        <w:jc w:val="both"/>
        <w:rPr>
          <w:rFonts w:ascii="Palatino Linotype" w:eastAsia="Palatino Linotype" w:hAnsi="Palatino Linotype" w:cs="Palatino Linotype"/>
        </w:rPr>
      </w:pPr>
    </w:p>
    <w:p w:rsidR="0051129F" w:rsidRPr="00DA3B71" w:rsidRDefault="00D60CF2">
      <w:pPr>
        <w:spacing w:line="360" w:lineRule="auto"/>
        <w:jc w:val="both"/>
        <w:rPr>
          <w:rFonts w:ascii="Palatino Linotype" w:eastAsia="Palatino Linotype" w:hAnsi="Palatino Linotype" w:cs="Palatino Linotype"/>
        </w:rPr>
      </w:pPr>
      <w:r w:rsidRPr="00DA3B71">
        <w:rPr>
          <w:rFonts w:ascii="Palatino Linotype" w:eastAsia="Palatino Linotype" w:hAnsi="Palatino Linotype" w:cs="Palatino Linotype"/>
          <w:b/>
          <w:bCs/>
        </w:rPr>
        <w:t>SEXTO. Se hace del conocimiento</w:t>
      </w:r>
      <w:r w:rsidRPr="00DA3B71">
        <w:rPr>
          <w:rFonts w:ascii="Palatino Linotype" w:eastAsia="Palatino Linotype" w:hAnsi="Palatino Linotype" w:cs="Palatino Linotype"/>
        </w:rPr>
        <w:t xml:space="preserve"> del </w:t>
      </w:r>
      <w:r w:rsidRPr="00DA3B71">
        <w:rPr>
          <w:rFonts w:ascii="Palatino Linotype" w:eastAsia="Palatino Linotype" w:hAnsi="Palatino Linotype" w:cs="Palatino Linotype"/>
          <w:b/>
          <w:bCs/>
        </w:rPr>
        <w:t>Recurrente</w:t>
      </w:r>
      <w:r w:rsidRPr="00DA3B71">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rsidR="0051129F" w:rsidRPr="00DA3B71" w:rsidRDefault="0051129F">
      <w:pPr>
        <w:spacing w:line="360" w:lineRule="auto"/>
        <w:jc w:val="both"/>
        <w:rPr>
          <w:rFonts w:ascii="Palatino Linotype" w:eastAsia="Palatino Linotype" w:hAnsi="Palatino Linotype" w:cs="Palatino Linotype"/>
        </w:rPr>
      </w:pPr>
    </w:p>
    <w:p w:rsidR="0051129F" w:rsidRPr="00DA3B71" w:rsidRDefault="00D60CF2">
      <w:pPr>
        <w:spacing w:line="360" w:lineRule="auto"/>
        <w:jc w:val="both"/>
        <w:rPr>
          <w:rFonts w:ascii="Palatino Linotype" w:eastAsia="Palatino Linotype" w:hAnsi="Palatino Linotype" w:cs="Palatino Linotype"/>
          <w:b/>
          <w:bCs/>
        </w:rPr>
      </w:pPr>
      <w:r w:rsidRPr="00DA3B71">
        <w:rPr>
          <w:rFonts w:ascii="Palatino Linotype" w:eastAsia="Palatino Linotype" w:hAnsi="Palatino Linotype" w:cs="Palatino Linotype"/>
          <w:b/>
          <w:bCs/>
        </w:rPr>
        <w:t>SÉPTIMO.</w:t>
      </w:r>
      <w:r w:rsidRPr="00DA3B71">
        <w:rPr>
          <w:rFonts w:ascii="Palatino Linotype" w:eastAsia="Palatino Linotype" w:hAnsi="Palatino Linotype" w:cs="Palatino Linotype"/>
        </w:rPr>
        <w:t xml:space="preserve"> Gírese oficio a la </w:t>
      </w:r>
      <w:r w:rsidRPr="00DA3B71">
        <w:rPr>
          <w:rFonts w:ascii="Palatino Linotype" w:eastAsia="Palatino Linotype" w:hAnsi="Palatino Linotype" w:cs="Palatino Linotype"/>
          <w:b/>
          <w:bCs/>
        </w:rPr>
        <w:t>Secretaría Técnica del Pleno</w:t>
      </w:r>
      <w:r w:rsidRPr="00DA3B71">
        <w:rPr>
          <w:rFonts w:ascii="Palatino Linotype" w:eastAsia="Palatino Linotype" w:hAnsi="Palatino Linotype" w:cs="Palatino Linotype"/>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determine lo conducente, en términos de lo señalado en el </w:t>
      </w:r>
      <w:r w:rsidRPr="00DA3B71">
        <w:rPr>
          <w:rFonts w:ascii="Palatino Linotype" w:eastAsia="Palatino Linotype" w:hAnsi="Palatino Linotype" w:cs="Palatino Linotype"/>
          <w:b/>
          <w:bCs/>
        </w:rPr>
        <w:t>Considerando CUARTO</w:t>
      </w:r>
      <w:r w:rsidRPr="00DA3B71">
        <w:rPr>
          <w:rFonts w:ascii="Palatino Linotype" w:eastAsia="Palatino Linotype" w:hAnsi="Palatino Linotype" w:cs="Palatino Linotype"/>
        </w:rPr>
        <w:t xml:space="preserve"> de la presente Resolución</w:t>
      </w:r>
      <w:r w:rsidRPr="00DA3B71">
        <w:rPr>
          <w:rFonts w:ascii="Palatino Linotype" w:eastAsia="Palatino Linotype" w:hAnsi="Palatino Linotype" w:cs="Palatino Linotype"/>
          <w:b/>
          <w:bCs/>
        </w:rPr>
        <w:t>.</w:t>
      </w:r>
    </w:p>
    <w:p w:rsidR="0051129F" w:rsidRPr="00DA3B71" w:rsidRDefault="0051129F">
      <w:pPr>
        <w:spacing w:line="360" w:lineRule="auto"/>
        <w:jc w:val="both"/>
        <w:rPr>
          <w:rFonts w:ascii="Palatino Linotype" w:eastAsia="Palatino Linotype" w:hAnsi="Palatino Linotype" w:cs="Palatino Linotype"/>
          <w:b/>
          <w:bCs/>
        </w:rPr>
      </w:pPr>
    </w:p>
    <w:p w:rsidR="008919AB" w:rsidRPr="00DA3B71" w:rsidRDefault="008919AB" w:rsidP="008919AB">
      <w:pPr>
        <w:spacing w:before="240" w:after="240" w:line="360" w:lineRule="auto"/>
        <w:ind w:firstLine="1"/>
        <w:jc w:val="both"/>
        <w:rPr>
          <w:rFonts w:ascii="Palatino Linotype" w:hAnsi="Palatino Linotype"/>
        </w:rPr>
      </w:pPr>
      <w:bookmarkStart w:id="8" w:name="_Hlk99014733"/>
      <w:r w:rsidRPr="00DA3B71">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w:t>
      </w:r>
      <w:r w:rsidRPr="00DA3B71">
        <w:rPr>
          <w:rFonts w:ascii="Palatino Linotype" w:hAnsi="Palatino Linotype" w:cs="Palatino Linotype"/>
        </w:rPr>
        <w:lastRenderedPageBreak/>
        <w:t xml:space="preserve">EN LA DÉCIMA SÉPTIMA SESIÓN ORDINARIA, CELEBRADA EL TRECE (13) DE MAYO DE DOS MIL VEINTISÉIS, ANTE EL SECRETARIO TÉCNICO DEL PLENO </w:t>
      </w:r>
      <w:r w:rsidRPr="00DA3B71">
        <w:rPr>
          <w:rFonts w:ascii="Palatino Linotype" w:hAnsi="Palatino Linotype" w:cs="Palatino Linotype"/>
          <w:color w:val="000000" w:themeColor="text1"/>
        </w:rPr>
        <w:t>ALEXIS TAPIA RAMÍREZ.</w:t>
      </w:r>
    </w:p>
    <w:bookmarkEnd w:id="8"/>
    <w:p w:rsidR="0051129F" w:rsidRPr="00DA3B71" w:rsidRDefault="0051129F" w:rsidP="008919AB">
      <w:pPr>
        <w:spacing w:before="240" w:after="240" w:line="360" w:lineRule="auto"/>
        <w:ind w:firstLine="1"/>
        <w:jc w:val="both"/>
        <w:rPr>
          <w:rFonts w:ascii="Palatino Linotype" w:eastAsia="Palatino Linotype" w:hAnsi="Palatino Linotype" w:cs="Palatino Linotype"/>
        </w:rPr>
      </w:pPr>
    </w:p>
    <w:p w:rsidR="00917866" w:rsidRPr="00DA3B71" w:rsidRDefault="00917866" w:rsidP="008919AB">
      <w:pPr>
        <w:spacing w:before="240" w:after="240" w:line="360" w:lineRule="auto"/>
        <w:ind w:firstLine="1"/>
        <w:jc w:val="both"/>
        <w:rPr>
          <w:rFonts w:ascii="Palatino Linotype" w:eastAsia="Palatino Linotype" w:hAnsi="Palatino Linotype" w:cs="Palatino Linotype"/>
        </w:rPr>
      </w:pPr>
    </w:p>
    <w:p w:rsidR="00917866" w:rsidRPr="00DA3B71" w:rsidRDefault="00917866" w:rsidP="008919AB">
      <w:pPr>
        <w:spacing w:before="240" w:after="240" w:line="360" w:lineRule="auto"/>
        <w:ind w:firstLine="1"/>
        <w:jc w:val="both"/>
        <w:rPr>
          <w:rFonts w:ascii="Palatino Linotype" w:eastAsia="Palatino Linotype" w:hAnsi="Palatino Linotype" w:cs="Palatino Linotype"/>
        </w:rPr>
      </w:pPr>
    </w:p>
    <w:p w:rsidR="00917866" w:rsidRPr="00DA3B71" w:rsidRDefault="00917866" w:rsidP="008919AB">
      <w:pPr>
        <w:spacing w:before="240" w:after="240" w:line="360" w:lineRule="auto"/>
        <w:ind w:firstLine="1"/>
        <w:jc w:val="both"/>
        <w:rPr>
          <w:rFonts w:ascii="Palatino Linotype" w:eastAsia="Palatino Linotype" w:hAnsi="Palatino Linotype" w:cs="Palatino Linotype"/>
        </w:rPr>
      </w:pPr>
    </w:p>
    <w:p w:rsidR="00917866" w:rsidRPr="00DA3B71" w:rsidRDefault="00917866" w:rsidP="008919AB">
      <w:pPr>
        <w:spacing w:before="240" w:after="240" w:line="360" w:lineRule="auto"/>
        <w:ind w:firstLine="1"/>
        <w:jc w:val="both"/>
        <w:rPr>
          <w:rFonts w:ascii="Palatino Linotype" w:eastAsia="Palatino Linotype" w:hAnsi="Palatino Linotype" w:cs="Palatino Linotype"/>
        </w:rPr>
      </w:pPr>
    </w:p>
    <w:p w:rsidR="00917866" w:rsidRPr="00DA3B71" w:rsidRDefault="00917866" w:rsidP="008919AB">
      <w:pPr>
        <w:spacing w:before="240" w:after="240" w:line="360" w:lineRule="auto"/>
        <w:ind w:firstLine="1"/>
        <w:jc w:val="both"/>
        <w:rPr>
          <w:rFonts w:ascii="Palatino Linotype" w:eastAsia="Palatino Linotype" w:hAnsi="Palatino Linotype" w:cs="Palatino Linotype"/>
        </w:rPr>
      </w:pPr>
    </w:p>
    <w:p w:rsidR="00917866" w:rsidRPr="00DA3B71" w:rsidRDefault="00917866" w:rsidP="008919AB">
      <w:pPr>
        <w:spacing w:before="240" w:after="240" w:line="360" w:lineRule="auto"/>
        <w:ind w:firstLine="1"/>
        <w:jc w:val="both"/>
        <w:rPr>
          <w:rFonts w:ascii="Palatino Linotype" w:eastAsia="Palatino Linotype" w:hAnsi="Palatino Linotype" w:cs="Palatino Linotype"/>
        </w:rPr>
      </w:pPr>
    </w:p>
    <w:p w:rsidR="00917866" w:rsidRPr="00DA3B71" w:rsidRDefault="00917866" w:rsidP="008919AB">
      <w:pPr>
        <w:spacing w:before="240" w:after="240" w:line="360" w:lineRule="auto"/>
        <w:ind w:firstLine="1"/>
        <w:jc w:val="both"/>
        <w:rPr>
          <w:rFonts w:ascii="Palatino Linotype" w:eastAsia="Palatino Linotype" w:hAnsi="Palatino Linotype" w:cs="Palatino Linotype"/>
        </w:rPr>
      </w:pPr>
    </w:p>
    <w:p w:rsidR="00917866" w:rsidRPr="00DA3B71" w:rsidRDefault="00917866" w:rsidP="008919AB">
      <w:pPr>
        <w:spacing w:before="240" w:after="240" w:line="360" w:lineRule="auto"/>
        <w:ind w:firstLine="1"/>
        <w:jc w:val="both"/>
        <w:rPr>
          <w:rFonts w:ascii="Palatino Linotype" w:eastAsia="Palatino Linotype" w:hAnsi="Palatino Linotype" w:cs="Palatino Linotype"/>
        </w:rPr>
      </w:pPr>
    </w:p>
    <w:p w:rsidR="00917866" w:rsidRPr="00DA3B71" w:rsidRDefault="00917866" w:rsidP="008919AB">
      <w:pPr>
        <w:spacing w:before="240" w:after="240" w:line="360" w:lineRule="auto"/>
        <w:ind w:firstLine="1"/>
        <w:jc w:val="both"/>
        <w:rPr>
          <w:rFonts w:ascii="Palatino Linotype" w:eastAsia="Palatino Linotype" w:hAnsi="Palatino Linotype" w:cs="Palatino Linotype"/>
        </w:rPr>
      </w:pPr>
    </w:p>
    <w:p w:rsidR="00917866" w:rsidRPr="00DA3B71" w:rsidRDefault="00917866" w:rsidP="008919AB">
      <w:pPr>
        <w:spacing w:before="240" w:after="240" w:line="360" w:lineRule="auto"/>
        <w:ind w:firstLine="1"/>
        <w:jc w:val="both"/>
        <w:rPr>
          <w:rFonts w:ascii="Palatino Linotype" w:eastAsia="Palatino Linotype" w:hAnsi="Palatino Linotype" w:cs="Palatino Linotype"/>
        </w:rPr>
      </w:pPr>
    </w:p>
    <w:p w:rsidR="00917866" w:rsidRPr="00DA3B71" w:rsidRDefault="00917866" w:rsidP="008919AB">
      <w:pPr>
        <w:spacing w:before="240" w:after="240" w:line="360" w:lineRule="auto"/>
        <w:ind w:firstLine="1"/>
        <w:jc w:val="both"/>
        <w:rPr>
          <w:rFonts w:ascii="Palatino Linotype" w:eastAsia="Palatino Linotype" w:hAnsi="Palatino Linotype" w:cs="Palatino Linotype"/>
        </w:rPr>
      </w:pPr>
    </w:p>
    <w:p w:rsidR="00917866" w:rsidRPr="00DA3B71" w:rsidRDefault="00917866" w:rsidP="008919AB">
      <w:pPr>
        <w:spacing w:before="240" w:after="240" w:line="360" w:lineRule="auto"/>
        <w:ind w:firstLine="1"/>
        <w:jc w:val="both"/>
        <w:rPr>
          <w:rFonts w:ascii="Palatino Linotype" w:eastAsia="Palatino Linotype" w:hAnsi="Palatino Linotype" w:cs="Palatino Linotype"/>
        </w:rPr>
      </w:pPr>
    </w:p>
    <w:p w:rsidR="00917866" w:rsidRPr="00DA3B71" w:rsidRDefault="00917866" w:rsidP="008919AB">
      <w:pPr>
        <w:spacing w:before="240" w:after="240" w:line="360" w:lineRule="auto"/>
        <w:ind w:firstLine="1"/>
        <w:jc w:val="both"/>
        <w:rPr>
          <w:rFonts w:ascii="Palatino Linotype" w:eastAsia="Palatino Linotype" w:hAnsi="Palatino Linotype" w:cs="Palatino Linotype"/>
        </w:rPr>
      </w:pPr>
    </w:p>
    <w:p w:rsidR="00917866" w:rsidRPr="00DA3B71" w:rsidRDefault="00917866" w:rsidP="008919AB">
      <w:pPr>
        <w:spacing w:before="240" w:after="240" w:line="360" w:lineRule="auto"/>
        <w:ind w:firstLine="1"/>
        <w:jc w:val="both"/>
        <w:rPr>
          <w:rFonts w:ascii="Palatino Linotype" w:eastAsia="Palatino Linotype" w:hAnsi="Palatino Linotype" w:cs="Palatino Linotype"/>
        </w:rPr>
      </w:pPr>
    </w:p>
    <w:p w:rsidR="00917866" w:rsidRPr="00DA3B71" w:rsidRDefault="00917866" w:rsidP="008919AB">
      <w:pPr>
        <w:spacing w:before="240" w:after="240" w:line="360" w:lineRule="auto"/>
        <w:ind w:firstLine="1"/>
        <w:jc w:val="both"/>
        <w:rPr>
          <w:rFonts w:ascii="Palatino Linotype" w:eastAsia="Palatino Linotype" w:hAnsi="Palatino Linotype" w:cs="Palatino Linotype"/>
        </w:rPr>
      </w:pPr>
    </w:p>
    <w:p w:rsidR="00917866" w:rsidRPr="00DA3B71" w:rsidRDefault="00917866" w:rsidP="008919AB">
      <w:pPr>
        <w:spacing w:before="240" w:after="240" w:line="360" w:lineRule="auto"/>
        <w:ind w:firstLine="1"/>
        <w:jc w:val="both"/>
        <w:rPr>
          <w:rFonts w:ascii="Palatino Linotype" w:eastAsia="Palatino Linotype" w:hAnsi="Palatino Linotype" w:cs="Palatino Linotype"/>
        </w:rPr>
      </w:pPr>
    </w:p>
    <w:p w:rsidR="00917866" w:rsidRPr="00DA3B71" w:rsidRDefault="00917866" w:rsidP="008919AB">
      <w:pPr>
        <w:spacing w:before="240" w:after="240" w:line="360" w:lineRule="auto"/>
        <w:ind w:firstLine="1"/>
        <w:jc w:val="both"/>
        <w:rPr>
          <w:rFonts w:ascii="Palatino Linotype" w:eastAsia="Palatino Linotype" w:hAnsi="Palatino Linotype" w:cs="Palatino Linotype"/>
        </w:rPr>
      </w:pPr>
    </w:p>
    <w:p w:rsidR="00917866" w:rsidRPr="00DA3B71" w:rsidRDefault="00917866" w:rsidP="008919AB">
      <w:pPr>
        <w:spacing w:before="240" w:after="240" w:line="360" w:lineRule="auto"/>
        <w:ind w:firstLine="1"/>
        <w:jc w:val="both"/>
        <w:rPr>
          <w:rFonts w:ascii="Palatino Linotype" w:eastAsia="Palatino Linotype" w:hAnsi="Palatino Linotype" w:cs="Palatino Linotype"/>
        </w:rPr>
      </w:pPr>
    </w:p>
    <w:p w:rsidR="00917866" w:rsidRPr="00DA3B71" w:rsidRDefault="00917866" w:rsidP="008919AB">
      <w:pPr>
        <w:spacing w:before="240" w:after="240" w:line="360" w:lineRule="auto"/>
        <w:ind w:firstLine="1"/>
        <w:jc w:val="both"/>
        <w:rPr>
          <w:rFonts w:ascii="Palatino Linotype" w:eastAsia="Palatino Linotype" w:hAnsi="Palatino Linotype" w:cs="Palatino Linotype"/>
        </w:rPr>
      </w:pPr>
    </w:p>
    <w:sectPr w:rsidR="00917866" w:rsidRPr="00DA3B71" w:rsidSect="00DA3B71">
      <w:headerReference w:type="even" r:id="rId11"/>
      <w:headerReference w:type="default" r:id="rId12"/>
      <w:footerReference w:type="default" r:id="rId13"/>
      <w:headerReference w:type="first" r:id="rId14"/>
      <w:footerReference w:type="first" r:id="rId15"/>
      <w:pgSz w:w="12240" w:h="15840"/>
      <w:pgMar w:top="2268" w:right="616"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16F" w:rsidRDefault="00C3616F">
      <w:r>
        <w:separator/>
      </w:r>
    </w:p>
  </w:endnote>
  <w:endnote w:type="continuationSeparator" w:id="0">
    <w:p w:rsidR="00C3616F" w:rsidRDefault="00C36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FAD3F4EA-D0C6-435E-8616-02977912A0C5}"/>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2" w:fontKey="{5BBA0475-90F9-4291-BB43-70A0F2EB3E23}"/>
    <w:embedBold r:id="rId3" w:fontKey="{521DB623-9B67-43D5-BD19-C3A9B77F46E1}"/>
    <w:embedItalic r:id="rId4" w:fontKey="{6708FB8F-806D-4072-9A98-8937916BD162}"/>
    <w:embedBoldItalic r:id="rId5" w:fontKey="{290A9F72-4ABC-40BA-B51E-2334E6B6E0F2}"/>
  </w:font>
  <w:font w:name="Calibri">
    <w:panose1 w:val="020F0502020204030204"/>
    <w:charset w:val="00"/>
    <w:family w:val="swiss"/>
    <w:pitch w:val="variable"/>
    <w:sig w:usb0="E4002EFF" w:usb1="C200247B" w:usb2="00000009" w:usb3="00000000" w:csb0="000001FF" w:csb1="00000000"/>
    <w:embedRegular r:id="rId6" w:fontKey="{C64736FA-DD0C-47B3-BD28-AE6CDD9E040E}"/>
    <w:embedBold r:id="rId7" w:fontKey="{3D89E84D-884B-4323-89E3-233681509395}"/>
  </w:font>
  <w:font w:name="Georgia">
    <w:panose1 w:val="02040502050405020303"/>
    <w:charset w:val="00"/>
    <w:family w:val="roman"/>
    <w:pitch w:val="variable"/>
    <w:sig w:usb0="00000287" w:usb1="00000000" w:usb2="00000000" w:usb3="00000000" w:csb0="0000009F" w:csb1="00000000"/>
    <w:embedItalic r:id="rId8" w:fontKey="{7715F6E1-B609-4914-9907-3C6D8F769805}"/>
  </w:font>
  <w:font w:name="Cambria">
    <w:panose1 w:val="02040503050406030204"/>
    <w:charset w:val="00"/>
    <w:family w:val="roman"/>
    <w:pitch w:val="variable"/>
    <w:sig w:usb0="E00006FF" w:usb1="420024FF" w:usb2="02000000" w:usb3="00000000" w:csb0="0000019F" w:csb1="00000000"/>
    <w:embedRegular r:id="rId9" w:fontKey="{3D86FAE3-3F78-4422-AE1A-3EFB2C8FF6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29F" w:rsidRPr="00DA3B71" w:rsidRDefault="00D60CF2">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DA3B71">
      <w:rPr>
        <w:rFonts w:ascii="Palatino Linotype" w:eastAsia="Palatino Linotype" w:hAnsi="Palatino Linotype" w:cs="Palatino Linotype"/>
        <w:color w:val="000000"/>
        <w:sz w:val="22"/>
        <w:szCs w:val="20"/>
      </w:rPr>
      <w:t xml:space="preserve">Página </w:t>
    </w:r>
    <w:r w:rsidRPr="00DA3B71">
      <w:rPr>
        <w:rFonts w:ascii="Palatino Linotype" w:eastAsia="Palatino Linotype" w:hAnsi="Palatino Linotype" w:cs="Palatino Linotype"/>
        <w:color w:val="000000"/>
        <w:sz w:val="22"/>
        <w:szCs w:val="20"/>
      </w:rPr>
      <w:fldChar w:fldCharType="begin"/>
    </w:r>
    <w:r w:rsidRPr="00DA3B71">
      <w:rPr>
        <w:rFonts w:ascii="Palatino Linotype" w:eastAsia="Palatino Linotype" w:hAnsi="Palatino Linotype" w:cs="Palatino Linotype"/>
        <w:color w:val="000000"/>
        <w:sz w:val="22"/>
        <w:szCs w:val="20"/>
      </w:rPr>
      <w:instrText>PAGE</w:instrText>
    </w:r>
    <w:r w:rsidRPr="00DA3B71">
      <w:rPr>
        <w:rFonts w:ascii="Palatino Linotype" w:eastAsia="Palatino Linotype" w:hAnsi="Palatino Linotype" w:cs="Palatino Linotype"/>
        <w:color w:val="000000"/>
        <w:sz w:val="22"/>
        <w:szCs w:val="20"/>
      </w:rPr>
      <w:fldChar w:fldCharType="separate"/>
    </w:r>
    <w:r w:rsidR="00F10819">
      <w:rPr>
        <w:rFonts w:ascii="Palatino Linotype" w:eastAsia="Palatino Linotype" w:hAnsi="Palatino Linotype" w:cs="Palatino Linotype"/>
        <w:noProof/>
        <w:color w:val="000000"/>
        <w:sz w:val="22"/>
        <w:szCs w:val="20"/>
      </w:rPr>
      <w:t>21</w:t>
    </w:r>
    <w:r w:rsidRPr="00DA3B71">
      <w:rPr>
        <w:rFonts w:ascii="Palatino Linotype" w:eastAsia="Palatino Linotype" w:hAnsi="Palatino Linotype" w:cs="Palatino Linotype"/>
        <w:color w:val="000000"/>
        <w:sz w:val="22"/>
        <w:szCs w:val="20"/>
      </w:rPr>
      <w:fldChar w:fldCharType="end"/>
    </w:r>
    <w:r w:rsidRPr="00DA3B71">
      <w:rPr>
        <w:rFonts w:ascii="Palatino Linotype" w:eastAsia="Palatino Linotype" w:hAnsi="Palatino Linotype" w:cs="Palatino Linotype"/>
        <w:color w:val="000000"/>
        <w:sz w:val="22"/>
        <w:szCs w:val="20"/>
      </w:rPr>
      <w:t xml:space="preserve"> de </w:t>
    </w:r>
    <w:r w:rsidRPr="00DA3B71">
      <w:rPr>
        <w:rFonts w:ascii="Palatino Linotype" w:eastAsia="Palatino Linotype" w:hAnsi="Palatino Linotype" w:cs="Palatino Linotype"/>
        <w:color w:val="000000"/>
        <w:sz w:val="22"/>
        <w:szCs w:val="20"/>
      </w:rPr>
      <w:fldChar w:fldCharType="begin"/>
    </w:r>
    <w:r w:rsidRPr="00DA3B71">
      <w:rPr>
        <w:rFonts w:ascii="Palatino Linotype" w:eastAsia="Palatino Linotype" w:hAnsi="Palatino Linotype" w:cs="Palatino Linotype"/>
        <w:color w:val="000000"/>
        <w:sz w:val="22"/>
        <w:szCs w:val="20"/>
      </w:rPr>
      <w:instrText>NUMPAGES</w:instrText>
    </w:r>
    <w:r w:rsidRPr="00DA3B71">
      <w:rPr>
        <w:rFonts w:ascii="Palatino Linotype" w:eastAsia="Palatino Linotype" w:hAnsi="Palatino Linotype" w:cs="Palatino Linotype"/>
        <w:color w:val="000000"/>
        <w:sz w:val="22"/>
        <w:szCs w:val="20"/>
      </w:rPr>
      <w:fldChar w:fldCharType="separate"/>
    </w:r>
    <w:r w:rsidR="00F10819">
      <w:rPr>
        <w:rFonts w:ascii="Palatino Linotype" w:eastAsia="Palatino Linotype" w:hAnsi="Palatino Linotype" w:cs="Palatino Linotype"/>
        <w:noProof/>
        <w:color w:val="000000"/>
        <w:sz w:val="22"/>
        <w:szCs w:val="20"/>
      </w:rPr>
      <w:t>46</w:t>
    </w:r>
    <w:r w:rsidRPr="00DA3B71">
      <w:rPr>
        <w:rFonts w:ascii="Palatino Linotype" w:eastAsia="Palatino Linotype" w:hAnsi="Palatino Linotype" w:cs="Palatino Linotype"/>
        <w:color w:val="000000"/>
        <w:sz w:val="22"/>
        <w:szCs w:val="20"/>
      </w:rPr>
      <w:fldChar w:fldCharType="end"/>
    </w:r>
  </w:p>
  <w:p w:rsidR="0051129F" w:rsidRDefault="0051129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29F" w:rsidRPr="00DA3B71" w:rsidRDefault="00D60CF2">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DA3B71">
      <w:rPr>
        <w:rFonts w:ascii="Palatino Linotype" w:eastAsia="Palatino Linotype" w:hAnsi="Palatino Linotype" w:cs="Palatino Linotype"/>
        <w:color w:val="000000"/>
        <w:sz w:val="22"/>
        <w:szCs w:val="20"/>
      </w:rPr>
      <w:t xml:space="preserve">Página </w:t>
    </w:r>
    <w:r w:rsidRPr="00DA3B71">
      <w:rPr>
        <w:rFonts w:ascii="Palatino Linotype" w:eastAsia="Palatino Linotype" w:hAnsi="Palatino Linotype" w:cs="Palatino Linotype"/>
        <w:color w:val="000000"/>
        <w:sz w:val="22"/>
        <w:szCs w:val="20"/>
      </w:rPr>
      <w:fldChar w:fldCharType="begin"/>
    </w:r>
    <w:r w:rsidRPr="00DA3B71">
      <w:rPr>
        <w:rFonts w:ascii="Palatino Linotype" w:eastAsia="Palatino Linotype" w:hAnsi="Palatino Linotype" w:cs="Palatino Linotype"/>
        <w:color w:val="000000"/>
        <w:sz w:val="22"/>
        <w:szCs w:val="20"/>
      </w:rPr>
      <w:instrText>PAGE</w:instrText>
    </w:r>
    <w:r w:rsidRPr="00DA3B71">
      <w:rPr>
        <w:rFonts w:ascii="Palatino Linotype" w:eastAsia="Palatino Linotype" w:hAnsi="Palatino Linotype" w:cs="Palatino Linotype"/>
        <w:color w:val="000000"/>
        <w:sz w:val="22"/>
        <w:szCs w:val="20"/>
      </w:rPr>
      <w:fldChar w:fldCharType="separate"/>
    </w:r>
    <w:r w:rsidR="00F10819">
      <w:rPr>
        <w:rFonts w:ascii="Palatino Linotype" w:eastAsia="Palatino Linotype" w:hAnsi="Palatino Linotype" w:cs="Palatino Linotype"/>
        <w:noProof/>
        <w:color w:val="000000"/>
        <w:sz w:val="22"/>
        <w:szCs w:val="20"/>
      </w:rPr>
      <w:t>1</w:t>
    </w:r>
    <w:r w:rsidRPr="00DA3B71">
      <w:rPr>
        <w:rFonts w:ascii="Palatino Linotype" w:eastAsia="Palatino Linotype" w:hAnsi="Palatino Linotype" w:cs="Palatino Linotype"/>
        <w:color w:val="000000"/>
        <w:sz w:val="22"/>
        <w:szCs w:val="20"/>
      </w:rPr>
      <w:fldChar w:fldCharType="end"/>
    </w:r>
    <w:r w:rsidRPr="00DA3B71">
      <w:rPr>
        <w:rFonts w:ascii="Palatino Linotype" w:eastAsia="Palatino Linotype" w:hAnsi="Palatino Linotype" w:cs="Palatino Linotype"/>
        <w:color w:val="000000"/>
        <w:sz w:val="22"/>
        <w:szCs w:val="20"/>
      </w:rPr>
      <w:t xml:space="preserve"> de </w:t>
    </w:r>
    <w:r w:rsidRPr="00DA3B71">
      <w:rPr>
        <w:rFonts w:ascii="Palatino Linotype" w:eastAsia="Palatino Linotype" w:hAnsi="Palatino Linotype" w:cs="Palatino Linotype"/>
        <w:color w:val="000000"/>
        <w:sz w:val="22"/>
        <w:szCs w:val="20"/>
      </w:rPr>
      <w:fldChar w:fldCharType="begin"/>
    </w:r>
    <w:r w:rsidRPr="00DA3B71">
      <w:rPr>
        <w:rFonts w:ascii="Palatino Linotype" w:eastAsia="Palatino Linotype" w:hAnsi="Palatino Linotype" w:cs="Palatino Linotype"/>
        <w:color w:val="000000"/>
        <w:sz w:val="22"/>
        <w:szCs w:val="20"/>
      </w:rPr>
      <w:instrText>NUMPAGES</w:instrText>
    </w:r>
    <w:r w:rsidRPr="00DA3B71">
      <w:rPr>
        <w:rFonts w:ascii="Palatino Linotype" w:eastAsia="Palatino Linotype" w:hAnsi="Palatino Linotype" w:cs="Palatino Linotype"/>
        <w:color w:val="000000"/>
        <w:sz w:val="22"/>
        <w:szCs w:val="20"/>
      </w:rPr>
      <w:fldChar w:fldCharType="separate"/>
    </w:r>
    <w:r w:rsidR="00F10819">
      <w:rPr>
        <w:rFonts w:ascii="Palatino Linotype" w:eastAsia="Palatino Linotype" w:hAnsi="Palatino Linotype" w:cs="Palatino Linotype"/>
        <w:noProof/>
        <w:color w:val="000000"/>
        <w:sz w:val="22"/>
        <w:szCs w:val="20"/>
      </w:rPr>
      <w:t>46</w:t>
    </w:r>
    <w:r w:rsidRPr="00DA3B71">
      <w:rPr>
        <w:rFonts w:ascii="Palatino Linotype" w:eastAsia="Palatino Linotype" w:hAnsi="Palatino Linotype" w:cs="Palatino Linotype"/>
        <w:color w:val="000000"/>
        <w:sz w:val="22"/>
        <w:szCs w:val="20"/>
      </w:rPr>
      <w:fldChar w:fldCharType="end"/>
    </w:r>
  </w:p>
  <w:p w:rsidR="0051129F" w:rsidRDefault="0051129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16F" w:rsidRDefault="00C3616F">
      <w:r>
        <w:separator/>
      </w:r>
    </w:p>
  </w:footnote>
  <w:footnote w:type="continuationSeparator" w:id="0">
    <w:p w:rsidR="00C3616F" w:rsidRDefault="00C361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29F" w:rsidRDefault="00C3616F">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620" w:type="dxa"/>
      <w:tblInd w:w="2127" w:type="dxa"/>
      <w:tblLayout w:type="fixed"/>
      <w:tblLook w:val="0400" w:firstRow="0" w:lastRow="0" w:firstColumn="0" w:lastColumn="0" w:noHBand="0" w:noVBand="1"/>
    </w:tblPr>
    <w:tblGrid>
      <w:gridCol w:w="2985"/>
      <w:gridCol w:w="4635"/>
    </w:tblGrid>
    <w:tr w:rsidR="0051129F" w:rsidTr="00DA3B71">
      <w:trPr>
        <w:trHeight w:val="227"/>
      </w:trPr>
      <w:tc>
        <w:tcPr>
          <w:tcW w:w="2985" w:type="dxa"/>
        </w:tcPr>
        <w:p w:rsidR="0051129F" w:rsidRPr="00DA3B71" w:rsidRDefault="00D60CF2">
          <w:pPr>
            <w:jc w:val="right"/>
            <w:rPr>
              <w:rFonts w:ascii="Palatino Linotype" w:eastAsia="Palatino Linotype" w:hAnsi="Palatino Linotype" w:cs="Palatino Linotype"/>
              <w:b/>
              <w:bCs/>
              <w:szCs w:val="22"/>
            </w:rPr>
          </w:pPr>
          <w:r w:rsidRPr="00DA3B71">
            <w:rPr>
              <w:rFonts w:ascii="Palatino Linotype" w:eastAsia="Palatino Linotype" w:hAnsi="Palatino Linotype" w:cs="Palatino Linotype"/>
              <w:b/>
              <w:bCs/>
              <w:szCs w:val="22"/>
            </w:rPr>
            <w:t>Recurso de Revisión:</w:t>
          </w:r>
        </w:p>
      </w:tc>
      <w:tc>
        <w:tcPr>
          <w:tcW w:w="4635" w:type="dxa"/>
          <w:vAlign w:val="center"/>
        </w:tcPr>
        <w:p w:rsidR="0051129F" w:rsidRPr="00DA3B71" w:rsidRDefault="00D60CF2">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highlight w:val="green"/>
            </w:rPr>
          </w:pPr>
          <w:r w:rsidRPr="00DA3B71">
            <w:rPr>
              <w:rFonts w:ascii="Palatino Linotype" w:eastAsia="Palatino Linotype" w:hAnsi="Palatino Linotype" w:cs="Palatino Linotype"/>
              <w:color w:val="000000"/>
              <w:szCs w:val="22"/>
            </w:rPr>
            <w:t xml:space="preserve">00978/INFOEM/IP/RR/2026 y </w:t>
          </w:r>
          <w:r w:rsidRPr="00DA3B71">
            <w:rPr>
              <w:rFonts w:ascii="Palatino Linotype" w:eastAsia="Palatino Linotype" w:hAnsi="Palatino Linotype" w:cs="Palatino Linotype"/>
              <w:szCs w:val="22"/>
            </w:rPr>
            <w:t>A</w:t>
          </w:r>
          <w:r w:rsidRPr="00DA3B71">
            <w:rPr>
              <w:rFonts w:ascii="Palatino Linotype" w:eastAsia="Palatino Linotype" w:hAnsi="Palatino Linotype" w:cs="Palatino Linotype"/>
              <w:color w:val="000000"/>
              <w:szCs w:val="22"/>
            </w:rPr>
            <w:t>cumulados</w:t>
          </w:r>
        </w:p>
      </w:tc>
    </w:tr>
    <w:tr w:rsidR="0051129F" w:rsidTr="00DA3B71">
      <w:trPr>
        <w:trHeight w:val="342"/>
      </w:trPr>
      <w:tc>
        <w:tcPr>
          <w:tcW w:w="2985" w:type="dxa"/>
        </w:tcPr>
        <w:p w:rsidR="0051129F" w:rsidRPr="00DA3B71" w:rsidRDefault="00D60CF2">
          <w:pPr>
            <w:jc w:val="right"/>
            <w:rPr>
              <w:rFonts w:ascii="Palatino Linotype" w:eastAsia="Palatino Linotype" w:hAnsi="Palatino Linotype" w:cs="Palatino Linotype"/>
              <w:b/>
              <w:bCs/>
              <w:szCs w:val="22"/>
            </w:rPr>
          </w:pPr>
          <w:r w:rsidRPr="00DA3B71">
            <w:rPr>
              <w:rFonts w:ascii="Palatino Linotype" w:eastAsia="Palatino Linotype" w:hAnsi="Palatino Linotype" w:cs="Palatino Linotype"/>
              <w:b/>
              <w:bCs/>
              <w:szCs w:val="22"/>
            </w:rPr>
            <w:t>Sujeto Obligado:</w:t>
          </w:r>
        </w:p>
      </w:tc>
      <w:tc>
        <w:tcPr>
          <w:tcW w:w="4635" w:type="dxa"/>
          <w:vAlign w:val="center"/>
        </w:tcPr>
        <w:p w:rsidR="0051129F" w:rsidRPr="00DA3B71" w:rsidRDefault="00D60CF2">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highlight w:val="green"/>
            </w:rPr>
          </w:pPr>
          <w:r w:rsidRPr="00DA3B71">
            <w:rPr>
              <w:rFonts w:ascii="Palatino Linotype" w:eastAsia="Palatino Linotype" w:hAnsi="Palatino Linotype" w:cs="Palatino Linotype"/>
              <w:color w:val="000000"/>
              <w:szCs w:val="22"/>
            </w:rPr>
            <w:t>Ayuntamiento de Tepotzotlán</w:t>
          </w:r>
        </w:p>
      </w:tc>
    </w:tr>
    <w:tr w:rsidR="0051129F" w:rsidTr="00DA3B71">
      <w:trPr>
        <w:trHeight w:val="342"/>
      </w:trPr>
      <w:tc>
        <w:tcPr>
          <w:tcW w:w="2985" w:type="dxa"/>
        </w:tcPr>
        <w:p w:rsidR="0051129F" w:rsidRPr="00DA3B71" w:rsidRDefault="00D60CF2">
          <w:pPr>
            <w:jc w:val="right"/>
            <w:rPr>
              <w:rFonts w:ascii="Palatino Linotype" w:eastAsia="Palatino Linotype" w:hAnsi="Palatino Linotype" w:cs="Palatino Linotype"/>
              <w:b/>
              <w:bCs/>
              <w:szCs w:val="22"/>
            </w:rPr>
          </w:pPr>
          <w:r w:rsidRPr="00DA3B71">
            <w:rPr>
              <w:rFonts w:ascii="Palatino Linotype" w:eastAsia="Palatino Linotype" w:hAnsi="Palatino Linotype" w:cs="Palatino Linotype"/>
              <w:b/>
              <w:bCs/>
              <w:szCs w:val="22"/>
            </w:rPr>
            <w:t>Comisionada Ponente:</w:t>
          </w:r>
        </w:p>
      </w:tc>
      <w:tc>
        <w:tcPr>
          <w:tcW w:w="4635" w:type="dxa"/>
          <w:vAlign w:val="center"/>
        </w:tcPr>
        <w:p w:rsidR="0051129F" w:rsidRPr="00DA3B71" w:rsidRDefault="00D60CF2">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rPr>
          </w:pPr>
          <w:r w:rsidRPr="00DA3B71">
            <w:rPr>
              <w:rFonts w:ascii="Palatino Linotype" w:eastAsia="Palatino Linotype" w:hAnsi="Palatino Linotype" w:cs="Palatino Linotype"/>
              <w:color w:val="000000"/>
              <w:szCs w:val="22"/>
            </w:rPr>
            <w:t>María del Rosario Mejía Ayala</w:t>
          </w:r>
        </w:p>
      </w:tc>
    </w:tr>
  </w:tbl>
  <w:p w:rsidR="0051129F" w:rsidRDefault="00C3616F">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29F" w:rsidRDefault="0051129F">
    <w:pPr>
      <w:widowControl w:val="0"/>
      <w:pBdr>
        <w:top w:val="nil"/>
        <w:left w:val="nil"/>
        <w:bottom w:val="nil"/>
        <w:right w:val="nil"/>
        <w:between w:val="nil"/>
      </w:pBdr>
      <w:spacing w:line="276" w:lineRule="auto"/>
      <w:rPr>
        <w:color w:val="000000"/>
        <w:sz w:val="14"/>
        <w:szCs w:val="14"/>
      </w:rPr>
    </w:pPr>
  </w:p>
  <w:tbl>
    <w:tblPr>
      <w:tblStyle w:val="a3"/>
      <w:tblW w:w="7620" w:type="dxa"/>
      <w:tblInd w:w="2552" w:type="dxa"/>
      <w:tblLayout w:type="fixed"/>
      <w:tblLook w:val="0400" w:firstRow="0" w:lastRow="0" w:firstColumn="0" w:lastColumn="0" w:noHBand="0" w:noVBand="1"/>
    </w:tblPr>
    <w:tblGrid>
      <w:gridCol w:w="2985"/>
      <w:gridCol w:w="4635"/>
    </w:tblGrid>
    <w:tr w:rsidR="0051129F">
      <w:trPr>
        <w:trHeight w:val="227"/>
      </w:trPr>
      <w:tc>
        <w:tcPr>
          <w:tcW w:w="2985" w:type="dxa"/>
        </w:tcPr>
        <w:p w:rsidR="0051129F" w:rsidRPr="00DA3B71" w:rsidRDefault="00D60CF2">
          <w:pPr>
            <w:jc w:val="right"/>
            <w:rPr>
              <w:rFonts w:ascii="Palatino Linotype" w:eastAsia="Palatino Linotype" w:hAnsi="Palatino Linotype" w:cs="Palatino Linotype"/>
              <w:b/>
              <w:bCs/>
              <w:szCs w:val="22"/>
            </w:rPr>
          </w:pPr>
          <w:r w:rsidRPr="00DA3B71">
            <w:rPr>
              <w:rFonts w:ascii="Palatino Linotype" w:eastAsia="Palatino Linotype" w:hAnsi="Palatino Linotype" w:cs="Palatino Linotype"/>
              <w:b/>
              <w:bCs/>
              <w:szCs w:val="22"/>
            </w:rPr>
            <w:t>Recurso de Revisión:</w:t>
          </w:r>
        </w:p>
      </w:tc>
      <w:tc>
        <w:tcPr>
          <w:tcW w:w="4635" w:type="dxa"/>
          <w:vAlign w:val="center"/>
        </w:tcPr>
        <w:p w:rsidR="0051129F" w:rsidRPr="00DA3B71" w:rsidRDefault="00D60CF2">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highlight w:val="green"/>
            </w:rPr>
          </w:pPr>
          <w:r w:rsidRPr="00DA3B71">
            <w:rPr>
              <w:rFonts w:ascii="Palatino Linotype" w:eastAsia="Palatino Linotype" w:hAnsi="Palatino Linotype" w:cs="Palatino Linotype"/>
              <w:color w:val="000000"/>
              <w:szCs w:val="22"/>
            </w:rPr>
            <w:t xml:space="preserve">00978/INFOEM/IP/RR/2026 y </w:t>
          </w:r>
          <w:r w:rsidRPr="00DA3B71">
            <w:rPr>
              <w:rFonts w:ascii="Palatino Linotype" w:eastAsia="Palatino Linotype" w:hAnsi="Palatino Linotype" w:cs="Palatino Linotype"/>
              <w:szCs w:val="22"/>
            </w:rPr>
            <w:t>A</w:t>
          </w:r>
          <w:r w:rsidRPr="00DA3B71">
            <w:rPr>
              <w:rFonts w:ascii="Palatino Linotype" w:eastAsia="Palatino Linotype" w:hAnsi="Palatino Linotype" w:cs="Palatino Linotype"/>
              <w:color w:val="000000"/>
              <w:szCs w:val="22"/>
            </w:rPr>
            <w:t>cumulados</w:t>
          </w:r>
        </w:p>
      </w:tc>
    </w:tr>
    <w:tr w:rsidR="0051129F">
      <w:trPr>
        <w:trHeight w:val="242"/>
      </w:trPr>
      <w:tc>
        <w:tcPr>
          <w:tcW w:w="2985" w:type="dxa"/>
        </w:tcPr>
        <w:p w:rsidR="0051129F" w:rsidRPr="00DA3B71" w:rsidRDefault="00D60CF2">
          <w:pPr>
            <w:jc w:val="right"/>
            <w:rPr>
              <w:rFonts w:ascii="Palatino Linotype" w:eastAsia="Palatino Linotype" w:hAnsi="Palatino Linotype" w:cs="Palatino Linotype"/>
              <w:b/>
              <w:bCs/>
              <w:szCs w:val="22"/>
            </w:rPr>
          </w:pPr>
          <w:r w:rsidRPr="00DA3B71">
            <w:rPr>
              <w:rFonts w:ascii="Palatino Linotype" w:eastAsia="Palatino Linotype" w:hAnsi="Palatino Linotype" w:cs="Palatino Linotype"/>
              <w:b/>
              <w:bCs/>
              <w:szCs w:val="22"/>
            </w:rPr>
            <w:t>Recurrente:</w:t>
          </w:r>
        </w:p>
      </w:tc>
      <w:tc>
        <w:tcPr>
          <w:tcW w:w="4635" w:type="dxa"/>
        </w:tcPr>
        <w:p w:rsidR="0051129F" w:rsidRPr="00DA3B71" w:rsidRDefault="00F10819">
          <w:pPr>
            <w:pBdr>
              <w:top w:val="nil"/>
              <w:left w:val="nil"/>
              <w:bottom w:val="nil"/>
              <w:right w:val="nil"/>
              <w:between w:val="nil"/>
            </w:pBdr>
            <w:tabs>
              <w:tab w:val="right" w:pos="8838"/>
              <w:tab w:val="left" w:pos="521"/>
            </w:tabs>
            <w:ind w:right="-50"/>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51129F">
      <w:trPr>
        <w:trHeight w:val="342"/>
      </w:trPr>
      <w:tc>
        <w:tcPr>
          <w:tcW w:w="2985" w:type="dxa"/>
        </w:tcPr>
        <w:p w:rsidR="0051129F" w:rsidRPr="00DA3B71" w:rsidRDefault="00D60CF2">
          <w:pPr>
            <w:jc w:val="right"/>
            <w:rPr>
              <w:rFonts w:ascii="Palatino Linotype" w:eastAsia="Palatino Linotype" w:hAnsi="Palatino Linotype" w:cs="Palatino Linotype"/>
              <w:b/>
              <w:bCs/>
              <w:szCs w:val="22"/>
            </w:rPr>
          </w:pPr>
          <w:r w:rsidRPr="00DA3B71">
            <w:rPr>
              <w:rFonts w:ascii="Palatino Linotype" w:eastAsia="Palatino Linotype" w:hAnsi="Palatino Linotype" w:cs="Palatino Linotype"/>
              <w:b/>
              <w:bCs/>
              <w:szCs w:val="22"/>
            </w:rPr>
            <w:t>Sujeto Obligado:</w:t>
          </w:r>
        </w:p>
      </w:tc>
      <w:tc>
        <w:tcPr>
          <w:tcW w:w="4635" w:type="dxa"/>
          <w:vAlign w:val="center"/>
        </w:tcPr>
        <w:p w:rsidR="0051129F" w:rsidRPr="00DA3B71" w:rsidRDefault="00D60CF2">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highlight w:val="green"/>
            </w:rPr>
          </w:pPr>
          <w:r w:rsidRPr="00DA3B71">
            <w:rPr>
              <w:rFonts w:ascii="Palatino Linotype" w:eastAsia="Palatino Linotype" w:hAnsi="Palatino Linotype" w:cs="Palatino Linotype"/>
              <w:color w:val="000000"/>
              <w:szCs w:val="22"/>
            </w:rPr>
            <w:t>Ayuntamiento de Tepotzotlán</w:t>
          </w:r>
        </w:p>
      </w:tc>
    </w:tr>
    <w:tr w:rsidR="0051129F">
      <w:trPr>
        <w:trHeight w:val="342"/>
      </w:trPr>
      <w:tc>
        <w:tcPr>
          <w:tcW w:w="2985" w:type="dxa"/>
        </w:tcPr>
        <w:p w:rsidR="0051129F" w:rsidRPr="00DA3B71" w:rsidRDefault="00D60CF2">
          <w:pPr>
            <w:jc w:val="right"/>
            <w:rPr>
              <w:rFonts w:ascii="Palatino Linotype" w:eastAsia="Palatino Linotype" w:hAnsi="Palatino Linotype" w:cs="Palatino Linotype"/>
              <w:b/>
              <w:bCs/>
              <w:szCs w:val="22"/>
            </w:rPr>
          </w:pPr>
          <w:r w:rsidRPr="00DA3B71">
            <w:rPr>
              <w:rFonts w:ascii="Palatino Linotype" w:eastAsia="Palatino Linotype" w:hAnsi="Palatino Linotype" w:cs="Palatino Linotype"/>
              <w:b/>
              <w:bCs/>
              <w:szCs w:val="22"/>
            </w:rPr>
            <w:t>Comisionada Ponente:</w:t>
          </w:r>
        </w:p>
      </w:tc>
      <w:tc>
        <w:tcPr>
          <w:tcW w:w="4635" w:type="dxa"/>
          <w:vAlign w:val="center"/>
        </w:tcPr>
        <w:p w:rsidR="0051129F" w:rsidRPr="00DA3B71" w:rsidRDefault="00D60CF2">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rPr>
          </w:pPr>
          <w:r w:rsidRPr="00DA3B71">
            <w:rPr>
              <w:rFonts w:ascii="Palatino Linotype" w:eastAsia="Palatino Linotype" w:hAnsi="Palatino Linotype" w:cs="Palatino Linotype"/>
              <w:color w:val="000000"/>
              <w:szCs w:val="22"/>
            </w:rPr>
            <w:t>María del Rosario Mejía Ayala</w:t>
          </w:r>
        </w:p>
      </w:tc>
    </w:tr>
  </w:tbl>
  <w:p w:rsidR="0051129F" w:rsidRDefault="00C3616F">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A4CD5"/>
    <w:multiLevelType w:val="multilevel"/>
    <w:tmpl w:val="A36866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F821DE"/>
    <w:multiLevelType w:val="multilevel"/>
    <w:tmpl w:val="FD26327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 w15:restartNumberingAfterBreak="0">
    <w:nsid w:val="149F3CCB"/>
    <w:multiLevelType w:val="hybridMultilevel"/>
    <w:tmpl w:val="25101B6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15:restartNumberingAfterBreak="0">
    <w:nsid w:val="1987062E"/>
    <w:multiLevelType w:val="multilevel"/>
    <w:tmpl w:val="9E746BFE"/>
    <w:lvl w:ilvl="0">
      <w:start w:val="1"/>
      <w:numFmt w:val="decimal"/>
      <w:lvlText w:val="%1."/>
      <w:lvlJc w:val="left"/>
      <w:pPr>
        <w:ind w:left="1637"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733776"/>
    <w:multiLevelType w:val="multilevel"/>
    <w:tmpl w:val="CDA25A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3D7B2B"/>
    <w:multiLevelType w:val="multilevel"/>
    <w:tmpl w:val="F9B08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AA8067A"/>
    <w:multiLevelType w:val="multilevel"/>
    <w:tmpl w:val="47ACFED6"/>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892920"/>
    <w:multiLevelType w:val="multilevel"/>
    <w:tmpl w:val="F84653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76135E8"/>
    <w:multiLevelType w:val="multilevel"/>
    <w:tmpl w:val="95BCED9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8DB60D9"/>
    <w:multiLevelType w:val="multilevel"/>
    <w:tmpl w:val="80C47082"/>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0" w15:restartNumberingAfterBreak="0">
    <w:nsid w:val="6DB15F68"/>
    <w:multiLevelType w:val="multilevel"/>
    <w:tmpl w:val="D4684300"/>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abstractNumId w:val="3"/>
  </w:num>
  <w:num w:numId="2">
    <w:abstractNumId w:val="6"/>
  </w:num>
  <w:num w:numId="3">
    <w:abstractNumId w:val="0"/>
  </w:num>
  <w:num w:numId="4">
    <w:abstractNumId w:val="1"/>
  </w:num>
  <w:num w:numId="5">
    <w:abstractNumId w:val="4"/>
  </w:num>
  <w:num w:numId="6">
    <w:abstractNumId w:val="10"/>
  </w:num>
  <w:num w:numId="7">
    <w:abstractNumId w:val="9"/>
  </w:num>
  <w:num w:numId="8">
    <w:abstractNumId w:val="8"/>
  </w:num>
  <w:num w:numId="9">
    <w:abstractNumId w:val="7"/>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29F"/>
    <w:rsid w:val="00112A83"/>
    <w:rsid w:val="00395D76"/>
    <w:rsid w:val="0051129F"/>
    <w:rsid w:val="005D376F"/>
    <w:rsid w:val="006B4332"/>
    <w:rsid w:val="006C116C"/>
    <w:rsid w:val="00794D64"/>
    <w:rsid w:val="007B22C1"/>
    <w:rsid w:val="008919AB"/>
    <w:rsid w:val="00917866"/>
    <w:rsid w:val="00B83A69"/>
    <w:rsid w:val="00B9054F"/>
    <w:rsid w:val="00C3616F"/>
    <w:rsid w:val="00D60CF2"/>
    <w:rsid w:val="00DA3B71"/>
    <w:rsid w:val="00F108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1610EAE-A2E4-4138-99CC-FEB740B55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DA3B71"/>
    <w:pPr>
      <w:tabs>
        <w:tab w:val="center" w:pos="4419"/>
        <w:tab w:val="right" w:pos="8838"/>
      </w:tabs>
    </w:pPr>
  </w:style>
  <w:style w:type="character" w:customStyle="1" w:styleId="PiedepginaCar">
    <w:name w:val="Pie de página Car"/>
    <w:basedOn w:val="Fuentedeprrafopredeter"/>
    <w:link w:val="Piedepgina"/>
    <w:uiPriority w:val="99"/>
    <w:rsid w:val="00DA3B71"/>
  </w:style>
  <w:style w:type="paragraph" w:styleId="Prrafodelista">
    <w:name w:val="List Paragraph"/>
    <w:basedOn w:val="Normal"/>
    <w:uiPriority w:val="34"/>
    <w:qFormat/>
    <w:rsid w:val="00DA3B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nF/0OX9MCFVhf/ePGqvO/v9qCg==">CgMxLjAyCGguZ2pkZ3hzMgloLjN6bnlzaDcyCGgudHlqY3d0MgloLjF0M2g1c2YyDmguejg2dHo5czV2ZTk1MgloLjNkeTZ2a20yCWguMTdkcDh2dTgAciExYWRDWm41c1YxSmU0N29Qd0wzbFhNeVVKZTE1cjNsMEw=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46</Pages>
  <Words>12102</Words>
  <Characters>66564</Characters>
  <Application>Microsoft Office Word</Application>
  <DocSecurity>0</DocSecurity>
  <Lines>554</Lines>
  <Paragraphs>157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78509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10</cp:revision>
  <cp:lastPrinted>2026-05-14T17:33:00Z</cp:lastPrinted>
  <dcterms:created xsi:type="dcterms:W3CDTF">2026-05-11T17:59:00Z</dcterms:created>
  <dcterms:modified xsi:type="dcterms:W3CDTF">2026-05-18T23:57:00Z</dcterms:modified>
</cp:coreProperties>
</file>