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14BA4EDD" w:rsidR="00532AE4" w:rsidRPr="0070452A" w:rsidRDefault="00A76F12" w:rsidP="00B10274">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70452A">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027A69" w:rsidRPr="0070452A">
        <w:rPr>
          <w:rFonts w:ascii="Palatino Linotype" w:eastAsia="Palatino Linotype" w:hAnsi="Palatino Linotype" w:cs="Palatino Linotype"/>
          <w:sz w:val="22"/>
          <w:szCs w:val="22"/>
        </w:rPr>
        <w:t>diecisiete</w:t>
      </w:r>
      <w:r w:rsidR="00B10274" w:rsidRPr="0070452A">
        <w:rPr>
          <w:rFonts w:ascii="Palatino Linotype" w:eastAsia="Palatino Linotype" w:hAnsi="Palatino Linotype" w:cs="Palatino Linotype"/>
          <w:sz w:val="22"/>
          <w:szCs w:val="22"/>
        </w:rPr>
        <w:t xml:space="preserve"> de septiembre</w:t>
      </w:r>
      <w:r w:rsidR="00E55CFA" w:rsidRPr="0070452A">
        <w:rPr>
          <w:rFonts w:ascii="Palatino Linotype" w:eastAsia="Palatino Linotype" w:hAnsi="Palatino Linotype" w:cs="Palatino Linotype"/>
          <w:sz w:val="22"/>
          <w:szCs w:val="22"/>
        </w:rPr>
        <w:t xml:space="preserve"> de dos mil veintiséis</w:t>
      </w:r>
      <w:r w:rsidRPr="0070452A">
        <w:rPr>
          <w:rFonts w:ascii="Palatino Linotype" w:eastAsia="Palatino Linotype" w:hAnsi="Palatino Linotype" w:cs="Palatino Linotype"/>
          <w:sz w:val="22"/>
          <w:szCs w:val="22"/>
        </w:rPr>
        <w:t xml:space="preserve">. </w:t>
      </w:r>
    </w:p>
    <w:p w14:paraId="13FC4B2B" w14:textId="77777777" w:rsidR="00532AE4" w:rsidRPr="0070452A" w:rsidRDefault="00532AE4" w:rsidP="00B10274">
      <w:pPr>
        <w:spacing w:line="360" w:lineRule="auto"/>
        <w:jc w:val="both"/>
        <w:rPr>
          <w:rFonts w:ascii="Palatino Linotype" w:eastAsia="Palatino Linotype" w:hAnsi="Palatino Linotype" w:cs="Palatino Linotype"/>
          <w:b/>
          <w:sz w:val="22"/>
          <w:szCs w:val="22"/>
        </w:rPr>
      </w:pPr>
    </w:p>
    <w:p w14:paraId="50DC799A" w14:textId="623056FF"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Visto </w:t>
      </w:r>
      <w:r w:rsidRPr="0070452A">
        <w:rPr>
          <w:rFonts w:ascii="Palatino Linotype" w:eastAsia="Palatino Linotype" w:hAnsi="Palatino Linotype" w:cs="Palatino Linotype"/>
          <w:sz w:val="22"/>
          <w:szCs w:val="22"/>
        </w:rPr>
        <w:t xml:space="preserve">el expediente relativo al recurso de revisión </w:t>
      </w:r>
      <w:r w:rsidR="00F73EE5" w:rsidRPr="0070452A">
        <w:rPr>
          <w:rFonts w:ascii="Palatino Linotype" w:eastAsia="Palatino Linotype" w:hAnsi="Palatino Linotype" w:cs="Palatino Linotype"/>
          <w:b/>
          <w:sz w:val="22"/>
          <w:szCs w:val="22"/>
        </w:rPr>
        <w:t>0</w:t>
      </w:r>
      <w:r w:rsidR="00FC45A6" w:rsidRPr="0070452A">
        <w:rPr>
          <w:rFonts w:ascii="Palatino Linotype" w:eastAsia="Palatino Linotype" w:hAnsi="Palatino Linotype" w:cs="Palatino Linotype"/>
          <w:b/>
          <w:sz w:val="22"/>
          <w:szCs w:val="22"/>
        </w:rPr>
        <w:t>71</w:t>
      </w:r>
      <w:r w:rsidR="00BE7EF6" w:rsidRPr="0070452A">
        <w:rPr>
          <w:rFonts w:ascii="Palatino Linotype" w:eastAsia="Palatino Linotype" w:hAnsi="Palatino Linotype" w:cs="Palatino Linotype"/>
          <w:b/>
          <w:sz w:val="22"/>
          <w:szCs w:val="22"/>
        </w:rPr>
        <w:t>84</w:t>
      </w:r>
      <w:r w:rsidR="000C05BE" w:rsidRPr="0070452A">
        <w:rPr>
          <w:rFonts w:ascii="Palatino Linotype" w:eastAsia="Palatino Linotype" w:hAnsi="Palatino Linotype" w:cs="Palatino Linotype"/>
          <w:b/>
          <w:sz w:val="22"/>
          <w:szCs w:val="22"/>
        </w:rPr>
        <w:t>/INFOEM/IP/RR/2026</w:t>
      </w:r>
      <w:r w:rsidRPr="0070452A">
        <w:rPr>
          <w:rFonts w:ascii="Palatino Linotype" w:eastAsia="Palatino Linotype" w:hAnsi="Palatino Linotype" w:cs="Palatino Linotype"/>
          <w:sz w:val="22"/>
          <w:szCs w:val="22"/>
        </w:rPr>
        <w:t xml:space="preserve">, interpuesto </w:t>
      </w:r>
      <w:r w:rsidR="0061438F" w:rsidRPr="0070452A">
        <w:rPr>
          <w:rFonts w:ascii="Palatino Linotype" w:eastAsia="Palatino Linotype" w:hAnsi="Palatino Linotype" w:cs="Palatino Linotype"/>
          <w:sz w:val="22"/>
          <w:szCs w:val="22"/>
        </w:rPr>
        <w:t xml:space="preserve">por </w:t>
      </w:r>
      <w:r w:rsidR="008D2F0A">
        <w:rPr>
          <w:rFonts w:ascii="Palatino Linotype" w:eastAsia="Palatino Linotype" w:hAnsi="Palatino Linotype" w:cs="Palatino Linotype"/>
          <w:b/>
          <w:sz w:val="21"/>
          <w:szCs w:val="21"/>
        </w:rPr>
        <w:t xml:space="preserve">XXXXXXXX XXXXXX </w:t>
      </w:r>
      <w:proofErr w:type="spellStart"/>
      <w:r w:rsidR="008D2F0A">
        <w:rPr>
          <w:rFonts w:ascii="Palatino Linotype" w:eastAsia="Palatino Linotype" w:hAnsi="Palatino Linotype" w:cs="Palatino Linotype"/>
          <w:b/>
          <w:sz w:val="21"/>
          <w:szCs w:val="21"/>
        </w:rPr>
        <w:t>XXXXXX</w:t>
      </w:r>
      <w:proofErr w:type="spellEnd"/>
      <w:r w:rsidR="008D2F0A"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sz w:val="22"/>
          <w:szCs w:val="22"/>
        </w:rPr>
        <w:t xml:space="preserve">en lo sucesivo la parte </w:t>
      </w:r>
      <w:r w:rsidR="00B10274"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en contra de la falta de respuesta a la solicitud de acceso a la información con número de folio</w:t>
      </w:r>
      <w:r w:rsidRPr="0070452A">
        <w:rPr>
          <w:rFonts w:ascii="Verdana" w:eastAsia="Verdana" w:hAnsi="Verdana" w:cs="Verdana"/>
          <w:b/>
          <w:sz w:val="22"/>
          <w:szCs w:val="22"/>
        </w:rPr>
        <w:t> </w:t>
      </w:r>
      <w:r w:rsidR="00BE5839" w:rsidRPr="0070452A">
        <w:rPr>
          <w:rFonts w:ascii="Palatino Linotype" w:eastAsia="Palatino Linotype" w:hAnsi="Palatino Linotype" w:cs="Palatino Linotype"/>
          <w:b/>
          <w:sz w:val="22"/>
          <w:szCs w:val="22"/>
        </w:rPr>
        <w:t>01144/TEPOTZOT/IP/2026</w:t>
      </w:r>
      <w:r w:rsidR="00EF743D"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 xml:space="preserve">por parte del </w:t>
      </w:r>
      <w:r w:rsidR="00C51B8C" w:rsidRPr="0070452A">
        <w:rPr>
          <w:rFonts w:ascii="Palatino Linotype" w:eastAsia="Palatino Linotype" w:hAnsi="Palatino Linotype" w:cs="Palatino Linotype"/>
          <w:b/>
          <w:sz w:val="22"/>
          <w:szCs w:val="22"/>
        </w:rPr>
        <w:t xml:space="preserve">Ayuntamiento de </w:t>
      </w:r>
      <w:r w:rsidR="0084271D" w:rsidRPr="0070452A">
        <w:rPr>
          <w:rFonts w:ascii="Palatino Linotype" w:eastAsia="Palatino Linotype" w:hAnsi="Palatino Linotype" w:cs="Palatino Linotype"/>
          <w:b/>
          <w:sz w:val="22"/>
          <w:szCs w:val="22"/>
        </w:rPr>
        <w:t>Tepotzotlán</w:t>
      </w:r>
      <w:r w:rsidR="00390FDA" w:rsidRPr="0070452A">
        <w:rPr>
          <w:rFonts w:ascii="Palatino Linotype" w:eastAsia="Palatino Linotype" w:hAnsi="Palatino Linotype" w:cs="Palatino Linotype"/>
          <w:b/>
          <w:sz w:val="22"/>
          <w:szCs w:val="22"/>
        </w:rPr>
        <w:t>,</w:t>
      </w:r>
      <w:r w:rsidRPr="0070452A">
        <w:rPr>
          <w:rFonts w:ascii="Palatino Linotype" w:eastAsia="Palatino Linotype" w:hAnsi="Palatino Linotype" w:cs="Palatino Linotype"/>
          <w:sz w:val="22"/>
          <w:szCs w:val="22"/>
        </w:rPr>
        <w:t xml:space="preserve"> en lo sucesivo el </w:t>
      </w:r>
      <w:r w:rsidR="00B10274" w:rsidRPr="0070452A">
        <w:rPr>
          <w:rFonts w:ascii="Palatino Linotype" w:eastAsia="Palatino Linotype" w:hAnsi="Palatino Linotype" w:cs="Palatino Linotype"/>
          <w:b/>
          <w:sz w:val="22"/>
          <w:szCs w:val="22"/>
        </w:rPr>
        <w:t>Sujeto Obligado</w:t>
      </w:r>
      <w:r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 xml:space="preserve">se procede a dictar la presente resolución, con base en lo siguiente. </w:t>
      </w:r>
    </w:p>
    <w:p w14:paraId="67B8DD13" w14:textId="77777777" w:rsidR="00D2153C" w:rsidRPr="0070452A" w:rsidRDefault="00D2153C" w:rsidP="00B10274">
      <w:pPr>
        <w:spacing w:line="360" w:lineRule="auto"/>
        <w:jc w:val="both"/>
        <w:rPr>
          <w:rFonts w:ascii="Palatino Linotype" w:eastAsia="Palatino Linotype" w:hAnsi="Palatino Linotype" w:cs="Palatino Linotype"/>
          <w:sz w:val="22"/>
          <w:szCs w:val="22"/>
        </w:rPr>
      </w:pPr>
    </w:p>
    <w:p w14:paraId="555D501F" w14:textId="77777777" w:rsidR="00532AE4" w:rsidRPr="0070452A" w:rsidRDefault="00A76F12" w:rsidP="00B10274">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70452A">
        <w:rPr>
          <w:rFonts w:ascii="Palatino Linotype" w:eastAsia="Palatino Linotype" w:hAnsi="Palatino Linotype" w:cs="Palatino Linotype"/>
          <w:b/>
          <w:sz w:val="22"/>
          <w:szCs w:val="22"/>
        </w:rPr>
        <w:t>A N T E C E D E N T E S:</w:t>
      </w:r>
    </w:p>
    <w:p w14:paraId="77D7A248" w14:textId="77777777" w:rsidR="00532AE4" w:rsidRPr="0070452A" w:rsidRDefault="00532AE4" w:rsidP="00B1027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6A7DCABB"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1. Solicitud de acceso a la información. </w:t>
      </w:r>
      <w:r w:rsidR="00EE5E30" w:rsidRPr="0070452A">
        <w:rPr>
          <w:rFonts w:ascii="Palatino Linotype" w:eastAsia="Palatino Linotype" w:hAnsi="Palatino Linotype" w:cs="Palatino Linotype"/>
          <w:sz w:val="22"/>
          <w:szCs w:val="22"/>
        </w:rPr>
        <w:t>Con fecha</w:t>
      </w:r>
      <w:r w:rsidR="003F333A" w:rsidRPr="0070452A">
        <w:rPr>
          <w:rFonts w:ascii="Palatino Linotype" w:eastAsia="Palatino Linotype" w:hAnsi="Palatino Linotype" w:cs="Palatino Linotype"/>
          <w:sz w:val="22"/>
          <w:szCs w:val="22"/>
        </w:rPr>
        <w:t xml:space="preserve"> </w:t>
      </w:r>
      <w:r w:rsidR="005652C7" w:rsidRPr="0070452A">
        <w:rPr>
          <w:rFonts w:ascii="Palatino Linotype" w:eastAsia="Palatino Linotype" w:hAnsi="Palatino Linotype" w:cs="Palatino Linotype"/>
          <w:sz w:val="22"/>
          <w:szCs w:val="22"/>
        </w:rPr>
        <w:t>trece</w:t>
      </w:r>
      <w:r w:rsidR="00FC45A6" w:rsidRPr="0070452A">
        <w:rPr>
          <w:rFonts w:ascii="Palatino Linotype" w:eastAsia="Palatino Linotype" w:hAnsi="Palatino Linotype" w:cs="Palatino Linotype"/>
          <w:sz w:val="22"/>
          <w:szCs w:val="22"/>
        </w:rPr>
        <w:t xml:space="preserve"> de junio</w:t>
      </w:r>
      <w:r w:rsidR="003F333A" w:rsidRPr="0070452A">
        <w:rPr>
          <w:rFonts w:ascii="Palatino Linotype" w:eastAsia="Palatino Linotype" w:hAnsi="Palatino Linotype" w:cs="Palatino Linotype"/>
          <w:sz w:val="22"/>
          <w:szCs w:val="22"/>
        </w:rPr>
        <w:t xml:space="preserve"> de dos mil veintiséis</w:t>
      </w:r>
      <w:r w:rsidRPr="0070452A">
        <w:rPr>
          <w:rFonts w:ascii="Palatino Linotype" w:eastAsia="Palatino Linotype" w:hAnsi="Palatino Linotype" w:cs="Palatino Linotype"/>
          <w:sz w:val="22"/>
          <w:szCs w:val="22"/>
        </w:rPr>
        <w:t xml:space="preserve">, la parte </w:t>
      </w:r>
      <w:r w:rsidR="00B10274"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 xml:space="preserve">formuló a través del Sistema de Acceso a la Información Mexiquense, en adelante </w:t>
      </w:r>
      <w:r w:rsidRPr="0070452A">
        <w:rPr>
          <w:rFonts w:ascii="Palatino Linotype" w:eastAsia="Palatino Linotype" w:hAnsi="Palatino Linotype" w:cs="Palatino Linotype"/>
          <w:b/>
          <w:sz w:val="22"/>
          <w:szCs w:val="22"/>
        </w:rPr>
        <w:t>SAIMEX,</w:t>
      </w:r>
      <w:r w:rsidRPr="0070452A">
        <w:rPr>
          <w:rFonts w:ascii="Palatino Linotype" w:eastAsia="Palatino Linotype" w:hAnsi="Palatino Linotype" w:cs="Palatino Linotype"/>
          <w:sz w:val="22"/>
          <w:szCs w:val="22"/>
        </w:rPr>
        <w:t xml:space="preserve"> solicitud de información al </w:t>
      </w:r>
      <w:r w:rsidR="00B10274" w:rsidRPr="0070452A">
        <w:rPr>
          <w:rFonts w:ascii="Palatino Linotype" w:eastAsia="Palatino Linotype" w:hAnsi="Palatino Linotype" w:cs="Palatino Linotype"/>
          <w:b/>
          <w:sz w:val="22"/>
          <w:szCs w:val="22"/>
        </w:rPr>
        <w:t>Sujeto Obligado</w:t>
      </w:r>
      <w:r w:rsidR="005652C7" w:rsidRPr="0070452A">
        <w:rPr>
          <w:rFonts w:ascii="Palatino Linotype" w:eastAsia="Palatino Linotype" w:hAnsi="Palatino Linotype" w:cs="Palatino Linotype"/>
          <w:b/>
          <w:sz w:val="22"/>
          <w:szCs w:val="22"/>
        </w:rPr>
        <w:t xml:space="preserve">; </w:t>
      </w:r>
      <w:bookmarkStart w:id="1" w:name="_Hlk239857455"/>
      <w:r w:rsidR="005652C7" w:rsidRPr="0070452A">
        <w:rPr>
          <w:rFonts w:ascii="Palatino Linotype" w:eastAsia="Palatino Linotype" w:hAnsi="Palatino Linotype" w:cs="Palatino Linotype"/>
          <w:bCs/>
          <w:sz w:val="22"/>
          <w:szCs w:val="22"/>
        </w:rPr>
        <w:t xml:space="preserve">no obstante, por corresponder a un día inhábil </w:t>
      </w:r>
      <w:r w:rsidR="003F333A" w:rsidRPr="0070452A">
        <w:rPr>
          <w:rFonts w:ascii="Palatino Linotype" w:eastAsia="Palatino Linotype" w:hAnsi="Palatino Linotype" w:cs="Palatino Linotype"/>
          <w:bCs/>
          <w:sz w:val="22"/>
          <w:szCs w:val="22"/>
        </w:rPr>
        <w:t xml:space="preserve">se tuvo por presentada el </w:t>
      </w:r>
      <w:r w:rsidR="005652C7" w:rsidRPr="0070452A">
        <w:rPr>
          <w:rFonts w:ascii="Palatino Linotype" w:eastAsia="Palatino Linotype" w:hAnsi="Palatino Linotype" w:cs="Palatino Linotype"/>
          <w:b/>
          <w:sz w:val="22"/>
          <w:szCs w:val="22"/>
        </w:rPr>
        <w:t>quince de junio</w:t>
      </w:r>
      <w:r w:rsidR="003F333A" w:rsidRPr="0070452A">
        <w:rPr>
          <w:rFonts w:ascii="Palatino Linotype" w:eastAsia="Palatino Linotype" w:hAnsi="Palatino Linotype" w:cs="Palatino Linotype"/>
          <w:b/>
          <w:sz w:val="22"/>
          <w:szCs w:val="22"/>
        </w:rPr>
        <w:t xml:space="preserve"> de dos mil veintiséis</w:t>
      </w:r>
      <w:bookmarkEnd w:id="1"/>
      <w:r w:rsidR="003F333A"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requiriéndole lo siguiente:</w:t>
      </w:r>
    </w:p>
    <w:p w14:paraId="59CC0872" w14:textId="68200746" w:rsidR="009B6117" w:rsidRPr="0070452A" w:rsidRDefault="009B6117" w:rsidP="00B10274">
      <w:pPr>
        <w:ind w:right="616"/>
        <w:jc w:val="both"/>
        <w:rPr>
          <w:rFonts w:ascii="Palatino Linotype" w:eastAsia="Palatino Linotype" w:hAnsi="Palatino Linotype" w:cs="Palatino Linotype"/>
          <w:i/>
          <w:sz w:val="22"/>
          <w:szCs w:val="22"/>
        </w:rPr>
      </w:pPr>
    </w:p>
    <w:p w14:paraId="0F87CB2C" w14:textId="1886CFA4" w:rsidR="00532AE4" w:rsidRPr="0070452A" w:rsidRDefault="0004402A" w:rsidP="00BE5839">
      <w:pPr>
        <w:ind w:left="851" w:right="616"/>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i/>
          <w:sz w:val="22"/>
          <w:szCs w:val="22"/>
        </w:rPr>
        <w:t>“</w:t>
      </w:r>
      <w:r w:rsidR="00BE5839" w:rsidRPr="0070452A">
        <w:rPr>
          <w:rFonts w:ascii="Palatino Linotype" w:eastAsia="Palatino Linotype" w:hAnsi="Palatino Linotype" w:cs="Palatino Linotype"/>
          <w:i/>
          <w:sz w:val="22"/>
          <w:szCs w:val="22"/>
        </w:rPr>
        <w:t>Solicito informar si el Ayuntamiento de Tepotzotlán solicitó, obtuvo o gestionó ante la Secretaría de Gobernación Federal alguna autorización, permiso, opinión, consulta, validación o pronunciamiento relacionado con la adquisición, impresión, distribución o utilización de banderas nacionales con la leyenda "Tepotzotlán" durante el evento denominado "Destino Futbolero Tepotzotlán" realizado en 2026. Asimismo, solicito copia íntegra en versión pública de todos los oficios, solicitudes, correos electrónicos, respuestas, autorizaciones, opiniones, dictámenes o cualquier documento intercambiado entre el Ayuntamiento de Tepotzotlán y la Secretaría de Gobernación respecto de dichas banderas. En caso de no existir autorización, permiso, consulta o comunicación alguna con la Secretaría de Gobernación, solicito se manifieste expresamente dicha circunstancia</w:t>
      </w:r>
      <w:r w:rsidR="00723FB8" w:rsidRPr="0070452A">
        <w:rPr>
          <w:rFonts w:ascii="Palatino Linotype" w:eastAsia="Palatino Linotype" w:hAnsi="Palatino Linotype" w:cs="Palatino Linotype"/>
          <w:i/>
          <w:sz w:val="22"/>
          <w:szCs w:val="22"/>
        </w:rPr>
        <w:t>.</w:t>
      </w:r>
      <w:r w:rsidR="00137E5A" w:rsidRPr="0070452A">
        <w:rPr>
          <w:rFonts w:ascii="Palatino Linotype" w:eastAsia="Palatino Linotype" w:hAnsi="Palatino Linotype" w:cs="Palatino Linotype"/>
          <w:i/>
          <w:sz w:val="22"/>
          <w:szCs w:val="22"/>
        </w:rPr>
        <w:t xml:space="preserve">” </w:t>
      </w:r>
      <w:r w:rsidR="00A76F12" w:rsidRPr="0070452A">
        <w:rPr>
          <w:rFonts w:ascii="Palatino Linotype" w:eastAsia="Palatino Linotype" w:hAnsi="Palatino Linotype" w:cs="Palatino Linotype"/>
          <w:i/>
          <w:sz w:val="22"/>
          <w:szCs w:val="22"/>
        </w:rPr>
        <w:t>(Sic)</w:t>
      </w:r>
      <w:r w:rsidR="00CE1553" w:rsidRPr="0070452A">
        <w:rPr>
          <w:rFonts w:ascii="Palatino Linotype" w:eastAsia="Palatino Linotype" w:hAnsi="Palatino Linotype" w:cs="Palatino Linotype"/>
          <w:b/>
          <w:sz w:val="22"/>
          <w:szCs w:val="22"/>
        </w:rPr>
        <w:tab/>
      </w:r>
    </w:p>
    <w:p w14:paraId="6697AE7A" w14:textId="3A0616F1" w:rsidR="00147A44" w:rsidRPr="0070452A" w:rsidRDefault="00147A44" w:rsidP="00B10274">
      <w:pPr>
        <w:spacing w:line="360" w:lineRule="auto"/>
        <w:jc w:val="both"/>
        <w:rPr>
          <w:rFonts w:ascii="Palatino Linotype" w:eastAsia="Palatino Linotype" w:hAnsi="Palatino Linotype" w:cs="Palatino Linotype"/>
          <w:b/>
          <w:sz w:val="22"/>
          <w:szCs w:val="22"/>
        </w:rPr>
      </w:pPr>
    </w:p>
    <w:p w14:paraId="16AAF638" w14:textId="2E507840" w:rsidR="00D2153C" w:rsidRPr="0070452A" w:rsidRDefault="00D2153C" w:rsidP="00D2153C">
      <w:pPr>
        <w:spacing w:line="360" w:lineRule="auto"/>
        <w:jc w:val="both"/>
        <w:rPr>
          <w:rFonts w:ascii="Palatino Linotype" w:eastAsia="Palatino Linotype" w:hAnsi="Palatino Linotype" w:cs="Palatino Linotype"/>
          <w:bCs/>
          <w:sz w:val="22"/>
          <w:szCs w:val="22"/>
        </w:rPr>
      </w:pPr>
      <w:r w:rsidRPr="0070452A">
        <w:rPr>
          <w:rFonts w:ascii="Palatino Linotype" w:eastAsia="Palatino Linotype" w:hAnsi="Palatino Linotype" w:cs="Palatino Linotype"/>
          <w:bCs/>
          <w:sz w:val="22"/>
          <w:szCs w:val="22"/>
        </w:rPr>
        <w:lastRenderedPageBreak/>
        <w:t xml:space="preserve">Solicitud a la que adjuntó los archivos </w:t>
      </w:r>
      <w:r w:rsidRPr="0070452A">
        <w:rPr>
          <w:rFonts w:ascii="Palatino Linotype" w:eastAsia="Palatino Linotype" w:hAnsi="Palatino Linotype" w:cs="Palatino Linotype"/>
          <w:b/>
          <w:i/>
          <w:iCs/>
          <w:sz w:val="22"/>
          <w:szCs w:val="22"/>
        </w:rPr>
        <w:t xml:space="preserve">1781381438082.jpg </w:t>
      </w:r>
      <w:r w:rsidRPr="0070452A">
        <w:rPr>
          <w:rFonts w:ascii="Palatino Linotype" w:eastAsia="Palatino Linotype" w:hAnsi="Palatino Linotype" w:cs="Palatino Linotype"/>
          <w:bCs/>
          <w:sz w:val="22"/>
          <w:szCs w:val="22"/>
        </w:rPr>
        <w:t>y</w:t>
      </w:r>
      <w:r w:rsidRPr="0070452A">
        <w:rPr>
          <w:rFonts w:ascii="Palatino Linotype" w:eastAsia="Palatino Linotype" w:hAnsi="Palatino Linotype" w:cs="Palatino Linotype"/>
          <w:b/>
          <w:i/>
          <w:iCs/>
          <w:sz w:val="22"/>
          <w:szCs w:val="22"/>
        </w:rPr>
        <w:t xml:space="preserve"> 1781381428702.jpg </w:t>
      </w:r>
      <w:r w:rsidRPr="0070452A">
        <w:rPr>
          <w:rFonts w:ascii="Palatino Linotype" w:eastAsia="Palatino Linotype" w:hAnsi="Palatino Linotype" w:cs="Palatino Linotype"/>
          <w:bCs/>
          <w:sz w:val="22"/>
          <w:szCs w:val="22"/>
        </w:rPr>
        <w:t xml:space="preserve">que contiene imágenes de las banderas referidas en la solicitud. </w:t>
      </w:r>
    </w:p>
    <w:p w14:paraId="26F24AB4" w14:textId="77777777" w:rsidR="00D2153C" w:rsidRPr="0070452A" w:rsidRDefault="00D2153C" w:rsidP="00B10274">
      <w:pPr>
        <w:spacing w:line="360" w:lineRule="auto"/>
        <w:jc w:val="both"/>
        <w:rPr>
          <w:rFonts w:ascii="Palatino Linotype" w:eastAsia="Palatino Linotype" w:hAnsi="Palatino Linotype" w:cs="Palatino Linotype"/>
          <w:b/>
          <w:sz w:val="22"/>
          <w:szCs w:val="22"/>
        </w:rPr>
      </w:pPr>
    </w:p>
    <w:p w14:paraId="421C9301" w14:textId="37A74441" w:rsidR="00D60C0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Modalidad elegida para la entrega de la información: </w:t>
      </w:r>
      <w:r w:rsidRPr="0070452A">
        <w:rPr>
          <w:rFonts w:ascii="Palatino Linotype" w:eastAsia="Palatino Linotype" w:hAnsi="Palatino Linotype" w:cs="Palatino Linotype"/>
          <w:sz w:val="22"/>
          <w:szCs w:val="22"/>
        </w:rPr>
        <w:t>a través del SAIMEX.</w:t>
      </w:r>
    </w:p>
    <w:p w14:paraId="1227E94F" w14:textId="77777777" w:rsidR="00D60C04" w:rsidRPr="0070452A" w:rsidRDefault="00D60C04" w:rsidP="00B1027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70452A" w:rsidRDefault="00FD5905" w:rsidP="00B10274">
      <w:pPr>
        <w:spacing w:line="360" w:lineRule="auto"/>
        <w:jc w:val="both"/>
        <w:rPr>
          <w:rFonts w:ascii="Palatino Linotype" w:eastAsia="Palatino Linotype" w:hAnsi="Palatino Linotype" w:cs="Palatino Linotype"/>
          <w:b/>
          <w:sz w:val="22"/>
          <w:szCs w:val="22"/>
        </w:rPr>
      </w:pPr>
      <w:r w:rsidRPr="0070452A">
        <w:rPr>
          <w:rFonts w:ascii="Palatino Linotype" w:eastAsia="Palatino Linotype" w:hAnsi="Palatino Linotype" w:cs="Palatino Linotype"/>
          <w:b/>
          <w:sz w:val="22"/>
          <w:szCs w:val="22"/>
        </w:rPr>
        <w:t>2</w:t>
      </w:r>
      <w:r w:rsidR="00D763D8" w:rsidRPr="0070452A">
        <w:rPr>
          <w:rFonts w:ascii="Palatino Linotype" w:eastAsia="Palatino Linotype" w:hAnsi="Palatino Linotype" w:cs="Palatino Linotype"/>
          <w:b/>
          <w:sz w:val="22"/>
          <w:szCs w:val="22"/>
        </w:rPr>
        <w:t xml:space="preserve">. </w:t>
      </w:r>
      <w:r w:rsidR="00A76F12" w:rsidRPr="0070452A">
        <w:rPr>
          <w:rFonts w:ascii="Palatino Linotype" w:eastAsia="Palatino Linotype" w:hAnsi="Palatino Linotype" w:cs="Palatino Linotype"/>
          <w:b/>
          <w:sz w:val="22"/>
          <w:szCs w:val="22"/>
        </w:rPr>
        <w:t xml:space="preserve">Respuesta. </w:t>
      </w:r>
      <w:r w:rsidR="00A76F12" w:rsidRPr="0070452A">
        <w:rPr>
          <w:rFonts w:ascii="Palatino Linotype" w:eastAsia="Palatino Linotype" w:hAnsi="Palatino Linotype" w:cs="Palatino Linotype"/>
          <w:sz w:val="22"/>
          <w:szCs w:val="22"/>
        </w:rPr>
        <w:t xml:space="preserve">El </w:t>
      </w:r>
      <w:r w:rsidR="00A76F12" w:rsidRPr="0070452A">
        <w:rPr>
          <w:rFonts w:ascii="Palatino Linotype" w:eastAsia="Palatino Linotype" w:hAnsi="Palatino Linotype" w:cs="Palatino Linotype"/>
          <w:b/>
          <w:sz w:val="22"/>
          <w:szCs w:val="22"/>
        </w:rPr>
        <w:t xml:space="preserve">SUJETO OBLIGADO </w:t>
      </w:r>
      <w:r w:rsidR="00A76F12" w:rsidRPr="0070452A">
        <w:rPr>
          <w:rFonts w:ascii="Palatino Linotype" w:eastAsia="Palatino Linotype" w:hAnsi="Palatino Linotype" w:cs="Palatino Linotype"/>
          <w:sz w:val="22"/>
          <w:szCs w:val="22"/>
        </w:rPr>
        <w:t xml:space="preserve">fue omiso en proporcionar respuesta. </w:t>
      </w:r>
    </w:p>
    <w:p w14:paraId="66730054"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64E077EC" w14:textId="100B544D" w:rsidR="00532AE4" w:rsidRPr="0070452A" w:rsidRDefault="00FD5905"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3</w:t>
      </w:r>
      <w:r w:rsidR="00A76F12" w:rsidRPr="0070452A">
        <w:rPr>
          <w:rFonts w:ascii="Palatino Linotype" w:eastAsia="Palatino Linotype" w:hAnsi="Palatino Linotype" w:cs="Palatino Linotype"/>
          <w:b/>
          <w:sz w:val="22"/>
          <w:szCs w:val="22"/>
        </w:rPr>
        <w:t xml:space="preserve">. Interposición del recurso de revisión. </w:t>
      </w:r>
      <w:r w:rsidR="00A76F12" w:rsidRPr="0070452A">
        <w:rPr>
          <w:rFonts w:ascii="Palatino Linotype" w:eastAsia="Palatino Linotype" w:hAnsi="Palatino Linotype" w:cs="Palatino Linotype"/>
          <w:sz w:val="22"/>
          <w:szCs w:val="22"/>
        </w:rPr>
        <w:t xml:space="preserve">Inconforme la parte solicitante con la falta de respuesta del </w:t>
      </w:r>
      <w:r w:rsidR="005652C7" w:rsidRPr="0070452A">
        <w:rPr>
          <w:rFonts w:ascii="Palatino Linotype" w:eastAsia="Palatino Linotype" w:hAnsi="Palatino Linotype" w:cs="Palatino Linotype"/>
          <w:b/>
          <w:sz w:val="22"/>
          <w:szCs w:val="22"/>
        </w:rPr>
        <w:t>Sujeto Obligado</w:t>
      </w:r>
      <w:r w:rsidR="00A76F12" w:rsidRPr="0070452A">
        <w:rPr>
          <w:rFonts w:ascii="Palatino Linotype" w:eastAsia="Palatino Linotype" w:hAnsi="Palatino Linotype" w:cs="Palatino Linotype"/>
          <w:sz w:val="22"/>
          <w:szCs w:val="22"/>
        </w:rPr>
        <w:t xml:space="preserve">, interpuso recurso de revisión a través del SAIMEX en fecha </w:t>
      </w:r>
      <w:r w:rsidR="005652C7" w:rsidRPr="0070452A">
        <w:rPr>
          <w:rFonts w:ascii="Palatino Linotype" w:eastAsia="Palatino Linotype" w:hAnsi="Palatino Linotype" w:cs="Palatino Linotype"/>
          <w:b/>
          <w:sz w:val="22"/>
          <w:szCs w:val="22"/>
        </w:rPr>
        <w:t>once de julio</w:t>
      </w:r>
      <w:r w:rsidR="00401731" w:rsidRPr="0070452A">
        <w:rPr>
          <w:rFonts w:ascii="Palatino Linotype" w:eastAsia="Palatino Linotype" w:hAnsi="Palatino Linotype" w:cs="Palatino Linotype"/>
          <w:b/>
          <w:sz w:val="22"/>
          <w:szCs w:val="22"/>
        </w:rPr>
        <w:t xml:space="preserve"> de dos mil veintiséis</w:t>
      </w:r>
      <w:r w:rsidR="00723FB8" w:rsidRPr="0070452A">
        <w:rPr>
          <w:rFonts w:ascii="Palatino Linotype" w:eastAsia="Palatino Linotype" w:hAnsi="Palatino Linotype" w:cs="Palatino Linotype"/>
          <w:b/>
          <w:sz w:val="22"/>
          <w:szCs w:val="22"/>
        </w:rPr>
        <w:t>;</w:t>
      </w:r>
      <w:r w:rsidR="00723FB8" w:rsidRPr="0070452A">
        <w:rPr>
          <w:rFonts w:ascii="Palatino Linotype" w:eastAsia="Palatino Linotype" w:hAnsi="Palatino Linotype" w:cs="Palatino Linotype"/>
          <w:sz w:val="22"/>
          <w:szCs w:val="22"/>
        </w:rPr>
        <w:t xml:space="preserve"> </w:t>
      </w:r>
      <w:bookmarkStart w:id="2" w:name="_Hlk239857479"/>
      <w:r w:rsidR="00723FB8" w:rsidRPr="0070452A">
        <w:rPr>
          <w:rFonts w:ascii="Palatino Linotype" w:eastAsia="Palatino Linotype" w:hAnsi="Palatino Linotype" w:cs="Palatino Linotype"/>
          <w:sz w:val="22"/>
          <w:szCs w:val="22"/>
        </w:rPr>
        <w:t xml:space="preserve">no obstante, por corresponder a un día inhábil, se tuvo por presentado el </w:t>
      </w:r>
      <w:r w:rsidR="00723FB8" w:rsidRPr="0070452A">
        <w:rPr>
          <w:rFonts w:ascii="Palatino Linotype" w:eastAsia="Palatino Linotype" w:hAnsi="Palatino Linotype" w:cs="Palatino Linotype"/>
          <w:b/>
          <w:bCs/>
          <w:sz w:val="22"/>
          <w:szCs w:val="22"/>
        </w:rPr>
        <w:t>trece de julio de dos mil veintiséis</w:t>
      </w:r>
      <w:bookmarkEnd w:id="2"/>
      <w:r w:rsidR="00723FB8" w:rsidRPr="0070452A">
        <w:rPr>
          <w:rFonts w:ascii="Palatino Linotype" w:eastAsia="Palatino Linotype" w:hAnsi="Palatino Linotype" w:cs="Palatino Linotype"/>
          <w:sz w:val="22"/>
          <w:szCs w:val="22"/>
        </w:rPr>
        <w:t xml:space="preserve">, </w:t>
      </w:r>
      <w:r w:rsidR="00A76F12" w:rsidRPr="0070452A">
        <w:rPr>
          <w:rFonts w:ascii="Palatino Linotype" w:eastAsia="Palatino Linotype" w:hAnsi="Palatino Linotype" w:cs="Palatino Linotype"/>
          <w:sz w:val="22"/>
          <w:szCs w:val="22"/>
        </w:rPr>
        <w:t>expresando lo siguiente:</w:t>
      </w:r>
    </w:p>
    <w:p w14:paraId="126577AC"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59ACBA47" w14:textId="2EB7F76B" w:rsidR="00532AE4" w:rsidRPr="0070452A" w:rsidRDefault="00A76F12" w:rsidP="00B10274">
      <w:pPr>
        <w:spacing w:line="276" w:lineRule="auto"/>
        <w:ind w:left="567" w:right="616"/>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b/>
          <w:sz w:val="22"/>
          <w:szCs w:val="22"/>
        </w:rPr>
        <w:t>a) Acto impugnado</w:t>
      </w:r>
      <w:r w:rsidRPr="0070452A">
        <w:rPr>
          <w:rFonts w:ascii="Palatino Linotype" w:eastAsia="Palatino Linotype" w:hAnsi="Palatino Linotype" w:cs="Palatino Linotype"/>
          <w:b/>
          <w:i/>
          <w:sz w:val="22"/>
          <w:szCs w:val="22"/>
        </w:rPr>
        <w:t xml:space="preserve">. </w:t>
      </w:r>
      <w:r w:rsidR="00EB74FD" w:rsidRPr="0070452A">
        <w:rPr>
          <w:rFonts w:ascii="Palatino Linotype" w:eastAsia="Palatino Linotype" w:hAnsi="Palatino Linotype" w:cs="Palatino Linotype"/>
          <w:i/>
          <w:sz w:val="22"/>
          <w:szCs w:val="22"/>
        </w:rPr>
        <w:t>“</w:t>
      </w:r>
      <w:r w:rsidR="00BE5839" w:rsidRPr="0070452A">
        <w:rPr>
          <w:rFonts w:ascii="Palatino Linotype" w:eastAsia="Palatino Linotype" w:hAnsi="Palatino Linotype" w:cs="Palatino Linotype"/>
          <w:i/>
          <w:sz w:val="22"/>
          <w:szCs w:val="22"/>
        </w:rPr>
        <w:t>Solicito informar si el Ayuntamiento de Tepotzotlán solicitó, obtuvo o gestionó ante la Secretaría de Gobernación Federal alguna autorización, permiso, opinión, consulta, validación o pronunciamiento relacionado con la adquisición, impresión, distribución o utilización de banderas nacionales con la leyenda "Tepotzotlán" durante el evento denominado "Destino Futbolero Tepotzotlán" realizado en 2026. Asimismo, solicito copia íntegra en versión pública de todos los oficios, solicitudes, correos electrónicos, respuestas, autorizaciones, opiniones, dictámenes o cualquier documento intercambiado entre el Ayuntamiento de Tepotzotlán y la Secretaría de Gobernación respecto de dichas banderas. En caso de no existir autorización, permiso, consulta o comunicación alguna con la Secretaría de Gobernación, solicito se manifieste expresamente dicha circunstancia.</w:t>
      </w:r>
      <w:r w:rsidR="005652C7" w:rsidRPr="0070452A">
        <w:rPr>
          <w:rFonts w:ascii="Palatino Linotype" w:eastAsia="Palatino Linotype" w:hAnsi="Palatino Linotype" w:cs="Palatino Linotype"/>
          <w:i/>
          <w:sz w:val="22"/>
          <w:szCs w:val="22"/>
        </w:rPr>
        <w:t>"</w:t>
      </w:r>
      <w:r w:rsidR="009B6117" w:rsidRPr="0070452A">
        <w:rPr>
          <w:rFonts w:ascii="Palatino Linotype" w:eastAsia="Palatino Linotype" w:hAnsi="Palatino Linotype" w:cs="Palatino Linotype"/>
          <w:i/>
          <w:sz w:val="22"/>
          <w:szCs w:val="22"/>
        </w:rPr>
        <w:t xml:space="preserve"> </w:t>
      </w:r>
      <w:r w:rsidRPr="0070452A">
        <w:rPr>
          <w:rFonts w:ascii="Palatino Linotype" w:eastAsia="Palatino Linotype" w:hAnsi="Palatino Linotype" w:cs="Palatino Linotype"/>
          <w:i/>
          <w:sz w:val="22"/>
          <w:szCs w:val="22"/>
        </w:rPr>
        <w:t>(Sic)</w:t>
      </w:r>
    </w:p>
    <w:p w14:paraId="527329DB" w14:textId="77777777" w:rsidR="00532AE4" w:rsidRPr="0070452A" w:rsidRDefault="00532AE4" w:rsidP="00B10274">
      <w:pPr>
        <w:spacing w:line="276" w:lineRule="auto"/>
        <w:ind w:left="567" w:right="616"/>
        <w:rPr>
          <w:rFonts w:ascii="Palatino Linotype" w:eastAsia="Palatino Linotype" w:hAnsi="Palatino Linotype" w:cs="Palatino Linotype"/>
          <w:b/>
          <w:sz w:val="22"/>
          <w:szCs w:val="22"/>
        </w:rPr>
      </w:pPr>
    </w:p>
    <w:p w14:paraId="27199E43" w14:textId="3D608913" w:rsidR="00532AE4" w:rsidRPr="0070452A" w:rsidRDefault="00A76F12" w:rsidP="00B10274">
      <w:pPr>
        <w:spacing w:line="276" w:lineRule="auto"/>
        <w:ind w:left="567" w:right="616"/>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b/>
          <w:sz w:val="22"/>
          <w:szCs w:val="22"/>
        </w:rPr>
        <w:t xml:space="preserve">b) Motivos de inconformidad. </w:t>
      </w:r>
      <w:r w:rsidRPr="0070452A">
        <w:rPr>
          <w:rFonts w:ascii="Palatino Linotype" w:eastAsia="Palatino Linotype" w:hAnsi="Palatino Linotype" w:cs="Palatino Linotype"/>
          <w:i/>
          <w:sz w:val="22"/>
          <w:szCs w:val="22"/>
        </w:rPr>
        <w:t>“</w:t>
      </w:r>
      <w:r w:rsidR="00BE5839" w:rsidRPr="0070452A">
        <w:rPr>
          <w:rFonts w:ascii="Palatino Linotype" w:eastAsia="Palatino Linotype" w:hAnsi="Palatino Linotype" w:cs="Palatino Linotype"/>
          <w:i/>
          <w:sz w:val="22"/>
          <w:szCs w:val="22"/>
        </w:rPr>
        <w:t xml:space="preserve">AGRAVIO POR OMISIÓN ABSOLUTA DE RESPUESTA, NEGATIVA FICTA Y OBSTRUCCIÓN DEL DERECHO DE ACCESO A LA INFORMACIÓN PÚBLICA El H. Ayuntamiento de Tepotzotlán incurrió en una omisión absoluta de respuesta respecto de la solicitud de información pública presentada por la suscrita, al transcurrir en exceso el plazo legal establecido sin emitir resolución alguna, configurándose plenamente la figura de la negativa ficta y vulnerándose de manera directa mi derecho humano de acceso a la información pública. La conducta desplegada por </w:t>
      </w:r>
      <w:r w:rsidR="00BE5839" w:rsidRPr="0070452A">
        <w:rPr>
          <w:rFonts w:ascii="Palatino Linotype" w:eastAsia="Palatino Linotype" w:hAnsi="Palatino Linotype" w:cs="Palatino Linotype"/>
          <w:i/>
          <w:sz w:val="22"/>
          <w:szCs w:val="22"/>
        </w:rPr>
        <w:lastRenderedPageBreak/>
        <w:t xml:space="preserve">el Sujeto Obligado constituye una violación grave a los principios constitucionales de legalidad, máxima publicidad, transparencia, rendición de cuentas, exhaustividad, certeza jurídica y acceso efectivo a la información pública, toda vez que incumplió completamente las obligaciones que le impone la Ley de Transparencia y Acceso a la Información Pública del Estado de México y Municipios. El Sujeto Obligado omitió: I. Emitir respuesta dentro del plazo legal. II. Realizar y acreditar una búsqueda exhaustiva, razonable y documentada de la información solicitada. III. Fundar y motivar jurídicamente cualquier determinación de inexistencia, reserva o clasificación de información. IV. Turnar la solicitud a las unidades administrativas competentes para su atención. V. Justificar legalmente una ampliación de plazo. VI. Garantizar el acceso efectivo a la información pública solicitada. La ausencia total de respuesta constituye una obstrucción material y directa al ejercicio de un derecho humano reconocido por el artículo 6° de la Constitución Política de los Estados Unidos Mexicanos, colocándome en un estado de incertidumbre jurídica e indefensión al impedirme conocer la determinación de la autoridad respecto de la información solicitada. Resulta particularmente grave que la información requerida corresponde a documentos generados, administrados o resguardados en el ejercicio de funciones públicas, por lo que existe una obligación legal de conservación, organización y disponibilidad de dichos documentos en los archivos institucionales del Ayuntamiento. La omisión de respuesta no puede considerarse una simple irregularidad administrativa, sino un incumplimiento total de obligaciones legales expresamente previstas en la Ley de Transparencia y Acceso a la Información Pública del Estado de México y Municipios, afectando el principio de máxima publicidad que debe regir toda actuación gubernamental. Asimismo, es importante señalar que esta conducta no constituye un hecho aislado. De manera recurrente el Sujeto Obligado incumple los plazos legales de respuesta y únicamente atiende solicitudes cuando existe la intervención del Órgano Garante mediante la presentación de recursos de revisión, situación que evidencia una práctica administrativa incompatible con los principios de transparencia, legalidad y rendición de cuentas. VIOLACIÓN A DERECHOS CONSTITUCIONALES Y LEGALES La omisión descrita vulnera los artículos 6° y 8° de la Constitución Política de los Estados Unidos Mexicanos, que reconocen el derecho humano de acceso a la información pública y el derecho de petición. De igual forma, transgrede las disposiciones aplicables de la Ley de Transparencia y Acceso a la Información Pública del Estado de México y Municipios que obligan a los sujetos obligados a: • Tramitar las solicitudes de información. • Realizar búsquedas exhaustivas y documentadas. • Emitir respuestas fundadas y motivadas. • Garantizar el acceso efectivo a la información pública. • Cumplir los plazos legales establecidos. El incumplimiento de </w:t>
      </w:r>
      <w:r w:rsidR="00BE5839" w:rsidRPr="0070452A">
        <w:rPr>
          <w:rFonts w:ascii="Palatino Linotype" w:eastAsia="Palatino Linotype" w:hAnsi="Palatino Linotype" w:cs="Palatino Linotype"/>
          <w:i/>
          <w:sz w:val="22"/>
          <w:szCs w:val="22"/>
        </w:rPr>
        <w:lastRenderedPageBreak/>
        <w:t>dichas obligaciones constituye una conducta susceptible de responsabilidad administrativa para los servidores públicos involucrados. PETICIONES Por lo anteriormente expuesto, solicito respetuosamente a ese Instituto: PRIMERO. Se declare fundado el presente recurso de revisión y se reconozca la configuración de la negativa ficta derivada de la omisión total de respuesta del Sujeto Obligado. SEGUNDO. Se ordene al H. Ayuntamiento de Tepotzotlán emitir respuesta inmediata, completa, congruente, exhaustiva, fundada y motivada respecto de la totalidad de la información solicitada. TERCERO. Se ordene la realización de una búsqueda exhaustiva en todas las unidades administrativas que pudieran poseer la información requerida. CUARTO. Se ordene la entrega íntegra de la información pública solicitada bajo el principio de máxima publicidad. QUINTO. En caso de alegarse inexistencia, se requiera la intervención formal del Comité de Transparencia, debiendo acreditar mediante acta fundada y motivada la búsqueda exhaustiva realizada y las razones que sustenten dicha determinación. SEXTO. En caso de invocarse reserva o confidencialidad, se exija la fundamentación legal correspondiente, la prueba de daño cuando proceda y la elaboración de versiones públicas debidamente testadas. SÉPTIMO. Se aperciba formalmente a la Unidad de Transparencia por el incumplimiento de sus obligaciones legales. OCTAVO. Se dé vista al Órgano Interno de Control para que determine las responsabilidades administrativas que correspondan por la omisión de respuesta y el incumplimiento de las obligaciones previstas en la legislación aplicable. NOVENO. Se impongan las medidas de apremio y sanciones procedentes previstas en la Ley de Transparencia y Acceso a la Información Pública del Estado de México y Municipios. DÉCIMO. Se consideren como agravantes los antecedentes de incumplimiento del Sujeto Obligado, en caso de existir, para efectos de la determinación de responsabilidades y sanciones. La omisión total de respuesta por parte del H. Ayuntamiento de Tepotzotlán no solo vulnera un derecho individual, sino que afecta directamente los mecanismos de control ciudadano, transparencia y rendición de cuentas, al impedir el acceso oportuno a información pública generada con recursos públicos y en ejercicio de funciones gubernamentales. Por ello, solicito la intervención firme de ese Órgano Garante para restituir plenamente el derecho vulnerado, ordenar el cumplimiento inmediato de las obligaciones legales del Sujeto Obligado y evitar la repetición de prácticas sistemáticas de incumplimiento que menoscaban el ejercicio efectivo del derecho de acceso a la información pública</w:t>
      </w:r>
      <w:r w:rsidR="00723FB8" w:rsidRPr="0070452A">
        <w:rPr>
          <w:rFonts w:ascii="Palatino Linotype" w:eastAsia="Palatino Linotype" w:hAnsi="Palatino Linotype" w:cs="Palatino Linotype"/>
          <w:i/>
          <w:sz w:val="22"/>
          <w:szCs w:val="22"/>
        </w:rPr>
        <w:t>.</w:t>
      </w:r>
      <w:r w:rsidR="002D134E" w:rsidRPr="0070452A">
        <w:rPr>
          <w:rFonts w:ascii="Palatino Linotype" w:eastAsia="Palatino Linotype" w:hAnsi="Palatino Linotype" w:cs="Palatino Linotype"/>
          <w:i/>
          <w:sz w:val="22"/>
          <w:szCs w:val="22"/>
        </w:rPr>
        <w:t>”</w:t>
      </w:r>
      <w:r w:rsidR="008B17EA" w:rsidRPr="0070452A">
        <w:rPr>
          <w:rFonts w:ascii="Palatino Linotype" w:eastAsia="Palatino Linotype" w:hAnsi="Palatino Linotype" w:cs="Palatino Linotype"/>
          <w:i/>
          <w:sz w:val="22"/>
          <w:szCs w:val="22"/>
        </w:rPr>
        <w:t xml:space="preserve"> </w:t>
      </w:r>
      <w:r w:rsidRPr="0070452A">
        <w:rPr>
          <w:rFonts w:ascii="Palatino Linotype" w:eastAsia="Palatino Linotype" w:hAnsi="Palatino Linotype" w:cs="Palatino Linotype"/>
          <w:i/>
          <w:sz w:val="22"/>
          <w:szCs w:val="22"/>
        </w:rPr>
        <w:t>(Sic)</w:t>
      </w:r>
    </w:p>
    <w:p w14:paraId="1CD932CE" w14:textId="77777777" w:rsidR="00532AE4" w:rsidRPr="0070452A" w:rsidRDefault="00532AE4" w:rsidP="00B10274">
      <w:pPr>
        <w:spacing w:line="360" w:lineRule="auto"/>
        <w:jc w:val="both"/>
        <w:rPr>
          <w:rFonts w:ascii="Palatino Linotype" w:eastAsia="Palatino Linotype" w:hAnsi="Palatino Linotype" w:cs="Palatino Linotype"/>
          <w:i/>
          <w:sz w:val="22"/>
          <w:szCs w:val="22"/>
        </w:rPr>
      </w:pPr>
    </w:p>
    <w:p w14:paraId="537EC0BB" w14:textId="0561BD17" w:rsidR="00532AE4" w:rsidRPr="0070452A" w:rsidRDefault="00DF0F4D"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lastRenderedPageBreak/>
        <w:t>4</w:t>
      </w:r>
      <w:r w:rsidR="00A76F12" w:rsidRPr="0070452A">
        <w:rPr>
          <w:rFonts w:ascii="Palatino Linotype" w:eastAsia="Palatino Linotype" w:hAnsi="Palatino Linotype" w:cs="Palatino Linotype"/>
          <w:b/>
          <w:sz w:val="22"/>
          <w:szCs w:val="22"/>
        </w:rPr>
        <w:t xml:space="preserve">. Turno. </w:t>
      </w:r>
      <w:r w:rsidR="00A76F12" w:rsidRPr="0070452A">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70452A">
        <w:rPr>
          <w:rFonts w:ascii="Palatino Linotype" w:eastAsia="Palatino Linotype" w:hAnsi="Palatino Linotype" w:cs="Palatino Linotype"/>
          <w:b/>
          <w:sz w:val="22"/>
          <w:szCs w:val="22"/>
        </w:rPr>
        <w:t>Guadalupe Ramírez Peña</w:t>
      </w:r>
      <w:r w:rsidR="00A76F12" w:rsidRPr="0070452A">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70452A" w:rsidRDefault="00285CBA" w:rsidP="00B10274">
      <w:pPr>
        <w:spacing w:line="360" w:lineRule="auto"/>
        <w:jc w:val="both"/>
        <w:rPr>
          <w:rFonts w:ascii="Palatino Linotype" w:eastAsia="Palatino Linotype" w:hAnsi="Palatino Linotype" w:cs="Palatino Linotype"/>
          <w:sz w:val="22"/>
          <w:szCs w:val="22"/>
        </w:rPr>
      </w:pPr>
    </w:p>
    <w:p w14:paraId="6F47DF3C" w14:textId="488168C2" w:rsidR="00532AE4" w:rsidRPr="0070452A" w:rsidRDefault="00DF0F4D"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5</w:t>
      </w:r>
      <w:r w:rsidR="00A76F12" w:rsidRPr="0070452A">
        <w:rPr>
          <w:rFonts w:ascii="Palatino Linotype" w:eastAsia="Palatino Linotype" w:hAnsi="Palatino Linotype" w:cs="Palatino Linotype"/>
          <w:b/>
          <w:sz w:val="22"/>
          <w:szCs w:val="22"/>
        </w:rPr>
        <w:t xml:space="preserve">. Admisión. </w:t>
      </w:r>
      <w:r w:rsidR="003E2501" w:rsidRPr="0070452A">
        <w:rPr>
          <w:rFonts w:ascii="Palatino Linotype" w:eastAsia="Palatino Linotype" w:hAnsi="Palatino Linotype" w:cs="Palatino Linotype"/>
          <w:sz w:val="22"/>
          <w:szCs w:val="22"/>
        </w:rPr>
        <w:t>En</w:t>
      </w:r>
      <w:r w:rsidR="000F363F" w:rsidRPr="0070452A">
        <w:rPr>
          <w:rFonts w:ascii="Palatino Linotype" w:eastAsia="Palatino Linotype" w:hAnsi="Palatino Linotype" w:cs="Palatino Linotype"/>
          <w:sz w:val="22"/>
          <w:szCs w:val="22"/>
        </w:rPr>
        <w:t xml:space="preserve"> </w:t>
      </w:r>
      <w:r w:rsidR="00A8506B" w:rsidRPr="0070452A">
        <w:rPr>
          <w:rFonts w:ascii="Palatino Linotype" w:eastAsia="Palatino Linotype" w:hAnsi="Palatino Linotype" w:cs="Palatino Linotype"/>
          <w:sz w:val="22"/>
          <w:szCs w:val="22"/>
        </w:rPr>
        <w:t xml:space="preserve">fecha </w:t>
      </w:r>
      <w:r w:rsidR="00BE5839" w:rsidRPr="0070452A">
        <w:rPr>
          <w:rFonts w:ascii="Palatino Linotype" w:eastAsia="Palatino Linotype" w:hAnsi="Palatino Linotype" w:cs="Palatino Linotype"/>
          <w:b/>
          <w:sz w:val="22"/>
          <w:szCs w:val="22"/>
        </w:rPr>
        <w:t>catorce</w:t>
      </w:r>
      <w:r w:rsidR="005652C7" w:rsidRPr="0070452A">
        <w:rPr>
          <w:rFonts w:ascii="Palatino Linotype" w:eastAsia="Palatino Linotype" w:hAnsi="Palatino Linotype" w:cs="Palatino Linotype"/>
          <w:b/>
          <w:sz w:val="22"/>
          <w:szCs w:val="22"/>
        </w:rPr>
        <w:t xml:space="preserve"> de julio</w:t>
      </w:r>
      <w:r w:rsidR="003E2501" w:rsidRPr="0070452A">
        <w:rPr>
          <w:rFonts w:ascii="Palatino Linotype" w:eastAsia="Palatino Linotype" w:hAnsi="Palatino Linotype" w:cs="Palatino Linotype"/>
          <w:b/>
          <w:sz w:val="22"/>
          <w:szCs w:val="22"/>
        </w:rPr>
        <w:t xml:space="preserve"> de dos mil veintiséis</w:t>
      </w:r>
      <w:r w:rsidR="00044D36" w:rsidRPr="0070452A">
        <w:rPr>
          <w:rFonts w:ascii="Palatino Linotype" w:eastAsia="Palatino Linotype" w:hAnsi="Palatino Linotype" w:cs="Palatino Linotype"/>
          <w:sz w:val="22"/>
          <w:szCs w:val="22"/>
        </w:rPr>
        <w:t xml:space="preserve">, </w:t>
      </w:r>
      <w:r w:rsidR="00A76F12" w:rsidRPr="0070452A">
        <w:rPr>
          <w:rFonts w:ascii="Palatino Linotype" w:eastAsia="Palatino Linotype" w:hAnsi="Palatino Linotype" w:cs="Palatino Linotype"/>
          <w:sz w:val="22"/>
          <w:szCs w:val="22"/>
        </w:rPr>
        <w:t>en términos de lo dispuesto en el artículo 18 fracciones I, II y IV de la Ley de Transparencia y Acceso a la Información Pública del Estado de México y Municipios, se admitió a trámite el recurso de revisión al rubro indicado.</w:t>
      </w:r>
    </w:p>
    <w:p w14:paraId="334BE521"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6B5491D0" w14:textId="175F3024" w:rsidR="00B10274" w:rsidRPr="0070452A" w:rsidRDefault="00DF0F4D" w:rsidP="00B10274">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6</w:t>
      </w:r>
      <w:r w:rsidR="00A76F12" w:rsidRPr="0070452A">
        <w:rPr>
          <w:rFonts w:ascii="Palatino Linotype" w:eastAsia="Palatino Linotype" w:hAnsi="Palatino Linotype" w:cs="Palatino Linotype"/>
          <w:b/>
          <w:sz w:val="22"/>
          <w:szCs w:val="22"/>
        </w:rPr>
        <w:t>. Manifestaciones</w:t>
      </w:r>
      <w:r w:rsidR="00A76F12" w:rsidRPr="0070452A">
        <w:rPr>
          <w:rFonts w:ascii="Palatino Linotype" w:eastAsia="Palatino Linotype" w:hAnsi="Palatino Linotype" w:cs="Palatino Linotype"/>
          <w:sz w:val="22"/>
          <w:szCs w:val="22"/>
        </w:rPr>
        <w:t xml:space="preserve">. </w:t>
      </w:r>
      <w:bookmarkStart w:id="3" w:name="_Hlk238129200"/>
      <w:r w:rsidR="00B10274" w:rsidRPr="0070452A">
        <w:rPr>
          <w:rFonts w:ascii="Palatino Linotype" w:eastAsia="Palatino Linotype" w:hAnsi="Palatino Linotype" w:cs="Palatino Linotype"/>
          <w:sz w:val="22"/>
          <w:szCs w:val="22"/>
        </w:rPr>
        <w:t xml:space="preserve">De las constancias que integran el expediente en que se actúa, se advierte que, durante el periodo de manifestaciones, el </w:t>
      </w:r>
      <w:r w:rsidR="00B10274" w:rsidRPr="0070452A">
        <w:rPr>
          <w:rFonts w:ascii="Palatino Linotype" w:eastAsia="Palatino Linotype" w:hAnsi="Palatino Linotype" w:cs="Palatino Linotype"/>
          <w:b/>
          <w:sz w:val="22"/>
          <w:szCs w:val="22"/>
        </w:rPr>
        <w:t xml:space="preserve">Sujeto Obligado </w:t>
      </w:r>
      <w:r w:rsidR="00B10274" w:rsidRPr="0070452A">
        <w:rPr>
          <w:rFonts w:ascii="Palatino Linotype" w:eastAsia="Palatino Linotype" w:hAnsi="Palatino Linotype" w:cs="Palatino Linotype"/>
          <w:sz w:val="22"/>
          <w:szCs w:val="22"/>
        </w:rPr>
        <w:t xml:space="preserve">rindió informe justificado el </w:t>
      </w:r>
      <w:r w:rsidR="005652C7" w:rsidRPr="0070452A">
        <w:rPr>
          <w:rFonts w:ascii="Palatino Linotype" w:eastAsia="Palatino Linotype" w:hAnsi="Palatino Linotype" w:cs="Palatino Linotype"/>
          <w:b/>
          <w:sz w:val="22"/>
          <w:szCs w:val="22"/>
        </w:rPr>
        <w:t>veinte de julio</w:t>
      </w:r>
      <w:r w:rsidR="00B10274" w:rsidRPr="0070452A">
        <w:rPr>
          <w:rFonts w:ascii="Palatino Linotype" w:eastAsia="Palatino Linotype" w:hAnsi="Palatino Linotype" w:cs="Palatino Linotype"/>
          <w:b/>
          <w:sz w:val="22"/>
          <w:szCs w:val="22"/>
        </w:rPr>
        <w:t xml:space="preserve"> de dos mil veinticinco, </w:t>
      </w:r>
      <w:r w:rsidR="00B10274" w:rsidRPr="0070452A">
        <w:rPr>
          <w:rFonts w:ascii="Palatino Linotype" w:eastAsia="Palatino Linotype" w:hAnsi="Palatino Linotype" w:cs="Palatino Linotype"/>
          <w:sz w:val="22"/>
          <w:szCs w:val="22"/>
        </w:rPr>
        <w:t>a través del documento electrónico que contienen la información siguiente:</w:t>
      </w:r>
    </w:p>
    <w:p w14:paraId="266AC536" w14:textId="77777777" w:rsidR="00B10274" w:rsidRPr="0070452A" w:rsidRDefault="00B10274" w:rsidP="00B10274">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p>
    <w:p w14:paraId="57ABA40C" w14:textId="77777777" w:rsidR="00BE5839" w:rsidRPr="0070452A" w:rsidRDefault="00BE5839" w:rsidP="00BE5839">
      <w:pPr>
        <w:pStyle w:val="Prrafodelista"/>
        <w:numPr>
          <w:ilvl w:val="0"/>
          <w:numId w:val="6"/>
        </w:numPr>
        <w:pBdr>
          <w:top w:val="nil"/>
          <w:left w:val="nil"/>
          <w:bottom w:val="nil"/>
          <w:right w:val="nil"/>
          <w:between w:val="nil"/>
        </w:pBdr>
        <w:tabs>
          <w:tab w:val="left" w:pos="284"/>
        </w:tabs>
        <w:spacing w:line="360" w:lineRule="auto"/>
        <w:ind w:right="49"/>
        <w:contextualSpacing/>
        <w:jc w:val="both"/>
        <w:rPr>
          <w:rFonts w:ascii="Palatino Linotype" w:eastAsia="Palatino Linotype" w:hAnsi="Palatino Linotype" w:cs="Palatino Linotype"/>
          <w:i/>
          <w:iCs/>
        </w:rPr>
      </w:pPr>
      <w:r w:rsidRPr="0070452A">
        <w:rPr>
          <w:rFonts w:ascii="Palatino Linotype" w:eastAsia="Palatino Linotype" w:hAnsi="Palatino Linotype" w:cs="Palatino Linotype"/>
          <w:b/>
          <w:bCs/>
          <w:i/>
          <w:iCs/>
        </w:rPr>
        <w:t>HAT-SA-OI-0675-2026.pdf</w:t>
      </w:r>
      <w:r w:rsidR="00B10274" w:rsidRPr="0070452A">
        <w:rPr>
          <w:rFonts w:ascii="Palatino Linotype" w:eastAsia="Palatino Linotype" w:hAnsi="Palatino Linotype" w:cs="Palatino Linotype"/>
          <w:b/>
          <w:bCs/>
          <w:i/>
          <w:iCs/>
        </w:rPr>
        <w:t xml:space="preserve">: </w:t>
      </w:r>
      <w:r w:rsidR="00B10274" w:rsidRPr="0070452A">
        <w:rPr>
          <w:rFonts w:ascii="Palatino Linotype" w:eastAsia="Palatino Linotype" w:hAnsi="Palatino Linotype" w:cs="Palatino Linotype"/>
        </w:rPr>
        <w:t xml:space="preserve">Contiene el oficio número </w:t>
      </w:r>
      <w:r w:rsidRPr="0070452A">
        <w:rPr>
          <w:rFonts w:ascii="Palatino Linotype" w:eastAsia="Palatino Linotype" w:hAnsi="Palatino Linotype" w:cs="Palatino Linotype"/>
        </w:rPr>
        <w:t>HAT/SA/OI/0675/2026</w:t>
      </w:r>
      <w:r w:rsidR="00723FB8" w:rsidRPr="0070452A">
        <w:rPr>
          <w:rFonts w:ascii="Palatino Linotype" w:eastAsia="Palatino Linotype" w:hAnsi="Palatino Linotype" w:cs="Palatino Linotype"/>
        </w:rPr>
        <w:t xml:space="preserve"> </w:t>
      </w:r>
      <w:r w:rsidR="00B10274" w:rsidRPr="0070452A">
        <w:rPr>
          <w:rFonts w:ascii="Palatino Linotype" w:eastAsia="Palatino Linotype" w:hAnsi="Palatino Linotype" w:cs="Palatino Linotype"/>
        </w:rPr>
        <w:t xml:space="preserve">de fecha </w:t>
      </w:r>
      <w:r w:rsidRPr="0070452A">
        <w:rPr>
          <w:rFonts w:ascii="Palatino Linotype" w:eastAsia="Palatino Linotype" w:hAnsi="Palatino Linotype" w:cs="Palatino Linotype"/>
        </w:rPr>
        <w:t>trece</w:t>
      </w:r>
      <w:r w:rsidR="00723FB8" w:rsidRPr="0070452A">
        <w:rPr>
          <w:rFonts w:ascii="Palatino Linotype" w:eastAsia="Palatino Linotype" w:hAnsi="Palatino Linotype" w:cs="Palatino Linotype"/>
        </w:rPr>
        <w:t xml:space="preserve"> </w:t>
      </w:r>
      <w:r w:rsidR="005652C7" w:rsidRPr="0070452A">
        <w:rPr>
          <w:rFonts w:ascii="Palatino Linotype" w:eastAsia="Palatino Linotype" w:hAnsi="Palatino Linotype" w:cs="Palatino Linotype"/>
        </w:rPr>
        <w:t>de julio</w:t>
      </w:r>
      <w:r w:rsidR="00B10274" w:rsidRPr="0070452A">
        <w:rPr>
          <w:rFonts w:ascii="Palatino Linotype" w:eastAsia="Palatino Linotype" w:hAnsi="Palatino Linotype" w:cs="Palatino Linotype"/>
        </w:rPr>
        <w:t xml:space="preserve"> de dos mil veintiséis </w:t>
      </w:r>
      <w:r w:rsidR="005652C7" w:rsidRPr="0070452A">
        <w:rPr>
          <w:rFonts w:ascii="Palatino Linotype" w:eastAsia="Palatino Linotype" w:hAnsi="Palatino Linotype" w:cs="Palatino Linotype"/>
        </w:rPr>
        <w:t xml:space="preserve">suscrito y signado por </w:t>
      </w:r>
      <w:r w:rsidRPr="0070452A">
        <w:rPr>
          <w:rFonts w:ascii="Palatino Linotype" w:eastAsia="Palatino Linotype" w:hAnsi="Palatino Linotype" w:cs="Palatino Linotype"/>
        </w:rPr>
        <w:t xml:space="preserve">el Secretario del Ayuntamiento </w:t>
      </w:r>
      <w:r w:rsidR="00723FB8" w:rsidRPr="0070452A">
        <w:rPr>
          <w:rFonts w:ascii="Palatino Linotype" w:eastAsia="Palatino Linotype" w:hAnsi="Palatino Linotype" w:cs="Palatino Linotype"/>
        </w:rPr>
        <w:t xml:space="preserve">por medio del cual </w:t>
      </w:r>
      <w:r w:rsidRPr="0070452A">
        <w:rPr>
          <w:rFonts w:ascii="Palatino Linotype" w:eastAsia="Palatino Linotype" w:hAnsi="Palatino Linotype" w:cs="Palatino Linotype"/>
        </w:rPr>
        <w:t xml:space="preserve">informó que no se encontraron registros documentales bajo resguardo de esta área administrativa relacionada con alguno de los supuestos que se mencionan en la solicitud.  </w:t>
      </w:r>
    </w:p>
    <w:p w14:paraId="2136A6CD" w14:textId="77777777" w:rsidR="00BE5839" w:rsidRPr="0070452A" w:rsidRDefault="00BE5839" w:rsidP="00B10274">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p>
    <w:p w14:paraId="68E7A649" w14:textId="5DFF2B8D" w:rsidR="00B10274" w:rsidRPr="0070452A" w:rsidRDefault="00B10274" w:rsidP="00B10274">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Documento que, el </w:t>
      </w:r>
      <w:r w:rsidR="005652C7" w:rsidRPr="0070452A">
        <w:rPr>
          <w:rFonts w:ascii="Palatino Linotype" w:eastAsia="Palatino Linotype" w:hAnsi="Palatino Linotype" w:cs="Palatino Linotype"/>
          <w:b/>
          <w:sz w:val="22"/>
          <w:szCs w:val="22"/>
        </w:rPr>
        <w:t>nueve de septiembre</w:t>
      </w:r>
      <w:r w:rsidRPr="0070452A">
        <w:rPr>
          <w:rFonts w:ascii="Palatino Linotype" w:eastAsia="Palatino Linotype" w:hAnsi="Palatino Linotype" w:cs="Palatino Linotype"/>
          <w:b/>
          <w:sz w:val="22"/>
          <w:szCs w:val="22"/>
        </w:rPr>
        <w:t xml:space="preserve"> de dos mil veinti</w:t>
      </w:r>
      <w:r w:rsidR="00CC5342" w:rsidRPr="0070452A">
        <w:rPr>
          <w:rFonts w:ascii="Palatino Linotype" w:eastAsia="Palatino Linotype" w:hAnsi="Palatino Linotype" w:cs="Palatino Linotype"/>
          <w:b/>
          <w:sz w:val="22"/>
          <w:szCs w:val="22"/>
        </w:rPr>
        <w:t xml:space="preserve">séis </w:t>
      </w:r>
      <w:r w:rsidRPr="0070452A">
        <w:rPr>
          <w:rFonts w:ascii="Palatino Linotype" w:eastAsia="Palatino Linotype" w:hAnsi="Palatino Linotype" w:cs="Palatino Linotype"/>
          <w:sz w:val="22"/>
          <w:szCs w:val="22"/>
        </w:rPr>
        <w:t>se h</w:t>
      </w:r>
      <w:r w:rsidR="00CC5342" w:rsidRPr="0070452A">
        <w:rPr>
          <w:rFonts w:ascii="Palatino Linotype" w:eastAsia="Palatino Linotype" w:hAnsi="Palatino Linotype" w:cs="Palatino Linotype"/>
          <w:sz w:val="22"/>
          <w:szCs w:val="22"/>
        </w:rPr>
        <w:t>i</w:t>
      </w:r>
      <w:r w:rsidR="00DA3ED2" w:rsidRPr="0070452A">
        <w:rPr>
          <w:rFonts w:ascii="Palatino Linotype" w:eastAsia="Palatino Linotype" w:hAnsi="Palatino Linotype" w:cs="Palatino Linotype"/>
          <w:sz w:val="22"/>
          <w:szCs w:val="22"/>
        </w:rPr>
        <w:t>zo</w:t>
      </w:r>
      <w:r w:rsidRPr="0070452A">
        <w:rPr>
          <w:rFonts w:ascii="Palatino Linotype" w:eastAsia="Palatino Linotype" w:hAnsi="Palatino Linotype" w:cs="Palatino Linotype"/>
          <w:sz w:val="22"/>
          <w:szCs w:val="22"/>
        </w:rPr>
        <w:t xml:space="preserve"> del conocimiento de la parte </w:t>
      </w:r>
      <w:r w:rsidRPr="0070452A">
        <w:rPr>
          <w:rFonts w:ascii="Palatino Linotype" w:eastAsia="Palatino Linotype" w:hAnsi="Palatino Linotype" w:cs="Palatino Linotype"/>
          <w:b/>
          <w:sz w:val="22"/>
          <w:szCs w:val="22"/>
        </w:rPr>
        <w:t xml:space="preserve">Recurrente </w:t>
      </w:r>
      <w:r w:rsidRPr="0070452A">
        <w:rPr>
          <w:rFonts w:ascii="Palatino Linotype" w:eastAsia="Palatino Linotype" w:hAnsi="Palatino Linotype" w:cs="Palatino Linotype"/>
          <w:sz w:val="22"/>
          <w:szCs w:val="22"/>
        </w:rPr>
        <w:t>para efecto de que hiciera valer sus manifestaciones o rindiera alegatos que conforme a derecho resultaran procedentes; no obstante, fue omisa en ejercer dicha prerrogativa.</w:t>
      </w:r>
    </w:p>
    <w:p w14:paraId="35149060" w14:textId="77777777" w:rsidR="00B10274" w:rsidRPr="0070452A" w:rsidRDefault="00B10274" w:rsidP="00B10274">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p>
    <w:bookmarkEnd w:id="3"/>
    <w:p w14:paraId="058B4C47" w14:textId="10780063" w:rsidR="00DF0F4D" w:rsidRPr="0070452A" w:rsidRDefault="00DF0F4D" w:rsidP="00DF0F4D">
      <w:pPr>
        <w:widowControl w:val="0"/>
        <w:tabs>
          <w:tab w:val="left" w:pos="2552"/>
        </w:tabs>
        <w:spacing w:after="24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7</w:t>
      </w:r>
      <w:r w:rsidR="00A76F12"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b/>
          <w:sz w:val="22"/>
          <w:szCs w:val="22"/>
        </w:rPr>
        <w:t>Ampliación del término para resolver</w:t>
      </w:r>
      <w:r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b/>
          <w:sz w:val="22"/>
          <w:szCs w:val="22"/>
        </w:rPr>
        <w:t>El nueve de septiembre de dos mil veintiséis</w:t>
      </w:r>
      <w:r w:rsidRPr="0070452A">
        <w:rPr>
          <w:rFonts w:ascii="Palatino Linotype" w:eastAsia="Palatino Linotype" w:hAnsi="Palatino Linotype" w:cs="Palatino Linotype"/>
          <w:sz w:val="22"/>
          <w:szCs w:val="22"/>
        </w:rPr>
        <w:t xml:space="preserve">, con fundamento en el artículo 181, párrafo tercero de la Ley de Transparencia y Acceso a la </w:t>
      </w:r>
      <w:r w:rsidRPr="0070452A">
        <w:rPr>
          <w:rFonts w:ascii="Palatino Linotype" w:eastAsia="Palatino Linotype" w:hAnsi="Palatino Linotype" w:cs="Palatino Linotype"/>
          <w:sz w:val="22"/>
          <w:szCs w:val="22"/>
        </w:rPr>
        <w:lastRenderedPageBreak/>
        <w:t>Información Pública del Estado de México y Municipios, se acordó la ampliación del plazo para su resolución.</w:t>
      </w:r>
    </w:p>
    <w:p w14:paraId="2DD31F10" w14:textId="237697DF" w:rsidR="00532AE4" w:rsidRPr="0070452A" w:rsidRDefault="00DF0F4D" w:rsidP="00B10274">
      <w:pPr>
        <w:widowControl w:val="0"/>
        <w:spacing w:line="360" w:lineRule="auto"/>
        <w:ind w:right="49"/>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8. </w:t>
      </w:r>
      <w:r w:rsidR="00A76F12" w:rsidRPr="0070452A">
        <w:rPr>
          <w:rFonts w:ascii="Palatino Linotype" w:eastAsia="Palatino Linotype" w:hAnsi="Palatino Linotype" w:cs="Palatino Linotype"/>
          <w:b/>
          <w:sz w:val="22"/>
          <w:szCs w:val="22"/>
        </w:rPr>
        <w:t xml:space="preserve">Cierre de instrucción. </w:t>
      </w:r>
      <w:r w:rsidR="00A76F12" w:rsidRPr="0070452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Pr="0070452A">
        <w:rPr>
          <w:rFonts w:ascii="Palatino Linotype" w:eastAsia="Palatino Linotype" w:hAnsi="Palatino Linotype" w:cs="Palatino Linotype"/>
          <w:b/>
          <w:sz w:val="22"/>
          <w:szCs w:val="22"/>
        </w:rPr>
        <w:t>diecisiete de septiembre</w:t>
      </w:r>
      <w:r w:rsidR="007E7839" w:rsidRPr="0070452A">
        <w:rPr>
          <w:rFonts w:ascii="Palatino Linotype" w:eastAsia="Palatino Linotype" w:hAnsi="Palatino Linotype" w:cs="Palatino Linotype"/>
          <w:b/>
          <w:sz w:val="22"/>
          <w:szCs w:val="22"/>
        </w:rPr>
        <w:t xml:space="preserve"> de dos mil veintiséis</w:t>
      </w:r>
      <w:r w:rsidR="00A76F12" w:rsidRPr="0070452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6E8E61A1" w14:textId="77777777" w:rsidR="000408BC" w:rsidRPr="0070452A" w:rsidRDefault="000408BC" w:rsidP="00B10274">
      <w:pPr>
        <w:widowControl w:val="0"/>
        <w:spacing w:line="360" w:lineRule="auto"/>
        <w:ind w:right="49"/>
        <w:jc w:val="both"/>
        <w:rPr>
          <w:rFonts w:ascii="Palatino Linotype" w:eastAsia="Palatino Linotype" w:hAnsi="Palatino Linotype" w:cs="Palatino Linotype"/>
          <w:sz w:val="22"/>
          <w:szCs w:val="22"/>
        </w:rPr>
      </w:pPr>
    </w:p>
    <w:p w14:paraId="2D344C64" w14:textId="77777777" w:rsidR="00532AE4" w:rsidRPr="0070452A" w:rsidRDefault="00A76F12" w:rsidP="00B10274">
      <w:pPr>
        <w:spacing w:line="360" w:lineRule="auto"/>
        <w:jc w:val="both"/>
        <w:rPr>
          <w:rFonts w:ascii="Palatino Linotype" w:eastAsia="Palatino Linotype" w:hAnsi="Palatino Linotype" w:cs="Palatino Linotype"/>
          <w:sz w:val="22"/>
          <w:szCs w:val="22"/>
        </w:rPr>
      </w:pPr>
      <w:proofErr w:type="gramStart"/>
      <w:r w:rsidRPr="0070452A">
        <w:rPr>
          <w:rFonts w:ascii="Palatino Linotype" w:eastAsia="Palatino Linotype" w:hAnsi="Palatino Linotype" w:cs="Palatino Linotype"/>
          <w:sz w:val="22"/>
          <w:szCs w:val="22"/>
        </w:rPr>
        <w:t>En razón de</w:t>
      </w:r>
      <w:proofErr w:type="gramEnd"/>
      <w:r w:rsidRPr="0070452A">
        <w:rPr>
          <w:rFonts w:ascii="Palatino Linotype" w:eastAsia="Palatino Linotype" w:hAnsi="Palatino Linotype" w:cs="Palatino Linotype"/>
          <w:sz w:val="22"/>
          <w:szCs w:val="22"/>
        </w:rPr>
        <w:t xml:space="preserve"> que fue debidamente sustanciado el expediente electrónico y no existe diligencia pendiente de desahogo, se emite la Resolución que conforme a Derecho proceda, de acuerdo con los siguientes: </w:t>
      </w:r>
    </w:p>
    <w:p w14:paraId="4A6373F7" w14:textId="6D22CD9D" w:rsidR="00532AE4" w:rsidRPr="0070452A" w:rsidRDefault="00532AE4" w:rsidP="00B10274">
      <w:pPr>
        <w:spacing w:line="360" w:lineRule="auto"/>
        <w:jc w:val="both"/>
        <w:rPr>
          <w:rFonts w:ascii="Palatino Linotype" w:eastAsia="Palatino Linotype" w:hAnsi="Palatino Linotype" w:cs="Palatino Linotype"/>
          <w:sz w:val="22"/>
          <w:szCs w:val="22"/>
        </w:rPr>
      </w:pPr>
    </w:p>
    <w:p w14:paraId="6464AA30" w14:textId="77777777" w:rsidR="00532AE4" w:rsidRPr="0070452A" w:rsidRDefault="00A76F12" w:rsidP="00B10274">
      <w:pPr>
        <w:widowControl w:val="0"/>
        <w:spacing w:line="360" w:lineRule="auto"/>
        <w:jc w:val="center"/>
        <w:rPr>
          <w:rFonts w:ascii="Palatino Linotype" w:eastAsia="Palatino Linotype" w:hAnsi="Palatino Linotype" w:cs="Palatino Linotype"/>
          <w:b/>
          <w:sz w:val="22"/>
          <w:szCs w:val="22"/>
        </w:rPr>
      </w:pPr>
      <w:r w:rsidRPr="0070452A">
        <w:rPr>
          <w:rFonts w:ascii="Palatino Linotype" w:eastAsia="Palatino Linotype" w:hAnsi="Palatino Linotype" w:cs="Palatino Linotype"/>
          <w:b/>
          <w:sz w:val="22"/>
          <w:szCs w:val="22"/>
        </w:rPr>
        <w:t>II. C O N S I D E R A N D O S</w:t>
      </w:r>
    </w:p>
    <w:p w14:paraId="04E1DD04" w14:textId="77777777" w:rsidR="00532AE4" w:rsidRPr="0070452A" w:rsidRDefault="00532AE4" w:rsidP="00B1027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Primero. Competencia.</w:t>
      </w:r>
      <w:r w:rsidRPr="0070452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70452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70452A">
        <w:rPr>
          <w:rFonts w:ascii="Palatino Linotype" w:eastAsia="Palatino Linotype" w:hAnsi="Palatino Linotype" w:cs="Palatino Linotype"/>
          <w:sz w:val="22"/>
          <w:szCs w:val="22"/>
        </w:rPr>
        <w:t>;</w:t>
      </w:r>
      <w:r w:rsidR="005231DC"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5A952227" w14:textId="77777777"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lastRenderedPageBreak/>
        <w:t xml:space="preserve">Segundo. Oportunidad y Procedibilidad del Recurso de Revisión. </w:t>
      </w:r>
      <w:r w:rsidRPr="0070452A">
        <w:rPr>
          <w:rFonts w:ascii="Palatino Linotype" w:eastAsia="Palatino Linotype" w:hAnsi="Palatino Linotype" w:cs="Palatino Linotype"/>
          <w:sz w:val="22"/>
          <w:szCs w:val="22"/>
        </w:rPr>
        <w:t>Por cuanto hace a la oportunidad del recurso de revisión</w:t>
      </w:r>
      <w:r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4D92649D" w14:textId="5BF57345"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Derivado de lo anterior, se constituye la figura jurídica de la </w:t>
      </w:r>
      <w:r w:rsidR="008B2FD1" w:rsidRPr="0070452A">
        <w:rPr>
          <w:rFonts w:ascii="Palatino Linotype" w:eastAsia="Palatino Linotype" w:hAnsi="Palatino Linotype" w:cs="Palatino Linotype"/>
          <w:b/>
          <w:sz w:val="22"/>
          <w:szCs w:val="22"/>
        </w:rPr>
        <w:t>Negativa Ficta</w:t>
      </w:r>
      <w:r w:rsidRPr="0070452A">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7824479E" w14:textId="36561D47"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De tal manera, en el presente recurso de revisión se actualizó la negativa ficta por parte del </w:t>
      </w:r>
      <w:r w:rsidR="008B2FD1" w:rsidRPr="0070452A">
        <w:rPr>
          <w:rFonts w:ascii="Palatino Linotype" w:eastAsia="Palatino Linotype" w:hAnsi="Palatino Linotype" w:cs="Palatino Linotype"/>
          <w:b/>
          <w:sz w:val="22"/>
          <w:szCs w:val="22"/>
        </w:rPr>
        <w:t>Sujeto Obligado</w:t>
      </w:r>
      <w:r w:rsidR="008B2FD1"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sz w:val="22"/>
          <w:szCs w:val="22"/>
        </w:rPr>
        <w:t xml:space="preserve">al no haber respondido a la parte </w:t>
      </w:r>
      <w:r w:rsidR="008B2FD1"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7E61E53E" w14:textId="77777777"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Si a ello se le suma lo previsto en el párrafo segundo del artículo 178, párrafo segundo</w:t>
      </w:r>
      <w:r w:rsidRPr="0070452A">
        <w:rPr>
          <w:rFonts w:ascii="Palatino Linotype" w:eastAsia="Palatino Linotype" w:hAnsi="Palatino Linotype" w:cs="Palatino Linotype"/>
          <w:sz w:val="22"/>
          <w:szCs w:val="22"/>
          <w:vertAlign w:val="superscript"/>
        </w:rPr>
        <w:footnoteReference w:id="1"/>
      </w:r>
      <w:r w:rsidRPr="0070452A">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1F0B6ACC" w14:textId="77777777"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70452A" w:rsidRDefault="00532AE4" w:rsidP="00B10274">
      <w:pPr>
        <w:spacing w:line="360" w:lineRule="auto"/>
        <w:jc w:val="both"/>
        <w:rPr>
          <w:i/>
          <w:sz w:val="22"/>
          <w:szCs w:val="22"/>
        </w:rPr>
      </w:pPr>
    </w:p>
    <w:p w14:paraId="4BB01BE0" w14:textId="77777777" w:rsidR="00532AE4" w:rsidRPr="0070452A" w:rsidRDefault="00A76F12" w:rsidP="00B10274">
      <w:pPr>
        <w:ind w:left="567" w:right="616"/>
        <w:jc w:val="both"/>
        <w:rPr>
          <w:rFonts w:ascii="Palatino Linotype" w:eastAsia="Palatino Linotype" w:hAnsi="Palatino Linotype" w:cs="Palatino Linotype"/>
          <w:b/>
          <w:i/>
          <w:sz w:val="22"/>
          <w:szCs w:val="22"/>
        </w:rPr>
      </w:pPr>
      <w:r w:rsidRPr="0070452A">
        <w:rPr>
          <w:rFonts w:ascii="Palatino Linotype" w:eastAsia="Palatino Linotype" w:hAnsi="Palatino Linotype" w:cs="Palatino Linotype"/>
          <w:i/>
          <w:sz w:val="22"/>
          <w:szCs w:val="22"/>
        </w:rPr>
        <w:t>“</w:t>
      </w:r>
      <w:r w:rsidRPr="0070452A">
        <w:rPr>
          <w:rFonts w:ascii="Palatino Linotype" w:eastAsia="Palatino Linotype" w:hAnsi="Palatino Linotype" w:cs="Palatino Linotype"/>
          <w:b/>
          <w:i/>
          <w:sz w:val="22"/>
          <w:szCs w:val="22"/>
        </w:rPr>
        <w:t>CRITERIO 0001-15 NEGATIVA FICTA. PLAZO PARA INTERPONER EL RECURSO DE REVISIÓN TRATÁNDOSE DE</w:t>
      </w:r>
      <w:r w:rsidRPr="0070452A">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70452A" w:rsidRDefault="00532AE4" w:rsidP="00B10274">
      <w:pPr>
        <w:ind w:left="567" w:right="851"/>
        <w:jc w:val="both"/>
        <w:rPr>
          <w:rFonts w:ascii="Palatino Linotype" w:eastAsia="Palatino Linotype" w:hAnsi="Palatino Linotype" w:cs="Palatino Linotype"/>
          <w:i/>
          <w:sz w:val="22"/>
          <w:szCs w:val="22"/>
        </w:rPr>
      </w:pPr>
    </w:p>
    <w:p w14:paraId="76E26C4F" w14:textId="169CE5C8" w:rsidR="00532AE4" w:rsidRPr="0070452A" w:rsidRDefault="00A76F12" w:rsidP="00B10274">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70452A">
        <w:rPr>
          <w:rFonts w:ascii="Palatino Linotype" w:eastAsia="Palatino Linotype" w:hAnsi="Palatino Linotype" w:cs="Palatino Linotype"/>
          <w:b/>
          <w:sz w:val="22"/>
          <w:szCs w:val="22"/>
        </w:rPr>
        <w:t>EL</w:t>
      </w:r>
      <w:r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b/>
          <w:sz w:val="22"/>
          <w:szCs w:val="22"/>
        </w:rPr>
        <w:t>SAIMEX</w:t>
      </w:r>
      <w:r w:rsidRPr="0070452A">
        <w:rPr>
          <w:rFonts w:ascii="Palatino Linotype" w:eastAsia="Palatino Linotype" w:hAnsi="Palatino Linotype" w:cs="Palatino Linotype"/>
          <w:sz w:val="22"/>
          <w:szCs w:val="22"/>
        </w:rPr>
        <w:t>.</w:t>
      </w:r>
    </w:p>
    <w:p w14:paraId="1C27DB56" w14:textId="40163621" w:rsidR="00B503D1" w:rsidRPr="0070452A" w:rsidRDefault="00B503D1" w:rsidP="00B10274">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5077B88E" w:rsidR="00532AE4" w:rsidRPr="0070452A" w:rsidRDefault="00A76F12" w:rsidP="00B10274">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lastRenderedPageBreak/>
        <w:t xml:space="preserve">Ahora bien, resulta procedente la interposición del recurso de revisión, según lo aducido por la parte </w:t>
      </w:r>
      <w:r w:rsidR="008B2FD1"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70452A" w:rsidRDefault="00532AE4" w:rsidP="00B10274">
      <w:pPr>
        <w:spacing w:line="360" w:lineRule="auto"/>
        <w:jc w:val="both"/>
        <w:rPr>
          <w:rFonts w:ascii="Palatino Linotype" w:eastAsia="Palatino Linotype" w:hAnsi="Palatino Linotype" w:cs="Palatino Linotype"/>
          <w:sz w:val="22"/>
          <w:szCs w:val="22"/>
        </w:rPr>
      </w:pPr>
    </w:p>
    <w:p w14:paraId="7C0C3143" w14:textId="77777777" w:rsidR="00532AE4" w:rsidRPr="0070452A" w:rsidRDefault="00A76F12" w:rsidP="00B10274">
      <w:pPr>
        <w:ind w:left="567" w:right="616"/>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i/>
          <w:sz w:val="22"/>
          <w:szCs w:val="22"/>
        </w:rPr>
        <w:t>“</w:t>
      </w:r>
      <w:r w:rsidRPr="0070452A">
        <w:rPr>
          <w:rFonts w:ascii="Palatino Linotype" w:eastAsia="Palatino Linotype" w:hAnsi="Palatino Linotype" w:cs="Palatino Linotype"/>
          <w:b/>
          <w:sz w:val="22"/>
          <w:szCs w:val="22"/>
        </w:rPr>
        <w:t>Artículo 179.</w:t>
      </w:r>
      <w:r w:rsidRPr="0070452A">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70452A">
        <w:rPr>
          <w:rFonts w:ascii="Palatino Linotype" w:eastAsia="Palatino Linotype" w:hAnsi="Palatino Linotype" w:cs="Palatino Linotype"/>
          <w:sz w:val="22"/>
          <w:szCs w:val="22"/>
        </w:rPr>
        <w:t> </w:t>
      </w:r>
    </w:p>
    <w:p w14:paraId="7ACAE181" w14:textId="77777777" w:rsidR="00532AE4" w:rsidRPr="0070452A" w:rsidRDefault="00A76F12" w:rsidP="00B10274">
      <w:pPr>
        <w:ind w:left="567" w:right="616"/>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w:t>
      </w:r>
    </w:p>
    <w:p w14:paraId="543A0FF7" w14:textId="77777777" w:rsidR="00532AE4" w:rsidRPr="0070452A" w:rsidRDefault="00A76F12" w:rsidP="00B10274">
      <w:pPr>
        <w:numPr>
          <w:ilvl w:val="0"/>
          <w:numId w:val="4"/>
        </w:numPr>
        <w:ind w:left="567" w:right="616" w:firstLine="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70452A" w:rsidRDefault="00532AE4" w:rsidP="00B10274">
      <w:pPr>
        <w:spacing w:line="360" w:lineRule="auto"/>
        <w:ind w:right="1041"/>
        <w:jc w:val="both"/>
        <w:rPr>
          <w:rFonts w:ascii="Palatino Linotype" w:eastAsia="Palatino Linotype" w:hAnsi="Palatino Linotype" w:cs="Palatino Linotype"/>
          <w:i/>
          <w:sz w:val="22"/>
          <w:szCs w:val="22"/>
        </w:rPr>
      </w:pPr>
    </w:p>
    <w:p w14:paraId="003872BA" w14:textId="77777777" w:rsidR="00EF561E" w:rsidRPr="0070452A" w:rsidRDefault="00EF561E" w:rsidP="00EF561E">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r w:rsidRPr="0070452A">
        <w:rPr>
          <w:rFonts w:ascii="Palatino Linotype" w:eastAsia="Palatino Linotype" w:hAnsi="Palatino Linotype" w:cs="Palatino Linotype"/>
          <w:sz w:val="22"/>
          <w:szCs w:val="22"/>
        </w:rPr>
        <w:t xml:space="preserve">El precepto legal citado, establece como supuesto de procedencia del recurso de revisión, en aquellos casos en que la parte </w:t>
      </w:r>
      <w:r w:rsidRPr="0070452A">
        <w:rPr>
          <w:rFonts w:ascii="Palatino Linotype" w:eastAsia="Palatino Linotype" w:hAnsi="Palatino Linotype" w:cs="Palatino Linotype"/>
          <w:b/>
          <w:sz w:val="22"/>
          <w:szCs w:val="22"/>
        </w:rPr>
        <w:t xml:space="preserve">Recurrente </w:t>
      </w:r>
      <w:r w:rsidRPr="0070452A">
        <w:rPr>
          <w:rFonts w:ascii="Palatino Linotype" w:eastAsia="Palatino Linotype" w:hAnsi="Palatino Linotype" w:cs="Palatino Linotype"/>
          <w:sz w:val="22"/>
          <w:szCs w:val="22"/>
        </w:rPr>
        <w:t xml:space="preserve">estime negado el acceso a la información por la falta de respuesta por el </w:t>
      </w:r>
      <w:r w:rsidRPr="0070452A">
        <w:rPr>
          <w:rFonts w:ascii="Palatino Linotype" w:eastAsia="Palatino Linotype" w:hAnsi="Palatino Linotype" w:cs="Palatino Linotype"/>
          <w:b/>
          <w:sz w:val="22"/>
          <w:szCs w:val="22"/>
        </w:rPr>
        <w:t>Sujeto Obligado</w:t>
      </w:r>
      <w:r w:rsidRPr="0070452A">
        <w:rPr>
          <w:rFonts w:ascii="Palatino Linotype" w:eastAsia="Palatino Linotype" w:hAnsi="Palatino Linotype" w:cs="Palatino Linotype"/>
          <w:sz w:val="22"/>
          <w:szCs w:val="22"/>
        </w:rPr>
        <w:t xml:space="preserve">, en este asunto se actualiza la hipótesis jurídica citada, en atención a que la parte </w:t>
      </w:r>
      <w:r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sz w:val="22"/>
          <w:szCs w:val="22"/>
        </w:rPr>
        <w:t xml:space="preserve"> combate falta de trámite por el </w:t>
      </w:r>
      <w:r w:rsidRPr="0070452A">
        <w:rPr>
          <w:rFonts w:ascii="Palatino Linotype" w:eastAsia="Palatino Linotype" w:hAnsi="Palatino Linotype" w:cs="Palatino Linotype"/>
          <w:b/>
          <w:sz w:val="22"/>
          <w:szCs w:val="22"/>
        </w:rPr>
        <w:t>Sujeto Obligado</w:t>
      </w:r>
      <w:r w:rsidRPr="0070452A">
        <w:rPr>
          <w:rFonts w:ascii="Palatino Linotype" w:eastAsia="Palatino Linotype" w:hAnsi="Palatino Linotype" w:cs="Palatino Linotype"/>
          <w:sz w:val="22"/>
          <w:szCs w:val="22"/>
        </w:rPr>
        <w:t xml:space="preserve"> y expresa motivos de inconformidad en contra de dicha circunstancia.</w:t>
      </w:r>
    </w:p>
    <w:p w14:paraId="109603F1" w14:textId="77777777" w:rsidR="00EF561E" w:rsidRPr="0070452A" w:rsidRDefault="00EF561E" w:rsidP="00EF561E">
      <w:pPr>
        <w:pStyle w:val="Prrafodelista"/>
        <w:spacing w:line="360" w:lineRule="auto"/>
        <w:ind w:left="1080"/>
        <w:jc w:val="both"/>
        <w:rPr>
          <w:rFonts w:ascii="Palatino Linotype" w:eastAsia="Palatino Linotype" w:hAnsi="Palatino Linotype" w:cs="Palatino Linotype"/>
        </w:rPr>
      </w:pPr>
    </w:p>
    <w:p w14:paraId="76A167DB" w14:textId="77777777" w:rsidR="005C753B" w:rsidRPr="0070452A" w:rsidRDefault="005C753B" w:rsidP="005C753B">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Tercero. Análisis de las causales de sobreseimiento. </w:t>
      </w:r>
      <w:r w:rsidRPr="0070452A">
        <w:rPr>
          <w:rFonts w:ascii="Palatino Linotype" w:eastAsia="Palatino Linotype" w:hAnsi="Palatino Linotype" w:cs="Palatino Linotype"/>
          <w:sz w:val="22"/>
          <w:szCs w:val="22"/>
        </w:rPr>
        <w:t>Es menester resaltar que en el procedimiento de acceso a la información pública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291A2768" w14:textId="77777777" w:rsidR="005C753B" w:rsidRPr="0070452A" w:rsidRDefault="005C753B" w:rsidP="005C753B">
      <w:pPr>
        <w:pStyle w:val="Prrafodelista"/>
        <w:spacing w:line="360" w:lineRule="auto"/>
        <w:ind w:left="1080"/>
        <w:jc w:val="both"/>
        <w:rPr>
          <w:rFonts w:ascii="Palatino Linotype" w:eastAsia="Palatino Linotype" w:hAnsi="Palatino Linotype" w:cs="Palatino Linotype"/>
          <w:b/>
        </w:rPr>
      </w:pPr>
    </w:p>
    <w:p w14:paraId="6B669B84" w14:textId="77777777" w:rsidR="005C753B" w:rsidRPr="0070452A" w:rsidRDefault="005C753B" w:rsidP="005C753B">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Siendo una facultad legal entrar al estudio de las causas de improcedencia que hagan valer las partes o que se adviertan de oficio por este Instituto; presupuestos procesales de inicio o trámite de un proceso que dotan de seguridad jurídica las resoluciones emitidas por este organismo colegiado, máxime que se trata de una figura procesal adoptada en la ley de la </w:t>
      </w:r>
      <w:r w:rsidRPr="0070452A">
        <w:rPr>
          <w:rFonts w:ascii="Palatino Linotype" w:eastAsia="Palatino Linotype" w:hAnsi="Palatino Linotype" w:cs="Palatino Linotype"/>
          <w:sz w:val="22"/>
          <w:szCs w:val="22"/>
        </w:rPr>
        <w:lastRenderedPageBreak/>
        <w:t>materia, la cual permite dilucidar alguna causal que impida el estudio y resolución de un asunto en su fondo, cuando una vez admitido el recurso de revisión se advierta una causa de improcedencia que permita sobreseerlo. Estudio de causales de improcedencia que no son incompatibles con el derecho de acceso a la justicia, ya que éste no se coarta por regular causas de improcedencia y sobreseimiento con tales fines.</w:t>
      </w:r>
    </w:p>
    <w:p w14:paraId="5A6915E1" w14:textId="77777777" w:rsidR="005C753B" w:rsidRPr="0070452A" w:rsidRDefault="005C753B" w:rsidP="005C753B">
      <w:pPr>
        <w:spacing w:line="360" w:lineRule="auto"/>
        <w:jc w:val="both"/>
        <w:rPr>
          <w:rFonts w:ascii="Palatino Linotype" w:hAnsi="Palatino Linotype"/>
          <w:sz w:val="22"/>
          <w:szCs w:val="22"/>
        </w:rPr>
      </w:pPr>
    </w:p>
    <w:p w14:paraId="0C794D8E" w14:textId="77777777" w:rsidR="005C753B" w:rsidRPr="0070452A" w:rsidRDefault="005C753B" w:rsidP="005C753B">
      <w:pPr>
        <w:spacing w:line="360" w:lineRule="auto"/>
        <w:ind w:right="51"/>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De manera preliminar en el caso concreto conviene analizar si se actualiza alguna de las causales de sobreseimiento del recurso de revisión.</w:t>
      </w:r>
    </w:p>
    <w:p w14:paraId="6849FA8A" w14:textId="77777777" w:rsidR="005C753B" w:rsidRPr="0070452A" w:rsidRDefault="005C753B" w:rsidP="008B2FD1">
      <w:pPr>
        <w:spacing w:line="360" w:lineRule="auto"/>
        <w:ind w:right="51"/>
        <w:jc w:val="both"/>
        <w:rPr>
          <w:rFonts w:ascii="Palatino Linotype" w:eastAsia="Palatino Linotype" w:hAnsi="Palatino Linotype" w:cs="Palatino Linotype"/>
          <w:sz w:val="22"/>
          <w:szCs w:val="22"/>
        </w:rPr>
      </w:pPr>
    </w:p>
    <w:p w14:paraId="461C2D9B" w14:textId="2C342A5D" w:rsidR="008B2FD1" w:rsidRPr="0070452A" w:rsidRDefault="008B2FD1" w:rsidP="008B2FD1">
      <w:pPr>
        <w:spacing w:line="360" w:lineRule="auto"/>
        <w:ind w:right="51"/>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Del análisis la solicitud de </w:t>
      </w:r>
      <w:proofErr w:type="gramStart"/>
      <w:r w:rsidRPr="0070452A">
        <w:rPr>
          <w:rFonts w:ascii="Palatino Linotype" w:eastAsia="Palatino Linotype" w:hAnsi="Palatino Linotype" w:cs="Palatino Linotype"/>
          <w:sz w:val="22"/>
          <w:szCs w:val="22"/>
        </w:rPr>
        <w:t>información,</w:t>
      </w:r>
      <w:proofErr w:type="gramEnd"/>
      <w:r w:rsidRPr="0070452A">
        <w:rPr>
          <w:rFonts w:ascii="Palatino Linotype" w:eastAsia="Palatino Linotype" w:hAnsi="Palatino Linotype" w:cs="Palatino Linotype"/>
          <w:sz w:val="22"/>
          <w:szCs w:val="22"/>
        </w:rPr>
        <w:t xml:space="preserve"> se advierte que la persona solicitante requirió del </w:t>
      </w:r>
      <w:r w:rsidRPr="0070452A">
        <w:rPr>
          <w:rFonts w:ascii="Palatino Linotype" w:eastAsia="Palatino Linotype" w:hAnsi="Palatino Linotype" w:cs="Palatino Linotype"/>
          <w:b/>
          <w:sz w:val="22"/>
          <w:szCs w:val="22"/>
        </w:rPr>
        <w:t xml:space="preserve">Sujeto Obligado </w:t>
      </w:r>
      <w:r w:rsidRPr="0070452A">
        <w:rPr>
          <w:rFonts w:ascii="Palatino Linotype" w:eastAsia="Palatino Linotype" w:hAnsi="Palatino Linotype" w:cs="Palatino Linotype"/>
          <w:sz w:val="22"/>
          <w:szCs w:val="22"/>
        </w:rPr>
        <w:t>medularmente lo siguiente:</w:t>
      </w:r>
    </w:p>
    <w:p w14:paraId="5ECCD97D" w14:textId="1DC4B7AF" w:rsidR="00404201" w:rsidRPr="0070452A" w:rsidRDefault="00BE5839" w:rsidP="005C753B">
      <w:pPr>
        <w:pStyle w:val="Prrafodelista"/>
        <w:numPr>
          <w:ilvl w:val="0"/>
          <w:numId w:val="6"/>
        </w:numPr>
        <w:spacing w:before="120" w:after="120" w:line="360" w:lineRule="auto"/>
        <w:ind w:right="49"/>
        <w:jc w:val="both"/>
        <w:rPr>
          <w:rFonts w:ascii="Palatino Linotype" w:eastAsia="Palatino Linotype" w:hAnsi="Palatino Linotype" w:cs="Palatino Linotype"/>
        </w:rPr>
      </w:pPr>
      <w:r w:rsidRPr="0070452A">
        <w:rPr>
          <w:rFonts w:ascii="Palatino Linotype" w:eastAsia="Palatino Linotype" w:hAnsi="Palatino Linotype" w:cs="Palatino Linotype"/>
        </w:rPr>
        <w:t>Autorización, permiso, opinión, consulta, validación o pronunciamiento relacionado con la adquisición, impresión, distribución o utilización de banderas nacionales con la leyenda "Tepotzotlán" durante el evento denominado "Destino Futbolero Tepotzotlán" realizado en 2026. Asimismo, solicito copia íntegra en versión pública de todos los oficios, solicitudes, correos electrónicos, respuestas, autorizaciones, opiniones, dictámenes o cualquier documento intercambiado entre el Ayuntamiento de Tepotzotlán y la Secretaría de Gobernación respecto de dichas banderas. En caso de no existir autorización, permiso, consulta o comunicación alguna con la Secretaría de Gobernación, solicito se manifieste expresamente dicha circunstancia.</w:t>
      </w:r>
    </w:p>
    <w:p w14:paraId="6497A8EB" w14:textId="77777777" w:rsidR="008B2FD1" w:rsidRPr="0070452A" w:rsidRDefault="008B2FD1" w:rsidP="008B2FD1">
      <w:pPr>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Admitido el presente recurso de revisión, en términos del artículo 185 fracción II</w:t>
      </w:r>
      <w:r w:rsidRPr="0070452A">
        <w:rPr>
          <w:rFonts w:ascii="Palatino Linotype" w:eastAsia="Palatino Linotype" w:hAnsi="Palatino Linotype" w:cs="Palatino Linotype"/>
          <w:sz w:val="22"/>
          <w:szCs w:val="22"/>
          <w:vertAlign w:val="superscript"/>
        </w:rPr>
        <w:footnoteReference w:id="2"/>
      </w:r>
      <w:r w:rsidRPr="0070452A">
        <w:rPr>
          <w:rFonts w:ascii="Palatino Linotype" w:eastAsia="Palatino Linotype" w:hAnsi="Palatino Linotype" w:cs="Palatino Linotype"/>
          <w:sz w:val="22"/>
          <w:szCs w:val="22"/>
        </w:rPr>
        <w:t xml:space="preserve"> de la Ley de Transparencia y Acceso a la Información Pública del Estado de México y Municipios, se integró el expediente y se puso a disposición de las partes para que, en un plazo máximo de siete días hábiles, manifestaran lo que a su derecho resultara conveniente.</w:t>
      </w:r>
    </w:p>
    <w:p w14:paraId="6F19E1AC" w14:textId="6F309C6B" w:rsidR="00404201" w:rsidRPr="0070452A" w:rsidRDefault="00BD6FE6" w:rsidP="008B2FD1">
      <w:pPr>
        <w:spacing w:before="120" w:after="120" w:line="360" w:lineRule="auto"/>
        <w:ind w:right="49"/>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lastRenderedPageBreak/>
        <w:t xml:space="preserve">De las constancias que integran el expediente electrónico del recurso de revisión que ahora se resuelve, se puede advertir que el </w:t>
      </w:r>
      <w:r w:rsidRPr="0070452A">
        <w:rPr>
          <w:rFonts w:ascii="Palatino Linotype" w:eastAsia="Palatino Linotype" w:hAnsi="Palatino Linotype" w:cs="Palatino Linotype"/>
          <w:b/>
          <w:bCs/>
          <w:sz w:val="22"/>
          <w:szCs w:val="22"/>
        </w:rPr>
        <w:t xml:space="preserve">Sujeto Obligado </w:t>
      </w:r>
      <w:r w:rsidRPr="0070452A">
        <w:rPr>
          <w:rFonts w:ascii="Palatino Linotype" w:eastAsia="Palatino Linotype" w:hAnsi="Palatino Linotype" w:cs="Palatino Linotype"/>
          <w:sz w:val="22"/>
          <w:szCs w:val="22"/>
        </w:rPr>
        <w:t xml:space="preserve">no respondió a la solicitud de información; situación por la que la parte </w:t>
      </w:r>
      <w:r w:rsidRPr="0070452A">
        <w:rPr>
          <w:rFonts w:ascii="Palatino Linotype" w:eastAsia="Palatino Linotype" w:hAnsi="Palatino Linotype" w:cs="Palatino Linotype"/>
          <w:b/>
          <w:bCs/>
          <w:sz w:val="22"/>
          <w:szCs w:val="22"/>
        </w:rPr>
        <w:t xml:space="preserve">Recurrente </w:t>
      </w:r>
      <w:r w:rsidRPr="0070452A">
        <w:rPr>
          <w:rFonts w:ascii="Palatino Linotype" w:eastAsia="Palatino Linotype" w:hAnsi="Palatino Linotype" w:cs="Palatino Linotype"/>
          <w:sz w:val="22"/>
          <w:szCs w:val="22"/>
        </w:rPr>
        <w:t xml:space="preserve">interpuso el medio de impugnación en el que manifestó como razones o motivos de inconformidad la omisión absoluta de respuesta. </w:t>
      </w:r>
    </w:p>
    <w:p w14:paraId="3A34AB9F" w14:textId="77777777" w:rsidR="00BE5839" w:rsidRPr="0070452A" w:rsidRDefault="00BE5839" w:rsidP="00BE5839">
      <w:pPr>
        <w:pBdr>
          <w:top w:val="nil"/>
          <w:left w:val="nil"/>
          <w:bottom w:val="nil"/>
          <w:right w:val="nil"/>
          <w:between w:val="nil"/>
        </w:pBdr>
        <w:tabs>
          <w:tab w:val="left" w:pos="284"/>
        </w:tabs>
        <w:spacing w:line="360" w:lineRule="auto"/>
        <w:ind w:right="49"/>
        <w:contextualSpacing/>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No obstante, en la etapa de manifestaciones el </w:t>
      </w:r>
      <w:r w:rsidRPr="0070452A">
        <w:rPr>
          <w:rFonts w:ascii="Palatino Linotype" w:eastAsia="Palatino Linotype" w:hAnsi="Palatino Linotype" w:cs="Palatino Linotype"/>
          <w:b/>
          <w:sz w:val="22"/>
          <w:szCs w:val="22"/>
        </w:rPr>
        <w:t xml:space="preserve">Sujeto Obligado </w:t>
      </w:r>
      <w:r w:rsidRPr="0070452A">
        <w:rPr>
          <w:rFonts w:ascii="Palatino Linotype" w:eastAsia="Palatino Linotype" w:hAnsi="Palatino Linotype" w:cs="Palatino Linotype"/>
          <w:bCs/>
          <w:sz w:val="22"/>
          <w:szCs w:val="22"/>
        </w:rPr>
        <w:t xml:space="preserve">a través de Secretaría del Ayuntamiento informó que </w:t>
      </w:r>
      <w:r w:rsidRPr="0070452A">
        <w:rPr>
          <w:rFonts w:ascii="Palatino Linotype" w:eastAsia="Palatino Linotype" w:hAnsi="Palatino Linotype" w:cs="Palatino Linotype"/>
          <w:sz w:val="22"/>
          <w:szCs w:val="22"/>
        </w:rPr>
        <w:t xml:space="preserve">no se encontraron registros documentales bajo resguardo de esta área administrativa relacionada con alguno de los supuestos que se mencionan en la solicitud.  </w:t>
      </w:r>
    </w:p>
    <w:p w14:paraId="4221B911" w14:textId="5B207AC8" w:rsidR="008B2FD1" w:rsidRPr="0070452A" w:rsidRDefault="008B2FD1" w:rsidP="00D738F9">
      <w:pPr>
        <w:spacing w:before="120" w:after="120" w:line="360" w:lineRule="auto"/>
        <w:ind w:right="49"/>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Información que, el </w:t>
      </w:r>
      <w:r w:rsidR="00BD6FE6" w:rsidRPr="0070452A">
        <w:rPr>
          <w:rFonts w:ascii="Palatino Linotype" w:eastAsia="Palatino Linotype" w:hAnsi="Palatino Linotype" w:cs="Palatino Linotype"/>
          <w:b/>
          <w:bCs/>
          <w:sz w:val="22"/>
          <w:szCs w:val="22"/>
        </w:rPr>
        <w:t>nueve de septiembre</w:t>
      </w:r>
      <w:r w:rsidRPr="0070452A">
        <w:rPr>
          <w:rFonts w:ascii="Palatino Linotype" w:eastAsia="Palatino Linotype" w:hAnsi="Palatino Linotype" w:cs="Palatino Linotype"/>
          <w:b/>
          <w:sz w:val="22"/>
          <w:szCs w:val="22"/>
        </w:rPr>
        <w:t xml:space="preserve"> de dos mil veintiséis</w:t>
      </w:r>
      <w:r w:rsidRPr="0070452A">
        <w:rPr>
          <w:rFonts w:ascii="Palatino Linotype" w:eastAsia="Palatino Linotype" w:hAnsi="Palatino Linotype" w:cs="Palatino Linotype"/>
          <w:sz w:val="22"/>
          <w:szCs w:val="22"/>
        </w:rPr>
        <w:t xml:space="preserve"> se hi</w:t>
      </w:r>
      <w:r w:rsidR="00BD6FE6" w:rsidRPr="0070452A">
        <w:rPr>
          <w:rFonts w:ascii="Palatino Linotype" w:eastAsia="Palatino Linotype" w:hAnsi="Palatino Linotype" w:cs="Palatino Linotype"/>
          <w:sz w:val="22"/>
          <w:szCs w:val="22"/>
        </w:rPr>
        <w:t>zo</w:t>
      </w:r>
      <w:r w:rsidRPr="0070452A">
        <w:rPr>
          <w:rFonts w:ascii="Palatino Linotype" w:eastAsia="Palatino Linotype" w:hAnsi="Palatino Linotype" w:cs="Palatino Linotype"/>
          <w:sz w:val="22"/>
          <w:szCs w:val="22"/>
        </w:rPr>
        <w:t xml:space="preserve"> del conocimiento de la parte </w:t>
      </w:r>
      <w:r w:rsidRPr="0070452A">
        <w:rPr>
          <w:rFonts w:ascii="Palatino Linotype" w:eastAsia="Palatino Linotype" w:hAnsi="Palatino Linotype" w:cs="Palatino Linotype"/>
          <w:b/>
          <w:sz w:val="22"/>
          <w:szCs w:val="22"/>
        </w:rPr>
        <w:t xml:space="preserve">Recurrente </w:t>
      </w:r>
      <w:r w:rsidRPr="0070452A">
        <w:rPr>
          <w:rFonts w:ascii="Palatino Linotype" w:eastAsia="Palatino Linotype" w:hAnsi="Palatino Linotype" w:cs="Palatino Linotype"/>
          <w:sz w:val="22"/>
          <w:szCs w:val="22"/>
        </w:rPr>
        <w:t>para efecto de que hiciera valer sus manifestaciones o rindiera alegatos que conforme a derecho resultaran procedentes; no obstante, fue omisa en ejercer dicha prerrogativa.</w:t>
      </w:r>
    </w:p>
    <w:p w14:paraId="0DA71BD0" w14:textId="77777777" w:rsidR="00AF5038" w:rsidRPr="0070452A" w:rsidRDefault="00AF5038" w:rsidP="00AF5038">
      <w:pPr>
        <w:spacing w:line="360" w:lineRule="auto"/>
        <w:jc w:val="both"/>
        <w:rPr>
          <w:rFonts w:ascii="Palatino Linotype" w:hAnsi="Palatino Linotype" w:cs="Tahoma"/>
          <w:bCs/>
          <w:sz w:val="22"/>
          <w:szCs w:val="22"/>
          <w:lang w:val="es-ES" w:eastAsia="es-ES"/>
        </w:rPr>
      </w:pPr>
      <w:r w:rsidRPr="0070452A">
        <w:rPr>
          <w:rFonts w:ascii="Palatino Linotype" w:hAnsi="Palatino Linotype" w:cs="Tahoma"/>
          <w:bCs/>
          <w:sz w:val="22"/>
          <w:szCs w:val="22"/>
          <w:lang w:val="es-ES" w:eastAsia="es-ES"/>
        </w:rPr>
        <w:t>En virtud de la información requerida este Instituto considera imprescindible contextualizar que la iniciativa realizada por el Gobierno del Estado de México denominada “El Estadio de México” pretendió transformar plazas públicas y espacios emblemáticos en punto de reunión para seguir en el Mundial 2026 para impulsar el turismo y difundir la riqueza cultural Mexiquense, por lo que se realizó la inauguración simultanea de 14 “</w:t>
      </w:r>
      <w:r w:rsidRPr="0070452A">
        <w:rPr>
          <w:rFonts w:ascii="Palatino Linotype" w:hAnsi="Palatino Linotype" w:cs="Tahoma"/>
          <w:b/>
          <w:bCs/>
          <w:sz w:val="22"/>
          <w:szCs w:val="22"/>
          <w:lang w:val="es-ES" w:eastAsia="es-ES"/>
        </w:rPr>
        <w:t>Destinos Futboleros</w:t>
      </w:r>
      <w:r w:rsidRPr="0070452A">
        <w:rPr>
          <w:rFonts w:ascii="Palatino Linotype" w:hAnsi="Palatino Linotype" w:cs="Tahoma"/>
          <w:bCs/>
          <w:sz w:val="22"/>
          <w:szCs w:val="22"/>
          <w:lang w:val="es-ES" w:eastAsia="es-ES"/>
        </w:rPr>
        <w:t>”</w:t>
      </w:r>
      <w:r w:rsidRPr="0070452A">
        <w:rPr>
          <w:rStyle w:val="Refdenotaalpie"/>
          <w:rFonts w:ascii="Palatino Linotype" w:hAnsi="Palatino Linotype" w:cs="Tahoma"/>
          <w:bCs/>
          <w:sz w:val="22"/>
          <w:szCs w:val="22"/>
          <w:lang w:val="es-ES" w:eastAsia="es-ES"/>
        </w:rPr>
        <w:footnoteReference w:id="3"/>
      </w:r>
      <w:r w:rsidRPr="0070452A">
        <w:rPr>
          <w:rFonts w:ascii="Palatino Linotype" w:hAnsi="Palatino Linotype" w:cs="Tahoma"/>
          <w:bCs/>
          <w:sz w:val="22"/>
          <w:szCs w:val="22"/>
          <w:lang w:val="es-ES" w:eastAsia="es-ES"/>
        </w:rPr>
        <w:t xml:space="preserve">. </w:t>
      </w:r>
    </w:p>
    <w:p w14:paraId="3B1B91B5" w14:textId="77777777" w:rsidR="00AF5038" w:rsidRPr="0070452A" w:rsidRDefault="00AF5038" w:rsidP="00AF5038">
      <w:pPr>
        <w:pStyle w:val="isselectedend"/>
        <w:spacing w:line="360" w:lineRule="auto"/>
        <w:jc w:val="both"/>
        <w:rPr>
          <w:rFonts w:ascii="Palatino Linotype" w:hAnsi="Palatino Linotype"/>
          <w:sz w:val="22"/>
          <w:szCs w:val="22"/>
        </w:rPr>
      </w:pPr>
      <w:r w:rsidRPr="0070452A">
        <w:rPr>
          <w:rFonts w:ascii="Palatino Linotype" w:hAnsi="Palatino Linotype"/>
          <w:sz w:val="22"/>
          <w:szCs w:val="22"/>
        </w:rPr>
        <w:t>La estrategia fue impulsada por la Gobernadora </w:t>
      </w:r>
      <w:r w:rsidRPr="0070452A">
        <w:rPr>
          <w:rStyle w:val="Textoennegrita"/>
          <w:rFonts w:ascii="Palatino Linotype" w:hAnsi="Palatino Linotype"/>
          <w:sz w:val="22"/>
          <w:szCs w:val="22"/>
        </w:rPr>
        <w:t>del Estado de México</w:t>
      </w:r>
      <w:r w:rsidRPr="0070452A">
        <w:rPr>
          <w:rFonts w:ascii="Palatino Linotype" w:hAnsi="Palatino Linotype"/>
          <w:sz w:val="22"/>
          <w:szCs w:val="22"/>
        </w:rPr>
        <w:t> bajo la marca "</w:t>
      </w:r>
      <w:r w:rsidRPr="0070452A">
        <w:rPr>
          <w:rFonts w:ascii="Palatino Linotype" w:hAnsi="Palatino Linotype"/>
          <w:i/>
          <w:sz w:val="22"/>
          <w:szCs w:val="22"/>
        </w:rPr>
        <w:t>El Estadio de México</w:t>
      </w:r>
      <w:r w:rsidRPr="0070452A">
        <w:rPr>
          <w:rFonts w:ascii="Palatino Linotype" w:hAnsi="Palatino Linotype"/>
          <w:sz w:val="22"/>
          <w:szCs w:val="22"/>
        </w:rPr>
        <w:t>" el cual contempla más de</w:t>
      </w:r>
      <w:r w:rsidRPr="0070452A">
        <w:rPr>
          <w:rStyle w:val="Textoennegrita"/>
          <w:rFonts w:ascii="Palatino Linotype" w:hAnsi="Palatino Linotype"/>
          <w:sz w:val="22"/>
          <w:szCs w:val="22"/>
        </w:rPr>
        <w:t> 300 actividades que se desarrollaron del 11 de junio al 9 de julio</w:t>
      </w:r>
      <w:r w:rsidRPr="0070452A">
        <w:rPr>
          <w:rFonts w:ascii="Palatino Linotype" w:hAnsi="Palatino Linotype"/>
          <w:sz w:val="22"/>
          <w:szCs w:val="22"/>
        </w:rPr>
        <w:t xml:space="preserve">. La Secretaría de Cultura y Turismo estatal, en coordinación con los ayuntamientos, realizó la ceremonia inaugural de manera simultánea en los Pueblos Mágicos de Aculco, Ixtapan de la Sal, El Oro, Malinalco, Metepec, </w:t>
      </w:r>
      <w:r w:rsidRPr="0070452A">
        <w:rPr>
          <w:rFonts w:ascii="Palatino Linotype" w:hAnsi="Palatino Linotype"/>
          <w:b/>
          <w:sz w:val="22"/>
          <w:szCs w:val="22"/>
          <w:u w:val="single"/>
        </w:rPr>
        <w:t>Tepotzotlán</w:t>
      </w:r>
      <w:r w:rsidRPr="0070452A">
        <w:rPr>
          <w:rFonts w:ascii="Palatino Linotype" w:hAnsi="Palatino Linotype"/>
          <w:sz w:val="22"/>
          <w:szCs w:val="22"/>
        </w:rPr>
        <w:t xml:space="preserve">, Teotihuacán, Valle de Bravo y Tonatico; en los municipios de San Martín de las Pirámides y Otumba; en el Barrio Mágico </w:t>
      </w:r>
      <w:r w:rsidRPr="0070452A">
        <w:rPr>
          <w:rFonts w:ascii="Palatino Linotype" w:hAnsi="Palatino Linotype"/>
          <w:sz w:val="22"/>
          <w:szCs w:val="22"/>
        </w:rPr>
        <w:lastRenderedPageBreak/>
        <w:t>Tenayuca-Santa Cecilia; en Toluca y en Jilotepec, donde las actividades se desarrollan en el Campo Carlos Hank González.</w:t>
      </w:r>
    </w:p>
    <w:p w14:paraId="2BB1A878" w14:textId="77777777" w:rsidR="00AF5038" w:rsidRPr="0070452A" w:rsidRDefault="00AF5038" w:rsidP="00AF5038">
      <w:pPr>
        <w:pStyle w:val="NormalWeb"/>
        <w:spacing w:line="360" w:lineRule="auto"/>
        <w:jc w:val="both"/>
        <w:rPr>
          <w:rFonts w:ascii="Palatino Linotype" w:hAnsi="Palatino Linotype"/>
          <w:sz w:val="22"/>
          <w:szCs w:val="22"/>
        </w:rPr>
      </w:pPr>
      <w:r w:rsidRPr="0070452A">
        <w:rPr>
          <w:rFonts w:ascii="Palatino Linotype" w:hAnsi="Palatino Linotype"/>
          <w:sz w:val="22"/>
          <w:szCs w:val="22"/>
        </w:rPr>
        <w:t>En este sentido la iniciativa buscó aprovechar el impacto del Mundial 2026 para impulsar el turismo local, fortalecer el orgullo por las tradiciones mexiquenses y convertir a los Destinos Futboleros en puntos de encuentro donde el deporte, la cultura y la economía regional converjan en beneficio de residentes y visitantes.</w:t>
      </w:r>
    </w:p>
    <w:p w14:paraId="4B198104" w14:textId="21E9C222" w:rsidR="00AF5038" w:rsidRPr="0070452A" w:rsidRDefault="00117BE1" w:rsidP="00AF5038">
      <w:pPr>
        <w:spacing w:line="360" w:lineRule="auto"/>
        <w:jc w:val="both"/>
        <w:rPr>
          <w:rFonts w:ascii="Palatino Linotype" w:eastAsiaTheme="minorEastAsia" w:hAnsi="Palatino Linotype"/>
          <w:sz w:val="22"/>
          <w:szCs w:val="22"/>
          <w:lang w:eastAsia="es-ES"/>
        </w:rPr>
      </w:pPr>
      <w:r w:rsidRPr="0070452A">
        <w:rPr>
          <w:rFonts w:ascii="Palatino Linotype" w:eastAsiaTheme="minorEastAsia" w:hAnsi="Palatino Linotype"/>
          <w:sz w:val="22"/>
          <w:szCs w:val="22"/>
          <w:lang w:eastAsia="es-ES"/>
        </w:rPr>
        <w:t>E</w:t>
      </w:r>
      <w:r w:rsidR="00AF5038" w:rsidRPr="0070452A">
        <w:rPr>
          <w:rFonts w:ascii="Palatino Linotype" w:eastAsiaTheme="minorEastAsia" w:hAnsi="Palatino Linotype"/>
          <w:sz w:val="22"/>
          <w:szCs w:val="22"/>
          <w:lang w:eastAsia="es-ES"/>
        </w:rPr>
        <w:t>s importante mencionar que en el ámbito de sus atribuciones este Instituto advirtió en sitios electrónicos y periodísticos la difusión de la celebración</w:t>
      </w:r>
      <w:r w:rsidR="00AF5038" w:rsidRPr="0070452A">
        <w:rPr>
          <w:rStyle w:val="Refdenotaalpie"/>
          <w:rFonts w:ascii="Palatino Linotype" w:eastAsiaTheme="minorEastAsia" w:hAnsi="Palatino Linotype"/>
          <w:sz w:val="22"/>
          <w:szCs w:val="22"/>
          <w:lang w:eastAsia="es-ES"/>
        </w:rPr>
        <w:footnoteReference w:id="4"/>
      </w:r>
      <w:r w:rsidR="00AF5038" w:rsidRPr="0070452A">
        <w:rPr>
          <w:rFonts w:ascii="Palatino Linotype" w:eastAsiaTheme="minorEastAsia" w:hAnsi="Palatino Linotype"/>
          <w:sz w:val="22"/>
          <w:szCs w:val="22"/>
          <w:lang w:eastAsia="es-ES"/>
        </w:rPr>
        <w:t xml:space="preserve"> relacionada con el evento referido en la solicitud de información,</w:t>
      </w:r>
      <w:r w:rsidR="00AF5038" w:rsidRPr="0070452A">
        <w:rPr>
          <w:rStyle w:val="Refdenotaalpie"/>
          <w:rFonts w:ascii="Palatino Linotype" w:eastAsiaTheme="minorEastAsia" w:hAnsi="Palatino Linotype"/>
          <w:sz w:val="22"/>
          <w:szCs w:val="22"/>
          <w:lang w:eastAsia="es-ES"/>
        </w:rPr>
        <w:footnoteReference w:id="5"/>
      </w:r>
      <w:r w:rsidR="00AF5038" w:rsidRPr="0070452A">
        <w:rPr>
          <w:rFonts w:ascii="Palatino Linotype" w:eastAsiaTheme="minorEastAsia" w:hAnsi="Palatino Linotype"/>
          <w:sz w:val="22"/>
          <w:szCs w:val="22"/>
          <w:lang w:eastAsia="es-ES"/>
        </w:rPr>
        <w:t xml:space="preserve"> por lo que es de precisarse que arrojan indicios sobre los hechos a los que se refieren. </w:t>
      </w:r>
      <w:r w:rsidR="00AF5038" w:rsidRPr="0070452A">
        <w:rPr>
          <w:rFonts w:ascii="Palatino Linotype" w:hAnsi="Palatino Linotype"/>
          <w:sz w:val="22"/>
          <w:szCs w:val="22"/>
        </w:rPr>
        <w:t>Sirve de apoyo a lo anteriormente señalado, la Jurisprudencia emitida por la Sala Superior de la Suprema Corte de Justicia de la Nación, Tercera Época</w:t>
      </w:r>
      <w:r w:rsidR="00AF5038" w:rsidRPr="0070452A">
        <w:rPr>
          <w:rFonts w:ascii="Palatino Linotype" w:hAnsi="Palatino Linotype"/>
          <w:sz w:val="22"/>
          <w:szCs w:val="22"/>
          <w:vertAlign w:val="superscript"/>
        </w:rPr>
        <w:footnoteReference w:id="6"/>
      </w:r>
      <w:r w:rsidR="00AF5038" w:rsidRPr="0070452A">
        <w:rPr>
          <w:rFonts w:ascii="Palatino Linotype" w:hAnsi="Palatino Linotype"/>
          <w:sz w:val="22"/>
          <w:szCs w:val="22"/>
        </w:rPr>
        <w:t>, que se muestra a continuación:</w:t>
      </w:r>
    </w:p>
    <w:p w14:paraId="2C775863" w14:textId="77777777" w:rsidR="00AF5038" w:rsidRPr="0070452A" w:rsidRDefault="00AF5038" w:rsidP="00AF5038">
      <w:pPr>
        <w:pStyle w:val="Citas"/>
        <w:spacing w:before="0" w:after="0" w:line="240" w:lineRule="auto"/>
        <w:rPr>
          <w:b/>
        </w:rPr>
      </w:pPr>
      <w:r w:rsidRPr="0070452A">
        <w:rPr>
          <w:b/>
        </w:rPr>
        <w:t xml:space="preserve">“NOTAS PERIODÍSTICAS. ELEMENTOS PARA DETERMINAR SU FUERZA INDICIARIA. </w:t>
      </w:r>
    </w:p>
    <w:p w14:paraId="798690F3" w14:textId="77777777" w:rsidR="00AF5038" w:rsidRPr="0070452A" w:rsidRDefault="00AF5038" w:rsidP="00AF5038">
      <w:pPr>
        <w:pStyle w:val="Citas"/>
        <w:spacing w:before="0" w:after="0" w:line="240" w:lineRule="auto"/>
        <w:ind w:right="899"/>
        <w:rPr>
          <w:rFonts w:eastAsia="Times New Roman"/>
          <w:b/>
          <w:bCs/>
          <w:lang w:eastAsia="es-MX"/>
        </w:rPr>
      </w:pPr>
      <w:r w:rsidRPr="0070452A">
        <w:t xml:space="preserve">Los medios probatorios que se hacen consistir en notas periodísticas, sólo pueden arrojar indicios sobre los hechos a que se refieren, pero para calificar si se trata de indicios simples o de indicios de mayor grado convictivo, el juzgador debe ponderar las circunstancias existentes en cada caso concreto. Así, si se aportaron varias notas, provenientes de distintos órganos de información, atribuidas a diferentes autores y coincidentes en lo sustancial, y si además no obra constancia de que el afectado con su contenido haya ofrecido algún mentís sobre lo que en las noticias se le atribuye, y en el juicio donde se presenten se concreta a manifestar que esos medios informativos carecen de valor probatorio, pero omite pronunciarse sobre la certeza o falsedad de los hechos consignados en ellos, al sopesar todas esas circunstancias con </w:t>
      </w:r>
      <w:r w:rsidRPr="0070452A">
        <w:lastRenderedPageBreak/>
        <w:t xml:space="preserve">la aplicación de las reglas de la lógica, la sana crítica y las máximas de experiencia, en términos del artículo 16, apartado 1, de la Ley General del Sistema de Medios de Impugnación en Materia Electoral, o de la ley que sea aplicable, esto permite otorgar mayor calidad indiciaria a los citados medios de prueba, y por tanto, a que los elementos faltantes para alcanzar la fuerza probatoria plena sean menores que en los casos en que no medien tales circunstancias.” </w:t>
      </w:r>
      <w:r w:rsidRPr="0070452A">
        <w:rPr>
          <w:b/>
          <w:bCs/>
        </w:rPr>
        <w:t>(Sic)</w:t>
      </w:r>
    </w:p>
    <w:p w14:paraId="3A73A2F4" w14:textId="77777777" w:rsidR="00AF5038" w:rsidRPr="0070452A" w:rsidRDefault="00AF5038" w:rsidP="00AF5038">
      <w:pPr>
        <w:spacing w:line="360" w:lineRule="auto"/>
        <w:jc w:val="both"/>
        <w:rPr>
          <w:rFonts w:ascii="Palatino Linotype" w:hAnsi="Palatino Linotype" w:cs="Tahoma"/>
          <w:b/>
          <w:bCs/>
          <w:sz w:val="22"/>
          <w:szCs w:val="22"/>
          <w:lang w:val="es-ES" w:eastAsia="es-ES"/>
        </w:rPr>
      </w:pPr>
    </w:p>
    <w:p w14:paraId="013F3B0B" w14:textId="6F36EA20" w:rsidR="00AF5038" w:rsidRPr="0070452A" w:rsidRDefault="00AF5038" w:rsidP="00AF5038">
      <w:pPr>
        <w:spacing w:line="360" w:lineRule="auto"/>
        <w:jc w:val="both"/>
        <w:rPr>
          <w:rFonts w:ascii="Palatino Linotype" w:hAnsi="Palatino Linotype" w:cs="Tahoma"/>
          <w:bCs/>
          <w:sz w:val="22"/>
          <w:szCs w:val="22"/>
          <w:lang w:val="es-ES" w:eastAsia="es-ES"/>
        </w:rPr>
      </w:pPr>
      <w:r w:rsidRPr="0070452A">
        <w:rPr>
          <w:rFonts w:ascii="Palatino Linotype" w:hAnsi="Palatino Linotype" w:cs="Tahoma"/>
          <w:bCs/>
          <w:sz w:val="22"/>
          <w:szCs w:val="22"/>
          <w:lang w:val="es-ES" w:eastAsia="es-ES"/>
        </w:rPr>
        <w:t>Así de las imágenes aportadas por los medios digitales se advierte que el Sujeto Obligado dej</w:t>
      </w:r>
      <w:r w:rsidR="00117BE1" w:rsidRPr="0070452A">
        <w:rPr>
          <w:rFonts w:ascii="Palatino Linotype" w:hAnsi="Palatino Linotype" w:cs="Tahoma"/>
          <w:bCs/>
          <w:sz w:val="22"/>
          <w:szCs w:val="22"/>
          <w:lang w:val="es-ES" w:eastAsia="es-ES"/>
        </w:rPr>
        <w:t>ó</w:t>
      </w:r>
      <w:r w:rsidRPr="0070452A">
        <w:rPr>
          <w:rFonts w:ascii="Palatino Linotype" w:hAnsi="Palatino Linotype" w:cs="Tahoma"/>
          <w:bCs/>
          <w:sz w:val="22"/>
          <w:szCs w:val="22"/>
          <w:lang w:val="es-ES" w:eastAsia="es-ES"/>
        </w:rPr>
        <w:t xml:space="preserve"> impreso la leyenda “</w:t>
      </w:r>
      <w:proofErr w:type="spellStart"/>
      <w:r w:rsidRPr="0070452A">
        <w:rPr>
          <w:rFonts w:ascii="Palatino Linotype" w:hAnsi="Palatino Linotype" w:cs="Tahoma"/>
          <w:bCs/>
          <w:sz w:val="22"/>
          <w:szCs w:val="22"/>
          <w:lang w:val="es-ES" w:eastAsia="es-ES"/>
        </w:rPr>
        <w:t>Tepotzotlan</w:t>
      </w:r>
      <w:proofErr w:type="spellEnd"/>
      <w:r w:rsidRPr="0070452A">
        <w:rPr>
          <w:rFonts w:ascii="Palatino Linotype" w:hAnsi="Palatino Linotype" w:cs="Tahoma"/>
          <w:bCs/>
          <w:sz w:val="22"/>
          <w:szCs w:val="22"/>
          <w:lang w:val="es-ES" w:eastAsia="es-ES"/>
        </w:rPr>
        <w:t xml:space="preserve">” en el reverso de la Bandera de México, sirva de sustento la siguiente imagen ilustrativa; </w:t>
      </w:r>
    </w:p>
    <w:p w14:paraId="71C8C4A6" w14:textId="77777777" w:rsidR="00AF5038" w:rsidRPr="0070452A" w:rsidRDefault="00AF5038" w:rsidP="00AF5038">
      <w:pPr>
        <w:spacing w:line="360" w:lineRule="auto"/>
        <w:jc w:val="center"/>
        <w:rPr>
          <w:rFonts w:ascii="Palatino Linotype" w:hAnsi="Palatino Linotype" w:cs="Tahoma"/>
          <w:b/>
          <w:bCs/>
          <w:sz w:val="22"/>
          <w:szCs w:val="22"/>
          <w:lang w:val="es-ES" w:eastAsia="es-ES"/>
        </w:rPr>
      </w:pPr>
      <w:r w:rsidRPr="0070452A">
        <w:rPr>
          <w:rFonts w:ascii="Palatino Linotype" w:hAnsi="Palatino Linotype" w:cs="Tahoma"/>
          <w:b/>
          <w:bCs/>
          <w:noProof/>
          <w:sz w:val="22"/>
          <w:szCs w:val="22"/>
          <w:lang w:val="es-MX"/>
        </w:rPr>
        <w:drawing>
          <wp:inline distT="0" distB="0" distL="0" distR="0" wp14:anchorId="31DFCB7F" wp14:editId="718EA7CB">
            <wp:extent cx="1838286" cy="118506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48586" cy="1191702"/>
                    </a:xfrm>
                    <a:prstGeom prst="rect">
                      <a:avLst/>
                    </a:prstGeom>
                  </pic:spPr>
                </pic:pic>
              </a:graphicData>
            </a:graphic>
          </wp:inline>
        </w:drawing>
      </w:r>
    </w:p>
    <w:p w14:paraId="3E2D023A" w14:textId="77777777" w:rsidR="00AF5038" w:rsidRPr="0070452A" w:rsidRDefault="00AF5038" w:rsidP="00AF5038">
      <w:pPr>
        <w:spacing w:line="360" w:lineRule="auto"/>
        <w:jc w:val="both"/>
        <w:rPr>
          <w:rFonts w:ascii="Palatino Linotype" w:hAnsi="Palatino Linotype"/>
          <w:sz w:val="22"/>
          <w:szCs w:val="22"/>
        </w:rPr>
      </w:pPr>
    </w:p>
    <w:p w14:paraId="5FBB3C11" w14:textId="77777777" w:rsidR="00AF5038" w:rsidRPr="0070452A" w:rsidRDefault="00AF5038" w:rsidP="00AF5038">
      <w:pPr>
        <w:spacing w:line="360" w:lineRule="auto"/>
        <w:jc w:val="both"/>
        <w:rPr>
          <w:rFonts w:ascii="Palatino Linotype" w:hAnsi="Palatino Linotype"/>
          <w:sz w:val="22"/>
          <w:szCs w:val="22"/>
        </w:rPr>
      </w:pPr>
      <w:r w:rsidRPr="0070452A">
        <w:rPr>
          <w:rFonts w:ascii="Palatino Linotype" w:hAnsi="Palatino Linotype"/>
          <w:sz w:val="22"/>
          <w:szCs w:val="22"/>
        </w:rPr>
        <w:t xml:space="preserve">En este tenor se trae a colación los artículos 3, 56 y 56 ter de la Ley sobre el Escudo, la Bandera y el Himno Nacionales a efecto de establecer las características de la Bandera </w:t>
      </w:r>
      <w:proofErr w:type="gramStart"/>
      <w:r w:rsidRPr="0070452A">
        <w:rPr>
          <w:rFonts w:ascii="Palatino Linotype" w:hAnsi="Palatino Linotype"/>
          <w:sz w:val="22"/>
          <w:szCs w:val="22"/>
        </w:rPr>
        <w:t>Nacional</w:t>
      </w:r>
      <w:proofErr w:type="gramEnd"/>
      <w:r w:rsidRPr="0070452A">
        <w:rPr>
          <w:rFonts w:ascii="Palatino Linotype" w:hAnsi="Palatino Linotype"/>
          <w:sz w:val="22"/>
          <w:szCs w:val="22"/>
        </w:rPr>
        <w:t xml:space="preserve"> así como las infracciones previstas por el uso inadecuado de los símbolos patrios, como se advierte a continuación;</w:t>
      </w:r>
    </w:p>
    <w:p w14:paraId="2CFC3F94"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b/>
          <w:i/>
          <w:sz w:val="22"/>
          <w:szCs w:val="22"/>
        </w:rPr>
        <w:t>ARTÍCULO 3o</w:t>
      </w:r>
      <w:r w:rsidRPr="0070452A">
        <w:rPr>
          <w:rFonts w:ascii="Palatino Linotype" w:hAnsi="Palatino Linotype"/>
          <w:i/>
          <w:sz w:val="22"/>
          <w:szCs w:val="22"/>
        </w:rPr>
        <w:t xml:space="preserve">.- La Bandera Nacional consiste en un rectángulo dividido en tres franjas verticales de medidas idénticas, con los colores en el siguiente orden a partir </w:t>
      </w:r>
      <w:proofErr w:type="gramStart"/>
      <w:r w:rsidRPr="0070452A">
        <w:rPr>
          <w:rFonts w:ascii="Palatino Linotype" w:hAnsi="Palatino Linotype"/>
          <w:i/>
          <w:sz w:val="22"/>
          <w:szCs w:val="22"/>
        </w:rPr>
        <w:t>del asta</w:t>
      </w:r>
      <w:proofErr w:type="gramEnd"/>
      <w:r w:rsidRPr="0070452A">
        <w:rPr>
          <w:rFonts w:ascii="Palatino Linotype" w:hAnsi="Palatino Linotype"/>
          <w:i/>
          <w:sz w:val="22"/>
          <w:szCs w:val="22"/>
        </w:rPr>
        <w:t xml:space="preserve">: verde, blanco y rojo. En la franja blanca y al centro, tiene el Escudo Nacional, con un diámetro de tres cuartas partes del ancho de dicha franja. La proporción entre anchura y longitud de la </w:t>
      </w:r>
      <w:proofErr w:type="gramStart"/>
      <w:r w:rsidRPr="0070452A">
        <w:rPr>
          <w:rFonts w:ascii="Palatino Linotype" w:hAnsi="Palatino Linotype"/>
          <w:i/>
          <w:sz w:val="22"/>
          <w:szCs w:val="22"/>
        </w:rPr>
        <w:t>bandera,</w:t>
      </w:r>
      <w:proofErr w:type="gramEnd"/>
      <w:r w:rsidRPr="0070452A">
        <w:rPr>
          <w:rFonts w:ascii="Palatino Linotype" w:hAnsi="Palatino Linotype"/>
          <w:i/>
          <w:sz w:val="22"/>
          <w:szCs w:val="22"/>
        </w:rPr>
        <w:t xml:space="preserve"> es de cuatro a siete. Podrá llevar un lazo o corbata de los mismos colores, al pie de la moharra. </w:t>
      </w:r>
    </w:p>
    <w:p w14:paraId="641FDDB7"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i/>
          <w:sz w:val="22"/>
          <w:szCs w:val="22"/>
        </w:rPr>
        <w:t>Un modelo de la Bandera Nacional, autenticado por los tres poderes de la Unión, permanecerá depositado en el Archivo General de la Nación y otro en el Museo Nacional de Historia.</w:t>
      </w:r>
    </w:p>
    <w:p w14:paraId="3589A43A" w14:textId="77777777" w:rsidR="00AF5038" w:rsidRPr="0070452A" w:rsidRDefault="00AF5038" w:rsidP="00FD434A">
      <w:pPr>
        <w:spacing w:line="276" w:lineRule="auto"/>
        <w:ind w:left="708" w:right="850"/>
        <w:jc w:val="both"/>
        <w:rPr>
          <w:rFonts w:ascii="Palatino Linotype" w:hAnsi="Palatino Linotype"/>
          <w:i/>
          <w:sz w:val="22"/>
          <w:szCs w:val="22"/>
        </w:rPr>
      </w:pPr>
    </w:p>
    <w:p w14:paraId="7C6E0A60"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b/>
          <w:i/>
          <w:sz w:val="22"/>
          <w:szCs w:val="22"/>
        </w:rPr>
        <w:t>ARTÍCULO 56.-</w:t>
      </w:r>
      <w:r w:rsidRPr="0070452A">
        <w:rPr>
          <w:rFonts w:ascii="Palatino Linotype" w:hAnsi="Palatino Linotype"/>
          <w:i/>
          <w:sz w:val="22"/>
          <w:szCs w:val="22"/>
        </w:rPr>
        <w:t xml:space="preserve"> Constituyen infracción a esta Ley las conductas siguientes: </w:t>
      </w:r>
    </w:p>
    <w:p w14:paraId="249105C1"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i/>
          <w:sz w:val="22"/>
          <w:szCs w:val="22"/>
        </w:rPr>
        <w:lastRenderedPageBreak/>
        <w:t>I. Alterar o modificar las características de la Bandera Nacional establecidas en el artículo 3o. de esta Ley;</w:t>
      </w:r>
    </w:p>
    <w:p w14:paraId="6A9680C5"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i/>
          <w:sz w:val="22"/>
          <w:szCs w:val="22"/>
        </w:rPr>
        <w:t xml:space="preserve">III. Inscribir en la Bandera Nacional la denominación o razón social de las Instituciones sin la autorización a que se refiere el segundo párrafo del artículo 7o. de esta Ley; </w:t>
      </w:r>
    </w:p>
    <w:p w14:paraId="2AD70698"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i/>
          <w:sz w:val="22"/>
          <w:szCs w:val="22"/>
        </w:rPr>
        <w:t>IV. Comercializar ejemplares de la Bandera Nacional que contengan cualquier tipo de inscripciones, incluyendo las previstas por el artículo 7o. de esta Ley;</w:t>
      </w:r>
    </w:p>
    <w:p w14:paraId="1624C6D2"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i/>
          <w:sz w:val="22"/>
          <w:szCs w:val="22"/>
        </w:rPr>
        <w:t>VI. Inscribir en la Bandera Nacional el nombre de personas físicas o Instituciones para promover su imagen, bienes o servicios en contravención de lo señalado en el artículo 32 Bis de esta Ley;</w:t>
      </w:r>
    </w:p>
    <w:p w14:paraId="1BEC1259" w14:textId="77777777" w:rsidR="00AF5038" w:rsidRPr="0070452A" w:rsidRDefault="00AF5038" w:rsidP="00FD434A">
      <w:pPr>
        <w:spacing w:line="276" w:lineRule="auto"/>
        <w:ind w:left="708" w:right="850"/>
        <w:jc w:val="both"/>
        <w:rPr>
          <w:sz w:val="22"/>
          <w:szCs w:val="22"/>
        </w:rPr>
      </w:pPr>
    </w:p>
    <w:p w14:paraId="4A88B2AE" w14:textId="77777777" w:rsidR="00AF5038" w:rsidRPr="0070452A" w:rsidRDefault="00AF5038" w:rsidP="00FD434A">
      <w:pPr>
        <w:spacing w:line="276" w:lineRule="auto"/>
        <w:ind w:left="708" w:right="850"/>
        <w:jc w:val="both"/>
        <w:rPr>
          <w:rFonts w:ascii="Palatino Linotype" w:hAnsi="Palatino Linotype"/>
          <w:i/>
          <w:sz w:val="22"/>
          <w:szCs w:val="22"/>
        </w:rPr>
      </w:pPr>
      <w:r w:rsidRPr="0070452A">
        <w:rPr>
          <w:rFonts w:ascii="Palatino Linotype" w:hAnsi="Palatino Linotype"/>
          <w:b/>
          <w:i/>
          <w:sz w:val="22"/>
          <w:szCs w:val="22"/>
        </w:rPr>
        <w:t xml:space="preserve">ARTÍCULO 56 </w:t>
      </w:r>
      <w:proofErr w:type="gramStart"/>
      <w:r w:rsidRPr="0070452A">
        <w:rPr>
          <w:rFonts w:ascii="Palatino Linotype" w:hAnsi="Palatino Linotype"/>
          <w:b/>
          <w:i/>
          <w:sz w:val="22"/>
          <w:szCs w:val="22"/>
        </w:rPr>
        <w:t>Ter</w:t>
      </w:r>
      <w:r w:rsidRPr="0070452A">
        <w:rPr>
          <w:rFonts w:ascii="Palatino Linotype" w:hAnsi="Palatino Linotype"/>
          <w:i/>
          <w:sz w:val="22"/>
          <w:szCs w:val="22"/>
        </w:rPr>
        <w:t>.-</w:t>
      </w:r>
      <w:proofErr w:type="gramEnd"/>
      <w:r w:rsidRPr="0070452A">
        <w:rPr>
          <w:rFonts w:ascii="Palatino Linotype" w:hAnsi="Palatino Linotype"/>
          <w:i/>
          <w:sz w:val="22"/>
          <w:szCs w:val="22"/>
        </w:rPr>
        <w:t xml:space="preserve"> Las infracciones a la presente Ley serán impuestas y sancionadas por la Secretaría de Gobernación…</w:t>
      </w:r>
    </w:p>
    <w:p w14:paraId="793B8896" w14:textId="77777777" w:rsidR="00AF5038" w:rsidRPr="0070452A" w:rsidRDefault="00AF5038" w:rsidP="00FD434A">
      <w:pPr>
        <w:spacing w:line="360" w:lineRule="auto"/>
        <w:ind w:left="708" w:right="850"/>
        <w:jc w:val="both"/>
        <w:rPr>
          <w:rFonts w:ascii="Palatino Linotype" w:hAnsi="Palatino Linotype"/>
          <w:i/>
          <w:sz w:val="22"/>
          <w:szCs w:val="22"/>
        </w:rPr>
      </w:pPr>
    </w:p>
    <w:p w14:paraId="7BF3D85A" w14:textId="4605FA41" w:rsidR="00AF5038" w:rsidRPr="0070452A" w:rsidRDefault="00AF5038" w:rsidP="00AF5038">
      <w:pPr>
        <w:spacing w:line="360" w:lineRule="auto"/>
        <w:jc w:val="both"/>
        <w:rPr>
          <w:rFonts w:ascii="Palatino Linotype" w:hAnsi="Palatino Linotype"/>
          <w:b/>
          <w:sz w:val="22"/>
          <w:szCs w:val="22"/>
        </w:rPr>
      </w:pPr>
      <w:r w:rsidRPr="0070452A">
        <w:rPr>
          <w:rFonts w:ascii="Palatino Linotype" w:hAnsi="Palatino Linotype"/>
          <w:sz w:val="22"/>
          <w:szCs w:val="22"/>
        </w:rPr>
        <w:t>De lo anterior, conforme lo establecido por el artículo 7 de la Ley en comento las Instituciones, previa autorización de la Secretaría de Gobernación, podrán inscribir su denominación o razón social en la Bandera Nacional</w:t>
      </w:r>
      <w:r w:rsidR="00117BE1" w:rsidRPr="0070452A">
        <w:rPr>
          <w:rFonts w:ascii="Palatino Linotype" w:hAnsi="Palatino Linotype"/>
          <w:sz w:val="22"/>
          <w:szCs w:val="22"/>
        </w:rPr>
        <w:t xml:space="preserve">; </w:t>
      </w:r>
      <w:r w:rsidRPr="0070452A">
        <w:rPr>
          <w:rFonts w:ascii="Palatino Linotype" w:hAnsi="Palatino Linotype"/>
          <w:sz w:val="22"/>
          <w:szCs w:val="22"/>
        </w:rPr>
        <w:t>sin embargo</w:t>
      </w:r>
      <w:r w:rsidR="00117BE1" w:rsidRPr="0070452A">
        <w:rPr>
          <w:rFonts w:ascii="Palatino Linotype" w:hAnsi="Palatino Linotype"/>
          <w:sz w:val="22"/>
          <w:szCs w:val="22"/>
        </w:rPr>
        <w:t>,</w:t>
      </w:r>
      <w:r w:rsidRPr="0070452A">
        <w:rPr>
          <w:rFonts w:ascii="Palatino Linotype" w:hAnsi="Palatino Linotype"/>
          <w:sz w:val="22"/>
          <w:szCs w:val="22"/>
        </w:rPr>
        <w:t xml:space="preserve"> para el caso que se trate de actividades referidas al culto y respeto del Símbolo Patrio </w:t>
      </w:r>
      <w:r w:rsidRPr="0070452A">
        <w:rPr>
          <w:rFonts w:ascii="Palatino Linotype" w:hAnsi="Palatino Linotype"/>
          <w:b/>
          <w:sz w:val="22"/>
          <w:szCs w:val="22"/>
        </w:rPr>
        <w:t>las autoridades podrán inscribir su denominación en la Bandera Nacional.</w:t>
      </w:r>
    </w:p>
    <w:p w14:paraId="34E61309" w14:textId="77777777" w:rsidR="00AF5038" w:rsidRPr="0070452A" w:rsidRDefault="00AF5038" w:rsidP="00AF5038">
      <w:pPr>
        <w:tabs>
          <w:tab w:val="left" w:pos="7938"/>
        </w:tabs>
        <w:spacing w:line="360" w:lineRule="auto"/>
        <w:jc w:val="both"/>
        <w:rPr>
          <w:rFonts w:ascii="Palatino Linotype" w:eastAsia="Palatino Linotype" w:hAnsi="Palatino Linotype" w:cs="Palatino Linotype"/>
          <w:sz w:val="22"/>
          <w:szCs w:val="22"/>
        </w:rPr>
      </w:pPr>
    </w:p>
    <w:p w14:paraId="7975171C" w14:textId="013A66E3" w:rsidR="00AF5038" w:rsidRPr="0070452A" w:rsidRDefault="00AF5038" w:rsidP="00AF5038">
      <w:pPr>
        <w:tabs>
          <w:tab w:val="left" w:pos="7938"/>
        </w:tabs>
        <w:spacing w:line="360" w:lineRule="auto"/>
        <w:jc w:val="both"/>
        <w:rPr>
          <w:rFonts w:ascii="Palatino Linotype" w:hAnsi="Palatino Linotype" w:cs="Tahoma"/>
          <w:bCs/>
          <w:sz w:val="22"/>
          <w:szCs w:val="22"/>
          <w:lang w:val="es-ES" w:eastAsia="es-ES"/>
        </w:rPr>
      </w:pPr>
      <w:r w:rsidRPr="0070452A">
        <w:rPr>
          <w:rFonts w:ascii="Palatino Linotype" w:eastAsia="Palatino Linotype" w:hAnsi="Palatino Linotype" w:cs="Palatino Linotype"/>
          <w:sz w:val="22"/>
          <w:szCs w:val="22"/>
        </w:rPr>
        <w:t xml:space="preserve">Por lo descrito en líneas anteriores, se  logra advertir que el Sujeto Obligado no realizó ninguna alteración en el símbolo patrio por el contrario </w:t>
      </w:r>
      <w:r w:rsidRPr="0070452A">
        <w:rPr>
          <w:rFonts w:ascii="Palatino Linotype" w:eastAsia="Palatino Linotype" w:hAnsi="Palatino Linotype" w:cs="Palatino Linotype"/>
          <w:b/>
          <w:sz w:val="22"/>
          <w:szCs w:val="22"/>
        </w:rPr>
        <w:t xml:space="preserve">se logra apreciar las características establecidas por el artículo 3 de la Ley Sobre el Escudo, la Bandera y el Himno Nacionales, </w:t>
      </w:r>
      <w:r w:rsidRPr="0070452A">
        <w:rPr>
          <w:rFonts w:ascii="Palatino Linotype" w:eastAsia="Palatino Linotype" w:hAnsi="Palatino Linotype" w:cs="Palatino Linotype"/>
          <w:sz w:val="22"/>
          <w:szCs w:val="22"/>
        </w:rPr>
        <w:t xml:space="preserve">así mismo este </w:t>
      </w:r>
      <w:r w:rsidR="00117BE1" w:rsidRPr="0070452A">
        <w:rPr>
          <w:rFonts w:ascii="Palatino Linotype" w:eastAsia="Palatino Linotype" w:hAnsi="Palatino Linotype" w:cs="Palatino Linotype"/>
          <w:sz w:val="22"/>
          <w:szCs w:val="22"/>
        </w:rPr>
        <w:t>Instituto</w:t>
      </w:r>
      <w:r w:rsidRPr="0070452A">
        <w:rPr>
          <w:rFonts w:ascii="Palatino Linotype" w:eastAsia="Palatino Linotype" w:hAnsi="Palatino Linotype" w:cs="Palatino Linotype"/>
          <w:sz w:val="22"/>
          <w:szCs w:val="22"/>
        </w:rPr>
        <w:t xml:space="preserve"> conforme el estudio realizado previamente advierte también que el uso del símbolo patrio realizado por el Sujeto Obligado busco conforme el programa estatal </w:t>
      </w:r>
      <w:r w:rsidRPr="0070452A">
        <w:rPr>
          <w:rFonts w:ascii="Palatino Linotype" w:hAnsi="Palatino Linotype"/>
          <w:sz w:val="22"/>
          <w:szCs w:val="22"/>
        </w:rPr>
        <w:t xml:space="preserve">fortalecer el orgullo Mexiquense, por lo que </w:t>
      </w:r>
      <w:r w:rsidRPr="0070452A">
        <w:rPr>
          <w:rFonts w:ascii="Palatino Linotype" w:eastAsia="Palatino Linotype" w:hAnsi="Palatino Linotype" w:cs="Palatino Linotype"/>
          <w:sz w:val="22"/>
          <w:szCs w:val="22"/>
        </w:rPr>
        <w:t xml:space="preserve">al dejar </w:t>
      </w:r>
      <w:r w:rsidRPr="0070452A">
        <w:rPr>
          <w:rFonts w:ascii="Palatino Linotype" w:hAnsi="Palatino Linotype" w:cs="Tahoma"/>
          <w:bCs/>
          <w:sz w:val="22"/>
          <w:szCs w:val="22"/>
          <w:lang w:val="es-ES" w:eastAsia="es-ES"/>
        </w:rPr>
        <w:t>impreso la leyenda “</w:t>
      </w:r>
      <w:proofErr w:type="spellStart"/>
      <w:r w:rsidRPr="0070452A">
        <w:rPr>
          <w:rFonts w:ascii="Palatino Linotype" w:hAnsi="Palatino Linotype" w:cs="Tahoma"/>
          <w:bCs/>
          <w:sz w:val="22"/>
          <w:szCs w:val="22"/>
          <w:lang w:val="es-ES" w:eastAsia="es-ES"/>
        </w:rPr>
        <w:t>Tepotzotlan</w:t>
      </w:r>
      <w:proofErr w:type="spellEnd"/>
      <w:r w:rsidRPr="0070452A">
        <w:rPr>
          <w:rFonts w:ascii="Palatino Linotype" w:hAnsi="Palatino Linotype" w:cs="Tahoma"/>
          <w:bCs/>
          <w:sz w:val="22"/>
          <w:szCs w:val="22"/>
          <w:lang w:val="es-ES" w:eastAsia="es-ES"/>
        </w:rPr>
        <w:t xml:space="preserve">” en el reverso de la Bandera de México encuadra en el supuesto del artículo </w:t>
      </w:r>
      <w:r w:rsidRPr="0070452A">
        <w:rPr>
          <w:rFonts w:ascii="Palatino Linotype" w:hAnsi="Palatino Linotype"/>
          <w:sz w:val="22"/>
          <w:szCs w:val="22"/>
        </w:rPr>
        <w:t>7 de la Ley en comento.</w:t>
      </w:r>
    </w:p>
    <w:p w14:paraId="1C047B05" w14:textId="77777777" w:rsidR="00AF5038" w:rsidRPr="0070452A" w:rsidRDefault="00AF5038" w:rsidP="00AF5038">
      <w:pPr>
        <w:tabs>
          <w:tab w:val="left" w:pos="7938"/>
        </w:tabs>
        <w:spacing w:line="360" w:lineRule="auto"/>
        <w:jc w:val="both"/>
        <w:rPr>
          <w:rFonts w:ascii="Palatino Linotype" w:eastAsia="Palatino Linotype" w:hAnsi="Palatino Linotype" w:cs="Palatino Linotype"/>
          <w:sz w:val="22"/>
          <w:szCs w:val="22"/>
        </w:rPr>
      </w:pPr>
    </w:p>
    <w:p w14:paraId="72F02D61" w14:textId="38DDC845" w:rsidR="00AF5038" w:rsidRPr="0070452A" w:rsidRDefault="00AF5038" w:rsidP="00AF5038">
      <w:pPr>
        <w:tabs>
          <w:tab w:val="left" w:pos="7938"/>
        </w:tabs>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Entonces al no ser necesario solicitar a la Secretar</w:t>
      </w:r>
      <w:r w:rsidR="00117BE1" w:rsidRPr="0070452A">
        <w:rPr>
          <w:rFonts w:ascii="Palatino Linotype" w:eastAsia="Palatino Linotype" w:hAnsi="Palatino Linotype" w:cs="Palatino Linotype"/>
          <w:sz w:val="22"/>
          <w:szCs w:val="22"/>
        </w:rPr>
        <w:t>í</w:t>
      </w:r>
      <w:r w:rsidRPr="0070452A">
        <w:rPr>
          <w:rFonts w:ascii="Palatino Linotype" w:eastAsia="Palatino Linotype" w:hAnsi="Palatino Linotype" w:cs="Palatino Linotype"/>
          <w:sz w:val="22"/>
          <w:szCs w:val="22"/>
        </w:rPr>
        <w:t xml:space="preserve">a de Gobernación el permiso para implementar en la parte reversa del Símbolo Patrio </w:t>
      </w:r>
      <w:r w:rsidRPr="0070452A">
        <w:rPr>
          <w:rFonts w:ascii="Palatino Linotype" w:hAnsi="Palatino Linotype" w:cs="Arial"/>
          <w:bCs/>
          <w:sz w:val="22"/>
          <w:szCs w:val="22"/>
        </w:rPr>
        <w:t xml:space="preserve">la información no fue poseída, </w:t>
      </w:r>
      <w:r w:rsidRPr="0070452A">
        <w:rPr>
          <w:rFonts w:ascii="Palatino Linotype" w:hAnsi="Palatino Linotype" w:cs="Arial"/>
          <w:bCs/>
          <w:sz w:val="22"/>
          <w:szCs w:val="22"/>
        </w:rPr>
        <w:lastRenderedPageBreak/>
        <w:t>administrada o generada por el Sujeto Obligado</w:t>
      </w:r>
      <w:r w:rsidR="00117BE1" w:rsidRPr="0070452A">
        <w:rPr>
          <w:rFonts w:ascii="Palatino Linotype" w:hAnsi="Palatino Linotype" w:cs="Arial"/>
          <w:bCs/>
          <w:sz w:val="22"/>
          <w:szCs w:val="22"/>
        </w:rPr>
        <w:t xml:space="preserve">; tal como lo manifestó en el ejercicio de sus funciones </w:t>
      </w:r>
      <w:r w:rsidR="004E33B0" w:rsidRPr="0070452A">
        <w:rPr>
          <w:rFonts w:ascii="Palatino Linotype" w:hAnsi="Palatino Linotype" w:cs="Arial"/>
          <w:bCs/>
          <w:sz w:val="22"/>
          <w:szCs w:val="22"/>
        </w:rPr>
        <w:t xml:space="preserve">el </w:t>
      </w:r>
      <w:proofErr w:type="gramStart"/>
      <w:r w:rsidR="004E33B0" w:rsidRPr="0070452A">
        <w:rPr>
          <w:rFonts w:ascii="Palatino Linotype" w:hAnsi="Palatino Linotype" w:cs="Arial"/>
          <w:bCs/>
          <w:sz w:val="22"/>
          <w:szCs w:val="22"/>
        </w:rPr>
        <w:t>Secretario</w:t>
      </w:r>
      <w:proofErr w:type="gramEnd"/>
      <w:r w:rsidR="004E33B0" w:rsidRPr="0070452A">
        <w:rPr>
          <w:rFonts w:ascii="Palatino Linotype" w:hAnsi="Palatino Linotype" w:cs="Arial"/>
          <w:bCs/>
          <w:sz w:val="22"/>
          <w:szCs w:val="22"/>
        </w:rPr>
        <w:t xml:space="preserve"> del Ayuntamiento</w:t>
      </w:r>
      <w:r w:rsidR="00117BE1" w:rsidRPr="0070452A">
        <w:rPr>
          <w:rFonts w:ascii="Palatino Linotype" w:hAnsi="Palatino Linotype" w:cs="Arial"/>
          <w:bCs/>
          <w:sz w:val="22"/>
          <w:szCs w:val="22"/>
        </w:rPr>
        <w:t xml:space="preserve">, por lo que </w:t>
      </w:r>
      <w:r w:rsidRPr="0070452A">
        <w:rPr>
          <w:rFonts w:ascii="Palatino Linotype" w:hAnsi="Palatino Linotype" w:cs="Arial"/>
          <w:bCs/>
          <w:sz w:val="22"/>
          <w:szCs w:val="22"/>
        </w:rPr>
        <w:t xml:space="preserve">es aplicable traer a colación la </w:t>
      </w:r>
      <w:r w:rsidRPr="0070452A">
        <w:rPr>
          <w:rFonts w:ascii="Palatino Linotype" w:hAnsi="Palatino Linotype" w:cs="Arial"/>
          <w:sz w:val="22"/>
          <w:szCs w:val="22"/>
          <w:lang w:val="es-419"/>
        </w:rPr>
        <w:t xml:space="preserve">Tesis Aislada (común): 267287, Semanario Judicial de la Federación, Sexta Época, Volumen LII, Tercera Parte, p. 101; de rubro y textos siguientes: </w:t>
      </w:r>
    </w:p>
    <w:p w14:paraId="0309D5C8" w14:textId="77777777" w:rsidR="00AF5038" w:rsidRPr="0070452A" w:rsidRDefault="00AF5038" w:rsidP="00AF5038">
      <w:pPr>
        <w:pStyle w:val="Prrafodelista"/>
        <w:ind w:left="1211" w:right="567"/>
        <w:jc w:val="both"/>
        <w:rPr>
          <w:rFonts w:ascii="Palatino Linotype" w:hAnsi="Palatino Linotype" w:cs="Arial"/>
          <w:i/>
          <w:iCs/>
        </w:rPr>
      </w:pPr>
      <w:r w:rsidRPr="0070452A">
        <w:rPr>
          <w:rFonts w:ascii="Palatino Linotype" w:hAnsi="Palatino Linotype" w:cs="Arial"/>
          <w:i/>
          <w:iCs/>
        </w:rPr>
        <w:t>“</w:t>
      </w:r>
      <w:r w:rsidRPr="0070452A">
        <w:rPr>
          <w:rFonts w:ascii="Palatino Linotype" w:hAnsi="Palatino Linotype" w:cs="Arial"/>
          <w:b/>
          <w:bCs/>
          <w:i/>
          <w:iCs/>
        </w:rPr>
        <w:t>HECHOS NEGATIVOS, NO SON SUSCEPTIBLES DE DEMOSTRACION</w:t>
      </w:r>
      <w:r w:rsidRPr="0070452A">
        <w:rPr>
          <w:rFonts w:ascii="Palatino Linotype" w:hAnsi="Palatino Linotype" w:cs="Arial"/>
          <w:i/>
          <w:iCs/>
        </w:rPr>
        <w:t>. Tratándose de un hecho negativo, el Juez no tiene por qué invocar prueba alguna de la que se desprenda, ya que es bien sabido que esta clase de hechos no son susceptibles de demostración.”</w:t>
      </w:r>
    </w:p>
    <w:p w14:paraId="2B5B10BB" w14:textId="77777777" w:rsidR="00AF5038" w:rsidRPr="0070452A" w:rsidRDefault="00AF5038" w:rsidP="00AF5038">
      <w:pPr>
        <w:tabs>
          <w:tab w:val="left" w:pos="7938"/>
        </w:tabs>
        <w:spacing w:line="360" w:lineRule="auto"/>
        <w:jc w:val="both"/>
        <w:rPr>
          <w:rFonts w:ascii="Palatino Linotype" w:hAnsi="Palatino Linotype" w:cs="Arial"/>
          <w:sz w:val="22"/>
          <w:szCs w:val="22"/>
          <w:lang w:val="es-419"/>
        </w:rPr>
      </w:pPr>
    </w:p>
    <w:p w14:paraId="5F9D9CD1" w14:textId="77777777" w:rsidR="00AF5038" w:rsidRPr="0070452A" w:rsidRDefault="00AF5038" w:rsidP="00AF5038">
      <w:pPr>
        <w:tabs>
          <w:tab w:val="left" w:pos="7938"/>
        </w:tabs>
        <w:spacing w:line="360" w:lineRule="auto"/>
        <w:jc w:val="both"/>
        <w:rPr>
          <w:rFonts w:ascii="Palatino Linotype" w:hAnsi="Palatino Linotype" w:cs="Arial"/>
          <w:sz w:val="22"/>
          <w:szCs w:val="22"/>
          <w:lang w:val="es-419"/>
        </w:rPr>
      </w:pPr>
      <w:r w:rsidRPr="0070452A">
        <w:rPr>
          <w:rFonts w:ascii="Palatino Linotype" w:hAnsi="Palatino Linotype" w:cs="Arial"/>
          <w:sz w:val="22"/>
          <w:szCs w:val="22"/>
          <w:lang w:val="es-419"/>
        </w:rPr>
        <w:t>En ese mismo contexto, el artículo 12 de la Ley de Transparencias y Acceso a la Información Pública del Estado de México y Municipios, establece que los sujetos obligados proporcionarán la información pública que se les requiera y esta obre en sus archivos, mismo precepto que a continuación se transcribe:</w:t>
      </w:r>
    </w:p>
    <w:p w14:paraId="3C95E853" w14:textId="77777777" w:rsidR="00AF5038" w:rsidRPr="0070452A" w:rsidRDefault="00AF5038" w:rsidP="00117BE1">
      <w:pPr>
        <w:pStyle w:val="Sinespaciado"/>
        <w:spacing w:line="360" w:lineRule="auto"/>
        <w:ind w:left="851" w:right="850"/>
        <w:jc w:val="both"/>
        <w:rPr>
          <w:rFonts w:ascii="Palatino Linotype" w:hAnsi="Palatino Linotype"/>
          <w:i/>
          <w:sz w:val="22"/>
          <w:szCs w:val="22"/>
        </w:rPr>
      </w:pPr>
      <w:r w:rsidRPr="0070452A">
        <w:rPr>
          <w:rFonts w:ascii="Palatino Linotype" w:hAnsi="Palatino Linotype"/>
          <w:sz w:val="22"/>
          <w:szCs w:val="22"/>
        </w:rPr>
        <w:t>“</w:t>
      </w:r>
      <w:r w:rsidRPr="0070452A">
        <w:rPr>
          <w:rFonts w:ascii="Palatino Linotype" w:hAnsi="Palatino Linotype"/>
          <w:b/>
          <w:i/>
          <w:sz w:val="22"/>
          <w:szCs w:val="22"/>
        </w:rPr>
        <w:t>Artículo 12.</w:t>
      </w:r>
      <w:r w:rsidRPr="0070452A">
        <w:rPr>
          <w:rFonts w:ascii="Palatino Linotype" w:hAnsi="Palatino Linotype"/>
          <w:i/>
          <w:sz w:val="22"/>
          <w:szCs w:val="22"/>
        </w:rPr>
        <w:t xml:space="preserve"> Quienes generen, recopilen, administren, manejen, procesen, archiven o conserven información pública serán</w:t>
      </w:r>
    </w:p>
    <w:p w14:paraId="5DFE8F4B" w14:textId="77777777" w:rsidR="00AF5038" w:rsidRPr="0070452A" w:rsidRDefault="00AF5038" w:rsidP="00117BE1">
      <w:pPr>
        <w:pStyle w:val="Prrafodelista"/>
        <w:tabs>
          <w:tab w:val="left" w:pos="1842"/>
        </w:tabs>
        <w:ind w:left="851" w:right="850"/>
        <w:jc w:val="both"/>
        <w:rPr>
          <w:rFonts w:ascii="Palatino Linotype" w:hAnsi="Palatino Linotype"/>
        </w:rPr>
      </w:pPr>
      <w:r w:rsidRPr="0070452A">
        <w:rPr>
          <w:rFonts w:ascii="Palatino Linotype" w:hAnsi="Palatino Linotype"/>
          <w:b/>
          <w:i/>
          <w:u w:val="single"/>
        </w:rPr>
        <w:t>Los sujetos obligados sólo proporcionarán la información pública que se les requiera y que obre en sus archivos</w:t>
      </w:r>
      <w:r w:rsidRPr="0070452A">
        <w:rPr>
          <w:rFonts w:ascii="Palatino Linotype" w:hAnsi="Palatino Linotype"/>
          <w:i/>
        </w:rPr>
        <w:t xml:space="preserve">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p>
    <w:p w14:paraId="09CC139B" w14:textId="77777777" w:rsidR="00AF5038" w:rsidRPr="0070452A" w:rsidRDefault="00AF5038" w:rsidP="00AF5038">
      <w:pPr>
        <w:widowControl w:val="0"/>
        <w:tabs>
          <w:tab w:val="left" w:pos="1701"/>
          <w:tab w:val="left" w:pos="1843"/>
        </w:tabs>
        <w:spacing w:line="360" w:lineRule="auto"/>
        <w:jc w:val="both"/>
        <w:rPr>
          <w:rFonts w:ascii="Palatino Linotype" w:eastAsia="Palatino Linotype" w:hAnsi="Palatino Linotype" w:cs="Palatino Linotype"/>
          <w:sz w:val="22"/>
          <w:szCs w:val="22"/>
        </w:rPr>
      </w:pPr>
    </w:p>
    <w:p w14:paraId="7518CF3D" w14:textId="7604D14A" w:rsidR="00AF5038" w:rsidRPr="0070452A" w:rsidRDefault="00AF5038" w:rsidP="00AF5038">
      <w:pPr>
        <w:widowControl w:val="0"/>
        <w:tabs>
          <w:tab w:val="left" w:pos="1701"/>
          <w:tab w:val="left" w:pos="1843"/>
        </w:tabs>
        <w:spacing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En este contexto,</w:t>
      </w:r>
      <w:r w:rsidR="00117BE1" w:rsidRPr="0070452A">
        <w:rPr>
          <w:rFonts w:ascii="Palatino Linotype" w:eastAsia="Palatino Linotype" w:hAnsi="Palatino Linotype" w:cs="Palatino Linotype"/>
          <w:sz w:val="22"/>
          <w:szCs w:val="22"/>
        </w:rPr>
        <w:t xml:space="preserve"> el </w:t>
      </w:r>
      <w:r w:rsidR="00117BE1" w:rsidRPr="0070452A">
        <w:rPr>
          <w:rFonts w:ascii="Palatino Linotype" w:eastAsia="Palatino Linotype" w:hAnsi="Palatino Linotype" w:cs="Palatino Linotype"/>
          <w:b/>
          <w:bCs/>
          <w:sz w:val="22"/>
          <w:szCs w:val="22"/>
        </w:rPr>
        <w:t xml:space="preserve">Sujeto Obligado </w:t>
      </w:r>
      <w:r w:rsidRPr="0070452A">
        <w:rPr>
          <w:rFonts w:ascii="Palatino Linotype" w:eastAsia="Palatino Linotype" w:hAnsi="Palatino Linotype" w:cs="Palatino Linotype"/>
          <w:sz w:val="22"/>
          <w:szCs w:val="22"/>
        </w:rPr>
        <w:t xml:space="preserve">no está </w:t>
      </w:r>
      <w:r w:rsidR="00117BE1" w:rsidRPr="0070452A">
        <w:rPr>
          <w:rFonts w:ascii="Palatino Linotype" w:eastAsia="Palatino Linotype" w:hAnsi="Palatino Linotype" w:cs="Palatino Linotype"/>
          <w:sz w:val="22"/>
          <w:szCs w:val="22"/>
        </w:rPr>
        <w:t>constreñido</w:t>
      </w:r>
      <w:r w:rsidRPr="0070452A">
        <w:rPr>
          <w:rFonts w:ascii="Palatino Linotype" w:eastAsia="Palatino Linotype" w:hAnsi="Palatino Linotype" w:cs="Palatino Linotype"/>
          <w:sz w:val="22"/>
          <w:szCs w:val="22"/>
        </w:rPr>
        <w:t xml:space="preserve"> a generar documento ad hoc para satisfacer el derecho de acceso, situación que contravendría al contenido sustantivo del derecho de acceso a la información pública, sirve de sustento a este argumento el Criterio 03-17, emitido por el Instituto Nacional de Transparencia, Acceso a la Información y Protección de Datos Personales (INAI), que versa de la siguiente manera: </w:t>
      </w:r>
    </w:p>
    <w:p w14:paraId="31DE030A" w14:textId="77777777" w:rsidR="00117BE1" w:rsidRPr="0070452A" w:rsidRDefault="00117BE1" w:rsidP="00AF5038">
      <w:pPr>
        <w:widowControl w:val="0"/>
        <w:tabs>
          <w:tab w:val="left" w:pos="1701"/>
          <w:tab w:val="left" w:pos="1843"/>
        </w:tabs>
        <w:spacing w:line="360" w:lineRule="auto"/>
        <w:jc w:val="both"/>
        <w:rPr>
          <w:rFonts w:ascii="Palatino Linotype" w:eastAsia="Palatino Linotype" w:hAnsi="Palatino Linotype" w:cs="Palatino Linotype"/>
          <w:sz w:val="22"/>
          <w:szCs w:val="22"/>
        </w:rPr>
      </w:pPr>
    </w:p>
    <w:p w14:paraId="53D33E43" w14:textId="77777777" w:rsidR="00AF5038" w:rsidRPr="0070452A" w:rsidRDefault="00AF5038" w:rsidP="00AF5038">
      <w:pPr>
        <w:widowControl w:val="0"/>
        <w:tabs>
          <w:tab w:val="left" w:pos="1701"/>
          <w:tab w:val="left" w:pos="1843"/>
        </w:tabs>
        <w:ind w:left="851" w:right="706"/>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b/>
          <w:i/>
          <w:sz w:val="22"/>
          <w:szCs w:val="22"/>
        </w:rPr>
        <w:t xml:space="preserve">“No existe obligación de elaborar documentos ad hoc para atender las solicitudes de acceso a la información. </w:t>
      </w:r>
      <w:r w:rsidRPr="0070452A">
        <w:rPr>
          <w:rFonts w:ascii="Palatino Linotype" w:eastAsia="Palatino Linotype" w:hAnsi="Palatino Linotype" w:cs="Palatino Linotype"/>
          <w:i/>
          <w:sz w:val="22"/>
          <w:szCs w:val="22"/>
        </w:rPr>
        <w:t xml:space="preserve">Los artículos 129 de la Ley General de Transparencia y Acceso a la Información Pública y 130, párrafo cuarto, de la Ley Federal de Transparencia y Acceso a la Información Pública, señalan que los sujetos </w:t>
      </w:r>
      <w:r w:rsidRPr="0070452A">
        <w:rPr>
          <w:rFonts w:ascii="Palatino Linotype" w:eastAsia="Palatino Linotype" w:hAnsi="Palatino Linotype" w:cs="Palatino Linotype"/>
          <w:i/>
          <w:sz w:val="22"/>
          <w:szCs w:val="22"/>
        </w:rPr>
        <w:lastRenderedPageBreak/>
        <w:t>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6A0867C7" w14:textId="2F58C2A7" w:rsidR="00AF5038" w:rsidRPr="0070452A" w:rsidRDefault="00AF5038" w:rsidP="00AF5038">
      <w:pPr>
        <w:tabs>
          <w:tab w:val="left" w:pos="7938"/>
        </w:tabs>
        <w:spacing w:line="360" w:lineRule="auto"/>
        <w:jc w:val="both"/>
        <w:rPr>
          <w:rFonts w:ascii="Palatino Linotype" w:eastAsia="Palatino Linotype" w:hAnsi="Palatino Linotype" w:cs="Palatino Linotype"/>
          <w:sz w:val="22"/>
          <w:szCs w:val="22"/>
        </w:rPr>
      </w:pPr>
    </w:p>
    <w:p w14:paraId="1867F373" w14:textId="77777777" w:rsidR="00744620" w:rsidRPr="0070452A" w:rsidRDefault="00744620" w:rsidP="00744620">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Por consiguiente, una vez analizadas las constancias que integran el expediente en que se actúa y al advertirse que el presente medio de impugnación ha quedado sin materia, ya que no existe materia objeto de análisis en lo que respecta al requerimiento de información, se considera que se actualiza la causal de sobreseimiento prevista en el artículo 192 fracción V de la Ley de Transparencia y Acceso a la Información Pública del Estado de México y Municipios, que dispone lo siguiente:</w:t>
      </w:r>
    </w:p>
    <w:p w14:paraId="66F34084" w14:textId="77777777" w:rsidR="00744620" w:rsidRPr="0070452A" w:rsidRDefault="00744620" w:rsidP="00744620">
      <w:pPr>
        <w:ind w:left="851" w:right="90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b/>
          <w:i/>
          <w:sz w:val="22"/>
          <w:szCs w:val="22"/>
        </w:rPr>
        <w:t xml:space="preserve">“Artículo 192. </w:t>
      </w:r>
      <w:r w:rsidRPr="0070452A">
        <w:rPr>
          <w:rFonts w:ascii="Palatino Linotype" w:eastAsia="Palatino Linotype" w:hAnsi="Palatino Linotype" w:cs="Palatino Linotype"/>
          <w:i/>
          <w:sz w:val="22"/>
          <w:szCs w:val="22"/>
        </w:rPr>
        <w:t>El recurso será sobreseído en todo o en parte cuando una vez admitido, se actualicen alguno de los siguientes supuestos:</w:t>
      </w:r>
    </w:p>
    <w:p w14:paraId="1CFEFB92" w14:textId="77777777" w:rsidR="00744620" w:rsidRPr="0070452A" w:rsidRDefault="00744620" w:rsidP="00744620">
      <w:pPr>
        <w:ind w:left="851" w:right="90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b/>
          <w:i/>
          <w:sz w:val="22"/>
          <w:szCs w:val="22"/>
        </w:rPr>
        <w:t>…</w:t>
      </w:r>
    </w:p>
    <w:p w14:paraId="7D05CDED" w14:textId="77777777" w:rsidR="00744620" w:rsidRPr="0070452A" w:rsidRDefault="00744620" w:rsidP="00744620">
      <w:pPr>
        <w:ind w:left="851" w:right="900"/>
        <w:jc w:val="both"/>
        <w:rPr>
          <w:rFonts w:ascii="Palatino Linotype" w:eastAsia="Palatino Linotype" w:hAnsi="Palatino Linotype" w:cs="Palatino Linotype"/>
          <w:b/>
          <w:i/>
          <w:sz w:val="22"/>
          <w:szCs w:val="22"/>
        </w:rPr>
      </w:pPr>
      <w:r w:rsidRPr="0070452A">
        <w:rPr>
          <w:rFonts w:ascii="Palatino Linotype" w:eastAsia="Palatino Linotype" w:hAnsi="Palatino Linotype" w:cs="Palatino Linotype"/>
          <w:b/>
          <w:i/>
          <w:sz w:val="22"/>
          <w:szCs w:val="22"/>
        </w:rPr>
        <w:t>V. Cuando por cualquier motivo quede sin materia el recurso…”</w:t>
      </w:r>
    </w:p>
    <w:p w14:paraId="62B9FEA6" w14:textId="77777777" w:rsidR="00744620" w:rsidRPr="0070452A" w:rsidRDefault="00744620" w:rsidP="00744620">
      <w:pPr>
        <w:spacing w:before="240" w:after="24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Siendo el </w:t>
      </w:r>
      <w:r w:rsidRPr="0070452A">
        <w:rPr>
          <w:rFonts w:ascii="Palatino Linotype" w:eastAsia="Palatino Linotype" w:hAnsi="Palatino Linotype" w:cs="Palatino Linotype"/>
          <w:i/>
          <w:sz w:val="22"/>
          <w:szCs w:val="22"/>
        </w:rPr>
        <w:t>sobreseimiento</w:t>
      </w:r>
      <w:r w:rsidRPr="0070452A">
        <w:rPr>
          <w:rFonts w:ascii="Palatino Linotype" w:eastAsia="Palatino Linotype" w:hAnsi="Palatino Linotype" w:cs="Palatino Linotype"/>
          <w:sz w:val="22"/>
          <w:szCs w:val="22"/>
        </w:rPr>
        <w:t xml:space="preserve"> un acto que da por terminado el procedimiento administrativo de impugnación sin resolver el fondo de la cuestión planteada, por presentarse causas que impiden a la autoridad referirse a lo sustancial de lo planteado por la parte </w:t>
      </w:r>
      <w:r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sz w:val="22"/>
          <w:szCs w:val="22"/>
        </w:rPr>
        <w:t>, los efectos del sobreseimiento son los de dar por concluido el recurso administrativo sin entrar al estudio de fondo del asunto de que se trate; lo anterior con apoyo en el criterio del Poder Judicial de la Federación con rubro:</w:t>
      </w:r>
    </w:p>
    <w:p w14:paraId="146B0265" w14:textId="77777777" w:rsidR="00744620" w:rsidRPr="0070452A" w:rsidRDefault="00744620" w:rsidP="00744620">
      <w:pPr>
        <w:spacing w:before="240"/>
        <w:ind w:left="851" w:right="90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i/>
          <w:sz w:val="22"/>
          <w:szCs w:val="22"/>
        </w:rPr>
        <w:t>“</w:t>
      </w:r>
      <w:r w:rsidRPr="0070452A">
        <w:rPr>
          <w:rFonts w:ascii="Palatino Linotype" w:eastAsia="Palatino Linotype" w:hAnsi="Palatino Linotype" w:cs="Palatino Linotype"/>
          <w:b/>
          <w:i/>
          <w:sz w:val="22"/>
          <w:szCs w:val="22"/>
        </w:rPr>
        <w:t xml:space="preserve">SOBRESEIMIENTO, NO PERMITE ENTRAR AL ESTUDIO DE LAS CUESTIONES DE FONDO </w:t>
      </w:r>
      <w:r w:rsidRPr="0070452A">
        <w:rPr>
          <w:rFonts w:ascii="Palatino Linotype" w:eastAsia="Palatino Linotype" w:hAnsi="Palatino Linotype" w:cs="Palatino Linotype"/>
          <w:i/>
          <w:sz w:val="22"/>
          <w:szCs w:val="22"/>
        </w:rPr>
        <w:t xml:space="preserve">Localización: 213609. II.2o.183 K. Tribunales Colegiados de Circuito. Octava Época. Semanario Judicial de la Federación. Tomo XIII, </w:t>
      </w:r>
      <w:proofErr w:type="gramStart"/>
      <w:r w:rsidRPr="0070452A">
        <w:rPr>
          <w:rFonts w:ascii="Palatino Linotype" w:eastAsia="Palatino Linotype" w:hAnsi="Palatino Linotype" w:cs="Palatino Linotype"/>
          <w:i/>
          <w:sz w:val="22"/>
          <w:szCs w:val="22"/>
        </w:rPr>
        <w:t>Febrero</w:t>
      </w:r>
      <w:proofErr w:type="gramEnd"/>
      <w:r w:rsidRPr="0070452A">
        <w:rPr>
          <w:rFonts w:ascii="Palatino Linotype" w:eastAsia="Palatino Linotype" w:hAnsi="Palatino Linotype" w:cs="Palatino Linotype"/>
          <w:i/>
          <w:sz w:val="22"/>
          <w:szCs w:val="22"/>
        </w:rPr>
        <w:t xml:space="preserve"> de 1994, Pág. 420</w:t>
      </w:r>
    </w:p>
    <w:p w14:paraId="6847993B" w14:textId="77777777" w:rsidR="00744620" w:rsidRPr="0070452A" w:rsidRDefault="00744620" w:rsidP="00744620">
      <w:pPr>
        <w:ind w:left="851" w:right="90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i/>
          <w:sz w:val="22"/>
          <w:szCs w:val="22"/>
        </w:rPr>
        <w:t xml:space="preserve">Cuerpo de tesis: No causa agravio la sentencia que no se ocupa de los razonamientos tendientes a demostrar la inconstitucionalidad de los actos reclamados de las </w:t>
      </w:r>
      <w:r w:rsidRPr="0070452A">
        <w:rPr>
          <w:rFonts w:ascii="Palatino Linotype" w:eastAsia="Palatino Linotype" w:hAnsi="Palatino Linotype" w:cs="Palatino Linotype"/>
          <w:i/>
          <w:sz w:val="22"/>
          <w:szCs w:val="22"/>
        </w:rPr>
        <w:lastRenderedPageBreak/>
        <w:t>autoridades responsables, que constituyen el problema de fondo, si se decreta el sobreseimiento del juicio.” (Sic)</w:t>
      </w:r>
    </w:p>
    <w:p w14:paraId="1DCE63A6" w14:textId="77777777" w:rsidR="00744620" w:rsidRPr="0070452A" w:rsidRDefault="00744620" w:rsidP="00744620">
      <w:pPr>
        <w:ind w:left="567" w:right="567"/>
        <w:jc w:val="both"/>
        <w:rPr>
          <w:rFonts w:ascii="Palatino Linotype" w:eastAsia="Palatino Linotype" w:hAnsi="Palatino Linotype" w:cs="Palatino Linotype"/>
          <w:i/>
          <w:sz w:val="22"/>
          <w:szCs w:val="22"/>
        </w:rPr>
      </w:pPr>
    </w:p>
    <w:p w14:paraId="11D18A69" w14:textId="77777777" w:rsidR="00744620" w:rsidRPr="0070452A" w:rsidRDefault="00744620" w:rsidP="00744620">
      <w:pPr>
        <w:spacing w:after="240" w:line="360" w:lineRule="auto"/>
        <w:jc w:val="both"/>
        <w:rPr>
          <w:rFonts w:ascii="Palatino Linotype" w:eastAsia="Palatino Linotype" w:hAnsi="Palatino Linotype" w:cs="Palatino Linotype"/>
        </w:rPr>
      </w:pPr>
      <w:r w:rsidRPr="0070452A">
        <w:rPr>
          <w:rFonts w:ascii="Palatino Linotype" w:eastAsia="Palatino Linotype" w:hAnsi="Palatino Linotype" w:cs="Palatino Linotype"/>
          <w:sz w:val="22"/>
          <w:szCs w:val="22"/>
        </w:rPr>
        <w:t>Cabe destacar que la decisión de este órgano colegiado de sobreseer el recurso de revisión no implica una limitación o negación a la justicia, según lo ha establecido el Poder Judicial Federal, en el criterio que es aplicable por analogía, con rubro:</w:t>
      </w:r>
    </w:p>
    <w:p w14:paraId="2EB78CFA" w14:textId="77777777" w:rsidR="00744620" w:rsidRPr="0070452A" w:rsidRDefault="00744620" w:rsidP="00744620">
      <w:pPr>
        <w:spacing w:before="240"/>
        <w:ind w:left="851" w:right="900"/>
        <w:jc w:val="both"/>
        <w:rPr>
          <w:rFonts w:ascii="Palatino Linotype" w:eastAsia="Palatino Linotype" w:hAnsi="Palatino Linotype" w:cs="Palatino Linotype"/>
          <w:b/>
          <w:i/>
          <w:sz w:val="22"/>
          <w:szCs w:val="22"/>
        </w:rPr>
      </w:pPr>
      <w:r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b/>
          <w:i/>
          <w:sz w:val="22"/>
          <w:szCs w:val="22"/>
        </w:rPr>
        <w:t>“DESECHAMIENTO O SOBRESEIMIENTO EN EL JUICIO DE AMPARO. NO IMPLICA DENEGACIÓN DE JUSTICIA NI GENERA INSEGURIDAD JURÍDICA”</w:t>
      </w:r>
    </w:p>
    <w:p w14:paraId="52A81A73" w14:textId="77777777" w:rsidR="00744620" w:rsidRPr="0070452A" w:rsidRDefault="00744620" w:rsidP="00744620">
      <w:pPr>
        <w:ind w:left="851" w:right="900"/>
        <w:jc w:val="both"/>
        <w:rPr>
          <w:rFonts w:ascii="Palatino Linotype" w:eastAsia="Palatino Linotype" w:hAnsi="Palatino Linotype" w:cs="Palatino Linotype"/>
          <w:i/>
          <w:sz w:val="22"/>
          <w:szCs w:val="22"/>
        </w:rPr>
      </w:pPr>
      <w:r w:rsidRPr="0070452A">
        <w:rPr>
          <w:rFonts w:ascii="Palatino Linotype" w:eastAsia="Palatino Linotype" w:hAnsi="Palatino Linotype" w:cs="Palatino Linotype"/>
          <w:i/>
          <w:sz w:val="22"/>
          <w:szCs w:val="22"/>
        </w:rPr>
        <w:t>Cuerpo de la tesis: Cuando se desecha una demanda de amparo o se sobresee en el juicio, ello no implica denegar justicia ni genera inseguridad jurídica, ya que la obligación de los tribunales no es tramitar y resolver en el fondo todos los asuntos sometidos a su consideración en forma favorable a los intereses del solicitante, sino que se circunscribe a la posibilidad que tiene cualquier individuo de acudir ante los órganos jurisdiccionales, con su promoción (demanda), a la cual debe darse el trámite acorde a las formalidades rectoras del procedimiento respectivo, dentro de las cuales el legislador previó las causales de improcedencia y sobreseimiento. Así, cuando el juzgador o tribunal de amparo se funda en una de ellas para desechar o sobreseer en un juicio, imparte justicia, puesto que el acceso a ella no se ve menoscabado, sino que es efectivo, ni se deja en estado de indefensión al promovente, no obstante sea desfavorable, al no poder negar que se da respuesta a la petición de amparo, con independencia de que no comparta el sentido de la resolución, dado que de esa forma quien imparte justicia se pronuncia sobre la acción, diciendo así el derecho y permitiendo que impere el orden jurídico.” (Sic)</w:t>
      </w:r>
    </w:p>
    <w:p w14:paraId="160BA07F" w14:textId="77777777" w:rsidR="00744620" w:rsidRPr="0070452A" w:rsidRDefault="00744620" w:rsidP="00744620">
      <w:pPr>
        <w:spacing w:line="360" w:lineRule="auto"/>
        <w:ind w:right="49"/>
        <w:jc w:val="both"/>
        <w:rPr>
          <w:rFonts w:ascii="Palatino Linotype" w:eastAsia="Palatino Linotype" w:hAnsi="Palatino Linotype" w:cs="Palatino Linotype"/>
          <w:sz w:val="22"/>
          <w:szCs w:val="22"/>
        </w:rPr>
      </w:pPr>
    </w:p>
    <w:p w14:paraId="5718DF22" w14:textId="0E99D587" w:rsidR="00744620" w:rsidRPr="0070452A" w:rsidRDefault="00744620" w:rsidP="00744620">
      <w:pPr>
        <w:spacing w:line="360" w:lineRule="auto"/>
        <w:jc w:val="both"/>
        <w:rPr>
          <w:rFonts w:ascii="Palatino Linotype" w:eastAsia="Palatino Linotype" w:hAnsi="Palatino Linotype" w:cs="Palatino Linotype"/>
          <w:sz w:val="22"/>
          <w:szCs w:val="22"/>
        </w:rPr>
      </w:pPr>
      <w:bookmarkStart w:id="5" w:name="_heading=h.2et92p0" w:colFirst="0" w:colLast="0"/>
      <w:bookmarkEnd w:id="5"/>
      <w:r w:rsidRPr="0070452A">
        <w:rPr>
          <w:rFonts w:ascii="Palatino Linotype" w:eastAsia="Palatino Linotype" w:hAnsi="Palatino Linotype" w:cs="Palatino Linotype"/>
          <w:sz w:val="22"/>
          <w:szCs w:val="22"/>
        </w:rPr>
        <w:t xml:space="preserve">Bajo ese tenor con fundamento en la segunda hipótesis de la fracción I del artículo 186, de la Ley de Transparencia y Acceso a la Información Pública del Estado de México y Municipios, se </w:t>
      </w:r>
      <w:r w:rsidRPr="0070452A">
        <w:rPr>
          <w:rFonts w:ascii="Palatino Linotype" w:eastAsia="Palatino Linotype" w:hAnsi="Palatino Linotype" w:cs="Palatino Linotype"/>
          <w:i/>
          <w:sz w:val="22"/>
          <w:szCs w:val="22"/>
        </w:rPr>
        <w:t>Sobresee</w:t>
      </w:r>
      <w:r w:rsidRPr="0070452A">
        <w:rPr>
          <w:rFonts w:ascii="Palatino Linotype" w:eastAsia="Palatino Linotype" w:hAnsi="Palatino Linotype" w:cs="Palatino Linotype"/>
          <w:b/>
          <w:sz w:val="22"/>
          <w:szCs w:val="22"/>
        </w:rPr>
        <w:t xml:space="preserve"> </w:t>
      </w:r>
      <w:r w:rsidRPr="0070452A">
        <w:rPr>
          <w:rFonts w:ascii="Palatino Linotype" w:eastAsia="Palatino Linotype" w:hAnsi="Palatino Linotype" w:cs="Palatino Linotype"/>
          <w:sz w:val="22"/>
          <w:szCs w:val="22"/>
        </w:rPr>
        <w:t xml:space="preserve">el recurso de revisión </w:t>
      </w:r>
      <w:r w:rsidRPr="0070452A">
        <w:rPr>
          <w:rFonts w:ascii="Palatino Linotype" w:eastAsia="Palatino Linotype" w:hAnsi="Palatino Linotype" w:cs="Palatino Linotype"/>
          <w:b/>
          <w:sz w:val="22"/>
          <w:szCs w:val="22"/>
        </w:rPr>
        <w:t>071</w:t>
      </w:r>
      <w:r w:rsidR="00FD434A" w:rsidRPr="0070452A">
        <w:rPr>
          <w:rFonts w:ascii="Palatino Linotype" w:eastAsia="Palatino Linotype" w:hAnsi="Palatino Linotype" w:cs="Palatino Linotype"/>
          <w:b/>
          <w:sz w:val="22"/>
          <w:szCs w:val="22"/>
        </w:rPr>
        <w:t>84</w:t>
      </w:r>
      <w:r w:rsidRPr="0070452A">
        <w:rPr>
          <w:rFonts w:ascii="Palatino Linotype" w:eastAsia="Palatino Linotype" w:hAnsi="Palatino Linotype" w:cs="Palatino Linotype"/>
          <w:b/>
          <w:sz w:val="22"/>
          <w:szCs w:val="22"/>
        </w:rPr>
        <w:t>/INFOEM/IP/RR/2026</w:t>
      </w:r>
      <w:r w:rsidRPr="0070452A">
        <w:rPr>
          <w:rFonts w:ascii="Palatino Linotype" w:eastAsia="Palatino Linotype" w:hAnsi="Palatino Linotype" w:cs="Palatino Linotype"/>
          <w:sz w:val="22"/>
          <w:szCs w:val="22"/>
        </w:rPr>
        <w:t>, que ha sido materia del presente fallo.</w:t>
      </w:r>
    </w:p>
    <w:p w14:paraId="703501A0" w14:textId="77777777" w:rsidR="00744620" w:rsidRPr="0070452A" w:rsidRDefault="00744620" w:rsidP="00744620">
      <w:pPr>
        <w:spacing w:before="240" w:after="24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sz w:val="22"/>
          <w:szCs w:val="22"/>
        </w:rPr>
        <w:t xml:space="preserve">Así, con fundamento en lo prescrito en los artículos 5 párrafos cuadragésimo cuarto, cuadragésimo quinto y cuadragésimo sexto, de la Constitución Política del Estado Libre y Soberano de México; transitorio Cuarto del Decreto número 198 de la “LXII” Legislatura del Estado de México; 2, fracción II; 29, 36 fracciones I y II; 176, 178, 181, 185 y 186 fracción II de la </w:t>
      </w:r>
      <w:r w:rsidRPr="0070452A">
        <w:rPr>
          <w:rFonts w:ascii="Palatino Linotype" w:eastAsia="Palatino Linotype" w:hAnsi="Palatino Linotype" w:cs="Palatino Linotype"/>
          <w:sz w:val="22"/>
          <w:szCs w:val="22"/>
        </w:rPr>
        <w:lastRenderedPageBreak/>
        <w:t>Ley de Transparencia y Acceso a la Información Pública del Estado de México y Municipios, este Pleno:</w:t>
      </w:r>
    </w:p>
    <w:p w14:paraId="3C8C5501" w14:textId="77777777" w:rsidR="00744620" w:rsidRPr="0070452A" w:rsidRDefault="00744620" w:rsidP="00744620">
      <w:pPr>
        <w:pBdr>
          <w:top w:val="nil"/>
          <w:left w:val="nil"/>
          <w:bottom w:val="nil"/>
          <w:right w:val="nil"/>
          <w:between w:val="nil"/>
        </w:pBdr>
        <w:spacing w:before="240" w:after="240" w:line="360" w:lineRule="auto"/>
        <w:jc w:val="center"/>
        <w:rPr>
          <w:rFonts w:ascii="Palatino Linotype" w:eastAsia="Palatino Linotype" w:hAnsi="Palatino Linotype" w:cs="Palatino Linotype"/>
          <w:b/>
          <w:bCs/>
          <w:sz w:val="22"/>
          <w:szCs w:val="22"/>
        </w:rPr>
      </w:pPr>
      <w:r w:rsidRPr="0070452A">
        <w:rPr>
          <w:rFonts w:ascii="Palatino Linotype" w:eastAsia="Palatino Linotype" w:hAnsi="Palatino Linotype" w:cs="Palatino Linotype"/>
          <w:b/>
          <w:bCs/>
          <w:sz w:val="22"/>
          <w:szCs w:val="22"/>
        </w:rPr>
        <w:t>III. R E S U E L V E</w:t>
      </w:r>
    </w:p>
    <w:p w14:paraId="6EA5E732" w14:textId="4F81A84B" w:rsidR="00744620" w:rsidRPr="0070452A" w:rsidRDefault="00744620" w:rsidP="00744620">
      <w:pPr>
        <w:spacing w:before="280" w:after="280" w:line="360" w:lineRule="auto"/>
        <w:jc w:val="both"/>
        <w:rPr>
          <w:rFonts w:ascii="Palatino Linotype" w:eastAsia="Palatino Linotype" w:hAnsi="Palatino Linotype" w:cs="Palatino Linotype"/>
          <w:sz w:val="22"/>
          <w:szCs w:val="22"/>
        </w:rPr>
      </w:pPr>
      <w:bookmarkStart w:id="6" w:name="_heading=h.26in1rg" w:colFirst="0" w:colLast="0"/>
      <w:bookmarkStart w:id="7" w:name="_heading=h.lnxbz9" w:colFirst="0" w:colLast="0"/>
      <w:bookmarkEnd w:id="6"/>
      <w:bookmarkEnd w:id="7"/>
      <w:r w:rsidRPr="0070452A">
        <w:rPr>
          <w:rFonts w:ascii="Palatino Linotype" w:eastAsia="Palatino Linotype" w:hAnsi="Palatino Linotype" w:cs="Palatino Linotype"/>
          <w:b/>
          <w:sz w:val="22"/>
          <w:szCs w:val="22"/>
        </w:rPr>
        <w:t xml:space="preserve">Primero. </w:t>
      </w:r>
      <w:r w:rsidRPr="0070452A">
        <w:rPr>
          <w:rFonts w:ascii="Palatino Linotype" w:eastAsia="Palatino Linotype" w:hAnsi="Palatino Linotype" w:cs="Palatino Linotype"/>
          <w:sz w:val="22"/>
          <w:szCs w:val="22"/>
        </w:rPr>
        <w:t>Se</w:t>
      </w:r>
      <w:r w:rsidRPr="0070452A">
        <w:rPr>
          <w:rFonts w:ascii="Palatino Linotype" w:eastAsia="Palatino Linotype" w:hAnsi="Palatino Linotype" w:cs="Palatino Linotype"/>
          <w:b/>
          <w:sz w:val="22"/>
          <w:szCs w:val="22"/>
        </w:rPr>
        <w:t xml:space="preserve"> Sobresee </w:t>
      </w:r>
      <w:r w:rsidRPr="0070452A">
        <w:rPr>
          <w:rFonts w:ascii="Palatino Linotype" w:eastAsia="Palatino Linotype" w:hAnsi="Palatino Linotype" w:cs="Palatino Linotype"/>
          <w:sz w:val="22"/>
          <w:szCs w:val="22"/>
        </w:rPr>
        <w:t xml:space="preserve">el recurso de revisión número </w:t>
      </w:r>
      <w:r w:rsidRPr="0070452A">
        <w:rPr>
          <w:rFonts w:ascii="Palatino Linotype" w:eastAsia="Palatino Linotype" w:hAnsi="Palatino Linotype" w:cs="Palatino Linotype"/>
          <w:b/>
          <w:sz w:val="22"/>
          <w:szCs w:val="22"/>
        </w:rPr>
        <w:t>071</w:t>
      </w:r>
      <w:r w:rsidR="00FD434A" w:rsidRPr="0070452A">
        <w:rPr>
          <w:rFonts w:ascii="Palatino Linotype" w:eastAsia="Palatino Linotype" w:hAnsi="Palatino Linotype" w:cs="Palatino Linotype"/>
          <w:b/>
          <w:sz w:val="22"/>
          <w:szCs w:val="22"/>
        </w:rPr>
        <w:t>84</w:t>
      </w:r>
      <w:r w:rsidRPr="0070452A">
        <w:rPr>
          <w:rFonts w:ascii="Palatino Linotype" w:eastAsia="Palatino Linotype" w:hAnsi="Palatino Linotype" w:cs="Palatino Linotype"/>
          <w:b/>
          <w:sz w:val="22"/>
          <w:szCs w:val="22"/>
        </w:rPr>
        <w:t xml:space="preserve">/INFOEM/IP/RR/2026, </w:t>
      </w:r>
      <w:r w:rsidRPr="0070452A">
        <w:rPr>
          <w:rFonts w:ascii="Palatino Linotype" w:eastAsia="Palatino Linotype" w:hAnsi="Palatino Linotype" w:cs="Palatino Linotype"/>
          <w:sz w:val="22"/>
          <w:szCs w:val="22"/>
        </w:rPr>
        <w:t xml:space="preserve">en términos del artículo 192, fracción V, de la Ley de Transparencia y Acceso a la Información Pública del Estado de México y Municipios, por quedarse sin materia dicho medio de impugnación en términos del considerando </w:t>
      </w:r>
      <w:r w:rsidRPr="0070452A">
        <w:rPr>
          <w:rFonts w:ascii="Palatino Linotype" w:eastAsia="Palatino Linotype" w:hAnsi="Palatino Linotype" w:cs="Palatino Linotype"/>
          <w:b/>
          <w:sz w:val="22"/>
          <w:szCs w:val="22"/>
        </w:rPr>
        <w:t>Tercero</w:t>
      </w:r>
      <w:r w:rsidRPr="0070452A">
        <w:rPr>
          <w:rFonts w:ascii="Palatino Linotype" w:eastAsia="Palatino Linotype" w:hAnsi="Palatino Linotype" w:cs="Palatino Linotype"/>
          <w:i/>
          <w:sz w:val="22"/>
          <w:szCs w:val="22"/>
        </w:rPr>
        <w:t xml:space="preserve"> </w:t>
      </w:r>
      <w:r w:rsidRPr="0070452A">
        <w:rPr>
          <w:rFonts w:ascii="Palatino Linotype" w:eastAsia="Palatino Linotype" w:hAnsi="Palatino Linotype" w:cs="Palatino Linotype"/>
          <w:sz w:val="22"/>
          <w:szCs w:val="22"/>
        </w:rPr>
        <w:t>de la presente Resolución.</w:t>
      </w:r>
    </w:p>
    <w:p w14:paraId="6DA34F37" w14:textId="77777777" w:rsidR="00744620" w:rsidRPr="0070452A" w:rsidRDefault="00744620" w:rsidP="00744620">
      <w:pPr>
        <w:spacing w:before="16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Segundo. Notifíquese, </w:t>
      </w:r>
      <w:r w:rsidRPr="0070452A">
        <w:rPr>
          <w:rFonts w:ascii="Palatino Linotype" w:eastAsia="Palatino Linotype" w:hAnsi="Palatino Linotype" w:cs="Palatino Linotype"/>
          <w:sz w:val="22"/>
          <w:szCs w:val="22"/>
        </w:rPr>
        <w:t>vía</w:t>
      </w:r>
      <w:r w:rsidRPr="0070452A">
        <w:rPr>
          <w:rFonts w:ascii="Palatino Linotype" w:eastAsia="Palatino Linotype" w:hAnsi="Palatino Linotype" w:cs="Palatino Linotype"/>
          <w:b/>
          <w:sz w:val="22"/>
          <w:szCs w:val="22"/>
        </w:rPr>
        <w:t xml:space="preserve"> SAIMEX</w:t>
      </w:r>
      <w:r w:rsidRPr="0070452A">
        <w:rPr>
          <w:rFonts w:ascii="Palatino Linotype" w:eastAsia="Palatino Linotype" w:hAnsi="Palatino Linotype" w:cs="Palatino Linotype"/>
          <w:b/>
          <w:i/>
          <w:sz w:val="22"/>
          <w:szCs w:val="22"/>
        </w:rPr>
        <w:t xml:space="preserve">, </w:t>
      </w:r>
      <w:r w:rsidRPr="0070452A">
        <w:rPr>
          <w:rFonts w:ascii="Palatino Linotype" w:eastAsia="Palatino Linotype" w:hAnsi="Palatino Linotype" w:cs="Palatino Linotype"/>
          <w:sz w:val="22"/>
          <w:szCs w:val="22"/>
        </w:rPr>
        <w:t>la presente resolución</w:t>
      </w:r>
      <w:r w:rsidRPr="0070452A">
        <w:rPr>
          <w:rFonts w:ascii="Palatino Linotype" w:eastAsia="Palatino Linotype" w:hAnsi="Palatino Linotype" w:cs="Palatino Linotype"/>
          <w:b/>
          <w:i/>
          <w:sz w:val="22"/>
          <w:szCs w:val="22"/>
        </w:rPr>
        <w:t xml:space="preserve"> </w:t>
      </w:r>
      <w:r w:rsidRPr="0070452A">
        <w:rPr>
          <w:rFonts w:ascii="Palatino Linotype" w:eastAsia="Palatino Linotype" w:hAnsi="Palatino Linotype" w:cs="Palatino Linotype"/>
          <w:sz w:val="22"/>
          <w:szCs w:val="22"/>
        </w:rPr>
        <w:t xml:space="preserve">a la persona Titular de la Unidad de Transparencia del </w:t>
      </w:r>
      <w:r w:rsidRPr="0070452A">
        <w:rPr>
          <w:rFonts w:ascii="Palatino Linotype" w:eastAsia="Palatino Linotype" w:hAnsi="Palatino Linotype" w:cs="Palatino Linotype"/>
          <w:b/>
          <w:sz w:val="22"/>
          <w:szCs w:val="22"/>
        </w:rPr>
        <w:t>Sujeto Obligado</w:t>
      </w:r>
      <w:r w:rsidRPr="0070452A">
        <w:rPr>
          <w:rFonts w:ascii="Palatino Linotype" w:eastAsia="Palatino Linotype" w:hAnsi="Palatino Linotype" w:cs="Palatino Linotype"/>
          <w:sz w:val="22"/>
          <w:szCs w:val="22"/>
        </w:rPr>
        <w:t xml:space="preserve"> para su conocimiento, en términos del artículo 189 de la Ley de Transparencia y Acceso a la Información Pública del Estado de México y Municipios.</w:t>
      </w:r>
    </w:p>
    <w:p w14:paraId="2D22DA1B" w14:textId="77777777" w:rsidR="00744620" w:rsidRPr="0070452A" w:rsidRDefault="00744620" w:rsidP="00744620">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70452A">
        <w:rPr>
          <w:rFonts w:ascii="Palatino Linotype" w:eastAsia="Palatino Linotype" w:hAnsi="Palatino Linotype" w:cs="Palatino Linotype"/>
          <w:b/>
          <w:sz w:val="22"/>
          <w:szCs w:val="22"/>
        </w:rPr>
        <w:t xml:space="preserve">Tercero. Notifíquese, </w:t>
      </w:r>
      <w:r w:rsidRPr="0070452A">
        <w:rPr>
          <w:rFonts w:ascii="Palatino Linotype" w:eastAsia="Palatino Linotype" w:hAnsi="Palatino Linotype" w:cs="Palatino Linotype"/>
          <w:sz w:val="22"/>
          <w:szCs w:val="22"/>
        </w:rPr>
        <w:t>vía</w:t>
      </w:r>
      <w:r w:rsidRPr="0070452A">
        <w:rPr>
          <w:rFonts w:ascii="Palatino Linotype" w:eastAsia="Palatino Linotype" w:hAnsi="Palatino Linotype" w:cs="Palatino Linotype"/>
          <w:b/>
          <w:sz w:val="22"/>
          <w:szCs w:val="22"/>
        </w:rPr>
        <w:t xml:space="preserve"> SAIMEX</w:t>
      </w:r>
      <w:r w:rsidRPr="0070452A">
        <w:rPr>
          <w:rFonts w:ascii="Palatino Linotype" w:eastAsia="Palatino Linotype" w:hAnsi="Palatino Linotype" w:cs="Palatino Linotype"/>
          <w:sz w:val="22"/>
          <w:szCs w:val="22"/>
        </w:rPr>
        <w:t>, a</w:t>
      </w:r>
      <w:r w:rsidRPr="0070452A">
        <w:rPr>
          <w:rFonts w:ascii="Palatino Linotype" w:eastAsia="Palatino Linotype" w:hAnsi="Palatino Linotype" w:cs="Palatino Linotype"/>
          <w:b/>
          <w:sz w:val="22"/>
          <w:szCs w:val="22"/>
        </w:rPr>
        <w:t xml:space="preserve"> la parte</w:t>
      </w:r>
      <w:r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b/>
          <w:sz w:val="22"/>
          <w:szCs w:val="22"/>
        </w:rPr>
        <w:t>Recurrente</w:t>
      </w:r>
      <w:r w:rsidRPr="0070452A">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podrá impugnarla vía el Juicio de Amparo en los términos de las leyes aplicables.</w:t>
      </w:r>
    </w:p>
    <w:p w14:paraId="279EA261" w14:textId="77777777" w:rsidR="000408BC" w:rsidRPr="0070452A" w:rsidRDefault="000408BC" w:rsidP="000408BC">
      <w:pPr>
        <w:pStyle w:val="NormalWeb"/>
        <w:spacing w:before="0" w:beforeAutospacing="0" w:after="0" w:afterAutospacing="0" w:line="360" w:lineRule="auto"/>
        <w:jc w:val="both"/>
        <w:rPr>
          <w:rFonts w:ascii="Palatino Linotype" w:hAnsi="Palatino Linotype"/>
          <w:sz w:val="22"/>
          <w:szCs w:val="22"/>
          <w:lang w:val="es"/>
        </w:rPr>
      </w:pPr>
    </w:p>
    <w:p w14:paraId="6D9E81A2" w14:textId="11A8F0AE" w:rsidR="00532AE4" w:rsidRPr="003E1FC1" w:rsidRDefault="00A76F12" w:rsidP="00B10274">
      <w:pPr>
        <w:spacing w:line="360" w:lineRule="auto"/>
        <w:ind w:right="49"/>
        <w:jc w:val="both"/>
        <w:rPr>
          <w:rFonts w:ascii="Palatino Linotype" w:eastAsia="Palatino Linotype" w:hAnsi="Palatino Linotype" w:cs="Palatino Linotype"/>
          <w:sz w:val="22"/>
          <w:szCs w:val="22"/>
        </w:rPr>
        <w:sectPr w:rsidR="00532AE4" w:rsidRPr="003E1FC1" w:rsidSect="00027A69">
          <w:headerReference w:type="default" r:id="rId10"/>
          <w:footerReference w:type="default" r:id="rId11"/>
          <w:headerReference w:type="first" r:id="rId12"/>
          <w:footerReference w:type="first" r:id="rId13"/>
          <w:pgSz w:w="12240" w:h="15840"/>
          <w:pgMar w:top="1985" w:right="1467" w:bottom="1701" w:left="1701" w:header="709" w:footer="709" w:gutter="0"/>
          <w:pgNumType w:start="1"/>
          <w:cols w:space="720"/>
          <w:titlePg/>
        </w:sectPr>
      </w:pPr>
      <w:bookmarkStart w:id="8" w:name="_heading=h.1fob9te" w:colFirst="0" w:colLast="0"/>
      <w:bookmarkEnd w:id="8"/>
      <w:r w:rsidRPr="0070452A">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8B2FD1"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sz w:val="22"/>
          <w:szCs w:val="22"/>
        </w:rPr>
        <w:t xml:space="preserve">Y GUADALUPE RAMÍREZ PEÑA; EN LA </w:t>
      </w:r>
      <w:r w:rsidR="008B2FD1" w:rsidRPr="0070452A">
        <w:rPr>
          <w:rFonts w:ascii="Palatino Linotype" w:eastAsia="Palatino Linotype" w:hAnsi="Palatino Linotype" w:cs="Palatino Linotype"/>
          <w:sz w:val="22"/>
          <w:szCs w:val="22"/>
        </w:rPr>
        <w:t xml:space="preserve">TRIGÉSIMA </w:t>
      </w:r>
      <w:r w:rsidR="00744620" w:rsidRPr="0070452A">
        <w:rPr>
          <w:rFonts w:ascii="Palatino Linotype" w:eastAsia="Palatino Linotype" w:hAnsi="Palatino Linotype" w:cs="Palatino Linotype"/>
          <w:sz w:val="22"/>
          <w:szCs w:val="22"/>
        </w:rPr>
        <w:t>TERCERA</w:t>
      </w:r>
      <w:r w:rsidR="00140D3F" w:rsidRPr="0070452A">
        <w:rPr>
          <w:rFonts w:ascii="Palatino Linotype" w:eastAsia="Palatino Linotype" w:hAnsi="Palatino Linotype" w:cs="Palatino Linotype"/>
          <w:sz w:val="22"/>
          <w:szCs w:val="22"/>
        </w:rPr>
        <w:t xml:space="preserve"> </w:t>
      </w:r>
      <w:r w:rsidRPr="0070452A">
        <w:rPr>
          <w:rFonts w:ascii="Palatino Linotype" w:eastAsia="Palatino Linotype" w:hAnsi="Palatino Linotype" w:cs="Palatino Linotype"/>
          <w:sz w:val="22"/>
          <w:szCs w:val="22"/>
        </w:rPr>
        <w:t xml:space="preserve">SESIÓN ORDINARIA CELEBRADA EL </w:t>
      </w:r>
      <w:r w:rsidR="00744620" w:rsidRPr="0070452A">
        <w:rPr>
          <w:rFonts w:ascii="Palatino Linotype" w:eastAsia="Palatino Linotype" w:hAnsi="Palatino Linotype" w:cs="Palatino Linotype"/>
          <w:sz w:val="22"/>
          <w:szCs w:val="22"/>
        </w:rPr>
        <w:t>DIECISIETE</w:t>
      </w:r>
      <w:r w:rsidR="008B2FD1" w:rsidRPr="0070452A">
        <w:rPr>
          <w:rFonts w:ascii="Palatino Linotype" w:eastAsia="Palatino Linotype" w:hAnsi="Palatino Linotype" w:cs="Palatino Linotype"/>
          <w:sz w:val="22"/>
          <w:szCs w:val="22"/>
        </w:rPr>
        <w:t xml:space="preserve"> DE SEPTIEMBRE</w:t>
      </w:r>
      <w:r w:rsidR="00DF5516" w:rsidRPr="0070452A">
        <w:rPr>
          <w:rFonts w:ascii="Palatino Linotype" w:eastAsia="Palatino Linotype" w:hAnsi="Palatino Linotype" w:cs="Palatino Linotype"/>
          <w:sz w:val="22"/>
          <w:szCs w:val="22"/>
        </w:rPr>
        <w:t xml:space="preserve"> DE DOS MIL VEINTISÉIS</w:t>
      </w:r>
      <w:r w:rsidRPr="0070452A">
        <w:rPr>
          <w:rFonts w:ascii="Palatino Linotype" w:eastAsia="Palatino Linotype" w:hAnsi="Palatino Linotype" w:cs="Palatino Linotype"/>
          <w:sz w:val="22"/>
          <w:szCs w:val="22"/>
        </w:rPr>
        <w:t>, ANTE EL SECRETARIO TÉCNICO DEL PLENO ALEXIS TAPIA RAMÍREZ.</w:t>
      </w:r>
      <w:r w:rsidRPr="003E1FC1">
        <w:rPr>
          <w:rFonts w:ascii="Palatino Linotype" w:eastAsia="Palatino Linotype" w:hAnsi="Palatino Linotype" w:cs="Palatino Linotype"/>
          <w:sz w:val="22"/>
          <w:szCs w:val="22"/>
        </w:rPr>
        <w:t xml:space="preserve"> </w:t>
      </w:r>
    </w:p>
    <w:p w14:paraId="74E02134" w14:textId="77777777" w:rsidR="00532AE4" w:rsidRPr="003E1FC1" w:rsidRDefault="00532AE4" w:rsidP="00B1027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3E1FC1" w:rsidRDefault="00532AE4" w:rsidP="00B10274">
      <w:pPr>
        <w:rPr>
          <w:sz w:val="22"/>
          <w:szCs w:val="22"/>
        </w:rPr>
      </w:pPr>
    </w:p>
    <w:sectPr w:rsidR="00532AE4" w:rsidRPr="003E1FC1">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7C7E5" w14:textId="77777777" w:rsidR="00B75CFB" w:rsidRDefault="00B75CFB">
      <w:r>
        <w:separator/>
      </w:r>
    </w:p>
  </w:endnote>
  <w:endnote w:type="continuationSeparator" w:id="0">
    <w:p w14:paraId="62003890" w14:textId="77777777" w:rsidR="00B75CFB" w:rsidRDefault="00B7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2AE3A22D"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70452A">
      <w:rPr>
        <w:rFonts w:ascii="Arial" w:eastAsia="Arial" w:hAnsi="Arial" w:cs="Arial"/>
        <w:b/>
        <w:noProof/>
        <w:color w:val="000000"/>
        <w:sz w:val="20"/>
        <w:szCs w:val="20"/>
      </w:rPr>
      <w:t>17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70452A">
      <w:rPr>
        <w:rFonts w:ascii="Arial" w:eastAsia="Arial" w:hAnsi="Arial" w:cs="Arial"/>
        <w:b/>
        <w:noProof/>
        <w:color w:val="000000"/>
        <w:sz w:val="20"/>
        <w:szCs w:val="20"/>
      </w:rPr>
      <w:t>19</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7B65B218"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70452A">
      <w:rPr>
        <w:rFonts w:ascii="Arial" w:eastAsia="Arial" w:hAnsi="Arial" w:cs="Arial"/>
        <w:b/>
        <w:noProof/>
        <w:color w:val="000000"/>
        <w:sz w:val="20"/>
        <w:szCs w:val="20"/>
      </w:rPr>
      <w:t>1</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70452A">
      <w:rPr>
        <w:rFonts w:ascii="Arial" w:eastAsia="Arial" w:hAnsi="Arial" w:cs="Arial"/>
        <w:b/>
        <w:noProof/>
        <w:color w:val="000000"/>
        <w:sz w:val="20"/>
        <w:szCs w:val="20"/>
      </w:rPr>
      <w:t>19</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9D73" w14:textId="77777777" w:rsidR="00B75CFB" w:rsidRDefault="00B75CFB">
      <w:r>
        <w:separator/>
      </w:r>
    </w:p>
  </w:footnote>
  <w:footnote w:type="continuationSeparator" w:id="0">
    <w:p w14:paraId="3A9C376F" w14:textId="77777777" w:rsidR="00B75CFB" w:rsidRDefault="00B75CFB">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1D3ACC9F" w14:textId="77777777" w:rsidR="008B2FD1" w:rsidRDefault="008B2FD1" w:rsidP="008B2FD1">
      <w:pPr>
        <w:ind w:left="720" w:hanging="720"/>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w:t>
      </w:r>
      <w:r>
        <w:rPr>
          <w:rFonts w:ascii="Palatino Linotype" w:eastAsia="Palatino Linotype" w:hAnsi="Palatino Linotype" w:cs="Palatino Linotype"/>
          <w:b/>
          <w:color w:val="000000"/>
          <w:sz w:val="16"/>
          <w:szCs w:val="16"/>
        </w:rPr>
        <w:t>Artículo 185.</w:t>
      </w:r>
      <w:r>
        <w:rPr>
          <w:rFonts w:ascii="Palatino Linotype" w:eastAsia="Palatino Linotype" w:hAnsi="Palatino Linotype" w:cs="Palatino Linotype"/>
          <w:color w:val="000000"/>
          <w:sz w:val="16"/>
          <w:szCs w:val="16"/>
        </w:rPr>
        <w:t xml:space="preserve"> El Instituto resolverá el recurso de revisión conforme a lo siguiente: (…)</w:t>
      </w:r>
    </w:p>
    <w:p w14:paraId="73C8A1D0" w14:textId="77777777" w:rsidR="008B2FD1" w:rsidRDefault="008B2FD1" w:rsidP="008B2FD1">
      <w:pP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Admitido el recurso de revisión, la o el Comisionado ponente deberá integrar un expediente y ponerlo a disposición de las partes, para que, en un plazo máximo de siete días hábiles, manifiesten lo que a su derecho convenga;”</w:t>
      </w:r>
    </w:p>
  </w:footnote>
  <w:footnote w:id="3">
    <w:p w14:paraId="08C7FCBA" w14:textId="77777777" w:rsidR="00AF5038" w:rsidRDefault="00AF5038" w:rsidP="00AF5038">
      <w:pPr>
        <w:pStyle w:val="Textonotapie"/>
      </w:pPr>
      <w:r>
        <w:rPr>
          <w:rStyle w:val="Refdenotaalpie"/>
        </w:rPr>
        <w:footnoteRef/>
      </w:r>
      <w:r>
        <w:t xml:space="preserve"> </w:t>
      </w:r>
      <w:hyperlink r:id="rId1" w:history="1">
        <w:r w:rsidRPr="005552A2">
          <w:rPr>
            <w:rStyle w:val="Hipervnculo"/>
            <w:rFonts w:ascii="Palatino Linotype" w:hAnsi="Palatino Linotype"/>
            <w:i/>
            <w:sz w:val="16"/>
            <w:szCs w:val="16"/>
          </w:rPr>
          <w:t>https://sistemamexiquense.mx/index.php/noticia/lanzan-14-destinos-futboleros-vivir-pasion-mundialista-edomex</w:t>
        </w:r>
      </w:hyperlink>
      <w:r>
        <w:t xml:space="preserve"> </w:t>
      </w:r>
    </w:p>
  </w:footnote>
  <w:footnote w:id="4">
    <w:p w14:paraId="7B372749" w14:textId="77777777" w:rsidR="00AF5038" w:rsidRDefault="00AF5038" w:rsidP="00AF5038">
      <w:pPr>
        <w:pStyle w:val="Textonotapie"/>
      </w:pPr>
      <w:r>
        <w:rPr>
          <w:rStyle w:val="Refdenotaalpie"/>
        </w:rPr>
        <w:footnoteRef/>
      </w:r>
      <w:r>
        <w:t xml:space="preserve"> </w:t>
      </w:r>
      <w:hyperlink r:id="rId2" w:history="1">
        <w:r w:rsidRPr="004F48F3">
          <w:rPr>
            <w:rStyle w:val="Hipervnculo"/>
            <w:rFonts w:ascii="Palatino Linotype" w:hAnsi="Palatino Linotype"/>
            <w:i/>
            <w:sz w:val="16"/>
            <w:szCs w:val="16"/>
          </w:rPr>
          <w:t>https://estadodemexico.heraldodemexico.com.mx/municipios/2026/5/19/tepotzotlan-sera-destino-futbolero-tendra-actividades-para-el-mundial-2026-10388.html</w:t>
        </w:r>
      </w:hyperlink>
      <w:r>
        <w:t xml:space="preserve"> </w:t>
      </w:r>
    </w:p>
  </w:footnote>
  <w:footnote w:id="5">
    <w:p w14:paraId="0DEB12CF" w14:textId="77777777" w:rsidR="00AF5038" w:rsidRDefault="00AF5038" w:rsidP="00AF5038">
      <w:pPr>
        <w:pStyle w:val="Textonotapie"/>
      </w:pPr>
      <w:r>
        <w:rPr>
          <w:rStyle w:val="Refdenotaalpie"/>
        </w:rPr>
        <w:footnoteRef/>
      </w:r>
      <w:r>
        <w:t xml:space="preserve"> </w:t>
      </w:r>
      <w:hyperlink r:id="rId3" w:history="1">
        <w:r w:rsidRPr="004F48F3">
          <w:rPr>
            <w:rStyle w:val="Hipervnculo"/>
            <w:rFonts w:ascii="Palatino Linotype" w:hAnsi="Palatino Linotype"/>
            <w:i/>
            <w:sz w:val="16"/>
            <w:szCs w:val="16"/>
          </w:rPr>
          <w:t>https://www.facebook.com/zonaceroizcalli/videos/zcn-tepotzotl%C3%A1n-se-convierte-en-un-destino-futbolero-en-este-mundial-la-alcaldes/1483289543573820/</w:t>
        </w:r>
      </w:hyperlink>
      <w:r>
        <w:t xml:space="preserve"> </w:t>
      </w:r>
    </w:p>
    <w:p w14:paraId="0E3D4946" w14:textId="77777777" w:rsidR="00AF5038" w:rsidRDefault="00AF5038" w:rsidP="00AF5038">
      <w:pPr>
        <w:pStyle w:val="Textonotapie"/>
      </w:pPr>
    </w:p>
  </w:footnote>
  <w:footnote w:id="6">
    <w:p w14:paraId="6030AD23" w14:textId="77777777" w:rsidR="00AF5038" w:rsidRDefault="00AF5038" w:rsidP="00AF5038">
      <w:pPr>
        <w:pStyle w:val="Textonotapie"/>
        <w:jc w:val="both"/>
        <w:rPr>
          <w:sz w:val="18"/>
          <w:szCs w:val="18"/>
          <w:u w:val="single"/>
        </w:rPr>
      </w:pPr>
      <w:r w:rsidRPr="000F0A6E">
        <w:rPr>
          <w:vertAlign w:val="superscript"/>
        </w:rPr>
        <w:footnoteRef/>
      </w:r>
      <w:r w:rsidRPr="000F0A6E">
        <w:rPr>
          <w:sz w:val="18"/>
          <w:szCs w:val="18"/>
        </w:rPr>
        <w:t xml:space="preserve"> </w:t>
      </w:r>
      <w:r w:rsidRPr="00667583">
        <w:rPr>
          <w:rFonts w:ascii="Palatino Linotype" w:hAnsi="Palatino Linotype"/>
          <w:i/>
          <w:sz w:val="16"/>
          <w:szCs w:val="16"/>
        </w:rPr>
        <w:t xml:space="preserve">Jurisprudencia con número de registro 1000830, emitida por la Sala Superior, Apéndice de 2011, localizable en VIII. Electoral Primera Parte – Vigentes, Materia Electoral, tesis 191, página 244, y consultable en la página electrónica </w:t>
      </w:r>
      <w:hyperlink r:id="rId4" w:history="1">
        <w:r w:rsidRPr="00667583">
          <w:rPr>
            <w:rStyle w:val="Hipervnculo"/>
            <w:rFonts w:ascii="Palatino Linotype" w:eastAsiaTheme="majorEastAsia" w:hAnsi="Palatino Linotype"/>
            <w:i/>
            <w:sz w:val="16"/>
            <w:szCs w:val="16"/>
          </w:rPr>
          <w:t>https://sjf.scjn.gob.mx/sjfsist/Paginas/DetalleGeneralV2.aspx?ID=1000830&amp;Clase=DetalleTesisBL&amp;Semanario=0</w:t>
        </w:r>
      </w:hyperlink>
      <w:r w:rsidRPr="00667583">
        <w:rPr>
          <w:rFonts w:ascii="Palatino Linotype" w:hAnsi="Palatino Linotype"/>
          <w:i/>
          <w:sz w:val="16"/>
          <w:szCs w:val="16"/>
        </w:rPr>
        <w:t xml:space="preserve"> </w:t>
      </w:r>
      <w:r w:rsidRPr="00667583">
        <w:rPr>
          <w:rFonts w:ascii="Palatino Linotype" w:hAnsi="Palatino Linotype"/>
          <w:i/>
          <w:sz w:val="16"/>
          <w:szCs w:val="16"/>
          <w:u w:val="single"/>
        </w:rPr>
        <w:t>.</w:t>
      </w:r>
    </w:p>
    <w:p w14:paraId="466F0616" w14:textId="77777777" w:rsidR="00AF5038" w:rsidRDefault="00AF5038" w:rsidP="00AF503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670" w:type="dxa"/>
      <w:tblInd w:w="3261" w:type="dxa"/>
      <w:tblLayout w:type="fixed"/>
      <w:tblLook w:val="0400" w:firstRow="0" w:lastRow="0" w:firstColumn="0" w:lastColumn="0" w:noHBand="0" w:noVBand="1"/>
    </w:tblPr>
    <w:tblGrid>
      <w:gridCol w:w="2552"/>
      <w:gridCol w:w="3118"/>
    </w:tblGrid>
    <w:tr w:rsidR="00532AE4" w14:paraId="77695D58" w14:textId="77777777" w:rsidTr="00027A69">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118" w:type="dxa"/>
          <w:vAlign w:val="center"/>
        </w:tcPr>
        <w:p w14:paraId="492A50C4" w14:textId="7669EC6B" w:rsidR="00532AE4" w:rsidRDefault="00F652AE" w:rsidP="00C112BE">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027A69">
            <w:rPr>
              <w:rFonts w:ascii="Palatino Linotype" w:eastAsia="Palatino Linotype" w:hAnsi="Palatino Linotype" w:cs="Palatino Linotype"/>
              <w:b/>
              <w:sz w:val="21"/>
              <w:szCs w:val="21"/>
            </w:rPr>
            <w:t>71</w:t>
          </w:r>
          <w:r w:rsidR="00BE7EF6">
            <w:rPr>
              <w:rFonts w:ascii="Palatino Linotype" w:eastAsia="Palatino Linotype" w:hAnsi="Palatino Linotype" w:cs="Palatino Linotype"/>
              <w:b/>
              <w:sz w:val="21"/>
              <w:szCs w:val="21"/>
            </w:rPr>
            <w:t>84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rsidTr="00027A69">
      <w:trPr>
        <w:trHeight w:val="228"/>
      </w:trPr>
      <w:tc>
        <w:tcPr>
          <w:tcW w:w="2552" w:type="dxa"/>
          <w:shd w:val="clear" w:color="auto" w:fill="auto"/>
          <w:vAlign w:val="center"/>
        </w:tcPr>
        <w:p w14:paraId="452B1DF5" w14:textId="7F97119D"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Sujeto </w:t>
          </w:r>
          <w:r w:rsidR="00027A69">
            <w:rPr>
              <w:rFonts w:ascii="Palatino Linotype" w:eastAsia="Palatino Linotype" w:hAnsi="Palatino Linotype" w:cs="Palatino Linotype"/>
              <w:b/>
              <w:sz w:val="21"/>
              <w:szCs w:val="21"/>
            </w:rPr>
            <w:t>O</w:t>
          </w:r>
          <w:r>
            <w:rPr>
              <w:rFonts w:ascii="Palatino Linotype" w:eastAsia="Palatino Linotype" w:hAnsi="Palatino Linotype" w:cs="Palatino Linotype"/>
              <w:b/>
              <w:sz w:val="21"/>
              <w:szCs w:val="21"/>
            </w:rPr>
            <w:t>bligado:</w:t>
          </w:r>
        </w:p>
      </w:tc>
      <w:tc>
        <w:tcPr>
          <w:tcW w:w="3118" w:type="dxa"/>
          <w:shd w:val="clear" w:color="auto" w:fill="auto"/>
          <w:vAlign w:val="center"/>
        </w:tcPr>
        <w:p w14:paraId="222907A3" w14:textId="6C12AB9D" w:rsidR="00532AE4" w:rsidRDefault="00C51B8C" w:rsidP="0084271D">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84271D">
            <w:rPr>
              <w:rFonts w:ascii="Palatino Linotype" w:eastAsia="Palatino Linotype" w:hAnsi="Palatino Linotype" w:cs="Palatino Linotype"/>
              <w:b/>
              <w:sz w:val="21"/>
              <w:szCs w:val="21"/>
            </w:rPr>
            <w:t>Tepotzotlán</w:t>
          </w:r>
        </w:p>
      </w:tc>
    </w:tr>
    <w:tr w:rsidR="00532AE4" w14:paraId="299BE161" w14:textId="77777777" w:rsidTr="00027A69">
      <w:tc>
        <w:tcPr>
          <w:tcW w:w="2552" w:type="dxa"/>
          <w:vAlign w:val="center"/>
        </w:tcPr>
        <w:p w14:paraId="537FCC09" w14:textId="44E0CFF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Comisionada </w:t>
          </w:r>
          <w:r w:rsidR="00027A69">
            <w:rPr>
              <w:rFonts w:ascii="Palatino Linotype" w:eastAsia="Palatino Linotype" w:hAnsi="Palatino Linotype" w:cs="Palatino Linotype"/>
              <w:b/>
              <w:sz w:val="21"/>
              <w:szCs w:val="21"/>
            </w:rPr>
            <w:t>P</w:t>
          </w:r>
          <w:r>
            <w:rPr>
              <w:rFonts w:ascii="Palatino Linotype" w:eastAsia="Palatino Linotype" w:hAnsi="Palatino Linotype" w:cs="Palatino Linotype"/>
              <w:b/>
              <w:sz w:val="21"/>
              <w:szCs w:val="21"/>
            </w:rPr>
            <w:t>onente:</w:t>
          </w:r>
        </w:p>
      </w:tc>
      <w:tc>
        <w:tcPr>
          <w:tcW w:w="3118"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2354E43A" w:rsidR="00532AE4" w:rsidRDefault="00F73EE5"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731BA8">
            <w:rPr>
              <w:rFonts w:ascii="Palatino Linotype" w:eastAsia="Palatino Linotype" w:hAnsi="Palatino Linotype" w:cs="Palatino Linotype"/>
              <w:b/>
              <w:sz w:val="21"/>
              <w:szCs w:val="21"/>
            </w:rPr>
            <w:t>71</w:t>
          </w:r>
          <w:r w:rsidR="004F3B93">
            <w:rPr>
              <w:rFonts w:ascii="Palatino Linotype" w:eastAsia="Palatino Linotype" w:hAnsi="Palatino Linotype" w:cs="Palatino Linotype"/>
              <w:b/>
              <w:sz w:val="21"/>
              <w:szCs w:val="21"/>
            </w:rPr>
            <w:t>84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BABB853" w:rsidR="00532AE4" w:rsidRDefault="008D2F0A">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XXXXXXXX XXXXXX </w:t>
          </w:r>
          <w:proofErr w:type="spellStart"/>
          <w:r>
            <w:rPr>
              <w:rFonts w:ascii="Palatino Linotype" w:eastAsia="Palatino Linotype" w:hAnsi="Palatino Linotype" w:cs="Palatino Linotype"/>
              <w:b/>
              <w:sz w:val="21"/>
              <w:szCs w:val="21"/>
            </w:rPr>
            <w:t>XXXXXX</w:t>
          </w:r>
          <w:proofErr w:type="spellEnd"/>
        </w:p>
      </w:tc>
    </w:tr>
    <w:tr w:rsidR="00532AE4" w14:paraId="33C0EB5C" w14:textId="77777777">
      <w:trPr>
        <w:trHeight w:val="228"/>
      </w:trPr>
      <w:tc>
        <w:tcPr>
          <w:tcW w:w="2551" w:type="dxa"/>
          <w:vAlign w:val="center"/>
        </w:tcPr>
        <w:p w14:paraId="034F4C87" w14:textId="0A20ADEA"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tc>
      <w:tc>
        <w:tcPr>
          <w:tcW w:w="3687" w:type="dxa"/>
          <w:vAlign w:val="center"/>
        </w:tcPr>
        <w:p w14:paraId="143797A2" w14:textId="57E325F4" w:rsidR="00532AE4" w:rsidRDefault="00C51B8C" w:rsidP="0084271D">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84271D">
            <w:rPr>
              <w:rFonts w:ascii="Palatino Linotype" w:eastAsia="Palatino Linotype" w:hAnsi="Palatino Linotype" w:cs="Palatino Linotype"/>
              <w:b/>
              <w:sz w:val="21"/>
              <w:szCs w:val="21"/>
            </w:rPr>
            <w:t>Tepotzotlán</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125BBA"/>
    <w:multiLevelType w:val="multilevel"/>
    <w:tmpl w:val="6F1E29B2"/>
    <w:lvl w:ilvl="0">
      <w:start w:val="1"/>
      <w:numFmt w:val="lowerLetter"/>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C606599"/>
    <w:multiLevelType w:val="hybridMultilevel"/>
    <w:tmpl w:val="D688D0B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A70EA7"/>
    <w:multiLevelType w:val="multilevel"/>
    <w:tmpl w:val="9B045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1C0F04"/>
    <w:multiLevelType w:val="hybridMultilevel"/>
    <w:tmpl w:val="60A056A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25613B1E"/>
    <w:multiLevelType w:val="multilevel"/>
    <w:tmpl w:val="7736F5A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56A667A"/>
    <w:multiLevelType w:val="hybridMultilevel"/>
    <w:tmpl w:val="3402894C"/>
    <w:lvl w:ilvl="0" w:tplc="AE58D6A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8" w15:restartNumberingAfterBreak="0">
    <w:nsid w:val="3F154260"/>
    <w:multiLevelType w:val="hybridMultilevel"/>
    <w:tmpl w:val="49A23F4A"/>
    <w:lvl w:ilvl="0" w:tplc="FFFFFFFF">
      <w:start w:val="1"/>
      <w:numFmt w:val="decimal"/>
      <w:lvlText w:val="%1."/>
      <w:lvlJc w:val="left"/>
      <w:pPr>
        <w:ind w:left="0" w:firstLine="0"/>
      </w:pPr>
      <w:rPr>
        <w:rFonts w:ascii="Palatino Linotype" w:hAnsi="Palatino Linotype" w:hint="default"/>
        <w:b/>
        <w:i w:val="0"/>
        <w:sz w:val="24"/>
      </w:rPr>
    </w:lvl>
    <w:lvl w:ilvl="1" w:tplc="70529978">
      <w:start w:val="1"/>
      <w:numFmt w:val="upperRoman"/>
      <w:lvlText w:val="%2."/>
      <w:lvlJc w:val="right"/>
      <w:pPr>
        <w:ind w:left="1440" w:hanging="360"/>
      </w:pPr>
      <w:rPr>
        <w:b/>
        <w:bCs/>
      </w:rPr>
    </w:lvl>
    <w:lvl w:ilvl="2" w:tplc="FFFFFFFF">
      <w:start w:val="1"/>
      <w:numFmt w:val="bullet"/>
      <w:lvlText w:val=""/>
      <w:lvlJc w:val="left"/>
      <w:pPr>
        <w:ind w:left="2340" w:hanging="360"/>
      </w:pPr>
      <w:rPr>
        <w:rFonts w:ascii="Wingdings" w:hAnsi="Wingdings" w:cs="Wingdings" w:hint="default"/>
        <w:strike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DC94E57"/>
    <w:multiLevelType w:val="hybridMultilevel"/>
    <w:tmpl w:val="37181E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E064574"/>
    <w:multiLevelType w:val="hybridMultilevel"/>
    <w:tmpl w:val="51B4FD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228606C"/>
    <w:multiLevelType w:val="hybridMultilevel"/>
    <w:tmpl w:val="E17E49BA"/>
    <w:lvl w:ilvl="0" w:tplc="BF12B2E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650794543">
    <w:abstractNumId w:val="9"/>
  </w:num>
  <w:num w:numId="2" w16cid:durableId="1517766014">
    <w:abstractNumId w:val="11"/>
  </w:num>
  <w:num w:numId="3" w16cid:durableId="669218962">
    <w:abstractNumId w:val="0"/>
  </w:num>
  <w:num w:numId="4" w16cid:durableId="542594105">
    <w:abstractNumId w:val="3"/>
  </w:num>
  <w:num w:numId="5" w16cid:durableId="1042362999">
    <w:abstractNumId w:val="10"/>
  </w:num>
  <w:num w:numId="6" w16cid:durableId="1107459266">
    <w:abstractNumId w:val="12"/>
  </w:num>
  <w:num w:numId="7" w16cid:durableId="1480609866">
    <w:abstractNumId w:val="1"/>
  </w:num>
  <w:num w:numId="8" w16cid:durableId="1855262126">
    <w:abstractNumId w:val="6"/>
  </w:num>
  <w:num w:numId="9" w16cid:durableId="1860776505">
    <w:abstractNumId w:val="13"/>
  </w:num>
  <w:num w:numId="10" w16cid:durableId="352538895">
    <w:abstractNumId w:val="4"/>
  </w:num>
  <w:num w:numId="11" w16cid:durableId="51008648">
    <w:abstractNumId w:val="5"/>
  </w:num>
  <w:num w:numId="12" w16cid:durableId="401678443">
    <w:abstractNumId w:val="8"/>
  </w:num>
  <w:num w:numId="13" w16cid:durableId="2003847353">
    <w:abstractNumId w:val="14"/>
  </w:num>
  <w:num w:numId="14" w16cid:durableId="1745251692">
    <w:abstractNumId w:val="7"/>
  </w:num>
  <w:num w:numId="15" w16cid:durableId="255138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325F"/>
    <w:rsid w:val="00017988"/>
    <w:rsid w:val="00022DB6"/>
    <w:rsid w:val="00024779"/>
    <w:rsid w:val="000255E8"/>
    <w:rsid w:val="00026738"/>
    <w:rsid w:val="00026CCF"/>
    <w:rsid w:val="00027A69"/>
    <w:rsid w:val="00027CAF"/>
    <w:rsid w:val="000408BC"/>
    <w:rsid w:val="0004402A"/>
    <w:rsid w:val="0004452B"/>
    <w:rsid w:val="00044D36"/>
    <w:rsid w:val="000458EA"/>
    <w:rsid w:val="000672C5"/>
    <w:rsid w:val="00073044"/>
    <w:rsid w:val="000779FE"/>
    <w:rsid w:val="00095E46"/>
    <w:rsid w:val="0009768A"/>
    <w:rsid w:val="00097E14"/>
    <w:rsid w:val="000A27C2"/>
    <w:rsid w:val="000A27E2"/>
    <w:rsid w:val="000B2D33"/>
    <w:rsid w:val="000B42A5"/>
    <w:rsid w:val="000B673F"/>
    <w:rsid w:val="000C05BE"/>
    <w:rsid w:val="000E1DD7"/>
    <w:rsid w:val="000E63FD"/>
    <w:rsid w:val="000E7889"/>
    <w:rsid w:val="000F296E"/>
    <w:rsid w:val="000F363F"/>
    <w:rsid w:val="000F4794"/>
    <w:rsid w:val="000F6323"/>
    <w:rsid w:val="00111565"/>
    <w:rsid w:val="0011567E"/>
    <w:rsid w:val="00117BE1"/>
    <w:rsid w:val="0012087F"/>
    <w:rsid w:val="00122443"/>
    <w:rsid w:val="0013324A"/>
    <w:rsid w:val="001375F3"/>
    <w:rsid w:val="00137E5A"/>
    <w:rsid w:val="00140D3F"/>
    <w:rsid w:val="00142C2A"/>
    <w:rsid w:val="00147A44"/>
    <w:rsid w:val="001577D2"/>
    <w:rsid w:val="00160B51"/>
    <w:rsid w:val="00161E09"/>
    <w:rsid w:val="0017202B"/>
    <w:rsid w:val="00181147"/>
    <w:rsid w:val="00182B72"/>
    <w:rsid w:val="00195F53"/>
    <w:rsid w:val="001A0373"/>
    <w:rsid w:val="001A1911"/>
    <w:rsid w:val="001C43DA"/>
    <w:rsid w:val="001C7957"/>
    <w:rsid w:val="001E0FB7"/>
    <w:rsid w:val="001E17BD"/>
    <w:rsid w:val="001F057D"/>
    <w:rsid w:val="0020780A"/>
    <w:rsid w:val="0021726A"/>
    <w:rsid w:val="002222E9"/>
    <w:rsid w:val="00223CD6"/>
    <w:rsid w:val="002275D9"/>
    <w:rsid w:val="002502E3"/>
    <w:rsid w:val="002505D0"/>
    <w:rsid w:val="00256FA6"/>
    <w:rsid w:val="00257454"/>
    <w:rsid w:val="00263FD5"/>
    <w:rsid w:val="00267529"/>
    <w:rsid w:val="0027510F"/>
    <w:rsid w:val="002839FA"/>
    <w:rsid w:val="00284E2D"/>
    <w:rsid w:val="002859C5"/>
    <w:rsid w:val="00285CBA"/>
    <w:rsid w:val="0029155A"/>
    <w:rsid w:val="002A005F"/>
    <w:rsid w:val="002B2152"/>
    <w:rsid w:val="002B2F77"/>
    <w:rsid w:val="002C008A"/>
    <w:rsid w:val="002D134E"/>
    <w:rsid w:val="002E01DD"/>
    <w:rsid w:val="002F085C"/>
    <w:rsid w:val="002F4CEB"/>
    <w:rsid w:val="002F6686"/>
    <w:rsid w:val="002F7B9F"/>
    <w:rsid w:val="0030577D"/>
    <w:rsid w:val="0031405F"/>
    <w:rsid w:val="003352D2"/>
    <w:rsid w:val="003666D7"/>
    <w:rsid w:val="00373DBB"/>
    <w:rsid w:val="003755B9"/>
    <w:rsid w:val="00381EC6"/>
    <w:rsid w:val="00384A61"/>
    <w:rsid w:val="00390FDA"/>
    <w:rsid w:val="003973AC"/>
    <w:rsid w:val="003A1F72"/>
    <w:rsid w:val="003A5A60"/>
    <w:rsid w:val="003A5E74"/>
    <w:rsid w:val="003B119C"/>
    <w:rsid w:val="003B3385"/>
    <w:rsid w:val="003B606E"/>
    <w:rsid w:val="003C5888"/>
    <w:rsid w:val="003D45BC"/>
    <w:rsid w:val="003D655D"/>
    <w:rsid w:val="003E1FC1"/>
    <w:rsid w:val="003E2501"/>
    <w:rsid w:val="003E322D"/>
    <w:rsid w:val="003F333A"/>
    <w:rsid w:val="003F5750"/>
    <w:rsid w:val="00401731"/>
    <w:rsid w:val="00404201"/>
    <w:rsid w:val="0041786A"/>
    <w:rsid w:val="004338F4"/>
    <w:rsid w:val="00440AF2"/>
    <w:rsid w:val="00443ACD"/>
    <w:rsid w:val="004472A8"/>
    <w:rsid w:val="00452503"/>
    <w:rsid w:val="00454851"/>
    <w:rsid w:val="00462720"/>
    <w:rsid w:val="004658C7"/>
    <w:rsid w:val="00473767"/>
    <w:rsid w:val="00477276"/>
    <w:rsid w:val="0048279B"/>
    <w:rsid w:val="00487B20"/>
    <w:rsid w:val="0049221F"/>
    <w:rsid w:val="004972E0"/>
    <w:rsid w:val="004A02B4"/>
    <w:rsid w:val="004B5CF1"/>
    <w:rsid w:val="004B77EC"/>
    <w:rsid w:val="004B7B66"/>
    <w:rsid w:val="004C7248"/>
    <w:rsid w:val="004D06BD"/>
    <w:rsid w:val="004D2E4E"/>
    <w:rsid w:val="004E33B0"/>
    <w:rsid w:val="004F3B93"/>
    <w:rsid w:val="004F703B"/>
    <w:rsid w:val="00504180"/>
    <w:rsid w:val="005043C3"/>
    <w:rsid w:val="005231DC"/>
    <w:rsid w:val="00525777"/>
    <w:rsid w:val="005258A5"/>
    <w:rsid w:val="00532AE4"/>
    <w:rsid w:val="00541B43"/>
    <w:rsid w:val="00555E04"/>
    <w:rsid w:val="005652C7"/>
    <w:rsid w:val="00572156"/>
    <w:rsid w:val="00572BEA"/>
    <w:rsid w:val="00581D16"/>
    <w:rsid w:val="00593431"/>
    <w:rsid w:val="005A0442"/>
    <w:rsid w:val="005A647F"/>
    <w:rsid w:val="005A75D6"/>
    <w:rsid w:val="005A79AC"/>
    <w:rsid w:val="005C753B"/>
    <w:rsid w:val="005F2D09"/>
    <w:rsid w:val="005F71E2"/>
    <w:rsid w:val="0061438F"/>
    <w:rsid w:val="00620310"/>
    <w:rsid w:val="00633D0E"/>
    <w:rsid w:val="00645CD0"/>
    <w:rsid w:val="006510FA"/>
    <w:rsid w:val="00656E72"/>
    <w:rsid w:val="00671ADA"/>
    <w:rsid w:val="00680C4E"/>
    <w:rsid w:val="006811D3"/>
    <w:rsid w:val="00686A48"/>
    <w:rsid w:val="00692977"/>
    <w:rsid w:val="006A1805"/>
    <w:rsid w:val="006B7134"/>
    <w:rsid w:val="006C51CD"/>
    <w:rsid w:val="006C56F4"/>
    <w:rsid w:val="006D538C"/>
    <w:rsid w:val="006E680C"/>
    <w:rsid w:val="006F4F00"/>
    <w:rsid w:val="0070452A"/>
    <w:rsid w:val="00707403"/>
    <w:rsid w:val="0071274F"/>
    <w:rsid w:val="00723FB8"/>
    <w:rsid w:val="00724155"/>
    <w:rsid w:val="00731BA8"/>
    <w:rsid w:val="00744620"/>
    <w:rsid w:val="00744B5C"/>
    <w:rsid w:val="007576B0"/>
    <w:rsid w:val="007623E7"/>
    <w:rsid w:val="00773F12"/>
    <w:rsid w:val="00773F7E"/>
    <w:rsid w:val="007968D0"/>
    <w:rsid w:val="007B0474"/>
    <w:rsid w:val="007B73AA"/>
    <w:rsid w:val="007C29CF"/>
    <w:rsid w:val="007C4CA5"/>
    <w:rsid w:val="007C7AE7"/>
    <w:rsid w:val="007D2674"/>
    <w:rsid w:val="007D52C3"/>
    <w:rsid w:val="007E0D41"/>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B17EA"/>
    <w:rsid w:val="008B2FD1"/>
    <w:rsid w:val="008B5DD8"/>
    <w:rsid w:val="008B5E80"/>
    <w:rsid w:val="008C62CB"/>
    <w:rsid w:val="008C7415"/>
    <w:rsid w:val="008D2F0A"/>
    <w:rsid w:val="008D793F"/>
    <w:rsid w:val="009040C4"/>
    <w:rsid w:val="009075E1"/>
    <w:rsid w:val="009100C5"/>
    <w:rsid w:val="00914E95"/>
    <w:rsid w:val="00917EAF"/>
    <w:rsid w:val="0093395A"/>
    <w:rsid w:val="009359E9"/>
    <w:rsid w:val="0094135A"/>
    <w:rsid w:val="00950D94"/>
    <w:rsid w:val="00960206"/>
    <w:rsid w:val="00960D36"/>
    <w:rsid w:val="00960D42"/>
    <w:rsid w:val="009713DE"/>
    <w:rsid w:val="009752BC"/>
    <w:rsid w:val="00982101"/>
    <w:rsid w:val="00992278"/>
    <w:rsid w:val="00994B65"/>
    <w:rsid w:val="009B4D3E"/>
    <w:rsid w:val="009B6117"/>
    <w:rsid w:val="009C1099"/>
    <w:rsid w:val="009C3B23"/>
    <w:rsid w:val="009C5489"/>
    <w:rsid w:val="009D197C"/>
    <w:rsid w:val="009E503C"/>
    <w:rsid w:val="00A2521A"/>
    <w:rsid w:val="00A2700E"/>
    <w:rsid w:val="00A27295"/>
    <w:rsid w:val="00A34F3E"/>
    <w:rsid w:val="00A3559A"/>
    <w:rsid w:val="00A37868"/>
    <w:rsid w:val="00A41B52"/>
    <w:rsid w:val="00A475F9"/>
    <w:rsid w:val="00A63A35"/>
    <w:rsid w:val="00A7256A"/>
    <w:rsid w:val="00A76F12"/>
    <w:rsid w:val="00A8506B"/>
    <w:rsid w:val="00AB3D3A"/>
    <w:rsid w:val="00AB6A2A"/>
    <w:rsid w:val="00AB76D8"/>
    <w:rsid w:val="00AB7CBD"/>
    <w:rsid w:val="00AC6B80"/>
    <w:rsid w:val="00AD14F5"/>
    <w:rsid w:val="00AD43F4"/>
    <w:rsid w:val="00AD6661"/>
    <w:rsid w:val="00AE0B9D"/>
    <w:rsid w:val="00AE446C"/>
    <w:rsid w:val="00AF1AFF"/>
    <w:rsid w:val="00AF5038"/>
    <w:rsid w:val="00B04425"/>
    <w:rsid w:val="00B05163"/>
    <w:rsid w:val="00B06C53"/>
    <w:rsid w:val="00B10274"/>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5CFB"/>
    <w:rsid w:val="00B76CCE"/>
    <w:rsid w:val="00B81E44"/>
    <w:rsid w:val="00B82C51"/>
    <w:rsid w:val="00B86A3D"/>
    <w:rsid w:val="00BB1677"/>
    <w:rsid w:val="00BB1882"/>
    <w:rsid w:val="00BC6C53"/>
    <w:rsid w:val="00BD2189"/>
    <w:rsid w:val="00BD3609"/>
    <w:rsid w:val="00BD6FE6"/>
    <w:rsid w:val="00BE3596"/>
    <w:rsid w:val="00BE3FD2"/>
    <w:rsid w:val="00BE5839"/>
    <w:rsid w:val="00BE7EF6"/>
    <w:rsid w:val="00C112BE"/>
    <w:rsid w:val="00C1235A"/>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17B2"/>
    <w:rsid w:val="00CC1FF9"/>
    <w:rsid w:val="00CC5342"/>
    <w:rsid w:val="00CC5F5E"/>
    <w:rsid w:val="00CD03F3"/>
    <w:rsid w:val="00CD3F09"/>
    <w:rsid w:val="00CD6157"/>
    <w:rsid w:val="00CE1553"/>
    <w:rsid w:val="00CE1FE3"/>
    <w:rsid w:val="00CE36A9"/>
    <w:rsid w:val="00CE6D92"/>
    <w:rsid w:val="00CF4355"/>
    <w:rsid w:val="00CF450F"/>
    <w:rsid w:val="00D10665"/>
    <w:rsid w:val="00D11150"/>
    <w:rsid w:val="00D13FFD"/>
    <w:rsid w:val="00D144C8"/>
    <w:rsid w:val="00D2153C"/>
    <w:rsid w:val="00D21D23"/>
    <w:rsid w:val="00D30ED9"/>
    <w:rsid w:val="00D322AE"/>
    <w:rsid w:val="00D368E9"/>
    <w:rsid w:val="00D60B66"/>
    <w:rsid w:val="00D60C04"/>
    <w:rsid w:val="00D63F31"/>
    <w:rsid w:val="00D65E9E"/>
    <w:rsid w:val="00D738F9"/>
    <w:rsid w:val="00D763D8"/>
    <w:rsid w:val="00D820F0"/>
    <w:rsid w:val="00D867B8"/>
    <w:rsid w:val="00D92AD4"/>
    <w:rsid w:val="00D95F87"/>
    <w:rsid w:val="00DA1E0A"/>
    <w:rsid w:val="00DA21DF"/>
    <w:rsid w:val="00DA3288"/>
    <w:rsid w:val="00DA3ED2"/>
    <w:rsid w:val="00DA70B4"/>
    <w:rsid w:val="00DC6D65"/>
    <w:rsid w:val="00DD2558"/>
    <w:rsid w:val="00DD32DE"/>
    <w:rsid w:val="00DD5465"/>
    <w:rsid w:val="00DE2BC0"/>
    <w:rsid w:val="00DE2CA6"/>
    <w:rsid w:val="00DE336C"/>
    <w:rsid w:val="00DF0F4D"/>
    <w:rsid w:val="00DF5516"/>
    <w:rsid w:val="00E0584E"/>
    <w:rsid w:val="00E07F23"/>
    <w:rsid w:val="00E113C2"/>
    <w:rsid w:val="00E13EBA"/>
    <w:rsid w:val="00E23DB9"/>
    <w:rsid w:val="00E26C0A"/>
    <w:rsid w:val="00E27793"/>
    <w:rsid w:val="00E32375"/>
    <w:rsid w:val="00E34516"/>
    <w:rsid w:val="00E40BD5"/>
    <w:rsid w:val="00E550F0"/>
    <w:rsid w:val="00E55CFA"/>
    <w:rsid w:val="00E62AC2"/>
    <w:rsid w:val="00E72C9D"/>
    <w:rsid w:val="00E733A4"/>
    <w:rsid w:val="00E75C37"/>
    <w:rsid w:val="00E808B6"/>
    <w:rsid w:val="00E90B5E"/>
    <w:rsid w:val="00E94299"/>
    <w:rsid w:val="00EA2965"/>
    <w:rsid w:val="00EA52F2"/>
    <w:rsid w:val="00EA5D00"/>
    <w:rsid w:val="00EB171E"/>
    <w:rsid w:val="00EB74FD"/>
    <w:rsid w:val="00EC52BA"/>
    <w:rsid w:val="00EC6905"/>
    <w:rsid w:val="00EC6BC6"/>
    <w:rsid w:val="00EE3D20"/>
    <w:rsid w:val="00EE5E30"/>
    <w:rsid w:val="00EF561E"/>
    <w:rsid w:val="00EF743D"/>
    <w:rsid w:val="00F24317"/>
    <w:rsid w:val="00F245A6"/>
    <w:rsid w:val="00F30DB1"/>
    <w:rsid w:val="00F419F7"/>
    <w:rsid w:val="00F51A39"/>
    <w:rsid w:val="00F652AE"/>
    <w:rsid w:val="00F73EE5"/>
    <w:rsid w:val="00F97DBF"/>
    <w:rsid w:val="00FA1A00"/>
    <w:rsid w:val="00FC3703"/>
    <w:rsid w:val="00FC45A6"/>
    <w:rsid w:val="00FC71F8"/>
    <w:rsid w:val="00FC791B"/>
    <w:rsid w:val="00FD434A"/>
    <w:rsid w:val="00FD5905"/>
    <w:rsid w:val="00FD5E67"/>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paragraph" w:customStyle="1" w:styleId="isselectedend">
    <w:name w:val="isselectedend"/>
    <w:basedOn w:val="Normal"/>
    <w:rsid w:val="00AF5038"/>
    <w:pPr>
      <w:spacing w:before="100" w:beforeAutospacing="1" w:after="100" w:afterAutospacing="1"/>
    </w:pPr>
    <w:rPr>
      <w:lang w:val="es-MX"/>
    </w:rPr>
  </w:style>
  <w:style w:type="character" w:styleId="Textoennegrita">
    <w:name w:val="Strong"/>
    <w:basedOn w:val="Fuentedeprrafopredeter"/>
    <w:uiPriority w:val="22"/>
    <w:qFormat/>
    <w:rsid w:val="00AF5038"/>
    <w:rPr>
      <w:b/>
      <w:bCs/>
    </w:rPr>
  </w:style>
  <w:style w:type="paragraph" w:customStyle="1" w:styleId="Citas">
    <w:name w:val="Citas"/>
    <w:basedOn w:val="Normal"/>
    <w:qFormat/>
    <w:rsid w:val="00AF5038"/>
    <w:pPr>
      <w:spacing w:before="240" w:after="160" w:line="360" w:lineRule="auto"/>
      <w:ind w:left="851" w:right="851"/>
      <w:jc w:val="both"/>
    </w:pPr>
    <w:rPr>
      <w:rFonts w:ascii="Palatino Linotype" w:eastAsiaTheme="minorHAnsi" w:hAnsi="Palatino Linotype" w:cs="Arial"/>
      <w: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343436213">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zonaceroizcalli/videos/zcn-tepotzotl%C3%A1n-se-convierte-en-un-destino-futbolero-en-este-mundial-la-alcaldes/1483289543573820/" TargetMode="External"/><Relationship Id="rId2" Type="http://schemas.openxmlformats.org/officeDocument/2006/relationships/hyperlink" Target="https://estadodemexico.heraldodemexico.com.mx/municipios/2026/5/19/tepotzotlan-sera-destino-futbolero-tendra-actividades-para-el-mundial-2026-10388.html" TargetMode="External"/><Relationship Id="rId1" Type="http://schemas.openxmlformats.org/officeDocument/2006/relationships/hyperlink" Target="https://sistemamexiquense.mx/index.php/noticia/lanzan-14-destinos-futboleros-vivir-pasion-mundialista-edomex" TargetMode="External"/><Relationship Id="rId4" Type="http://schemas.openxmlformats.org/officeDocument/2006/relationships/hyperlink" Target="https://sjf.scjn.gob.mx/sjfsist/Paginas/DetalleGeneralV2.aspx?ID=1000830&amp;Clase=DetalleTesisBL&amp;Semanario=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AC8D7335-A7F0-43C0-8587-BEB7CB0C4F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5567</Words>
  <Characters>30620</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cp:lastModifiedBy>ADRIANA INFOEM</cp:lastModifiedBy>
  <cp:revision>2</cp:revision>
  <cp:lastPrinted>2026-09-18T20:06:00Z</cp:lastPrinted>
  <dcterms:created xsi:type="dcterms:W3CDTF">2026-09-22T20:08:00Z</dcterms:created>
  <dcterms:modified xsi:type="dcterms:W3CDTF">2026-09-22T20:08:00Z</dcterms:modified>
</cp:coreProperties>
</file>