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3rdcrjn"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veinticinco de marzo de dos mil veintiséis.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bookmarkStart w:colFirst="0" w:colLast="0" w:name="_heading=h.daj3j2xo6q66"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00274/INFOEM/IP/RR/2025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una persona que no proporcionó nombre o seudónimo,</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01611/CUAUTIZC/IP/2025,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Cuautitlán Izcalli,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once de diciembre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“RESPESTO A LA RESPUESTA DE SOLICITUD A "... QUE INFORME LA DIRECCION DE DESARROLLO ECONOMICO SI LA UNIDAD ECONOMICA UBICADA EN Irlanda 10, Centro Urbano, 54700 Cuautitlán Izcalli, Méx., (https://maps.app.goo.gl/eCMR7BKz1YY9wuxo7)CON LA DENOMINACION Losva Mantenimiento Automotriz Integral S.A. de C.V. DE LA CUAL AGREGO IMAGEN PARA SU LOCALIZACIÓN, CUENTA CON DICTAMEN DE GIRO, LICENCIA DE FUNCIONAMIENTO, DICTAMEN DE PC Y EN CASO DE NO CONTAR SEÑALAR PORQUE SIGUE FUNCIONANDO, Y EN CASO DE CONTAR, SOLICITO LA VERSION PUBLICA, DEL PERMISO, LICENCIA QUE AMPARA SU FUNCIONAMIENTO, INGRESO, SOLICITUD O LO QUE SE CUENTE DE ESTA UNIDAD..." QUE AGREGO AL PRESENTE, SOLICITO SE INFORME PORQUE SIGUIE FUNCIONANDO U OPERANDO LA UNIDAD DE CONOMICA SIN LICENCIA DE FUNCIONAMIENTO NI DICTAMEN DE GIRO Y QUE NORMATIVIDAD INFORME QUE PROICEDIMEINTO TIENE O ESTA INICIANDO PARA VEFIRICAR SUS OPERACIONES.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adjuntó una imagen del establecimiento del cual solicita información. </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SAIMEX.</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No se da Curso a Solicitud.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del SAIMEX, sustancialmente en los términos siguientes:   </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notifica respuesta a la solicitud de información...” (sic)</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adjuntó el siguiente archivo “</w:t>
      </w:r>
      <w:r w:rsidDel="00000000" w:rsidR="00000000" w:rsidRPr="00000000">
        <w:rPr>
          <w:rFonts w:ascii="Palatino Linotype" w:cs="Palatino Linotype" w:eastAsia="Palatino Linotype" w:hAnsi="Palatino Linotype"/>
          <w:i w:val="1"/>
          <w:iCs w:val="1"/>
          <w:sz w:val="22"/>
          <w:szCs w:val="22"/>
          <w:rtl w:val="0"/>
        </w:rPr>
        <w:t xml:space="preserve">PM/CUT/1654/2025</w:t>
      </w:r>
      <w:r w:rsidDel="00000000" w:rsidR="00000000" w:rsidRPr="00000000">
        <w:rPr>
          <w:rFonts w:ascii="Palatino Linotype" w:cs="Palatino Linotype" w:eastAsia="Palatino Linotype" w:hAnsi="Palatino Linotype"/>
          <w:sz w:val="22"/>
          <w:szCs w:val="22"/>
          <w:rtl w:val="0"/>
        </w:rPr>
        <w:t xml:space="preserve">”, mediante el cual la Coordinación de Transparencia manifestó que al momento de realizar el estudio y análisis del requerimiento formulado a efecto de poder determinar el área competente para su atención, observó que no se solicitó algún documento especifico, como lo manifiesta el artículo 3 fracción XI de la Ley de Transparencia y Acceso a la Información Pública del Estado de México y Municipios.</w:t>
      </w:r>
    </w:p>
    <w:p w:rsidR="00000000" w:rsidDel="00000000" w:rsidP="00000000" w:rsidRDefault="00000000" w:rsidRPr="00000000" w14:paraId="0000000B">
      <w:pPr>
        <w:tabs>
          <w:tab w:val="left" w:leader="none" w:pos="5071"/>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nueve de enero de dos mil veintiséis,</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sin embargo, al corresponder con un día inhábil se tuvo por interpuesto el </w:t>
      </w:r>
      <w:r w:rsidDel="00000000" w:rsidR="00000000" w:rsidRPr="00000000">
        <w:rPr>
          <w:rFonts w:ascii="Palatino Linotype" w:cs="Palatino Linotype" w:eastAsia="Palatino Linotype" w:hAnsi="Palatino Linotype"/>
          <w:b w:val="1"/>
          <w:bCs w:val="1"/>
          <w:sz w:val="22"/>
          <w:szCs w:val="22"/>
          <w:rtl w:val="0"/>
        </w:rPr>
        <w:t xml:space="preserve">doce de enero de dos mil veintiséis, </w:t>
      </w:r>
      <w:r w:rsidDel="00000000" w:rsidR="00000000" w:rsidRPr="00000000">
        <w:rPr>
          <w:rFonts w:ascii="Palatino Linotype" w:cs="Palatino Linotype" w:eastAsia="Palatino Linotype" w:hAnsi="Palatino Linotype"/>
          <w:sz w:val="22"/>
          <w:szCs w:val="22"/>
          <w:rtl w:val="0"/>
        </w:rPr>
        <w:t xml:space="preserve">mediante la cual requirió lo siguiente:</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0D">
      <w:pPr>
        <w:ind w:left="851" w:right="900" w:firstLine="0"/>
        <w:jc w:val="both"/>
        <w:rPr>
          <w:rFonts w:ascii="Palatino Linotype" w:cs="Palatino Linotype" w:eastAsia="Palatino Linotype" w:hAnsi="Palatino Linotype"/>
          <w:i w:val="1"/>
          <w:iCs w:val="1"/>
          <w:sz w:val="22"/>
          <w:szCs w:val="22"/>
        </w:rPr>
      </w:pPr>
      <w:bookmarkStart w:colFirst="0" w:colLast="0" w:name="_heading=h.3fl6mgj84ag3" w:id="4"/>
      <w:bookmarkEnd w:id="4"/>
      <w:r w:rsidDel="00000000" w:rsidR="00000000" w:rsidRPr="00000000">
        <w:rPr>
          <w:rFonts w:ascii="Palatino Linotype" w:cs="Palatino Linotype" w:eastAsia="Palatino Linotype" w:hAnsi="Palatino Linotype"/>
          <w:i w:val="1"/>
          <w:iCs w:val="1"/>
          <w:sz w:val="22"/>
          <w:szCs w:val="22"/>
          <w:rtl w:val="0"/>
        </w:rPr>
        <w:t xml:space="preserve">“RESPESTO A LA RESPUESTA DE SOLICITUD A "... QUE INFORME LA DIRECCION DE DESARROLLO ECONOMICO SI LA UNIDAD ECONOMICA UBICADA EN Irlanda 10, Centro Urbano, 54700 Cuautitlán Izcalli, Méx., (https://maps.app.goo.gl/eCMR7BKz1YY9wuxo7)CON LA DENOMINACION Losva Mantenimiento Automotriz Integral S.A. de C.V DE LA CUAL AGREGO IMAGEN PARA SU LOCALIZACIÓN, CUENTA CON DICTAMEN DE GIRO, LICENCIA DE FUNCIONAMIENTO, DICTAMEN DE PC Y EN CASO DE NO CONTAR SEÑALAR PORQUE SIGUE FUNCIONANDO, Y EN CASO DE CONTAR, SOLICITO LA VERSION PUBLICA, DEL PERMISO, LICENCIA QUE AMPARA SU FUNCIONAMIENTO, INGRESO, SOLICITUD O LO QUE SE CUENTE DE ESTA UNIDAD..." QUE AGREGO AL PRESENTE, SOLICITO SE INFORME PORQUE SIGUIE FUNCIONANDO U OPERANDO LA UNIDAD DE CONOMICA SIN LICENCIA DE FUNCIONAMIENTO NI DICTAMEN DE GIRO Y QUE NORMATIVIDAD INFORME QUE PROICEDIMEINTO TIENE O ESTA INICIANDO PARA VEFIRICAR SUS OPERACIONES.” (sic)</w:t>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CUENTA CON DICTAMEN DE GIRO, LICENCIA DE FUNCIONAMIENTO, DICTAMEN DE PC Y EN CASO DE NO CONTAR SEÑALAR PORQUE SIGUE FUNCIONANDO, Y EN CASO DE CONTAR, SOLICITO LA VERSION PUBLICA, DEL PERMISO, LICENCIA QUE AMPARA SU FUNCIONAMIENTO, INGRESO, SOLICITUD O LO QUE SE CUENTE DE ESTA UNIDAD.m, sin embargo en su respuesta la cual carece de firma y nombre de quien la emite se menciona no señalo que solicito, lo cual es muy evidente.” (sic)</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adjuntó el oficio mediante el cual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dio respuesta a la solicitud de información.</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b w:val="1"/>
          <w:bCs w:val="1"/>
          <w:strike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dieciséis de enero de dos mil veintiséis,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r w:rsidDel="00000000" w:rsidR="00000000" w:rsidRPr="00000000">
        <w:rPr>
          <w:rtl w:val="0"/>
        </w:rPr>
      </w:r>
    </w:p>
    <w:p w:rsidR="00000000" w:rsidDel="00000000" w:rsidP="00000000" w:rsidRDefault="00000000" w:rsidRPr="00000000" w14:paraId="00000014">
      <w:pPr>
        <w:widowControl w:val="0"/>
        <w:spacing w:after="240" w:before="240" w:line="360" w:lineRule="auto"/>
        <w:ind w:right="49"/>
        <w:jc w:val="both"/>
        <w:rPr>
          <w:rFonts w:ascii="Palatino Linotype" w:cs="Palatino Linotype" w:eastAsia="Palatino Linotype" w:hAnsi="Palatino Linotype"/>
          <w:sz w:val="22"/>
          <w:szCs w:val="22"/>
        </w:rPr>
      </w:pPr>
      <w:bookmarkStart w:colFirst="0" w:colLast="0" w:name="_heading=h.2s8eyo1" w:id="6"/>
      <w:bookmarkEnd w:id="6"/>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constancias del expediente electrónico del SAIMEX, se observa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rendir su informe justificado; así como,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 como se muestra:</w:t>
      </w:r>
    </w:p>
    <w:p w:rsidR="00000000" w:rsidDel="00000000" w:rsidP="00000000" w:rsidRDefault="00000000" w:rsidRPr="00000000" w14:paraId="00000015">
      <w:pPr>
        <w:widowControl w:val="0"/>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6560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66560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diecisiete de marzo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diecisiete de marzo de dos mil veintiséis</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18">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9">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A">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B">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C">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1D">
      <w:pPr>
        <w:widowControl w:val="0"/>
        <w:numPr>
          <w:ilvl w:val="0"/>
          <w:numId w:val="1"/>
        </w:numPr>
        <w:tabs>
          <w:tab w:val="left" w:leader="none" w:pos="851"/>
        </w:tabs>
        <w:spacing w:before="24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E">
      <w:pPr>
        <w:widowControl w:val="0"/>
        <w:numPr>
          <w:ilvl w:val="0"/>
          <w:numId w:val="1"/>
        </w:numPr>
        <w:tabs>
          <w:tab w:val="left" w:leader="none" w:pos="851"/>
        </w:tabs>
        <w:spacing w:before="24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Actividad Procesal del interesado. Acciones u omisiones del interesado.</w:t>
      </w:r>
    </w:p>
    <w:p w:rsidR="00000000" w:rsidDel="00000000" w:rsidP="00000000" w:rsidRDefault="00000000" w:rsidRPr="00000000" w14:paraId="0000001F">
      <w:pPr>
        <w:widowControl w:val="0"/>
        <w:numPr>
          <w:ilvl w:val="0"/>
          <w:numId w:val="1"/>
        </w:numPr>
        <w:tabs>
          <w:tab w:val="left" w:leader="none" w:pos="851"/>
        </w:tabs>
        <w:spacing w:before="24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0">
      <w:pPr>
        <w:widowControl w:val="0"/>
        <w:tabs>
          <w:tab w:val="left" w:leader="none" w:pos="851"/>
        </w:tabs>
        <w:spacing w:before="24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La afectación generada en la situación jurídica de la persona involucrada en el proceso: Violación a sus derechos humanos.</w:t>
      </w:r>
    </w:p>
    <w:p w:rsidR="00000000" w:rsidDel="00000000" w:rsidP="00000000" w:rsidRDefault="00000000" w:rsidRPr="00000000" w14:paraId="00000021">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2">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23">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4">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5">
      <w:pPr>
        <w:widowControl w:val="0"/>
        <w:spacing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6">
      <w:pPr>
        <w:widowControl w:val="0"/>
        <w:spacing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7">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bookmarkStart w:colFirst="0" w:colLast="0" w:name="_heading=h.tyjcwt" w:id="7"/>
      <w:bookmarkEnd w:id="7"/>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 </w:t>
      </w:r>
      <w:r w:rsidDel="00000000" w:rsidR="00000000" w:rsidRPr="00000000">
        <w:rPr>
          <w:rFonts w:ascii="Palatino Linotype" w:cs="Palatino Linotype" w:eastAsia="Palatino Linotype" w:hAnsi="Palatino Linotype"/>
          <w:b w:val="1"/>
          <w:bCs w:val="1"/>
          <w:sz w:val="22"/>
          <w:szCs w:val="22"/>
          <w:rtl w:val="0"/>
        </w:rPr>
        <w:t xml:space="preserve">doce de enero de dos mil veintiséis, </w:t>
      </w:r>
      <w:r w:rsidDel="00000000" w:rsidR="00000000" w:rsidRPr="00000000">
        <w:rPr>
          <w:rFonts w:ascii="Palatino Linotype" w:cs="Palatino Linotype" w:eastAsia="Palatino Linotype" w:hAnsi="Palatino Linotype"/>
          <w:sz w:val="22"/>
          <w:szCs w:val="22"/>
          <w:rtl w:val="0"/>
        </w:rPr>
        <w:t xml:space="preserve">esto es, al sexto día hábil posterior a aquel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w:t>
      </w:r>
      <w:r w:rsidDel="00000000" w:rsidR="00000000" w:rsidRPr="00000000">
        <w:rPr>
          <w:rFonts w:ascii="Palatino Linotype" w:cs="Palatino Linotype" w:eastAsia="Palatino Linotype" w:hAnsi="Palatino Linotype"/>
          <w:b w:val="1"/>
          <w:bCs w:val="1"/>
          <w:sz w:val="22"/>
          <w:szCs w:val="22"/>
          <w:rtl w:val="0"/>
        </w:rPr>
        <w:t xml:space="preserve">nombre</w:t>
      </w:r>
      <w:r w:rsidDel="00000000" w:rsidR="00000000" w:rsidRPr="00000000">
        <w:rPr>
          <w:rFonts w:ascii="Palatino Linotype" w:cs="Palatino Linotype" w:eastAsia="Palatino Linotype" w:hAnsi="Palatino Linotype"/>
          <w:sz w:val="22"/>
          <w:szCs w:val="22"/>
          <w:rtl w:val="0"/>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anónimas</w:t>
      </w:r>
      <w:r w:rsidDel="00000000" w:rsidR="00000000" w:rsidRPr="00000000">
        <w:rPr>
          <w:rFonts w:ascii="Palatino Linotype" w:cs="Palatino Linotype" w:eastAsia="Palatino Linotype" w:hAnsi="Palatino Linotype"/>
          <w:i w:val="1"/>
          <w:iCs w:val="1"/>
          <w:sz w:val="22"/>
          <w:szCs w:val="22"/>
          <w:rtl w:val="0"/>
        </w:rPr>
        <w:t xml:space="preserve">, con nombre incompleto o </w:t>
      </w:r>
      <w:r w:rsidDel="00000000" w:rsidR="00000000" w:rsidRPr="00000000">
        <w:rPr>
          <w:rFonts w:ascii="Palatino Linotype" w:cs="Palatino Linotype" w:eastAsia="Palatino Linotype" w:hAnsi="Palatino Linotype"/>
          <w:b w:val="1"/>
          <w:bCs w:val="1"/>
          <w:i w:val="1"/>
          <w:iCs w:val="1"/>
          <w:sz w:val="22"/>
          <w:szCs w:val="22"/>
          <w:rtl w:val="0"/>
        </w:rPr>
        <w:t xml:space="preserve">seudónimo</w:t>
      </w:r>
      <w:r w:rsidDel="00000000" w:rsidR="00000000" w:rsidRPr="00000000">
        <w:rPr>
          <w:rFonts w:ascii="Palatino Linotype" w:cs="Palatino Linotype" w:eastAsia="Palatino Linotype" w:hAnsi="Palatino Linotype"/>
          <w:i w:val="1"/>
          <w:iCs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bCs w:val="1"/>
          <w:sz w:val="22"/>
          <w:szCs w:val="22"/>
          <w:rtl w:val="0"/>
        </w:rPr>
        <w:t xml:space="preserve"> SAIMEX.</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32">
      <w:pPr>
        <w:tabs>
          <w:tab w:val="left" w:leader="none" w:pos="7938"/>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3">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i w:val="1"/>
          <w:iCs w:val="1"/>
          <w:sz w:val="22"/>
          <w:szCs w:val="22"/>
          <w:rtl w:val="0"/>
        </w:rPr>
        <w:t xml:space="preserve">La negativa a la información solicitada;”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2"/>
          <w:szCs w:val="22"/>
        </w:rPr>
      </w:pPr>
      <w:bookmarkStart w:colFirst="0" w:colLast="0" w:name="_heading=h.2et92p0" w:id="8"/>
      <w:bookmarkEnd w:id="8"/>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3C">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3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4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4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C">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lo siguiente:</w:t>
      </w:r>
    </w:p>
    <w:p w:rsidR="00000000" w:rsidDel="00000000" w:rsidP="00000000" w:rsidRDefault="00000000" w:rsidRPr="00000000" w14:paraId="0000004D">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unidad económica referida en la solicitud:</w:t>
      </w:r>
    </w:p>
    <w:p w:rsidR="00000000" w:rsidDel="00000000" w:rsidP="00000000" w:rsidRDefault="00000000" w:rsidRPr="00000000" w14:paraId="0000004E">
      <w:pP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Si cuenta con dictamen de giro, licencia de funcionamiento, dictamen de protección civil, en caso afirmativo, la versión pública del permiso, licencia que ampara su funcionamiento, ingreso, solicitud o documento con el que se cuente de dicha unidad.</w:t>
      </w:r>
    </w:p>
    <w:p w:rsidR="00000000" w:rsidDel="00000000" w:rsidP="00000000" w:rsidRDefault="00000000" w:rsidRPr="00000000" w14:paraId="0000004F">
      <w:pP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En caso de no contar con la información señalada en el punto anterior, se indique por qué sigue funcionando sin licencia de funcionamiento, dictamen de giro o normatividad.</w:t>
      </w:r>
    </w:p>
    <w:p w:rsidR="00000000" w:rsidDel="00000000" w:rsidP="00000000" w:rsidRDefault="00000000" w:rsidRPr="00000000" w14:paraId="00000050">
      <w:pP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 El procedimiento iniciado para verificar sus operaciones.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la solicitud, la Coordinación de Transparencia manifestó que al momento de realizar el estudio y análisis del requerimiento formulado a efecto de poder determinar el área competente para su atención, observó que no se solicitó algún documento especifico, como lo manifiesta el artículo 3 fracción XI de la Ley de Transparencia y Acceso a la Información Pública del Estado de México y Municipios, motivando así la interposición del recurso de revisión que nos ocupa, donde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señaló que solicitó saber si la unidad económica referida cuenta con dictamen de giro, licencia de funcionamiento, dictamen de protección civil,  en caso afirmativo, la versión pública del permiso, licencia que ampara el funcionamiento, ingreso, solicitud o el documento con el que se cuente de dicha unidad; en caso contrario se indicara por qué sigue funcionando la unidad económica. </w:t>
      </w:r>
    </w:p>
    <w:p w:rsidR="00000000" w:rsidDel="00000000" w:rsidP="00000000" w:rsidRDefault="00000000" w:rsidRPr="00000000" w14:paraId="0000005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 etapa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rendir su informe justificado, y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es de señalar en primer lugar, que de la lectura del motivo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advierte que esta no manifestó agravios respecto del procedimiento iniciado para verificar las operaciones de la unidad económica referida, por lo tanto, esta parte de la solicitud, al no haber sido impugnada, debe declararse consentida.</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éste no expresa razón o motivo de inconformidad en contra de todos los rubros solicitados, dichos rubros deben declararse atendidos, ya que al no haber realizado manifestaciones de inconformidad al respecto, no pueden producirse efectos jurídicos tendentes a revocar, confirmar o modificar el acto.</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iCs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9">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iCs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se insiste, ante la falta de impugnación eficaz, la parte de la solicitud que no fue impugnada debe declararse consentida por la persona solicitante, y por consiguiente, no es procedente el análisis de fondo en la resolución.</w:t>
      </w:r>
    </w:p>
    <w:p w:rsidR="00000000" w:rsidDel="00000000" w:rsidP="00000000" w:rsidRDefault="00000000" w:rsidRPr="00000000" w14:paraId="0000005B">
      <w:pPr>
        <w:spacing w:after="240" w:before="240" w:line="360" w:lineRule="auto"/>
        <w:ind w:right="49"/>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En segundo lugar, por lo que se refiere a: </w:t>
      </w:r>
      <w:r w:rsidDel="00000000" w:rsidR="00000000" w:rsidRPr="00000000">
        <w:rPr>
          <w:rFonts w:ascii="Palatino Linotype" w:cs="Palatino Linotype" w:eastAsia="Palatino Linotype" w:hAnsi="Palatino Linotype"/>
          <w:i w:val="1"/>
          <w:iCs w:val="1"/>
          <w:sz w:val="22"/>
          <w:szCs w:val="22"/>
          <w:rtl w:val="0"/>
        </w:rPr>
        <w:t xml:space="preserve">se indique por qué la unidad económica sigue funcionando sin licencia de funcionamiento, dictamen de giro o normatividad, en caso de no contar con los documentos que amparen su funcionamiento</w:t>
      </w:r>
      <w:r w:rsidDel="00000000" w:rsidR="00000000" w:rsidRPr="00000000">
        <w:rPr>
          <w:rFonts w:ascii="Palatino Linotype" w:cs="Palatino Linotype" w:eastAsia="Palatino Linotype" w:hAnsi="Palatino Linotype"/>
          <w:sz w:val="22"/>
          <w:szCs w:val="22"/>
          <w:rtl w:val="0"/>
        </w:rPr>
        <w:t xml:space="preserve">, debe apuntarse que del análisis del requerimiento de información, se advirtió que, a través del mismo, la persona solicitante pretende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responda o se pronuncie sobre una situación en concreto, lo cual conlleva a precisar que con tales planteamientos no se pretendió ejercer el derecho de acceso a la información pública; sino que por este medio se presentó una interrogante cuya finalidad consiste en obligar a la autoridad a que actúe en el sentido de contestar lo solicitado, que no es factible atenderse vía acceso a la información pública, toda vez, que la atención a dichos cuestionamientos no se pueden colmar con documentos que obren en los archivos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del análisis realizado al expediente electrónico, se advierte que esta parte de la solicitud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 </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iCs w:val="1"/>
          <w:sz w:val="22"/>
          <w:szCs w:val="22"/>
          <w:rtl w:val="0"/>
        </w:rPr>
        <w:t xml:space="preserve">o.</w:t>
      </w:r>
      <w:r w:rsidDel="00000000" w:rsidR="00000000" w:rsidRPr="00000000">
        <w:rPr>
          <w:rFonts w:ascii="Palatino Linotype" w:cs="Palatino Linotype" w:eastAsia="Palatino Linotype" w:hAnsi="Palatino Linotype"/>
          <w:i w:val="1"/>
          <w:iCs w:val="1"/>
          <w:sz w:val="22"/>
          <w:szCs w:val="22"/>
          <w:vertAlign w:val="superscript"/>
          <w:rtl w:val="0"/>
        </w:rPr>
        <w:t xml:space="preserve"> </w:t>
      </w:r>
      <w:r w:rsidDel="00000000" w:rsidR="00000000" w:rsidRPr="00000000">
        <w:rPr>
          <w:rFonts w:ascii="Palatino Linotype" w:cs="Palatino Linotype" w:eastAsia="Palatino Linotype" w:hAnsi="Palatino Linotype"/>
          <w:i w:val="1"/>
          <w:iCs w:val="1"/>
          <w:sz w:val="22"/>
          <w:szCs w:val="22"/>
          <w:vertAlign w:val="superscript"/>
        </w:rPr>
        <w:footnoteReference w:customMarkFollows="0" w:id="0"/>
      </w:r>
      <w:r w:rsidDel="00000000" w:rsidR="00000000" w:rsidRPr="00000000">
        <w:rPr>
          <w:rFonts w:ascii="Palatino Linotype" w:cs="Palatino Linotype" w:eastAsia="Palatino Linotype" w:hAnsi="Palatino Linotype"/>
          <w:i w:val="1"/>
          <w:iCs w:val="1"/>
          <w:sz w:val="22"/>
          <w:szCs w:val="22"/>
          <w:rtl w:val="0"/>
        </w:rPr>
        <w:t xml:space="preserve">” (Sic) </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sz w:val="22"/>
          <w:szCs w:val="22"/>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sz w:val="22"/>
          <w:szCs w:val="22"/>
          <w:rtl w:val="0"/>
        </w:rPr>
        <w:t xml:space="preserve">, a saber: como un derecho fundamental de participación política ya que </w:t>
      </w:r>
      <w:r w:rsidDel="00000000" w:rsidR="00000000" w:rsidRPr="00000000">
        <w:rPr>
          <w:rFonts w:ascii="Palatino Linotype" w:cs="Palatino Linotype" w:eastAsia="Palatino Linotype" w:hAnsi="Palatino Linotype"/>
          <w:sz w:val="22"/>
          <w:szCs w:val="22"/>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bCs w:val="1"/>
          <w:sz w:val="22"/>
          <w:szCs w:val="22"/>
          <w:u w:val="single"/>
          <w:rtl w:val="0"/>
        </w:rPr>
        <w:t xml:space="preserve">inquietudes, quejas</w:t>
      </w:r>
      <w:r w:rsidDel="00000000" w:rsidR="00000000" w:rsidRPr="00000000">
        <w:rPr>
          <w:rFonts w:ascii="Palatino Linotype" w:cs="Palatino Linotype" w:eastAsia="Palatino Linotype" w:hAnsi="Palatino Linotype"/>
          <w:sz w:val="22"/>
          <w:szCs w:val="22"/>
          <w:u w:val="single"/>
          <w:rtl w:val="0"/>
        </w:rPr>
        <w:t xml:space="preserve">, sugerencias</w:t>
      </w:r>
      <w:r w:rsidDel="00000000" w:rsidR="00000000" w:rsidRPr="00000000">
        <w:rPr>
          <w:rFonts w:ascii="Palatino Linotype" w:cs="Palatino Linotype" w:eastAsia="Palatino Linotype" w:hAnsi="Palatino Linotype"/>
          <w:sz w:val="22"/>
          <w:szCs w:val="22"/>
          <w:rtl w:val="0"/>
        </w:rPr>
        <w:t xml:space="preserve"> y requerimientos en cualquier materia o asunto; y como una </w:t>
      </w:r>
      <w:r w:rsidDel="00000000" w:rsidR="00000000" w:rsidRPr="00000000">
        <w:rPr>
          <w:rFonts w:ascii="Palatino Linotype" w:cs="Palatino Linotype" w:eastAsia="Palatino Linotype" w:hAnsi="Palatino Linotype"/>
          <w:b w:val="1"/>
          <w:bCs w:val="1"/>
          <w:sz w:val="22"/>
          <w:szCs w:val="22"/>
          <w:rtl w:val="0"/>
        </w:rPr>
        <w:t xml:space="preserve">forma específica de la libertad de expresión</w:t>
      </w:r>
      <w:r w:rsidDel="00000000" w:rsidR="00000000" w:rsidRPr="00000000">
        <w:rPr>
          <w:rFonts w:ascii="Palatino Linotype" w:cs="Palatino Linotype" w:eastAsia="Palatino Linotype" w:hAnsi="Palatino Linotype"/>
          <w:sz w:val="22"/>
          <w:szCs w:val="22"/>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autor anteriormente citado, indica que el </w:t>
      </w:r>
      <w:r w:rsidDel="00000000" w:rsidR="00000000" w:rsidRPr="00000000">
        <w:rPr>
          <w:rFonts w:ascii="Palatino Linotype" w:cs="Palatino Linotype" w:eastAsia="Palatino Linotype" w:hAnsi="Palatino Linotype"/>
          <w:b w:val="1"/>
          <w:bCs w:val="1"/>
          <w:sz w:val="22"/>
          <w:szCs w:val="22"/>
          <w:u w:val="single"/>
          <w:rtl w:val="0"/>
        </w:rPr>
        <w:t xml:space="preserve">derecho de acceso a la información pública</w:t>
      </w:r>
      <w:r w:rsidDel="00000000" w:rsidR="00000000" w:rsidRPr="00000000">
        <w:rPr>
          <w:rFonts w:ascii="Palatino Linotype" w:cs="Palatino Linotype" w:eastAsia="Palatino Linotype" w:hAnsi="Palatino Linotype"/>
          <w:sz w:val="22"/>
          <w:szCs w:val="22"/>
          <w:rtl w:val="0"/>
        </w:rPr>
        <w:t xml:space="preserve"> es el derecho de conocer la </w:t>
      </w:r>
      <w:r w:rsidDel="00000000" w:rsidR="00000000" w:rsidRPr="00000000">
        <w:rPr>
          <w:rFonts w:ascii="Palatino Linotype" w:cs="Palatino Linotype" w:eastAsia="Palatino Linotype" w:hAnsi="Palatino Linotype"/>
          <w:b w:val="1"/>
          <w:bCs w:val="1"/>
          <w:sz w:val="22"/>
          <w:szCs w:val="22"/>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sz w:val="22"/>
          <w:szCs w:val="22"/>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concluir que la distinción entre el </w:t>
      </w:r>
      <w:r w:rsidDel="00000000" w:rsidR="00000000" w:rsidRPr="00000000">
        <w:rPr>
          <w:rFonts w:ascii="Palatino Linotype" w:cs="Palatino Linotype" w:eastAsia="Palatino Linotype" w:hAnsi="Palatino Linotype"/>
          <w:b w:val="1"/>
          <w:bCs w:val="1"/>
          <w:sz w:val="22"/>
          <w:szCs w:val="22"/>
          <w:u w:val="single"/>
          <w:rtl w:val="0"/>
        </w:rPr>
        <w:t xml:space="preserve">derecho de petición</w:t>
      </w:r>
      <w:r w:rsidDel="00000000" w:rsidR="00000000" w:rsidRPr="00000000">
        <w:rPr>
          <w:rFonts w:ascii="Palatino Linotype" w:cs="Palatino Linotype" w:eastAsia="Palatino Linotype" w:hAnsi="Palatino Linotype"/>
          <w:sz w:val="22"/>
          <w:szCs w:val="22"/>
          <w:rtl w:val="0"/>
        </w:rPr>
        <w:t xml:space="preserve"> y el derecho de acceso a la información descansa principalmente, en que </w:t>
      </w:r>
      <w:r w:rsidDel="00000000" w:rsidR="00000000" w:rsidRPr="00000000">
        <w:rPr>
          <w:rFonts w:ascii="Palatino Linotype" w:cs="Palatino Linotype" w:eastAsia="Palatino Linotype" w:hAnsi="Palatino Linotype"/>
          <w:b w:val="1"/>
          <w:bCs w:val="1"/>
          <w:sz w:val="22"/>
          <w:szCs w:val="22"/>
          <w:rtl w:val="0"/>
        </w:rPr>
        <w:t xml:space="preserve">la pretensión del peticionario consiste generalmente en obligar a la autoridad responsable a que actúe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en el sentido de contestar lo solicitado</w:t>
      </w:r>
      <w:r w:rsidDel="00000000" w:rsidR="00000000" w:rsidRPr="00000000">
        <w:rPr>
          <w:rFonts w:ascii="Palatino Linotype" w:cs="Palatino Linotype" w:eastAsia="Palatino Linotype" w:hAnsi="Palatino Linotype"/>
          <w:sz w:val="22"/>
          <w:szCs w:val="22"/>
          <w:rtl w:val="0"/>
        </w:rPr>
        <w:t xml:space="preserve">, mientras que </w:t>
      </w:r>
      <w:r w:rsidDel="00000000" w:rsidR="00000000" w:rsidRPr="00000000">
        <w:rPr>
          <w:rFonts w:ascii="Palatino Linotype" w:cs="Palatino Linotype" w:eastAsia="Palatino Linotype" w:hAnsi="Palatino Linotype"/>
          <w:b w:val="1"/>
          <w:bCs w:val="1"/>
          <w:sz w:val="22"/>
          <w:szCs w:val="22"/>
          <w:u w:val="single"/>
          <w:rtl w:val="0"/>
        </w:rPr>
        <w:t xml:space="preserve">en el derecho de acceso a la información pública,</w:t>
      </w:r>
      <w:r w:rsidDel="00000000" w:rsidR="00000000" w:rsidRPr="00000000">
        <w:rPr>
          <w:rFonts w:ascii="Palatino Linotype" w:cs="Palatino Linotype" w:eastAsia="Palatino Linotype" w:hAnsi="Palatino Linotype"/>
          <w:b w:val="1"/>
          <w:bCs w:val="1"/>
          <w:sz w:val="22"/>
          <w:szCs w:val="22"/>
          <w:rtl w:val="0"/>
        </w:rPr>
        <w:t xml:space="preserve"> la pretensión radica en que se permita el acceso a datos y todo tipo de documentación que tenga el carácter de información pública, que sea generada, administrada o se encuentre en posesión de los</w:t>
      </w:r>
      <w:r w:rsidDel="00000000" w:rsidR="00000000" w:rsidRPr="00000000">
        <w:rPr>
          <w:rFonts w:ascii="Palatino Linotype" w:cs="Palatino Linotype" w:eastAsia="Palatino Linotype" w:hAnsi="Palatino Linotype"/>
          <w:sz w:val="22"/>
          <w:szCs w:val="22"/>
          <w:rtl w:val="0"/>
        </w:rPr>
        <w:t xml:space="preserve"> considerados </w:t>
      </w:r>
      <w:r w:rsidDel="00000000" w:rsidR="00000000" w:rsidRPr="00000000">
        <w:rPr>
          <w:rFonts w:ascii="Palatino Linotype" w:cs="Palatino Linotype" w:eastAsia="Palatino Linotype" w:hAnsi="Palatino Linotype"/>
          <w:b w:val="1"/>
          <w:bCs w:val="1"/>
          <w:sz w:val="22"/>
          <w:szCs w:val="22"/>
          <w:rtl w:val="0"/>
        </w:rPr>
        <w:t xml:space="preserve">Sujetos Obligados</w:t>
      </w:r>
      <w:r w:rsidDel="00000000" w:rsidR="00000000" w:rsidRPr="00000000">
        <w:rPr>
          <w:rFonts w:ascii="Palatino Linotype" w:cs="Palatino Linotype" w:eastAsia="Palatino Linotype" w:hAnsi="Palatino Linotype"/>
          <w:sz w:val="22"/>
          <w:szCs w:val="22"/>
          <w:rtl w:val="0"/>
        </w:rPr>
        <w:t xml:space="preserve"> por la Ley de la Materia.</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Con base a lo anterior, se insiste que de la lectura de los requerimientos de información </w:t>
      </w:r>
      <w:r w:rsidDel="00000000" w:rsidR="00000000" w:rsidRPr="00000000">
        <w:rPr>
          <w:rFonts w:ascii="Palatino Linotype" w:cs="Palatino Linotype" w:eastAsia="Palatino Linotype" w:hAnsi="Palatino Linotype"/>
          <w:b w:val="1"/>
          <w:bCs w:val="1"/>
          <w:sz w:val="22"/>
          <w:szCs w:val="22"/>
          <w:u w:val="single"/>
          <w:rtl w:val="0"/>
        </w:rPr>
        <w:t xml:space="preserve">no se advierte que la persona solicitante pretenda el acceso a documentos previamente generados</w:t>
      </w:r>
      <w:r w:rsidDel="00000000" w:rsidR="00000000" w:rsidRPr="00000000">
        <w:rPr>
          <w:rFonts w:ascii="Palatino Linotype" w:cs="Palatino Linotype" w:eastAsia="Palatino Linotype" w:hAnsi="Palatino Linotype"/>
          <w:b w:val="1"/>
          <w:bCs w:val="1"/>
          <w:sz w:val="22"/>
          <w:szCs w:val="22"/>
          <w:rtl w:val="0"/>
        </w:rPr>
        <w:t xml:space="preserve">, s</w:t>
      </w:r>
      <w:r w:rsidDel="00000000" w:rsidR="00000000" w:rsidRPr="00000000">
        <w:rPr>
          <w:rFonts w:ascii="Palatino Linotype" w:cs="Palatino Linotype" w:eastAsia="Palatino Linotype" w:hAnsi="Palatino Linotype"/>
          <w:sz w:val="22"/>
          <w:szCs w:val="22"/>
          <w:rtl w:val="0"/>
        </w:rPr>
        <w:t xml:space="preserve">ino más bien, </w:t>
      </w:r>
      <w:r w:rsidDel="00000000" w:rsidR="00000000" w:rsidRPr="00000000">
        <w:rPr>
          <w:rFonts w:ascii="Palatino Linotype" w:cs="Palatino Linotype" w:eastAsia="Palatino Linotype" w:hAnsi="Palatino Linotype"/>
          <w:b w:val="1"/>
          <w:bCs w:val="1"/>
          <w:sz w:val="22"/>
          <w:szCs w:val="22"/>
          <w:u w:val="single"/>
          <w:rtl w:val="0"/>
        </w:rPr>
        <w:t xml:space="preserve">requiere un pronunciamiento específico por parte del Sujeto Obligado que dé respuesta a las inquietudes que plantea,</w:t>
      </w:r>
      <w:r w:rsidDel="00000000" w:rsidR="00000000" w:rsidRPr="00000000">
        <w:rPr>
          <w:rFonts w:ascii="Palatino Linotype" w:cs="Palatino Linotype" w:eastAsia="Palatino Linotype" w:hAnsi="Palatino Linotype"/>
          <w:sz w:val="22"/>
          <w:szCs w:val="22"/>
          <w:rtl w:val="0"/>
        </w:rPr>
        <w:t xml:space="preserve"> toda vez que </w:t>
      </w:r>
      <w:r w:rsidDel="00000000" w:rsidR="00000000" w:rsidRPr="00000000">
        <w:rPr>
          <w:rFonts w:ascii="Palatino Linotype" w:cs="Palatino Linotype" w:eastAsia="Palatino Linotype" w:hAnsi="Palatino Linotype"/>
          <w:b w:val="1"/>
          <w:bCs w:val="1"/>
          <w:sz w:val="22"/>
          <w:szCs w:val="22"/>
          <w:u w:val="single"/>
          <w:rtl w:val="0"/>
        </w:rPr>
        <w:t xml:space="preserve">lo que cuestiona es el motivo o las razones por las cuales la unidad económica referida opera sin licencia de funcionamiento, dictamen de giro o normatividad.</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no debe perderse de vista que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Del="00000000" w:rsidR="00000000" w:rsidRPr="00000000">
        <w:rPr>
          <w:rFonts w:ascii="Palatino Linotype" w:cs="Palatino Linotype" w:eastAsia="Palatino Linotype" w:hAnsi="Palatino Linotype"/>
          <w:b w:val="1"/>
          <w:bCs w:val="1"/>
          <w:sz w:val="22"/>
          <w:szCs w:val="22"/>
          <w:u w:val="single"/>
          <w:rtl w:val="0"/>
        </w:rPr>
        <w:t xml:space="preserve">interrogantes, inquietudes, quejas y manifestaciones</w:t>
      </w:r>
      <w:r w:rsidDel="00000000" w:rsidR="00000000" w:rsidRPr="00000000">
        <w:rPr>
          <w:rFonts w:ascii="Palatino Linotype" w:cs="Palatino Linotype" w:eastAsia="Palatino Linotype" w:hAnsi="Palatino Linotype"/>
          <w:sz w:val="22"/>
          <w:szCs w:val="22"/>
          <w:rtl w:val="0"/>
        </w:rPr>
        <w:t xml:space="preserve"> resultan estar encaminadas a ser satisfechas en ejercicio del derecho de petición.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esencialmente en virtud de que se advierte que el requerimiento de la persona solicitante es tendentes a que la autoridad aclare o actué sobre una inquietud, en consecuencia no es procedente ordenar la entrega de documento alguno, toda vez que no se pretendió el acceso a algún documento previamente generado, sino un pronunciamiento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establecido lo anterior, por lo que se refiere al funcionamiento de las unidades económicas, es preciso conviene señalar que de conformidad con el artículo 31 de la Ley Orgánica Municipal del Estado de México, los Ayuntamientos cuentan con </w:t>
      </w:r>
      <w:r w:rsidDel="00000000" w:rsidR="00000000" w:rsidRPr="00000000">
        <w:rPr>
          <w:rFonts w:ascii="Palatino Linotype" w:cs="Palatino Linotype" w:eastAsia="Palatino Linotype" w:hAnsi="Palatino Linotype"/>
          <w:b w:val="1"/>
          <w:bCs w:val="1"/>
          <w:sz w:val="22"/>
          <w:szCs w:val="22"/>
          <w:rtl w:val="0"/>
        </w:rPr>
        <w:t xml:space="preserve">atribuciones para otorgar licencia de funcionamiento o permiso provisional de funcionamiento para negocios de bajo riesgo</w:t>
      </w:r>
      <w:r w:rsidDel="00000000" w:rsidR="00000000" w:rsidRPr="00000000">
        <w:rPr>
          <w:rFonts w:ascii="Palatino Linotype" w:cs="Palatino Linotype" w:eastAsia="Palatino Linotype" w:hAnsi="Palatino Linotype"/>
          <w:sz w:val="22"/>
          <w:szCs w:val="22"/>
          <w:rtl w:val="0"/>
        </w:rPr>
        <w:t xml:space="preserve">, a las unidades económicas.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7 del mismo ordenamiento, señala que a los municipios les corresponde crear, operar, digitalizar y mantener actualizado semanalmente el registro municipal a través de la Dirección de Desarrollo Económico, tal y como se muestra a continuación: </w:t>
      </w:r>
    </w:p>
    <w:p w:rsidR="00000000" w:rsidDel="00000000" w:rsidP="00000000" w:rsidRDefault="00000000" w:rsidRPr="00000000" w14:paraId="00000068">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7.</w:t>
      </w:r>
      <w:r w:rsidDel="00000000" w:rsidR="00000000" w:rsidRPr="00000000">
        <w:rPr>
          <w:rFonts w:ascii="Palatino Linotype" w:cs="Palatino Linotype" w:eastAsia="Palatino Linotype" w:hAnsi="Palatino Linotype"/>
          <w:i w:val="1"/>
          <w:iCs w:val="1"/>
          <w:sz w:val="22"/>
          <w:szCs w:val="22"/>
          <w:rtl w:val="0"/>
        </w:rPr>
        <w:t xml:space="preserve"> Corresponde a los municipios:</w:t>
      </w:r>
    </w:p>
    <w:p w:rsidR="00000000" w:rsidDel="00000000" w:rsidP="00000000" w:rsidRDefault="00000000" w:rsidRPr="00000000" w14:paraId="00000069">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Crear el registro municipal</w:t>
      </w:r>
      <w:r w:rsidDel="00000000" w:rsidR="00000000" w:rsidRPr="00000000">
        <w:rPr>
          <w:rFonts w:ascii="Palatino Linotype" w:cs="Palatino Linotype" w:eastAsia="Palatino Linotype" w:hAnsi="Palatino Linotype"/>
          <w:i w:val="1"/>
          <w:iCs w:val="1"/>
          <w:sz w:val="22"/>
          <w:szCs w:val="22"/>
          <w:rtl w:val="0"/>
        </w:rPr>
        <w:t xml:space="preserve">, donde se especifica la licencia de funcionamiento con la actividad de la unidad económica e impacto que generen, así como las demás características que se determinen.</w:t>
      </w:r>
    </w:p>
    <w:p w:rsidR="00000000" w:rsidDel="00000000" w:rsidP="00000000" w:rsidRDefault="00000000" w:rsidRPr="00000000" w14:paraId="0000006A">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w:t>
      </w:r>
    </w:p>
    <w:p w:rsidR="00000000" w:rsidDel="00000000" w:rsidP="00000000" w:rsidRDefault="00000000" w:rsidRPr="00000000" w14:paraId="0000006B">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Operar, digitalizar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mantener, semanalmente actualizado, el registro municipal, a través de la Dirección de Desarrollo Económico o su equivalente,</w:t>
      </w:r>
      <w:r w:rsidDel="00000000" w:rsidR="00000000" w:rsidRPr="00000000">
        <w:rPr>
          <w:rFonts w:ascii="Palatino Linotype" w:cs="Palatino Linotype" w:eastAsia="Palatino Linotype" w:hAnsi="Palatino Linotype"/>
          <w:i w:val="1"/>
          <w:iCs w:val="1"/>
          <w:sz w:val="22"/>
          <w:szCs w:val="22"/>
          <w:rtl w:val="0"/>
        </w:rPr>
        <w:t xml:space="preserve"> que opere en su demarcación, el cual deberá publicarse en el portal de Internet del municipio.</w:t>
      </w:r>
    </w:p>
    <w:p w:rsidR="00000000" w:rsidDel="00000000" w:rsidP="00000000" w:rsidRDefault="00000000" w:rsidRPr="00000000" w14:paraId="0000006C">
      <w:pPr>
        <w:spacing w:after="120" w:before="120" w:lineRule="auto"/>
        <w:ind w:left="851" w:right="618"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IV.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Enviar, dentro de los cinco días hábiles siguientes de cada mes calendario la actualización de su registro municipal, el informe correspondiente a las autoridades estatales, para actualizar el registro estatal.</w:t>
      </w:r>
    </w:p>
    <w:p w:rsidR="00000000" w:rsidDel="00000000" w:rsidP="00000000" w:rsidRDefault="00000000" w:rsidRPr="00000000" w14:paraId="0000006D">
      <w:pPr>
        <w:spacing w:after="120" w:before="120" w:lineRule="auto"/>
        <w:ind w:left="851" w:right="618"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Resguardar y actualizar el archivo físico y digital con los documentos requeridos por las leyes para la expedición y refrendo de las licencias correspondientes</w:t>
      </w:r>
      <w:r w:rsidDel="00000000" w:rsidR="00000000" w:rsidRPr="00000000">
        <w:rPr>
          <w:rtl w:val="0"/>
        </w:rPr>
      </w:r>
    </w:p>
    <w:p w:rsidR="00000000" w:rsidDel="00000000" w:rsidP="00000000" w:rsidRDefault="00000000" w:rsidRPr="00000000" w14:paraId="0000006E">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a X…”</w:t>
      </w:r>
    </w:p>
    <w:p w:rsidR="00000000" w:rsidDel="00000000" w:rsidP="00000000" w:rsidRDefault="00000000" w:rsidRPr="00000000" w14:paraId="0000006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esa misma premisa, en su artículo 10 refiere que los registros tienen como finalidad crear una base de datos confiable, actualizada e integrada de las unidades económicas que se aperturen, mismos que contendrán por lo menos los siguientes datos: </w:t>
      </w:r>
    </w:p>
    <w:p w:rsidR="00000000" w:rsidDel="00000000" w:rsidP="00000000" w:rsidRDefault="00000000" w:rsidRPr="00000000" w14:paraId="00000070">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10</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registros tienen como finalidad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crear una base de datos confiable</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actualizada e integrada a nivel estatal y municipal de las unidades económicas que se aperturen en el territorio de la Entidad.</w:t>
      </w:r>
    </w:p>
    <w:p w:rsidR="00000000" w:rsidDel="00000000" w:rsidP="00000000" w:rsidRDefault="00000000" w:rsidRPr="00000000" w14:paraId="00000071">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11.</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El registro incluirá al menos los datos siguientes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2">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Clave única, que se integrará de una serie alfanumérica.</w:t>
      </w:r>
    </w:p>
    <w:p w:rsidR="00000000" w:rsidDel="00000000" w:rsidP="00000000" w:rsidRDefault="00000000" w:rsidRPr="00000000" w14:paraId="00000073">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Nombre del municipio.</w:t>
      </w:r>
    </w:p>
    <w:p w:rsidR="00000000" w:rsidDel="00000000" w:rsidP="00000000" w:rsidRDefault="00000000" w:rsidRPr="00000000" w14:paraId="00000074">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Nombre del titular.</w:t>
      </w:r>
    </w:p>
    <w:p w:rsidR="00000000" w:rsidDel="00000000" w:rsidP="00000000" w:rsidRDefault="00000000" w:rsidRPr="00000000" w14:paraId="00000075">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Actividad económica.</w:t>
      </w:r>
    </w:p>
    <w:p w:rsidR="00000000" w:rsidDel="00000000" w:rsidP="00000000" w:rsidRDefault="00000000" w:rsidRPr="00000000" w14:paraId="00000076">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Fecha de inicio de actividades.</w:t>
      </w:r>
    </w:p>
    <w:p w:rsidR="00000000" w:rsidDel="00000000" w:rsidP="00000000" w:rsidRDefault="00000000" w:rsidRPr="00000000" w14:paraId="00000077">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Tipo de impacto.</w:t>
      </w:r>
    </w:p>
    <w:p w:rsidR="00000000" w:rsidDel="00000000" w:rsidP="00000000" w:rsidRDefault="00000000" w:rsidRPr="00000000" w14:paraId="00000078">
      <w:pPr>
        <w:spacing w:after="120" w:before="120" w:lineRule="auto"/>
        <w:ind w:left="851" w:right="618"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Domicilio de la unidad económica</w:t>
      </w: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79">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Visitas y procedimientos de verificación en su caso.</w:t>
      </w:r>
    </w:p>
    <w:p w:rsidR="00000000" w:rsidDel="00000000" w:rsidP="00000000" w:rsidRDefault="00000000" w:rsidRPr="00000000" w14:paraId="0000007A">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Sanciones en su caso.</w:t>
      </w:r>
    </w:p>
    <w:p w:rsidR="00000000" w:rsidDel="00000000" w:rsidP="00000000" w:rsidRDefault="00000000" w:rsidRPr="00000000" w14:paraId="0000007B">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Las demás que le confieran esta Ley y otras disposiciones aplicables.”</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normatividad citada, se desprende que corresponde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emitir las licencias de funcionamiento, así como crear el registro municipal en donde se especifique el número de las licencias de funcionamiento con la actividad económica que realicen los particulares en las que se les denomina como unidades económicas al lugar en donde realicen sus actividades y para ello los solicitantes deben cubrir ciertos requisitos.</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Conjuntamente, sobre las licencias, se debe indicar que no sólo se trata de información pública, sino además que corresponde a las obligaciones de transparencia, de acuerdo a lo señalado en el artículo 92, fracción XXXII, de la Ley de Transparencia y Acceso a la Información Pública del Estado de México y Municipios, que se transcribe a continuación:</w:t>
      </w:r>
    </w:p>
    <w:p w:rsidR="00000000" w:rsidDel="00000000" w:rsidP="00000000" w:rsidRDefault="00000000" w:rsidRPr="00000000" w14:paraId="0000007E">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80">
      <w:pPr>
        <w:spacing w:after="120" w:before="120" w:lineRule="auto"/>
        <w:ind w:left="851" w:right="618"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81">
      <w:pPr>
        <w:spacing w:after="120" w:before="120" w:lineRule="auto"/>
        <w:ind w:left="851" w:right="618"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w:t>
      </w:r>
      <w:r w:rsidDel="00000000" w:rsidR="00000000" w:rsidRPr="00000000">
        <w:rPr>
          <w:rFonts w:ascii="Palatino Linotype" w:cs="Palatino Linotype" w:eastAsia="Palatino Linotype" w:hAnsi="Palatino Linotype"/>
          <w:i w:val="1"/>
          <w:iCs w:val="1"/>
          <w:sz w:val="22"/>
          <w:szCs w:val="22"/>
          <w:rtl w:val="0"/>
        </w:rPr>
        <w:t xml:space="preserve">Las concesiones, contratos, convenios, permisos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licencias o autorizaciones otorgados</w:t>
      </w:r>
      <w:r w:rsidDel="00000000" w:rsidR="00000000" w:rsidRPr="00000000">
        <w:rPr>
          <w:rFonts w:ascii="Palatino Linotype" w:cs="Palatino Linotype" w:eastAsia="Palatino Linotype" w:hAnsi="Palatino Linotype"/>
          <w:i w:val="1"/>
          <w:iCs w:val="1"/>
          <w:sz w:val="22"/>
          <w:szCs w:val="22"/>
          <w:rtl w:val="0"/>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082">
      <w:pPr>
        <w:spacing w:after="120" w:before="120" w:lineRule="auto"/>
        <w:ind w:left="851" w:right="618"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lo siguiente:</w:t>
      </w:r>
    </w:p>
    <w:p w:rsidR="00000000" w:rsidDel="00000000" w:rsidP="00000000" w:rsidRDefault="00000000" w:rsidRPr="00000000" w14:paraId="0000008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 </w:t>
      </w:r>
    </w:p>
    <w:p w:rsidR="00000000" w:rsidDel="00000000" w:rsidP="00000000" w:rsidRDefault="00000000" w:rsidRPr="00000000" w14:paraId="0000008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se organizará por acto jurídico y respecto de cada uno se especificará su tipo. Por ejemplo: </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Concesión</w:t>
      </w:r>
      <w:r w:rsidDel="00000000" w:rsidR="00000000" w:rsidRPr="00000000">
        <w:rPr>
          <w:rFonts w:ascii="Palatino Linotype" w:cs="Palatino Linotype" w:eastAsia="Palatino Linotype" w:hAnsi="Palatino Linotype"/>
          <w:i w:val="1"/>
          <w:iCs w:val="1"/>
          <w:sz w:val="22"/>
          <w:szCs w:val="22"/>
          <w:rtl w:val="0"/>
        </w:rPr>
        <w:t xml:space="preserve"> para ejecución y operación de obra pública; prestación de servicio público; radiodifusión; telecomunicaciones; etcétera. </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Permiso </w:t>
      </w:r>
      <w:r w:rsidDel="00000000" w:rsidR="00000000" w:rsidRPr="00000000">
        <w:rPr>
          <w:rFonts w:ascii="Palatino Linotype" w:cs="Palatino Linotype" w:eastAsia="Palatino Linotype" w:hAnsi="Palatino Linotype"/>
          <w:i w:val="1"/>
          <w:iCs w:val="1"/>
          <w:sz w:val="22"/>
          <w:szCs w:val="22"/>
          <w:rtl w:val="0"/>
        </w:rPr>
        <w:t xml:space="preserve">para el tratamiento y refinación del petróleo; para el almacenamiento, el transporte y la distribución por ductos de petróleo, gas, petrolíferos y petroquímicos; de radiodifusión, de telecomunicaciones; de conducir; etcétera. </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Licencia</w:t>
      </w:r>
      <w:r w:rsidDel="00000000" w:rsidR="00000000" w:rsidRPr="00000000">
        <w:rPr>
          <w:rFonts w:ascii="Palatino Linotype" w:cs="Palatino Linotype" w:eastAsia="Palatino Linotype" w:hAnsi="Palatino Linotype"/>
          <w:i w:val="1"/>
          <w:iCs w:val="1"/>
          <w:sz w:val="22"/>
          <w:szCs w:val="22"/>
          <w:rtl w:val="0"/>
        </w:rPr>
        <w:t xml:space="preserve"> de uso de suelo, de construcción, de anuncios, de conducir, de explotación de yacimientos de materiales pétreos, de exploración y extracción del petróleo, etcétera. </w:t>
      </w:r>
    </w:p>
    <w:p w:rsidR="00000000" w:rsidDel="00000000" w:rsidP="00000000" w:rsidRDefault="00000000" w:rsidRPr="00000000" w14:paraId="0000008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Autorización</w:t>
      </w:r>
      <w:r w:rsidDel="00000000" w:rsidR="00000000" w:rsidRPr="00000000">
        <w:rPr>
          <w:rFonts w:ascii="Palatino Linotype" w:cs="Palatino Linotype" w:eastAsia="Palatino Linotype" w:hAnsi="Palatino Linotype"/>
          <w:i w:val="1"/>
          <w:iCs w:val="1"/>
          <w:sz w:val="22"/>
          <w:szCs w:val="22"/>
          <w:rtl w:val="0"/>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rsidR="00000000" w:rsidDel="00000000" w:rsidP="00000000" w:rsidRDefault="00000000" w:rsidRPr="00000000" w14:paraId="0000008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Contrato</w:t>
      </w:r>
      <w:r w:rsidDel="00000000" w:rsidR="00000000" w:rsidRPr="00000000">
        <w:rPr>
          <w:rFonts w:ascii="Palatino Linotype" w:cs="Palatino Linotype" w:eastAsia="Palatino Linotype" w:hAnsi="Palatino Linotype"/>
          <w:i w:val="1"/>
          <w:iCs w:val="1"/>
          <w:sz w:val="22"/>
          <w:szCs w:val="22"/>
          <w:rtl w:val="0"/>
        </w:rPr>
        <w:t xml:space="preserve">. Aquellos celebrados por el sujeto obligado y que se realicen con cargo total o parcial a recursos públicos de acuerdo con las leyes que le sean aplicables. </w:t>
      </w:r>
    </w:p>
    <w:p w:rsidR="00000000" w:rsidDel="00000000" w:rsidP="00000000" w:rsidRDefault="00000000" w:rsidRPr="00000000" w14:paraId="0000008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Convenio.</w:t>
      </w:r>
      <w:r w:rsidDel="00000000" w:rsidR="00000000" w:rsidRPr="00000000">
        <w:rPr>
          <w:rFonts w:ascii="Palatino Linotype" w:cs="Palatino Linotype" w:eastAsia="Palatino Linotype" w:hAnsi="Palatino Linotype"/>
          <w:i w:val="1"/>
          <w:iCs w:val="1"/>
          <w:sz w:val="22"/>
          <w:szCs w:val="22"/>
          <w:rtl w:val="0"/>
        </w:rPr>
        <w:t xml:space="preserve"> Acuerdo que se firma para desarrollar un asunto concreto destinado a establecer, transferir, modificar o eliminar una obligación.</w:t>
      </w:r>
    </w:p>
    <w:p w:rsidR="00000000" w:rsidDel="00000000" w:rsidP="00000000" w:rsidRDefault="00000000" w:rsidRPr="00000000" w14:paraId="0000008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sobre cada acto jurídico de los arriba enlistados deberá publicarse a partir de la fecha en la que éste inició. En su caso, el sujeto obligado incluirá una nota fundamentada, motivada y actualizada al periodo que corresponda señalando que no se otorgó ni emitió determinado acto. </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Cabe señalar que en esta fracción no se publicarán los contratos y convenios ya incluidos en el artículo 70, fracción XXVIII (procedimientos de adjudicación directa, invitación restringida y licitación pública), así como aquellos convenios de coordinación y concentración ya incluidos en la fracción XXXIII (Los convenios de coordinación de concertación con los sectores social y privado).”</w:t>
      </w:r>
    </w:p>
    <w:p w:rsidR="00000000" w:rsidDel="00000000" w:rsidP="00000000" w:rsidRDefault="00000000" w:rsidRPr="00000000" w14:paraId="0000008E">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00000" cy="3068387"/>
            <wp:effectExtent b="0" l="0" r="0" t="0"/>
            <wp:docPr id="5" name="image3.png"/>
            <a:graphic>
              <a:graphicData uri="http://schemas.openxmlformats.org/drawingml/2006/picture">
                <pic:pic>
                  <pic:nvPicPr>
                    <pic:cNvPr id="0" name="image3.png"/>
                    <pic:cNvPicPr preferRelativeResize="0"/>
                  </pic:nvPicPr>
                  <pic:blipFill>
                    <a:blip r:embed="rId9"/>
                    <a:srcRect b="0" l="0" r="0" t="14811"/>
                    <a:stretch>
                      <a:fillRect/>
                    </a:stretch>
                  </pic:blipFill>
                  <pic:spPr>
                    <a:xfrm>
                      <a:off x="0" y="0"/>
                      <a:ext cx="4500000" cy="3068387"/>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center"/>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Pr>
        <w:drawing>
          <wp:inline distB="0" distT="0" distL="0" distR="0">
            <wp:extent cx="4500000" cy="463391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500000" cy="463391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jc w:val="center"/>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b w:val="1"/>
          <w:bCs w:val="1"/>
          <w:sz w:val="22"/>
          <w:szCs w:val="22"/>
          <w:u w:val="single"/>
        </w:rPr>
        <w:drawing>
          <wp:inline distB="0" distT="0" distL="0" distR="0">
            <wp:extent cx="4500000" cy="1676782"/>
            <wp:effectExtent b="0" l="0" r="0" t="0"/>
            <wp:docPr id="7" name="image4.png"/>
            <a:graphic>
              <a:graphicData uri="http://schemas.openxmlformats.org/drawingml/2006/picture">
                <pic:pic>
                  <pic:nvPicPr>
                    <pic:cNvPr id="0" name="image4.png"/>
                    <pic:cNvPicPr preferRelativeResize="0"/>
                  </pic:nvPicPr>
                  <pic:blipFill>
                    <a:blip r:embed="rId11"/>
                    <a:srcRect b="52751" l="0" r="0" t="0"/>
                    <a:stretch>
                      <a:fillRect/>
                    </a:stretch>
                  </pic:blipFill>
                  <pic:spPr>
                    <a:xfrm>
                      <a:off x="0" y="0"/>
                      <a:ext cx="4500000" cy="167678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u w:val="single"/>
        </w:rPr>
        <w:drawing>
          <wp:inline distB="0" distT="0" distL="0" distR="0">
            <wp:extent cx="4500000" cy="1776980"/>
            <wp:effectExtent b="0" l="0" r="0" t="0"/>
            <wp:docPr id="6" name="image4.png"/>
            <a:graphic>
              <a:graphicData uri="http://schemas.openxmlformats.org/drawingml/2006/picture">
                <pic:pic>
                  <pic:nvPicPr>
                    <pic:cNvPr id="0" name="image4.png"/>
                    <pic:cNvPicPr preferRelativeResize="0"/>
                  </pic:nvPicPr>
                  <pic:blipFill>
                    <a:blip r:embed="rId11"/>
                    <a:srcRect b="0" l="0" r="0" t="49928"/>
                    <a:stretch>
                      <a:fillRect/>
                    </a:stretch>
                  </pic:blipFill>
                  <pic:spPr>
                    <a:xfrm>
                      <a:off x="0" y="0"/>
                      <a:ext cx="4500000" cy="177698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concluye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atribuciones para generar poseer y/o administrar la información solicitada, a través de la Dirección de Desarrollo Económico.</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es de señalar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98">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9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particular, derivado de las constancias que obran en el expediente en el que se actúa se advierte que la Coordinación de Transparencia no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NO llevó a cabo los pasos que le conmina sus funciones, de acuerdo con la referida Ley, ya que atendió la solicitud por cuenta propia, limitándose a señalar que al momento de realizar el estudio y análisis del requerimiento formulado no se solicitó algún documento especifico, vulnerando así el Derecho de acceso de la persona solicitante.</w:t>
      </w:r>
    </w:p>
    <w:p w:rsidR="00000000" w:rsidDel="00000000" w:rsidP="00000000" w:rsidRDefault="00000000" w:rsidRPr="00000000" w14:paraId="0000009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tales consideraciones se estima dable ordenar que previa búsqueda exhaustiva y razonable se haga entrega del el permiso o licencia de funcionamiento de la unidad económica referida en la solicitud.</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toda vez que el trámite de dichos documentos es una obligación que la normativa les impone a los titulares de las unidades económicas, más no a los municipios,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09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19</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9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parcialmente fundados, siendo procedente </w:t>
      </w:r>
      <w:r w:rsidDel="00000000" w:rsidR="00000000" w:rsidRPr="00000000">
        <w:rPr>
          <w:rFonts w:ascii="Palatino Linotype" w:cs="Palatino Linotype" w:eastAsia="Palatino Linotype" w:hAnsi="Palatino Linotype"/>
          <w:i w:val="1"/>
          <w:iCs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A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0A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0A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0A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XLV; 6, 91, 132, 137, 143, fracción I, de la Ley de Transparencia y Acceso a la Información Pública del Estado de México y Municipios establecen:</w:t>
      </w:r>
    </w:p>
    <w:p w:rsidR="00000000" w:rsidDel="00000000" w:rsidP="00000000" w:rsidRDefault="00000000" w:rsidRPr="00000000" w14:paraId="000000A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0A5">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6">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0A7">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8">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0A9">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w:t>
      </w:r>
      <w:r w:rsidDel="00000000" w:rsidR="00000000" w:rsidRPr="00000000">
        <w:rPr>
          <w:rFonts w:ascii="Palatino Linotype" w:cs="Palatino Linotype" w:eastAsia="Palatino Linotype" w:hAnsi="Palatino Linotype"/>
          <w:i w:val="1"/>
          <w:iCs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AA">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B">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AC">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D">
      <w:pPr>
        <w:tabs>
          <w:tab w:val="left" w:leader="none" w:pos="1276"/>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A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A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B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0B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0B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0B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0B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B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B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B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9">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BA">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Nombre del titular de la Licencia de funcionamiento (persona física):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per se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es un elemento que hace a una persona física identificada o identificable, por lo que,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se considera un dato personal.</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“Nombre del titular de una licencia que no involucre el aprovechamiento de bienes, servicios y/o recursos públicos, constituye un dato personal susceptible de clasificar como confidencial.</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rsidR="00000000" w:rsidDel="00000000" w:rsidP="00000000" w:rsidRDefault="00000000" w:rsidRPr="00000000" w14:paraId="000000C0">
      <w:pPr>
        <w:spacing w:after="240" w:before="240" w:line="360" w:lineRule="auto"/>
        <w:ind w:firstLine="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se considera que el nombre localizado en una </w:t>
      </w:r>
      <w:r w:rsidDel="00000000" w:rsidR="00000000" w:rsidRPr="00000000">
        <w:rPr>
          <w:rFonts w:ascii="Palatino Linotype" w:cs="Palatino Linotype" w:eastAsia="Palatino Linotype" w:hAnsi="Palatino Linotype"/>
          <w:b w:val="1"/>
          <w:bCs w:val="1"/>
          <w:sz w:val="22"/>
          <w:szCs w:val="22"/>
          <w:u w:val="single"/>
          <w:rtl w:val="0"/>
        </w:rPr>
        <w:t xml:space="preserve">licencia de funcionamiento</w:t>
      </w:r>
      <w:r w:rsidDel="00000000" w:rsidR="00000000" w:rsidRPr="00000000">
        <w:rPr>
          <w:rFonts w:ascii="Palatino Linotype" w:cs="Palatino Linotype" w:eastAsia="Palatino Linotype" w:hAnsi="Palatino Linotype"/>
          <w:sz w:val="22"/>
          <w:szCs w:val="22"/>
          <w:rtl w:val="0"/>
        </w:rPr>
        <w:t xml:space="preserve">, guarda cierto interés público, dado que cualquier actividad comercial, industrial o económica, es regulada por el municipio dentro de su circunscripción territorial, pues ayuda a transparentar la gestión pública, por lo que, no resulta procedente clasificar dicho dato, en términos del artículo 143 de la Ley de Transparencia y Acceso a la Información Pública del Estado de México y municipios.</w:t>
      </w:r>
    </w:p>
    <w:p w:rsidR="00000000" w:rsidDel="00000000" w:rsidP="00000000" w:rsidRDefault="00000000" w:rsidRPr="00000000" w14:paraId="000000C1">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Teléfono particular</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C2">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rsidR="00000000" w:rsidDel="00000000" w:rsidP="00000000" w:rsidRDefault="00000000" w:rsidRPr="00000000" w14:paraId="000000C3">
      <w:pPr>
        <w:spacing w:after="240" w:before="240" w:line="360" w:lineRule="auto"/>
        <w:ind w:firstLine="1"/>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Domicilio.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cuanto al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domicilio particular del titular de la licencia de funcionamiento y el domicilio del local o establecimiento comercial</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es dable precisar que el código civil, lo define de la siguiente manera: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Concepto de domicilio de las personas físicas Artículo 2.17</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El domicilio de una persona física es el lugar donde reside con el propósito de establecerse en él; a falta de éste, el lugar en que tiene el principal asiento de sus negocios; y a falta de uno y otro, el lugar en que se halle.”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Entonces se identifica que el domicilio no solamente permite identificar a una persona, sino que la hace localizable de manera física.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Ahora bien, en el caso que nos ocupa, el domicilio particular del titular de la licencia de funcionamiento, este dato se clasifica, en términos al criterio 01/18, del Instituto de Transparencia y Acceso a la Información Pública del Estado de México, ya señalado.</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No así en cuanto al domicilio del local o establecimiento comercial, ya que se identifica que el domicilio sobre el cual versa la licencia de funcionamiento es información de naturaleza pública.</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Clave catastral.</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Sobre la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clave catastral</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debe decirse que artículo 179, fracción I del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Código Financiero del Estado de México y Municipios,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Conforme a lo descrito, se advierte que el dato en comento, hace referencia a un predio determinado.</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“Diccionario de Datos catastrales Escala 1:1000” del Instituto Nacional de Estadística y Geografía (INEGI), contempla en su Glosario la definición de la Clave Catastral, la cual, apunta lo siguiente: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851"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Clave Catastral</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El código que identifica al predio de forma única para su localización geográfica, mismo que es asignado a cada uno de ellos en el momento de su inscripción en el padrón catastral por las Unidades del Estado con atribuciones catastrales.”</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rsidR="00000000" w:rsidDel="00000000" w:rsidP="00000000" w:rsidRDefault="00000000" w:rsidRPr="00000000" w14:paraId="000000CF">
      <w:pPr>
        <w:spacing w:after="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Registro Federal de Contribuyentes.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Del Registro Federal de Contribuyentes (RFC), en las licencias de funcionamiento, puede ser de personas físicas y morales.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Registro Federal de Contribuyentes de personas físicas,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Lo anterior, resulta congruente con el Criterio 19/17 emitido por el Instituto Nacional de Transparencia, Acceso a la Información y Protección de Datos Personales, en el cual se señala lo siguiente:</w:t>
      </w:r>
    </w:p>
    <w:p w:rsidR="00000000" w:rsidDel="00000000" w:rsidP="00000000" w:rsidRDefault="00000000" w:rsidRPr="00000000" w14:paraId="000000D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Registro Federal de Contribuyentes (RFC) de personas físicas</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0D6">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D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Comités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atribuciones:</w:t>
      </w:r>
    </w:p>
    <w:p w:rsidR="00000000" w:rsidDel="00000000" w:rsidP="00000000" w:rsidRDefault="00000000" w:rsidRPr="00000000" w14:paraId="000000D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Unidades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D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w:t>
      </w:r>
      <w:r w:rsidDel="00000000" w:rsidR="00000000" w:rsidRPr="00000000">
        <w:rPr>
          <w:rFonts w:ascii="Palatino Linotype" w:cs="Palatino Linotype" w:eastAsia="Palatino Linotype" w:hAnsi="Palatino Linotype"/>
          <w:i w:val="1"/>
          <w:iCs w:val="1"/>
          <w:sz w:val="22"/>
          <w:szCs w:val="22"/>
          <w:rtl w:val="0"/>
        </w:rPr>
        <w:t xml:space="preserve"> Los </w:t>
      </w:r>
      <w:r w:rsidDel="00000000" w:rsidR="00000000" w:rsidRPr="00000000">
        <w:rPr>
          <w:rFonts w:ascii="Palatino Linotype" w:cs="Palatino Linotype" w:eastAsia="Palatino Linotype" w:hAnsi="Palatino Linotype"/>
          <w:b w:val="1"/>
          <w:bCs w:val="1"/>
          <w:i w:val="1"/>
          <w:iCs w:val="1"/>
          <w:sz w:val="22"/>
          <w:szCs w:val="22"/>
          <w:rtl w:val="0"/>
        </w:rPr>
        <w:t xml:space="preserve">servidores públicos habilitados</w:t>
      </w:r>
      <w:r w:rsidDel="00000000" w:rsidR="00000000" w:rsidRPr="00000000">
        <w:rPr>
          <w:rFonts w:ascii="Palatino Linotype" w:cs="Palatino Linotype" w:eastAsia="Palatino Linotype" w:hAnsi="Palatino Linotype"/>
          <w:i w:val="1"/>
          <w:iCs w:val="1"/>
          <w:sz w:val="22"/>
          <w:szCs w:val="22"/>
          <w:rtl w:val="0"/>
        </w:rPr>
        <w:t xml:space="preserve"> tendrán las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 siguientes:</w:t>
      </w:r>
    </w:p>
    <w:p w:rsidR="00000000" w:rsidDel="00000000" w:rsidP="00000000" w:rsidRDefault="00000000" w:rsidRPr="00000000" w14:paraId="000000D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la cual tendrá los fundamentos y argumentos en que se basa dicha propuesta…”</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0E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0E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cabe señalar que el Comité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0E2">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Para efectos de los presentes Lineamientos Generales, se entenderá por:</w:t>
      </w:r>
    </w:p>
    <w:p w:rsidR="00000000" w:rsidDel="00000000" w:rsidP="00000000" w:rsidRDefault="00000000" w:rsidRPr="00000000" w14:paraId="000000E3">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Versión pública:</w:t>
      </w:r>
      <w:r w:rsidDel="00000000" w:rsidR="00000000" w:rsidRPr="00000000">
        <w:rPr>
          <w:rFonts w:ascii="Palatino Linotype" w:cs="Palatino Linotype" w:eastAsia="Palatino Linotype" w:hAnsi="Palatino Linotype"/>
          <w:i w:val="1"/>
          <w:iCs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sz w:val="22"/>
          <w:szCs w:val="22"/>
          <w:rtl w:val="0"/>
        </w:rPr>
        <w:t xml:space="preserve">fundando y motivando la</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 o confidencialidad</w:t>
      </w:r>
      <w:r w:rsidDel="00000000" w:rsidR="00000000" w:rsidRPr="00000000">
        <w:rPr>
          <w:rFonts w:ascii="Palatino Linotype" w:cs="Palatino Linotype" w:eastAsia="Palatino Linotype" w:hAnsi="Palatino Linotype"/>
          <w:i w:val="1"/>
          <w:iCs w:val="1"/>
          <w:sz w:val="22"/>
          <w:szCs w:val="22"/>
          <w:rtl w:val="0"/>
        </w:rPr>
        <w:t xml:space="preserve">, a través de la resolución que para tal efecto emita el Comité de Transparencia.</w:t>
      </w:r>
    </w:p>
    <w:p w:rsidR="00000000" w:rsidDel="00000000" w:rsidP="00000000" w:rsidRDefault="00000000" w:rsidRPr="00000000" w14:paraId="000000E4">
      <w:pPr>
        <w:tabs>
          <w:tab w:val="left" w:leader="none" w:pos="8222"/>
        </w:tabs>
        <w:spacing w:after="120" w:before="120" w:lineRule="auto"/>
        <w:ind w:left="851" w:right="1134"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E5">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Para clasificar la información como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reservada 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iCs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0E6">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0E7">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Quinto.</w:t>
      </w:r>
      <w:r w:rsidDel="00000000" w:rsidR="00000000" w:rsidRPr="00000000">
        <w:rPr>
          <w:rFonts w:ascii="Palatino Linotype" w:cs="Palatino Linotype" w:eastAsia="Palatino Linotype" w:hAnsi="Palatino Linotype"/>
          <w:i w:val="1"/>
          <w:iCs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0E8">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Sexto.</w:t>
      </w:r>
      <w:r w:rsidDel="00000000" w:rsidR="00000000" w:rsidRPr="00000000">
        <w:rPr>
          <w:rFonts w:ascii="Palatino Linotype" w:cs="Palatino Linotype" w:eastAsia="Palatino Linotype" w:hAnsi="Palatino Linotype"/>
          <w:i w:val="1"/>
          <w:iCs w:val="1"/>
          <w:sz w:val="22"/>
          <w:szCs w:val="22"/>
          <w:rtl w:val="0"/>
        </w:rPr>
        <w:t xml:space="preserve"> Se deroga.</w:t>
      </w:r>
    </w:p>
    <w:p w:rsidR="00000000" w:rsidDel="00000000" w:rsidP="00000000" w:rsidRDefault="00000000" w:rsidRPr="00000000" w14:paraId="000000E9">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Séptimo.</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0EA">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0EB">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0EC">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0ED">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conforme a su naturaleza, si encuadra en una causal de reserva o de confidencialidad.</w:t>
      </w:r>
    </w:p>
    <w:p w:rsidR="00000000" w:rsidDel="00000000" w:rsidP="00000000" w:rsidRDefault="00000000" w:rsidRPr="00000000" w14:paraId="000000EE">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0EF">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F0">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0F1">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Noveno.</w:t>
      </w:r>
      <w:r w:rsidDel="00000000" w:rsidR="00000000" w:rsidRPr="00000000">
        <w:rPr>
          <w:rFonts w:ascii="Palatino Linotype" w:cs="Palatino Linotype" w:eastAsia="Palatino Linotype" w:hAnsi="Palatino Linotype"/>
          <w:i w:val="1"/>
          <w:iCs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0F2">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0F3">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0F4">
      <w:pPr>
        <w:tabs>
          <w:tab w:val="left" w:leader="none" w:pos="8222"/>
        </w:tabs>
        <w:spacing w:after="120" w:before="12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 primero.</w:t>
      </w:r>
      <w:r w:rsidDel="00000000" w:rsidR="00000000" w:rsidRPr="00000000">
        <w:rPr>
          <w:rFonts w:ascii="Palatino Linotype" w:cs="Palatino Linotype" w:eastAsia="Palatino Linotype" w:hAnsi="Palatino Linotype"/>
          <w:i w:val="1"/>
          <w:iCs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0F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105">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6">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07">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08">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09">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10A">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0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E">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0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1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1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1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1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00274/INFOEM/IP/RR/2026</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tl w:val="0"/>
        </w:rPr>
      </w:r>
    </w:p>
    <w:p w:rsidR="00000000" w:rsidDel="00000000" w:rsidP="00000000" w:rsidRDefault="00000000" w:rsidRPr="00000000" w14:paraId="0000011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bCs w:val="1"/>
          <w:sz w:val="22"/>
          <w:szCs w:val="22"/>
          <w:rtl w:val="0"/>
        </w:rPr>
        <w:t xml:space="preserve">Quinto </w:t>
      </w:r>
      <w:r w:rsidDel="00000000" w:rsidR="00000000" w:rsidRPr="00000000">
        <w:rPr>
          <w:rFonts w:ascii="Palatino Linotype" w:cs="Palatino Linotype" w:eastAsia="Palatino Linotype" w:hAnsi="Palatino Linotype"/>
          <w:sz w:val="22"/>
          <w:szCs w:val="22"/>
          <w:rtl w:val="0"/>
        </w:rPr>
        <w:t xml:space="preserve">de esta resolución, haga entrega,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previa búsqueda exhaustiva y razonable, en versión pública de ser procedente, de lo siguiente: </w:t>
      </w:r>
    </w:p>
    <w:p w:rsidR="00000000" w:rsidDel="00000000" w:rsidP="00000000" w:rsidRDefault="00000000" w:rsidRPr="00000000" w14:paraId="00000119">
      <w:pPr>
        <w:spacing w:after="120" w:before="120" w:line="360" w:lineRule="auto"/>
        <w:ind w:left="28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1. El permiso o licencia de funcionamiento de la unidad económica referida en la solicitud, vigente al once de diciembre de dos mil veinticinco.</w:t>
      </w:r>
      <w:r w:rsidDel="00000000" w:rsidR="00000000" w:rsidRPr="00000000">
        <w:rPr>
          <w:rtl w:val="0"/>
        </w:rPr>
      </w:r>
    </w:p>
    <w:p w:rsidR="00000000" w:rsidDel="00000000" w:rsidP="00000000" w:rsidRDefault="00000000" w:rsidRPr="00000000" w14:paraId="0000011A">
      <w:pPr>
        <w:spacing w:after="120" w:before="120" w:lineRule="auto"/>
        <w:ind w:left="284" w:firstLine="0"/>
        <w:jc w:val="both"/>
        <w:rPr>
          <w:rFonts w:ascii="Palatino Linotype" w:cs="Palatino Linotype" w:eastAsia="Palatino Linotype" w:hAnsi="Palatino Linotype"/>
          <w:b w:val="1"/>
          <w:bCs w:val="1"/>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p>
    <w:p w:rsidR="00000000" w:rsidDel="00000000" w:rsidP="00000000" w:rsidRDefault="00000000" w:rsidRPr="00000000" w14:paraId="0000011B">
      <w:pPr>
        <w:spacing w:after="120" w:before="120" w:lineRule="auto"/>
        <w:ind w:left="284"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En el supuesto que la información que se ordena no obre en los archivos del </w:t>
      </w:r>
      <w:r w:rsidDel="00000000" w:rsidR="00000000" w:rsidRPr="00000000">
        <w:rPr>
          <w:rFonts w:ascii="Palatino Linotype" w:cs="Palatino Linotype" w:eastAsia="Palatino Linotype" w:hAnsi="Palatino Linotype"/>
          <w:b w:val="1"/>
          <w:bCs w:val="1"/>
          <w:i w:val="1"/>
          <w:iCs w:val="1"/>
          <w:sz w:val="20"/>
          <w:szCs w:val="20"/>
          <w:rtl w:val="0"/>
        </w:rPr>
        <w:t xml:space="preserve">Sujeto Obligado </w:t>
      </w:r>
      <w:r w:rsidDel="00000000" w:rsidR="00000000" w:rsidRPr="00000000">
        <w:rPr>
          <w:rFonts w:ascii="Palatino Linotype" w:cs="Palatino Linotype" w:eastAsia="Palatino Linotype" w:hAnsi="Palatino Linotype"/>
          <w:i w:val="1"/>
          <w:iCs w:val="1"/>
          <w:sz w:val="20"/>
          <w:szCs w:val="20"/>
          <w:rtl w:val="0"/>
        </w:rPr>
        <w:t xml:space="preserve">por no haberse generado, bastará con que así lo haga del conocimiento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r w:rsidDel="00000000" w:rsidR="00000000" w:rsidRPr="00000000">
        <w:rPr>
          <w:rFonts w:ascii="Palatino Linotype" w:cs="Palatino Linotype" w:eastAsia="Palatino Linotype" w:hAnsi="Palatino Linotype"/>
          <w:i w:val="1"/>
          <w:iCs w:val="1"/>
          <w:sz w:val="20"/>
          <w:szCs w:val="20"/>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sz w:val="22"/>
          <w:szCs w:val="22"/>
        </w:rPr>
      </w:pPr>
      <w:bookmarkStart w:colFirst="0" w:colLast="0" w:name="_heading=h.17dp8vu" w:id="9"/>
      <w:bookmarkEnd w:id="9"/>
      <w:r w:rsidDel="00000000" w:rsidR="00000000" w:rsidRPr="00000000">
        <w:rPr>
          <w:rFonts w:ascii="Palatino Linotype" w:cs="Palatino Linotype" w:eastAsia="Palatino Linotype" w:hAnsi="Palatino Linotype"/>
          <w:b w:val="1"/>
          <w:bCs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1F">
      <w:pPr>
        <w:tabs>
          <w:tab w:val="left" w:leader="none" w:pos="8647"/>
        </w:tabs>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9">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1">
    <w:p w:rsidR="00000000" w:rsidDel="00000000" w:rsidP="00000000" w:rsidRDefault="00000000" w:rsidRPr="00000000" w14:paraId="0000013A">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2">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-1080090</wp:posOffset>
          </wp:positionH>
          <wp:positionV relativeFrom="paragraph">
            <wp:posOffset>-488261</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3D">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3E">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00274/INFOEM/IP/RR/2026</w:t>
          </w:r>
        </w:p>
      </w:tc>
    </w:tr>
    <w:tr>
      <w:trPr>
        <w:cantSplit w:val="0"/>
        <w:trHeight w:val="228" w:hRule="atLeast"/>
        <w:tblHeader w:val="0"/>
      </w:trPr>
      <w:tc>
        <w:tcPr>
          <w:vAlign w:val="center"/>
        </w:tcPr>
        <w:p w:rsidR="00000000" w:rsidDel="00000000" w:rsidP="00000000" w:rsidRDefault="00000000" w:rsidRPr="00000000" w14:paraId="0000013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40">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Cuautitlán Izcalli</w:t>
          </w:r>
        </w:p>
      </w:tc>
    </w:tr>
    <w:tr>
      <w:trPr>
        <w:cantSplit w:val="0"/>
        <w:tblHeader w:val="0"/>
      </w:trPr>
      <w:tc>
        <w:tcPr>
          <w:vAlign w:val="center"/>
        </w:tcPr>
        <w:p w:rsidR="00000000" w:rsidDel="00000000" w:rsidP="00000000" w:rsidRDefault="00000000" w:rsidRPr="00000000" w14:paraId="00000141">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42">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4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-369891</wp:posOffset>
          </wp:positionV>
          <wp:extent cx="7809865" cy="1016571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4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46">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00274/INFOEM/IP/RR/2026</w:t>
          </w:r>
        </w:p>
      </w:tc>
    </w:tr>
    <w:tr>
      <w:trPr>
        <w:cantSplit w:val="0"/>
        <w:tblHeader w:val="0"/>
      </w:trPr>
      <w:tc>
        <w:tcPr/>
        <w:p w:rsidR="00000000" w:rsidDel="00000000" w:rsidP="00000000" w:rsidRDefault="00000000" w:rsidRPr="00000000" w14:paraId="0000014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48">
          <w:pPr>
            <w:ind w:right="175"/>
            <w:jc w:val="both"/>
            <w:rPr>
              <w:rFonts w:ascii="Palatino Linotype" w:cs="Palatino Linotype" w:eastAsia="Palatino Linotype" w:hAnsi="Palatino Linotype"/>
              <w:b w:val="1"/>
              <w:bCs w:val="1"/>
              <w:sz w:val="22"/>
              <w:szCs w:val="22"/>
              <w:highlight w:val="yellow"/>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4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4A">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Cuautitlán Izcalli</w:t>
          </w:r>
        </w:p>
      </w:tc>
    </w:tr>
    <w:tr>
      <w:trPr>
        <w:cantSplit w:val="0"/>
        <w:tblHeader w:val="0"/>
      </w:trPr>
      <w:tc>
        <w:tcPr>
          <w:vAlign w:val="center"/>
        </w:tcPr>
        <w:p w:rsidR="00000000" w:rsidDel="00000000" w:rsidP="00000000" w:rsidRDefault="00000000" w:rsidRPr="00000000" w14:paraId="0000014B">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4C">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FxC+cwDYdiBJHenNFLEmFJ/Bw==">CgMxLjAyCWguM3JkY3JqbjIOaC5kYWozajJ4bzZxNjYyCGguZ2pkZ3hzMgloLjNkeTZ2a20yDmguM2ZsNm1najg0YWczMgloLjMwajB6bGwyCWguMnM4ZXlvMTIIaC50eWpjd3QyCWguMmV0OTJwMDIJaC4xN2RwOHZ1OAByITFjRi1JQ2JHSmtxUFFFTEpBMml4UlJoYmp1YTRTWXV0aw==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