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AC68CA" w14:textId="77777777" w:rsidR="00386F65" w:rsidRDefault="00386F65" w:rsidP="00BD631B">
      <w:pPr>
        <w:tabs>
          <w:tab w:val="left" w:pos="3465"/>
        </w:tabs>
        <w:spacing w:line="360" w:lineRule="auto"/>
        <w:jc w:val="both"/>
        <w:rPr>
          <w:rFonts w:ascii="Palatino Linotype" w:eastAsia="Palatino Linotype" w:hAnsi="Palatino Linotype" w:cs="Palatino Linotype"/>
          <w:lang w:val="es-ES_tradnl" w:eastAsia="es-ES"/>
        </w:rPr>
      </w:pPr>
    </w:p>
    <w:p w14:paraId="051F4179" w14:textId="323E2C5C" w:rsidR="00D95869" w:rsidRPr="00386F65" w:rsidRDefault="00D95869" w:rsidP="00BD631B">
      <w:pPr>
        <w:tabs>
          <w:tab w:val="left" w:pos="3465"/>
        </w:tabs>
        <w:spacing w:line="360" w:lineRule="auto"/>
        <w:jc w:val="both"/>
        <w:rPr>
          <w:rFonts w:ascii="Palatino Linotype" w:eastAsia="Palatino Linotype" w:hAnsi="Palatino Linotype" w:cs="Palatino Linotype"/>
          <w:lang w:val="es-ES_tradnl" w:eastAsia="es-ES"/>
        </w:rPr>
      </w:pPr>
      <w:r w:rsidRPr="00386F65">
        <w:rPr>
          <w:rFonts w:ascii="Palatino Linotype" w:eastAsia="Palatino Linotype" w:hAnsi="Palatino Linotype" w:cs="Palatino Linotype"/>
          <w:lang w:val="es-ES_tradnl" w:eastAsia="es-ES"/>
        </w:rPr>
        <w:t xml:space="preserve">Resolución del Pleno del Instituto de Transparencia, Acceso a la Información Pública y Protección de Datos Personales del Estado de México y Municipios, con domicilio en Metepec, Estado de México; de fecha </w:t>
      </w:r>
      <w:r w:rsidR="003A7B67" w:rsidRPr="00386F65">
        <w:rPr>
          <w:rFonts w:ascii="Palatino Linotype" w:eastAsia="Palatino Linotype" w:hAnsi="Palatino Linotype" w:cs="Palatino Linotype"/>
          <w:b/>
          <w:bCs/>
          <w:lang w:val="es-ES_tradnl" w:eastAsia="es-ES"/>
        </w:rPr>
        <w:t xml:space="preserve">uno </w:t>
      </w:r>
      <w:r w:rsidR="00386F65">
        <w:rPr>
          <w:rFonts w:ascii="Palatino Linotype" w:eastAsia="Palatino Linotype" w:hAnsi="Palatino Linotype" w:cs="Palatino Linotype"/>
          <w:b/>
          <w:bCs/>
          <w:lang w:val="es-ES_tradnl" w:eastAsia="es-ES"/>
        </w:rPr>
        <w:t xml:space="preserve">(01) </w:t>
      </w:r>
      <w:r w:rsidR="003A7B67" w:rsidRPr="00386F65">
        <w:rPr>
          <w:rFonts w:ascii="Palatino Linotype" w:eastAsia="Palatino Linotype" w:hAnsi="Palatino Linotype" w:cs="Palatino Linotype"/>
          <w:b/>
          <w:bCs/>
          <w:lang w:val="es-ES_tradnl" w:eastAsia="es-ES"/>
        </w:rPr>
        <w:t>de julio</w:t>
      </w:r>
      <w:r w:rsidR="00F83F41" w:rsidRPr="00386F65">
        <w:rPr>
          <w:rFonts w:ascii="Palatino Linotype" w:eastAsia="Palatino Linotype" w:hAnsi="Palatino Linotype" w:cs="Palatino Linotype"/>
          <w:b/>
          <w:bCs/>
          <w:lang w:val="es-ES_tradnl" w:eastAsia="es-ES"/>
        </w:rPr>
        <w:t xml:space="preserve"> de dos mil veintiséis</w:t>
      </w:r>
      <w:r w:rsidRPr="00386F65">
        <w:rPr>
          <w:rFonts w:ascii="Palatino Linotype" w:eastAsia="Palatino Linotype" w:hAnsi="Palatino Linotype" w:cs="Palatino Linotype"/>
          <w:lang w:val="es-ES_tradnl" w:eastAsia="es-ES"/>
        </w:rPr>
        <w:t>.</w:t>
      </w:r>
    </w:p>
    <w:p w14:paraId="1B1F7B47" w14:textId="77777777" w:rsidR="00D95869" w:rsidRPr="00386F65" w:rsidRDefault="00D95869" w:rsidP="00BD631B">
      <w:pPr>
        <w:tabs>
          <w:tab w:val="left" w:pos="3465"/>
        </w:tabs>
        <w:spacing w:line="360" w:lineRule="auto"/>
        <w:jc w:val="both"/>
        <w:rPr>
          <w:rFonts w:ascii="Palatino Linotype" w:eastAsia="Palatino Linotype" w:hAnsi="Palatino Linotype" w:cs="Palatino Linotype"/>
          <w:lang w:val="es-ES_tradnl" w:eastAsia="es-ES"/>
        </w:rPr>
      </w:pPr>
    </w:p>
    <w:p w14:paraId="21C90EBD" w14:textId="26AAFC72" w:rsidR="00D95869" w:rsidRPr="00386F65" w:rsidRDefault="00D95869" w:rsidP="00BD631B">
      <w:pPr>
        <w:spacing w:line="360" w:lineRule="auto"/>
        <w:jc w:val="both"/>
        <w:rPr>
          <w:rFonts w:ascii="Palatino Linotype" w:eastAsia="Palatino Linotype" w:hAnsi="Palatino Linotype" w:cs="Palatino Linotype"/>
          <w:lang w:val="es-ES_tradnl" w:eastAsia="es-ES"/>
        </w:rPr>
      </w:pPr>
      <w:r w:rsidRPr="00386F65">
        <w:rPr>
          <w:rFonts w:ascii="Palatino Linotype" w:eastAsia="Palatino Linotype" w:hAnsi="Palatino Linotype" w:cs="Palatino Linotype"/>
          <w:b/>
          <w:lang w:val="es-ES_tradnl" w:eastAsia="es-ES"/>
        </w:rPr>
        <w:t>VISTO</w:t>
      </w:r>
      <w:r w:rsidRPr="00386F65">
        <w:rPr>
          <w:rFonts w:ascii="Palatino Linotype" w:eastAsia="Palatino Linotype" w:hAnsi="Palatino Linotype" w:cs="Palatino Linotype"/>
          <w:lang w:val="es-ES_tradnl" w:eastAsia="es-ES"/>
        </w:rPr>
        <w:t xml:space="preserve"> el expediente electrónico formado con motivo del recurso de revisión </w:t>
      </w:r>
      <w:r w:rsidR="003A7B67" w:rsidRPr="00386F65">
        <w:rPr>
          <w:rFonts w:ascii="Palatino Linotype" w:eastAsia="Palatino Linotype" w:hAnsi="Palatino Linotype" w:cs="Palatino Linotype"/>
          <w:b/>
          <w:lang w:val="es-ES_tradnl" w:eastAsia="es-ES"/>
        </w:rPr>
        <w:t>04008/INFOEM/IP/RR/2026</w:t>
      </w:r>
      <w:r w:rsidRPr="00386F65">
        <w:rPr>
          <w:rFonts w:ascii="Palatino Linotype" w:eastAsia="Palatino Linotype" w:hAnsi="Palatino Linotype" w:cs="Palatino Linotype"/>
          <w:b/>
          <w:lang w:val="es-ES_tradnl" w:eastAsia="es-ES"/>
        </w:rPr>
        <w:t xml:space="preserve">, </w:t>
      </w:r>
      <w:r w:rsidRPr="00386F65">
        <w:rPr>
          <w:rFonts w:ascii="Palatino Linotype" w:eastAsia="Palatino Linotype" w:hAnsi="Palatino Linotype" w:cs="Palatino Linotype"/>
          <w:lang w:val="es-ES_tradnl" w:eastAsia="es-ES"/>
        </w:rPr>
        <w:t>promovido por</w:t>
      </w:r>
      <w:r w:rsidRPr="00386F65">
        <w:rPr>
          <w:rFonts w:ascii="Palatino Linotype" w:eastAsia="Palatino Linotype" w:hAnsi="Palatino Linotype" w:cs="Palatino Linotype"/>
          <w:b/>
          <w:lang w:val="es-ES_tradnl" w:eastAsia="es-ES"/>
        </w:rPr>
        <w:t xml:space="preserve"> </w:t>
      </w:r>
      <w:r w:rsidR="003A7B67" w:rsidRPr="00386F65">
        <w:rPr>
          <w:rFonts w:ascii="Palatino Linotype" w:eastAsia="Palatino Linotype" w:hAnsi="Palatino Linotype" w:cs="Palatino Linotype"/>
          <w:b/>
          <w:bCs/>
          <w:lang w:eastAsia="es-ES"/>
        </w:rPr>
        <w:t>una persona que no proporcionó datos de identificación</w:t>
      </w:r>
      <w:r w:rsidRPr="00386F65">
        <w:rPr>
          <w:rFonts w:ascii="Palatino Linotype" w:eastAsia="Palatino Linotype" w:hAnsi="Palatino Linotype" w:cs="Palatino Linotype"/>
          <w:lang w:val="es-ES_tradnl" w:eastAsia="es-ES"/>
        </w:rPr>
        <w:t xml:space="preserve">, a quien en lo sucesivo se le identificará como </w:t>
      </w:r>
      <w:r w:rsidRPr="00386F65">
        <w:rPr>
          <w:rFonts w:ascii="Palatino Linotype" w:eastAsia="Palatino Linotype" w:hAnsi="Palatino Linotype" w:cs="Palatino Linotype"/>
          <w:b/>
          <w:lang w:val="es-ES_tradnl" w:eastAsia="es-ES"/>
        </w:rPr>
        <w:t>LA RECURRENTE</w:t>
      </w:r>
      <w:r w:rsidRPr="00386F65">
        <w:rPr>
          <w:rFonts w:ascii="Palatino Linotype" w:eastAsia="Palatino Linotype" w:hAnsi="Palatino Linotype" w:cs="Palatino Linotype"/>
          <w:lang w:val="es-ES_tradnl" w:eastAsia="es-ES"/>
        </w:rPr>
        <w:t>, en contra de la falta de  respuesta de</w:t>
      </w:r>
      <w:r w:rsidR="003A7B67" w:rsidRPr="00386F65">
        <w:rPr>
          <w:rFonts w:ascii="Palatino Linotype" w:eastAsia="Palatino Linotype" w:hAnsi="Palatino Linotype" w:cs="Palatino Linotype"/>
          <w:lang w:val="es-ES_tradnl" w:eastAsia="es-ES"/>
        </w:rPr>
        <w:t xml:space="preserve"> </w:t>
      </w:r>
      <w:r w:rsidRPr="00386F65">
        <w:rPr>
          <w:rFonts w:ascii="Palatino Linotype" w:eastAsia="Palatino Linotype" w:hAnsi="Palatino Linotype" w:cs="Palatino Linotype"/>
          <w:lang w:val="es-ES_tradnl" w:eastAsia="es-ES"/>
        </w:rPr>
        <w:t>l</w:t>
      </w:r>
      <w:r w:rsidR="003A7B67" w:rsidRPr="00386F65">
        <w:rPr>
          <w:rFonts w:ascii="Palatino Linotype" w:eastAsia="Palatino Linotype" w:hAnsi="Palatino Linotype" w:cs="Palatino Linotype"/>
          <w:lang w:val="es-ES_tradnl" w:eastAsia="es-ES"/>
        </w:rPr>
        <w:t>a</w:t>
      </w:r>
      <w:r w:rsidRPr="00386F65">
        <w:rPr>
          <w:rFonts w:ascii="Palatino Linotype" w:eastAsia="Palatino Linotype" w:hAnsi="Palatino Linotype" w:cs="Palatino Linotype"/>
          <w:lang w:val="es-ES_tradnl" w:eastAsia="es-ES"/>
        </w:rPr>
        <w:t xml:space="preserve"> </w:t>
      </w:r>
      <w:r w:rsidR="003A7B67" w:rsidRPr="00386F65">
        <w:rPr>
          <w:rFonts w:ascii="Palatino Linotype" w:eastAsia="Palatino Linotype" w:hAnsi="Palatino Linotype" w:cs="Palatino Linotype"/>
          <w:b/>
          <w:lang w:val="es-ES_tradnl" w:eastAsia="es-ES"/>
        </w:rPr>
        <w:t>Secretaría de la Contraloría</w:t>
      </w:r>
      <w:r w:rsidRPr="00386F65">
        <w:rPr>
          <w:rFonts w:ascii="Palatino Linotype" w:eastAsia="Palatino Linotype" w:hAnsi="Palatino Linotype" w:cs="Palatino Linotype"/>
          <w:b/>
          <w:lang w:val="es-ES_tradnl" w:eastAsia="es-ES"/>
        </w:rPr>
        <w:t xml:space="preserve">, </w:t>
      </w:r>
      <w:r w:rsidRPr="00386F65">
        <w:rPr>
          <w:rFonts w:ascii="Palatino Linotype" w:eastAsia="Palatino Linotype" w:hAnsi="Palatino Linotype" w:cs="Palatino Linotype"/>
          <w:lang w:val="es-ES_tradnl" w:eastAsia="es-ES"/>
        </w:rPr>
        <w:t>en adelante el</w:t>
      </w:r>
      <w:r w:rsidRPr="00386F65">
        <w:rPr>
          <w:rFonts w:ascii="Palatino Linotype" w:eastAsia="Palatino Linotype" w:hAnsi="Palatino Linotype" w:cs="Palatino Linotype"/>
          <w:b/>
          <w:lang w:val="es-ES_tradnl" w:eastAsia="es-ES"/>
        </w:rPr>
        <w:t xml:space="preserve"> SUJETO OBLIGADO</w:t>
      </w:r>
      <w:r w:rsidRPr="00386F65">
        <w:rPr>
          <w:rFonts w:ascii="Palatino Linotype" w:eastAsia="Palatino Linotype" w:hAnsi="Palatino Linotype" w:cs="Palatino Linotype"/>
          <w:lang w:val="es-ES_tradnl" w:eastAsia="es-ES"/>
        </w:rPr>
        <w:t>, se procede a dictar la presente resolución, con base en los siguientes:</w:t>
      </w:r>
    </w:p>
    <w:p w14:paraId="1262C01F" w14:textId="77777777" w:rsidR="00386F65" w:rsidRDefault="00386F65" w:rsidP="00BD631B">
      <w:pPr>
        <w:keepNext/>
        <w:keepLines/>
        <w:spacing w:line="360" w:lineRule="auto"/>
        <w:jc w:val="center"/>
        <w:outlineLvl w:val="0"/>
        <w:rPr>
          <w:rFonts w:ascii="Palatino Linotype" w:eastAsia="Palatino Linotype" w:hAnsi="Palatino Linotype" w:cs="Palatino Linotype"/>
          <w:b/>
          <w:color w:val="000000"/>
          <w:lang w:val="es-ES_tradnl" w:eastAsia="es-ES"/>
        </w:rPr>
      </w:pPr>
      <w:bookmarkStart w:id="0" w:name="_heading=h.gjdgxs" w:colFirst="0" w:colLast="0"/>
      <w:bookmarkEnd w:id="0"/>
    </w:p>
    <w:p w14:paraId="39472820" w14:textId="77777777" w:rsidR="00D95869" w:rsidRPr="00386F65" w:rsidRDefault="00D95869" w:rsidP="00BD631B">
      <w:pPr>
        <w:keepNext/>
        <w:keepLines/>
        <w:spacing w:line="360" w:lineRule="auto"/>
        <w:jc w:val="center"/>
        <w:outlineLvl w:val="0"/>
        <w:rPr>
          <w:rFonts w:ascii="Palatino Linotype" w:eastAsia="Palatino Linotype" w:hAnsi="Palatino Linotype" w:cs="Palatino Linotype"/>
          <w:b/>
          <w:color w:val="000000"/>
          <w:lang w:val="es-ES_tradnl" w:eastAsia="es-ES"/>
        </w:rPr>
      </w:pPr>
      <w:r w:rsidRPr="00386F65">
        <w:rPr>
          <w:rFonts w:ascii="Palatino Linotype" w:eastAsia="Palatino Linotype" w:hAnsi="Palatino Linotype" w:cs="Palatino Linotype"/>
          <w:b/>
          <w:color w:val="000000"/>
          <w:lang w:val="es-ES_tradnl" w:eastAsia="es-ES"/>
        </w:rPr>
        <w:t>A N T E C E D E N T E S</w:t>
      </w:r>
    </w:p>
    <w:p w14:paraId="79DB27B1" w14:textId="77777777" w:rsidR="00D95869" w:rsidRPr="00386F65" w:rsidRDefault="00D95869" w:rsidP="00BD631B">
      <w:pPr>
        <w:rPr>
          <w:rFonts w:asciiTheme="minorHAnsi" w:eastAsiaTheme="minorEastAsia" w:hAnsiTheme="minorHAnsi" w:cstheme="minorBidi"/>
          <w:lang w:val="es-ES_tradnl" w:eastAsia="es-ES"/>
        </w:rPr>
      </w:pPr>
    </w:p>
    <w:p w14:paraId="678EA9DC" w14:textId="238D399D" w:rsidR="00D95869" w:rsidRPr="00386F65" w:rsidRDefault="00D95869" w:rsidP="00BD631B">
      <w:pPr>
        <w:numPr>
          <w:ilvl w:val="0"/>
          <w:numId w:val="5"/>
        </w:numPr>
        <w:pBdr>
          <w:top w:val="nil"/>
          <w:left w:val="nil"/>
          <w:bottom w:val="nil"/>
          <w:right w:val="nil"/>
          <w:between w:val="nil"/>
        </w:pBdr>
        <w:tabs>
          <w:tab w:val="left" w:pos="0"/>
        </w:tabs>
        <w:spacing w:line="360" w:lineRule="auto"/>
        <w:ind w:left="0" w:firstLine="0"/>
        <w:jc w:val="both"/>
        <w:rPr>
          <w:rFonts w:asciiTheme="minorHAnsi" w:eastAsiaTheme="minorEastAsia" w:hAnsiTheme="minorHAnsi" w:cstheme="minorBidi"/>
          <w:color w:val="000000"/>
          <w:lang w:val="es-ES_tradnl" w:eastAsia="es-ES"/>
        </w:rPr>
      </w:pPr>
      <w:r w:rsidRPr="00386F65">
        <w:rPr>
          <w:rFonts w:ascii="Palatino Linotype" w:eastAsia="Palatino Linotype" w:hAnsi="Palatino Linotype" w:cs="Palatino Linotype"/>
          <w:color w:val="000000"/>
          <w:lang w:val="es-ES_tradnl" w:eastAsia="es-ES"/>
        </w:rPr>
        <w:t>El día</w:t>
      </w:r>
      <w:r w:rsidRPr="00386F65">
        <w:rPr>
          <w:rFonts w:ascii="Palatino Linotype" w:eastAsia="Palatino Linotype" w:hAnsi="Palatino Linotype" w:cs="Palatino Linotype"/>
          <w:b/>
          <w:color w:val="000000"/>
          <w:lang w:val="es-ES_tradnl" w:eastAsia="es-ES"/>
        </w:rPr>
        <w:t xml:space="preserve"> </w:t>
      </w:r>
      <w:r w:rsidR="003A7B67" w:rsidRPr="00386F65">
        <w:rPr>
          <w:rFonts w:ascii="Palatino Linotype" w:eastAsia="Palatino Linotype" w:hAnsi="Palatino Linotype" w:cs="Palatino Linotype"/>
          <w:b/>
          <w:color w:val="000000"/>
          <w:lang w:val="es-ES_tradnl" w:eastAsia="es-ES"/>
        </w:rPr>
        <w:t>seis de abril de dos mil veintiséis</w:t>
      </w:r>
      <w:r w:rsidRPr="00386F65">
        <w:rPr>
          <w:rFonts w:ascii="Palatino Linotype" w:eastAsia="Palatino Linotype" w:hAnsi="Palatino Linotype" w:cs="Palatino Linotype"/>
          <w:b/>
          <w:color w:val="000000"/>
          <w:lang w:val="es-ES_tradnl" w:eastAsia="es-ES"/>
        </w:rPr>
        <w:t xml:space="preserve">, </w:t>
      </w:r>
      <w:r w:rsidRPr="00386F65">
        <w:rPr>
          <w:rFonts w:ascii="Palatino Linotype" w:eastAsia="Palatino Linotype" w:hAnsi="Palatino Linotype" w:cs="Palatino Linotype"/>
          <w:color w:val="000000"/>
          <w:lang w:val="es-ES_tradnl" w:eastAsia="es-ES"/>
        </w:rPr>
        <w:t xml:space="preserve">se presentó ante el </w:t>
      </w:r>
      <w:r w:rsidRPr="00386F65">
        <w:rPr>
          <w:rFonts w:ascii="Palatino Linotype" w:eastAsia="Palatino Linotype" w:hAnsi="Palatino Linotype" w:cs="Palatino Linotype"/>
          <w:b/>
          <w:color w:val="000000"/>
          <w:lang w:val="es-ES_tradnl" w:eastAsia="es-ES"/>
        </w:rPr>
        <w:t>SUJETO OBLIGADO</w:t>
      </w:r>
      <w:r w:rsidRPr="00386F65">
        <w:rPr>
          <w:rFonts w:ascii="Palatino Linotype" w:eastAsia="Palatino Linotype" w:hAnsi="Palatino Linotype" w:cs="Palatino Linotype"/>
          <w:color w:val="000000"/>
          <w:lang w:val="es-ES_tradnl" w:eastAsia="es-ES"/>
        </w:rPr>
        <w:t xml:space="preserve"> vía SAIMEX, la solicitud de información pública registrada con el número</w:t>
      </w:r>
      <w:r w:rsidRPr="00386F65">
        <w:rPr>
          <w:rFonts w:ascii="Palatino Linotype" w:eastAsia="Palatino Linotype" w:hAnsi="Palatino Linotype" w:cs="Palatino Linotype"/>
          <w:b/>
          <w:color w:val="000000"/>
          <w:lang w:val="es-ES_tradnl" w:eastAsia="es-ES"/>
        </w:rPr>
        <w:t xml:space="preserve"> </w:t>
      </w:r>
      <w:r w:rsidR="003A7B67" w:rsidRPr="00386F65">
        <w:rPr>
          <w:rFonts w:ascii="Palatino Linotype" w:eastAsia="Palatino Linotype" w:hAnsi="Palatino Linotype" w:cs="Palatino Linotype"/>
          <w:b/>
          <w:color w:val="000000"/>
          <w:lang w:val="es-ES_tradnl" w:eastAsia="es-ES"/>
        </w:rPr>
        <w:t>00060/SECOGEM/IP/2026</w:t>
      </w:r>
      <w:r w:rsidRPr="00386F65">
        <w:rPr>
          <w:rFonts w:ascii="Palatino Linotype" w:eastAsia="Palatino Linotype" w:hAnsi="Palatino Linotype" w:cs="Palatino Linotype"/>
          <w:b/>
          <w:color w:val="000000"/>
          <w:lang w:val="es-ES_tradnl" w:eastAsia="es-ES"/>
        </w:rPr>
        <w:t xml:space="preserve">; </w:t>
      </w:r>
      <w:r w:rsidRPr="00386F65">
        <w:rPr>
          <w:rFonts w:ascii="Palatino Linotype" w:eastAsia="Palatino Linotype" w:hAnsi="Palatino Linotype" w:cs="Palatino Linotype"/>
          <w:lang w:val="es-ES_tradnl" w:eastAsia="es-ES"/>
        </w:rPr>
        <w:t>en la</w:t>
      </w:r>
      <w:r w:rsidR="00963880" w:rsidRPr="00386F65">
        <w:rPr>
          <w:rFonts w:ascii="Palatino Linotype" w:eastAsia="Palatino Linotype" w:hAnsi="Palatino Linotype" w:cs="Palatino Linotype"/>
          <w:lang w:val="es-ES_tradnl" w:eastAsia="es-ES"/>
        </w:rPr>
        <w:t xml:space="preserve"> solicitud de información se </w:t>
      </w:r>
      <w:r w:rsidRPr="00386F65">
        <w:rPr>
          <w:rFonts w:ascii="Palatino Linotype" w:eastAsia="Palatino Linotype" w:hAnsi="Palatino Linotype" w:cs="Palatino Linotype"/>
          <w:color w:val="000000"/>
          <w:lang w:val="es-ES_tradnl" w:eastAsia="es-ES"/>
        </w:rPr>
        <w:t>solicitó la siguiente información:</w:t>
      </w:r>
    </w:p>
    <w:p w14:paraId="671740CD" w14:textId="77777777" w:rsidR="00D95869" w:rsidRPr="00386F65" w:rsidRDefault="00D95869" w:rsidP="00BD631B">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ES"/>
        </w:rPr>
      </w:pPr>
    </w:p>
    <w:p w14:paraId="021DD730" w14:textId="2F7F1250" w:rsidR="00D95869" w:rsidRPr="00386F65" w:rsidRDefault="00D95869" w:rsidP="00BD631B">
      <w:pPr>
        <w:pBdr>
          <w:top w:val="nil"/>
          <w:left w:val="nil"/>
          <w:bottom w:val="nil"/>
          <w:right w:val="nil"/>
          <w:between w:val="nil"/>
        </w:pBdr>
        <w:ind w:left="1134"/>
        <w:jc w:val="both"/>
        <w:rPr>
          <w:rFonts w:ascii="Palatino Linotype" w:eastAsia="Palatino Linotype" w:hAnsi="Palatino Linotype" w:cs="Palatino Linotype"/>
          <w:color w:val="000000"/>
          <w:lang w:val="es-ES_tradnl" w:eastAsia="es-ES"/>
        </w:rPr>
      </w:pPr>
      <w:r w:rsidRPr="00386F65">
        <w:rPr>
          <w:rFonts w:ascii="Palatino Linotype" w:eastAsia="Palatino Linotype" w:hAnsi="Palatino Linotype" w:cs="Palatino Linotype"/>
          <w:i/>
          <w:color w:val="000000"/>
          <w:lang w:val="es-ES_tradnl" w:eastAsia="es-ES"/>
        </w:rPr>
        <w:t>“</w:t>
      </w:r>
      <w:r w:rsidR="003A7B67" w:rsidRPr="00386F65">
        <w:rPr>
          <w:rFonts w:ascii="Palatino Linotype" w:eastAsia="Palatino Linotype" w:hAnsi="Palatino Linotype" w:cs="Palatino Linotype"/>
          <w:i/>
          <w:color w:val="000000"/>
          <w:lang w:eastAsia="es-ES"/>
        </w:rPr>
        <w:t>----Requiero que la unidad administrativa fundamente y motive, la razón por la cual a la presente fecha no existen registros de seguimientos del enlace de la dependencia, organismo auxiliar o ayuntamiento respecto del folio de denuncia que se adjunta al presente. ----Requiero que la unidad administrativa responsable fundamente y motive cuanto tiempo tiene el organismo de agua potable para subir el registro correspondiente al SAM con base al archivo de denuncia interpuesta adjunto al presente. ----Requiero fundado y motivado cuanto tiempo tiene el organismo de agua para emitir una resolución o similar de conclusión de la denuncia. Folio de referencia de la denuncia: 02198-2026-1177</w:t>
      </w:r>
      <w:r w:rsidRPr="00386F65">
        <w:rPr>
          <w:rFonts w:ascii="Palatino Linotype" w:eastAsia="Palatino Linotype" w:hAnsi="Palatino Linotype" w:cs="Palatino Linotype"/>
          <w:i/>
          <w:color w:val="000000"/>
          <w:lang w:val="es-ES_tradnl" w:eastAsia="es-ES"/>
        </w:rPr>
        <w:t>”</w:t>
      </w:r>
    </w:p>
    <w:p w14:paraId="4DD4F054" w14:textId="77777777" w:rsidR="00D95869" w:rsidRDefault="00D95869" w:rsidP="00BD631B">
      <w:pPr>
        <w:pBdr>
          <w:top w:val="nil"/>
          <w:left w:val="nil"/>
          <w:bottom w:val="nil"/>
          <w:right w:val="nil"/>
          <w:between w:val="nil"/>
        </w:pBdr>
        <w:spacing w:line="360" w:lineRule="auto"/>
        <w:ind w:left="851"/>
        <w:jc w:val="both"/>
        <w:rPr>
          <w:rFonts w:ascii="Palatino Linotype" w:eastAsia="Palatino Linotype" w:hAnsi="Palatino Linotype" w:cs="Palatino Linotype"/>
          <w:color w:val="000000"/>
          <w:lang w:val="es-ES_tradnl" w:eastAsia="es-ES"/>
        </w:rPr>
      </w:pPr>
    </w:p>
    <w:p w14:paraId="16388C15" w14:textId="77777777" w:rsidR="00386F65" w:rsidRPr="00386F65" w:rsidRDefault="00386F65" w:rsidP="00BD631B">
      <w:pPr>
        <w:pBdr>
          <w:top w:val="nil"/>
          <w:left w:val="nil"/>
          <w:bottom w:val="nil"/>
          <w:right w:val="nil"/>
          <w:between w:val="nil"/>
        </w:pBdr>
        <w:spacing w:line="360" w:lineRule="auto"/>
        <w:ind w:left="851"/>
        <w:jc w:val="both"/>
        <w:rPr>
          <w:rFonts w:ascii="Palatino Linotype" w:eastAsia="Palatino Linotype" w:hAnsi="Palatino Linotype" w:cs="Palatino Linotype"/>
          <w:color w:val="000000"/>
          <w:lang w:val="es-ES_tradnl" w:eastAsia="es-ES"/>
        </w:rPr>
      </w:pPr>
    </w:p>
    <w:p w14:paraId="7D14A094" w14:textId="23243929" w:rsidR="00D95869" w:rsidRPr="00386F65" w:rsidRDefault="00F83F41" w:rsidP="00BD631B">
      <w:pPr>
        <w:numPr>
          <w:ilvl w:val="0"/>
          <w:numId w:val="6"/>
        </w:numPr>
        <w:pBdr>
          <w:top w:val="nil"/>
          <w:left w:val="nil"/>
          <w:bottom w:val="nil"/>
          <w:right w:val="nil"/>
          <w:between w:val="nil"/>
        </w:pBdr>
        <w:spacing w:line="360" w:lineRule="auto"/>
        <w:ind w:left="851"/>
        <w:jc w:val="both"/>
        <w:rPr>
          <w:rFonts w:ascii="Palatino Linotype" w:eastAsia="Palatino Linotype" w:hAnsi="Palatino Linotype" w:cs="Palatino Linotype"/>
          <w:color w:val="000000"/>
          <w:lang w:val="es-ES_tradnl" w:eastAsia="es-ES"/>
        </w:rPr>
      </w:pPr>
      <w:r w:rsidRPr="00386F65">
        <w:rPr>
          <w:rFonts w:ascii="Palatino Linotype" w:eastAsia="Palatino Linotype" w:hAnsi="Palatino Linotype" w:cs="Palatino Linotype"/>
          <w:color w:val="000000"/>
          <w:lang w:val="es-ES_tradnl" w:eastAsia="es-ES"/>
        </w:rPr>
        <w:t xml:space="preserve">Modalidad de entrega: A través de </w:t>
      </w:r>
      <w:r w:rsidRPr="00386F65">
        <w:rPr>
          <w:rFonts w:ascii="Palatino Linotype" w:eastAsia="Palatino Linotype" w:hAnsi="Palatino Linotype" w:cs="Palatino Linotype"/>
          <w:b/>
          <w:color w:val="000000"/>
          <w:lang w:val="es-ES_tradnl" w:eastAsia="es-ES"/>
        </w:rPr>
        <w:t>SAIMEX</w:t>
      </w:r>
    </w:p>
    <w:p w14:paraId="6573D4E1" w14:textId="77777777" w:rsidR="003C6B8B" w:rsidRPr="00386F65" w:rsidRDefault="003C6B8B" w:rsidP="00BD631B">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lang w:val="es-ES_tradnl" w:eastAsia="es-ES"/>
        </w:rPr>
      </w:pPr>
      <w:r w:rsidRPr="00386F65">
        <w:rPr>
          <w:rFonts w:ascii="Palatino Linotype" w:eastAsia="Palatino Linotype" w:hAnsi="Palatino Linotype" w:cs="Palatino Linotype"/>
          <w:color w:val="000000"/>
          <w:lang w:val="es-ES_tradnl" w:eastAsia="es-ES"/>
        </w:rPr>
        <w:lastRenderedPageBreak/>
        <w:t xml:space="preserve">A su solicitud adjuntó el archivo </w:t>
      </w:r>
      <w:r w:rsidRPr="00386F65">
        <w:rPr>
          <w:rFonts w:ascii="Palatino Linotype" w:eastAsia="Palatino Linotype" w:hAnsi="Palatino Linotype" w:cs="Palatino Linotype"/>
          <w:b/>
          <w:color w:val="000000"/>
          <w:lang w:val="es-ES_tradnl" w:eastAsia="es-ES"/>
        </w:rPr>
        <w:t xml:space="preserve">176 - Sistema de Atención Mexiquense.pdf </w:t>
      </w:r>
      <w:r w:rsidRPr="00386F65">
        <w:rPr>
          <w:rFonts w:ascii="Palatino Linotype" w:eastAsia="Palatino Linotype" w:hAnsi="Palatino Linotype" w:cs="Palatino Linotype"/>
          <w:color w:val="000000"/>
          <w:lang w:val="es-ES_tradnl" w:eastAsia="es-ES"/>
        </w:rPr>
        <w:t>donde se advierte acuse de denuncia.</w:t>
      </w:r>
    </w:p>
    <w:p w14:paraId="3EBB0166" w14:textId="77777777" w:rsidR="003C6B8B" w:rsidRPr="00386F65" w:rsidRDefault="003C6B8B" w:rsidP="00BD631B">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lang w:val="es-ES_tradnl" w:eastAsia="es-ES"/>
        </w:rPr>
      </w:pPr>
    </w:p>
    <w:p w14:paraId="7E94594A" w14:textId="4967D891" w:rsidR="00D95869" w:rsidRPr="00386F65" w:rsidRDefault="003A7B67" w:rsidP="00BD631B">
      <w:pPr>
        <w:pStyle w:val="Prrafodelista"/>
        <w:numPr>
          <w:ilvl w:val="0"/>
          <w:numId w:val="5"/>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lang w:val="es-ES_tradnl" w:eastAsia="es-ES"/>
        </w:rPr>
      </w:pPr>
      <w:r w:rsidRPr="00386F65">
        <w:rPr>
          <w:rFonts w:ascii="Palatino Linotype" w:eastAsia="Palatino Linotype" w:hAnsi="Palatino Linotype" w:cs="Palatino Linotype"/>
          <w:color w:val="000000"/>
          <w:lang w:val="es-ES_tradnl" w:eastAsia="es-ES"/>
        </w:rPr>
        <w:t xml:space="preserve">En fecha </w:t>
      </w:r>
      <w:r w:rsidRPr="00386F65">
        <w:rPr>
          <w:rFonts w:ascii="Palatino Linotype" w:eastAsia="Palatino Linotype" w:hAnsi="Palatino Linotype" w:cs="Palatino Linotype"/>
          <w:b/>
          <w:color w:val="000000"/>
          <w:lang w:val="es-ES_tradnl" w:eastAsia="es-ES"/>
        </w:rPr>
        <w:t xml:space="preserve">dieciséis de abril  de dos mil veintiséis </w:t>
      </w:r>
      <w:r w:rsidRPr="00386F65">
        <w:rPr>
          <w:rFonts w:ascii="Palatino Linotype" w:eastAsia="Palatino Linotype" w:hAnsi="Palatino Linotype" w:cs="Palatino Linotype"/>
          <w:color w:val="000000"/>
          <w:lang w:val="es-ES_tradnl" w:eastAsia="es-ES"/>
        </w:rPr>
        <w:t xml:space="preserve">el </w:t>
      </w:r>
      <w:r w:rsidR="00D95869" w:rsidRPr="00386F65">
        <w:rPr>
          <w:rFonts w:ascii="Palatino Linotype" w:eastAsia="Palatino Linotype" w:hAnsi="Palatino Linotype" w:cs="Palatino Linotype"/>
          <w:b/>
          <w:color w:val="000000"/>
          <w:lang w:val="es-ES_tradnl" w:eastAsia="es-ES"/>
        </w:rPr>
        <w:t xml:space="preserve">SUJETO OBLIGADO </w:t>
      </w:r>
      <w:r w:rsidRPr="00386F65">
        <w:rPr>
          <w:rFonts w:ascii="Palatino Linotype" w:eastAsia="Palatino Linotype" w:hAnsi="Palatino Linotype" w:cs="Palatino Linotype"/>
          <w:color w:val="000000"/>
          <w:lang w:val="es-ES_tradnl" w:eastAsia="es-ES"/>
        </w:rPr>
        <w:t xml:space="preserve"> en respuesta remitió archivo electrónico en el que medularmente refiere lo siguiente:</w:t>
      </w:r>
      <w:r w:rsidR="00D95869" w:rsidRPr="00386F65">
        <w:rPr>
          <w:rFonts w:ascii="Palatino Linotype" w:eastAsia="Palatino Linotype" w:hAnsi="Palatino Linotype" w:cs="Palatino Linotype"/>
          <w:color w:val="000000"/>
          <w:lang w:val="es-ES_tradnl" w:eastAsia="es-ES"/>
        </w:rPr>
        <w:t xml:space="preserve"> </w:t>
      </w:r>
    </w:p>
    <w:p w14:paraId="46F57B23" w14:textId="4707AA26" w:rsidR="003A7B67" w:rsidRPr="00386F65" w:rsidRDefault="003A7B67" w:rsidP="00BD631B">
      <w:pPr>
        <w:pBdr>
          <w:top w:val="nil"/>
          <w:left w:val="nil"/>
          <w:bottom w:val="nil"/>
          <w:right w:val="nil"/>
          <w:between w:val="nil"/>
        </w:pBdr>
        <w:spacing w:line="360" w:lineRule="auto"/>
        <w:ind w:left="1134"/>
        <w:jc w:val="both"/>
        <w:rPr>
          <w:rFonts w:ascii="Palatino Linotype" w:eastAsia="Palatino Linotype" w:hAnsi="Palatino Linotype" w:cs="Palatino Linotype"/>
          <w:i/>
          <w:color w:val="000000"/>
          <w:lang w:val="es-ES_tradnl" w:eastAsia="es-ES"/>
        </w:rPr>
      </w:pPr>
      <w:r w:rsidRPr="00386F65">
        <w:rPr>
          <w:rFonts w:ascii="Palatino Linotype" w:eastAsia="Palatino Linotype" w:hAnsi="Palatino Linotype" w:cs="Palatino Linotype"/>
          <w:b/>
          <w:color w:val="000000"/>
          <w:lang w:val="es-ES_tradnl" w:eastAsia="es-ES"/>
        </w:rPr>
        <w:t>00060-SECOGEM-IP-2026.pdf:</w:t>
      </w:r>
      <w:r w:rsidRPr="00386F65">
        <w:rPr>
          <w:rFonts w:ascii="Palatino Linotype" w:eastAsia="Palatino Linotype" w:hAnsi="Palatino Linotype" w:cs="Palatino Linotype"/>
          <w:b/>
          <w:i/>
          <w:color w:val="000000"/>
          <w:lang w:val="es-ES_tradnl" w:eastAsia="es-ES"/>
        </w:rPr>
        <w:t xml:space="preserve"> </w:t>
      </w:r>
      <w:r w:rsidRPr="00386F65">
        <w:rPr>
          <w:rFonts w:ascii="Palatino Linotype" w:eastAsia="Palatino Linotype" w:hAnsi="Palatino Linotype" w:cs="Palatino Linotype"/>
          <w:i/>
          <w:color w:val="000000"/>
          <w:lang w:val="es-ES_tradnl" w:eastAsia="es-ES"/>
        </w:rPr>
        <w:t>Donde mediante comunicación interna el Director de Investigación refiere</w:t>
      </w:r>
      <w:r w:rsidR="00A11E3A" w:rsidRPr="00386F65">
        <w:rPr>
          <w:rFonts w:ascii="Palatino Linotype" w:eastAsia="Palatino Linotype" w:hAnsi="Palatino Linotype" w:cs="Palatino Linotype"/>
          <w:i/>
          <w:color w:val="000000"/>
          <w:lang w:val="es-ES_tradnl" w:eastAsia="es-ES"/>
        </w:rPr>
        <w:t xml:space="preserve"> y funda</w:t>
      </w:r>
      <w:r w:rsidRPr="00386F65">
        <w:rPr>
          <w:rFonts w:ascii="Palatino Linotype" w:eastAsia="Palatino Linotype" w:hAnsi="Palatino Linotype" w:cs="Palatino Linotype"/>
          <w:i/>
          <w:color w:val="000000"/>
          <w:lang w:val="es-ES_tradnl" w:eastAsia="es-ES"/>
        </w:rPr>
        <w:t xml:space="preserve"> la facultad de la Dirección de Investigación para recibir denuncias</w:t>
      </w:r>
      <w:r w:rsidR="00A11E3A" w:rsidRPr="00386F65">
        <w:rPr>
          <w:rFonts w:ascii="Palatino Linotype" w:eastAsia="Palatino Linotype" w:hAnsi="Palatino Linotype" w:cs="Palatino Linotype"/>
          <w:i/>
          <w:color w:val="000000"/>
          <w:lang w:val="es-ES_tradnl" w:eastAsia="es-ES"/>
        </w:rPr>
        <w:t>, analizarlas y turnarlas a las autoridades investigadoras competentes; refiere y funda la autonomía de los Ayuntamientos al respecto</w:t>
      </w:r>
      <w:r w:rsidR="009C66A7" w:rsidRPr="00386F65">
        <w:rPr>
          <w:rFonts w:ascii="Palatino Linotype" w:eastAsia="Palatino Linotype" w:hAnsi="Palatino Linotype" w:cs="Palatino Linotype"/>
          <w:i/>
          <w:color w:val="000000"/>
          <w:lang w:val="es-ES_tradnl" w:eastAsia="es-ES"/>
        </w:rPr>
        <w:t>; delimita la Administración Pública Estatal y las Municipales así como la competencia de la Secretaría de la Contraloría y de los Órganos Internos de Control Municipales, para el caso concreto del Organismo Auxiliar al que fue remitida la denuncia.</w:t>
      </w:r>
      <w:r w:rsidR="00A11E3A" w:rsidRPr="00386F65">
        <w:rPr>
          <w:rFonts w:ascii="Palatino Linotype" w:eastAsia="Palatino Linotype" w:hAnsi="Palatino Linotype" w:cs="Palatino Linotype"/>
          <w:i/>
          <w:color w:val="000000"/>
          <w:lang w:val="es-ES_tradnl" w:eastAsia="es-ES"/>
        </w:rPr>
        <w:t>.</w:t>
      </w:r>
    </w:p>
    <w:p w14:paraId="6E410398" w14:textId="77777777" w:rsidR="00A11E3A" w:rsidRPr="00386F65" w:rsidRDefault="00A11E3A" w:rsidP="00BD631B">
      <w:pPr>
        <w:pBdr>
          <w:top w:val="nil"/>
          <w:left w:val="nil"/>
          <w:bottom w:val="nil"/>
          <w:right w:val="nil"/>
          <w:between w:val="nil"/>
        </w:pBdr>
        <w:spacing w:line="360" w:lineRule="auto"/>
        <w:ind w:left="1134"/>
        <w:jc w:val="both"/>
        <w:rPr>
          <w:rFonts w:ascii="Palatino Linotype" w:eastAsia="Palatino Linotype" w:hAnsi="Palatino Linotype" w:cs="Palatino Linotype"/>
          <w:i/>
          <w:color w:val="000000"/>
          <w:lang w:val="es-ES_tradnl" w:eastAsia="es-ES"/>
        </w:rPr>
      </w:pPr>
    </w:p>
    <w:p w14:paraId="779B8420" w14:textId="0D617D96" w:rsidR="003A7B67" w:rsidRPr="00386F65" w:rsidRDefault="003A7B67" w:rsidP="00BD631B">
      <w:pPr>
        <w:pBdr>
          <w:top w:val="nil"/>
          <w:left w:val="nil"/>
          <w:bottom w:val="nil"/>
          <w:right w:val="nil"/>
          <w:between w:val="nil"/>
        </w:pBdr>
        <w:spacing w:line="360" w:lineRule="auto"/>
        <w:ind w:left="1134"/>
        <w:jc w:val="both"/>
        <w:rPr>
          <w:rFonts w:ascii="Palatino Linotype" w:eastAsia="Palatino Linotype" w:hAnsi="Palatino Linotype" w:cs="Palatino Linotype"/>
          <w:i/>
          <w:color w:val="000000"/>
          <w:lang w:val="es-ES_tradnl" w:eastAsia="es-ES"/>
        </w:rPr>
      </w:pPr>
      <w:r w:rsidRPr="00386F65">
        <w:rPr>
          <w:rFonts w:ascii="Palatino Linotype" w:eastAsia="Palatino Linotype" w:hAnsi="Palatino Linotype" w:cs="Palatino Linotype"/>
          <w:b/>
          <w:color w:val="000000"/>
          <w:lang w:val="es-ES_tradnl" w:eastAsia="es-ES"/>
        </w:rPr>
        <w:t>00060-SECOGEM-IP-2026..pdf:</w:t>
      </w:r>
      <w:r w:rsidRPr="00386F65">
        <w:rPr>
          <w:rFonts w:ascii="Palatino Linotype" w:eastAsia="Palatino Linotype" w:hAnsi="Palatino Linotype" w:cs="Palatino Linotype"/>
          <w:b/>
          <w:i/>
          <w:color w:val="000000"/>
          <w:lang w:val="es-ES_tradnl" w:eastAsia="es-ES"/>
        </w:rPr>
        <w:t xml:space="preserve"> </w:t>
      </w:r>
      <w:r w:rsidRPr="00386F65">
        <w:rPr>
          <w:rFonts w:ascii="Palatino Linotype" w:eastAsia="Palatino Linotype" w:hAnsi="Palatino Linotype" w:cs="Palatino Linotype"/>
          <w:i/>
          <w:color w:val="000000"/>
          <w:lang w:val="es-ES_tradnl" w:eastAsia="es-ES"/>
        </w:rPr>
        <w:t xml:space="preserve">Donde el Titular de la Unidad de Transparencia </w:t>
      </w:r>
      <w:r w:rsidR="00A11E3A" w:rsidRPr="00386F65">
        <w:rPr>
          <w:rFonts w:ascii="Palatino Linotype" w:eastAsia="Palatino Linotype" w:hAnsi="Palatino Linotype" w:cs="Palatino Linotype"/>
          <w:i/>
          <w:color w:val="000000"/>
          <w:lang w:val="es-ES_tradnl" w:eastAsia="es-ES"/>
        </w:rPr>
        <w:t>entrega la respuesta del servidor público habilitado.</w:t>
      </w:r>
    </w:p>
    <w:p w14:paraId="51780FEE" w14:textId="58C0CD94" w:rsidR="003A7B67" w:rsidRPr="00386F65" w:rsidRDefault="003A7B67" w:rsidP="00BD631B">
      <w:pPr>
        <w:pBdr>
          <w:top w:val="nil"/>
          <w:left w:val="nil"/>
          <w:bottom w:val="nil"/>
          <w:right w:val="nil"/>
          <w:between w:val="nil"/>
        </w:pBdr>
        <w:spacing w:line="360" w:lineRule="auto"/>
        <w:jc w:val="both"/>
        <w:rPr>
          <w:rFonts w:ascii="Palatino Linotype" w:eastAsia="Palatino Linotype" w:hAnsi="Palatino Linotype" w:cs="Palatino Linotype"/>
          <w:b/>
          <w:i/>
          <w:color w:val="000000"/>
          <w:lang w:val="es-ES_tradnl" w:eastAsia="es-ES"/>
        </w:rPr>
      </w:pPr>
    </w:p>
    <w:p w14:paraId="53F68A7F" w14:textId="7048F063" w:rsidR="00D95869" w:rsidRPr="00386F65" w:rsidRDefault="00D95869" w:rsidP="00BD631B">
      <w:pPr>
        <w:numPr>
          <w:ilvl w:val="0"/>
          <w:numId w:val="5"/>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lang w:val="es-ES_tradnl" w:eastAsia="es-ES"/>
        </w:rPr>
      </w:pPr>
      <w:bookmarkStart w:id="1" w:name="_heading=h.30j0zll" w:colFirst="0" w:colLast="0"/>
      <w:bookmarkEnd w:id="1"/>
      <w:r w:rsidRPr="00386F65">
        <w:rPr>
          <w:rFonts w:ascii="Palatino Linotype" w:eastAsia="Palatino Linotype" w:hAnsi="Palatino Linotype" w:cs="Palatino Linotype"/>
          <w:color w:val="000000"/>
          <w:lang w:val="es-ES_tradnl" w:eastAsia="es-ES"/>
        </w:rPr>
        <w:t xml:space="preserve">De lo anterior, el entonces </w:t>
      </w:r>
      <w:r w:rsidRPr="00386F65">
        <w:rPr>
          <w:rFonts w:ascii="Palatino Linotype" w:eastAsia="Palatino Linotype" w:hAnsi="Palatino Linotype" w:cs="Palatino Linotype"/>
          <w:b/>
          <w:color w:val="000000"/>
          <w:lang w:val="es-ES_tradnl" w:eastAsia="es-ES"/>
        </w:rPr>
        <w:t xml:space="preserve">SOLICITANTE </w:t>
      </w:r>
      <w:r w:rsidRPr="00386F65">
        <w:rPr>
          <w:rFonts w:ascii="Palatino Linotype" w:eastAsia="Palatino Linotype" w:hAnsi="Palatino Linotype" w:cs="Palatino Linotype"/>
          <w:color w:val="000000"/>
          <w:lang w:val="es-ES_tradnl" w:eastAsia="es-ES"/>
        </w:rPr>
        <w:t xml:space="preserve">interpuso el recurso de revisión, </w:t>
      </w:r>
      <w:r w:rsidR="00963880" w:rsidRPr="00386F65">
        <w:rPr>
          <w:rFonts w:ascii="Palatino Linotype" w:eastAsia="Palatino Linotype" w:hAnsi="Palatino Linotype" w:cs="Palatino Linotype"/>
          <w:color w:val="000000"/>
          <w:lang w:val="es-ES_tradnl" w:eastAsia="es-ES"/>
        </w:rPr>
        <w:t xml:space="preserve">el </w:t>
      </w:r>
      <w:r w:rsidR="00A11E3A" w:rsidRPr="00386F65">
        <w:rPr>
          <w:rFonts w:ascii="Palatino Linotype" w:eastAsia="Palatino Linotype" w:hAnsi="Palatino Linotype" w:cs="Palatino Linotype"/>
          <w:b/>
          <w:bCs/>
          <w:color w:val="000000"/>
          <w:lang w:val="es-ES_tradnl" w:eastAsia="es-ES"/>
        </w:rPr>
        <w:t>diecisiete de abril de dos mil  veintiséis</w:t>
      </w:r>
      <w:r w:rsidR="00963880" w:rsidRPr="00386F65">
        <w:rPr>
          <w:rFonts w:ascii="Palatino Linotype" w:eastAsia="Palatino Linotype" w:hAnsi="Palatino Linotype" w:cs="Palatino Linotype"/>
          <w:b/>
          <w:bCs/>
          <w:color w:val="000000"/>
          <w:lang w:val="es-ES_tradnl" w:eastAsia="es-ES"/>
        </w:rPr>
        <w:t xml:space="preserve">, </w:t>
      </w:r>
      <w:r w:rsidR="00963880" w:rsidRPr="00386F65">
        <w:rPr>
          <w:rFonts w:ascii="Palatino Linotype" w:eastAsia="Palatino Linotype" w:hAnsi="Palatino Linotype" w:cs="Palatino Linotype"/>
          <w:color w:val="000000"/>
          <w:lang w:val="es-ES_tradnl" w:eastAsia="es-ES"/>
        </w:rPr>
        <w:t>señalando lo siguiente</w:t>
      </w:r>
      <w:r w:rsidRPr="00386F65">
        <w:rPr>
          <w:rFonts w:ascii="Palatino Linotype" w:eastAsia="Palatino Linotype" w:hAnsi="Palatino Linotype" w:cs="Palatino Linotype"/>
          <w:color w:val="000000"/>
          <w:lang w:val="es-ES_tradnl" w:eastAsia="es-ES"/>
        </w:rPr>
        <w:t>:</w:t>
      </w:r>
    </w:p>
    <w:p w14:paraId="145AEADF" w14:textId="77777777" w:rsidR="00F83F41" w:rsidRPr="00386F65" w:rsidRDefault="00F83F41" w:rsidP="00BD631B">
      <w:pPr>
        <w:pStyle w:val="Prrafodelista"/>
        <w:rPr>
          <w:rFonts w:ascii="Palatino Linotype" w:eastAsia="Palatino Linotype" w:hAnsi="Palatino Linotype" w:cs="Palatino Linotype"/>
          <w:color w:val="000000"/>
          <w:lang w:val="es-ES_tradnl" w:eastAsia="es-ES"/>
        </w:rPr>
      </w:pPr>
    </w:p>
    <w:p w14:paraId="342C0BFE" w14:textId="02779092" w:rsidR="00D95869" w:rsidRPr="00386F65" w:rsidRDefault="00F83F41" w:rsidP="00386F65">
      <w:pPr>
        <w:pStyle w:val="Prrafodelista"/>
        <w:numPr>
          <w:ilvl w:val="0"/>
          <w:numId w:val="27"/>
        </w:numPr>
        <w:pBdr>
          <w:top w:val="nil"/>
          <w:left w:val="nil"/>
          <w:bottom w:val="nil"/>
          <w:right w:val="nil"/>
          <w:between w:val="nil"/>
        </w:pBdr>
        <w:ind w:left="993"/>
        <w:jc w:val="both"/>
        <w:rPr>
          <w:rFonts w:ascii="Palatino Linotype" w:eastAsia="Palatino Linotype" w:hAnsi="Palatino Linotype" w:cs="Palatino Linotype"/>
          <w:color w:val="000000"/>
          <w:lang w:val="es-ES_tradnl" w:eastAsia="es-ES"/>
        </w:rPr>
      </w:pPr>
      <w:r w:rsidRPr="00386F65">
        <w:rPr>
          <w:rFonts w:ascii="Palatino Linotype" w:eastAsia="Palatino Linotype" w:hAnsi="Palatino Linotype" w:cs="Palatino Linotype"/>
          <w:b/>
          <w:color w:val="000000"/>
          <w:lang w:val="es-ES_tradnl" w:eastAsia="es-ES"/>
        </w:rPr>
        <w:t xml:space="preserve">ACTO IMPUGNADO: </w:t>
      </w:r>
      <w:r w:rsidR="00D95869" w:rsidRPr="00386F65">
        <w:rPr>
          <w:rFonts w:ascii="Palatino Linotype" w:eastAsia="Palatino Linotype" w:hAnsi="Palatino Linotype" w:cs="Palatino Linotype"/>
          <w:i/>
          <w:color w:val="000000"/>
          <w:lang w:val="es-ES_tradnl" w:eastAsia="es-ES"/>
        </w:rPr>
        <w:t>“</w:t>
      </w:r>
      <w:r w:rsidR="00A11E3A" w:rsidRPr="00386F65">
        <w:rPr>
          <w:rFonts w:ascii="Palatino Linotype" w:eastAsia="Palatino Linotype" w:hAnsi="Palatino Linotype" w:cs="Palatino Linotype"/>
          <w:i/>
          <w:color w:val="000000"/>
          <w:lang w:val="es-ES_tradnl" w:eastAsia="es-ES"/>
        </w:rPr>
        <w:t xml:space="preserve">Se interpone recurso de revisión en contra de la totalidad de la respuesta emitida ya que únicamente se limita el sujeto obligado a cantinflear en toda su respuesta, por lo tanto la entrega de la respuesta no corresponde con lo solicitado. Ahora bien, se interpone recurso de revisión por la totalidad de la respuesta en virtud de que el suscrito solicitante no esta pidiendo que se entregue una respuesta conforme a mi interés particular, por el contrario, las unidades administrativas tienen la obligación de entregar la respuesta atendiendo el principio de máxima publicidad y comprobando una búsqueda exhaustiva y razonable de la información, en suma, se adjunta un criterio orientador de transparencia </w:t>
      </w:r>
      <w:r w:rsidR="00A11E3A" w:rsidRPr="00386F65">
        <w:rPr>
          <w:rFonts w:ascii="Palatino Linotype" w:eastAsia="Palatino Linotype" w:hAnsi="Palatino Linotype" w:cs="Palatino Linotype"/>
          <w:i/>
          <w:color w:val="000000"/>
          <w:lang w:val="es-ES_tradnl" w:eastAsia="es-ES"/>
        </w:rPr>
        <w:lastRenderedPageBreak/>
        <w:t>mediante el cual refiere que, para la entrega de una respuesta a una solicitud de información no necesariamente se satisface con la entrega de documentos, bastará un pronunciamiento debidamente fundado y motivado (se adjunta dicho criterio orientador en materia de transparencia), en consecuencia, la entrega de la información no corresponde con lo solicitado. Finalmente en términos generales, la respuesta no atiende ninguno de los puntos requeridos ya que el sujeto obligado únicamente cantinflea en su respuesta.</w:t>
      </w:r>
      <w:r w:rsidR="00D95869" w:rsidRPr="00386F65">
        <w:rPr>
          <w:rFonts w:ascii="Palatino Linotype" w:eastAsia="Palatino Linotype" w:hAnsi="Palatino Linotype" w:cs="Palatino Linotype"/>
          <w:i/>
          <w:color w:val="000000"/>
          <w:lang w:val="es-ES_tradnl" w:eastAsia="es-ES"/>
        </w:rPr>
        <w:t>” (Sic)</w:t>
      </w:r>
    </w:p>
    <w:p w14:paraId="18D4F1A8" w14:textId="77777777" w:rsidR="00D95869" w:rsidRPr="00386F65" w:rsidRDefault="00D95869" w:rsidP="00BD631B">
      <w:pPr>
        <w:pBdr>
          <w:top w:val="nil"/>
          <w:left w:val="nil"/>
          <w:bottom w:val="nil"/>
          <w:right w:val="nil"/>
          <w:between w:val="nil"/>
        </w:pBdr>
        <w:ind w:left="1134"/>
        <w:jc w:val="both"/>
        <w:rPr>
          <w:rFonts w:ascii="Palatino Linotype" w:eastAsia="Palatino Linotype" w:hAnsi="Palatino Linotype" w:cs="Palatino Linotype"/>
          <w:i/>
          <w:color w:val="000000"/>
          <w:lang w:val="es-ES_tradnl" w:eastAsia="es-ES"/>
        </w:rPr>
      </w:pPr>
    </w:p>
    <w:p w14:paraId="3C478077" w14:textId="63D5EECE" w:rsidR="00D95869" w:rsidRPr="00386F65" w:rsidRDefault="00F83F41" w:rsidP="00386F65">
      <w:pPr>
        <w:pStyle w:val="Prrafodelista"/>
        <w:numPr>
          <w:ilvl w:val="0"/>
          <w:numId w:val="27"/>
        </w:numPr>
        <w:pBdr>
          <w:top w:val="nil"/>
          <w:left w:val="nil"/>
          <w:bottom w:val="nil"/>
          <w:right w:val="nil"/>
          <w:between w:val="nil"/>
        </w:pBdr>
        <w:ind w:left="993"/>
        <w:jc w:val="both"/>
        <w:rPr>
          <w:lang w:val="es-ES_tradnl" w:eastAsia="es-ES"/>
        </w:rPr>
      </w:pPr>
      <w:r w:rsidRPr="00386F65">
        <w:rPr>
          <w:rFonts w:ascii="Palatino Linotype" w:eastAsia="Palatino Linotype" w:hAnsi="Palatino Linotype" w:cs="Palatino Linotype"/>
          <w:b/>
          <w:color w:val="000000"/>
          <w:lang w:val="es-ES_tradnl" w:eastAsia="es-ES"/>
        </w:rPr>
        <w:t>RAZONES O MOTIVOS DE INCONFORMIDAD:</w:t>
      </w:r>
      <w:r w:rsidRPr="00386F65">
        <w:rPr>
          <w:rFonts w:ascii="Palatino Linotype" w:eastAsia="Palatino Linotype" w:hAnsi="Palatino Linotype" w:cs="Palatino Linotype"/>
          <w:b/>
          <w:i/>
          <w:color w:val="2F5496"/>
          <w:lang w:val="es-ES_tradnl" w:eastAsia="es-ES"/>
        </w:rPr>
        <w:t xml:space="preserve"> </w:t>
      </w:r>
      <w:r w:rsidR="00D95869" w:rsidRPr="00386F65">
        <w:rPr>
          <w:rFonts w:ascii="Verdana" w:eastAsia="Verdana" w:hAnsi="Verdana" w:cs="Verdana"/>
          <w:color w:val="000000"/>
          <w:lang w:val="es-ES_tradnl" w:eastAsia="es-ES"/>
        </w:rPr>
        <w:t>“</w:t>
      </w:r>
      <w:r w:rsidR="00A11E3A" w:rsidRPr="00386F65">
        <w:rPr>
          <w:rFonts w:ascii="Palatino Linotype" w:eastAsia="Palatino Linotype" w:hAnsi="Palatino Linotype" w:cs="Palatino Linotype"/>
          <w:i/>
          <w:color w:val="000000"/>
          <w:lang w:eastAsia="es-ES"/>
        </w:rPr>
        <w:t>Se interpone recurso de revisión en contra de la totalidad de la respuesta emitida ya que únicamente se limita el sujeto obligado a cantinflear en toda su respuesta, por lo tanto la entrega de la respuesta no corresponde con lo solicitado. Ahora bien, se interpone recurso de revisión por la totalidad de la respuesta en virtud de que el suscrito solicitante no esta pidiendo que se entregue una respuesta conforme a mi interés particular, por el contrario, las unidades administrativas tienen la obligación de entregar la respuesta atendiendo el principio de máxima publicidad y comprobando una búsqueda exhaustiva y razonable de la información, en suma, se adjunta un criterio orientador de transparencia mediante el cual refiere que, para la entrega de una respuesta a una solicitud de información no necesariamente se satisface con la entrega de documentos, bastará un pronunciamiento debidamente fundado y motivado (se adjunta dicho criterio orientador en materia de transparencia), en consecuencia, la entrega de la información no corresponde con lo solicitado. Finalmente en términos generales, la respuesta no atiende ninguno de los puntos requeridos ya que el sujeto obligado únicamente cantinflea en su respuesta.</w:t>
      </w:r>
      <w:r w:rsidRPr="00386F65">
        <w:rPr>
          <w:rFonts w:ascii="Palatino Linotype" w:eastAsia="Palatino Linotype" w:hAnsi="Palatino Linotype" w:cs="Palatino Linotype"/>
          <w:i/>
          <w:color w:val="000000"/>
          <w:lang w:eastAsia="es-ES"/>
        </w:rPr>
        <w:t xml:space="preserve"> </w:t>
      </w:r>
      <w:r w:rsidR="00D95869" w:rsidRPr="00386F65">
        <w:rPr>
          <w:rFonts w:ascii="Palatino Linotype" w:eastAsia="Palatino Linotype" w:hAnsi="Palatino Linotype" w:cs="Palatino Linotype"/>
          <w:i/>
          <w:color w:val="000000"/>
          <w:lang w:val="es-ES_tradnl" w:eastAsia="es-ES"/>
        </w:rPr>
        <w:t>“</w:t>
      </w:r>
      <w:r w:rsidR="00A11E3A" w:rsidRPr="00386F65">
        <w:rPr>
          <w:rFonts w:ascii="Palatino Linotype" w:eastAsia="Palatino Linotype" w:hAnsi="Palatino Linotype" w:cs="Palatino Linotype"/>
          <w:i/>
          <w:color w:val="000000"/>
          <w:lang w:val="es-ES_tradnl" w:eastAsia="es-ES"/>
        </w:rPr>
        <w:t>(Sic).</w:t>
      </w:r>
    </w:p>
    <w:p w14:paraId="1F2FA972" w14:textId="77777777" w:rsidR="00386F65" w:rsidRDefault="00386F65" w:rsidP="00386F65">
      <w:pPr>
        <w:pBdr>
          <w:top w:val="nil"/>
          <w:left w:val="nil"/>
          <w:bottom w:val="nil"/>
          <w:right w:val="nil"/>
          <w:between w:val="nil"/>
        </w:pBdr>
        <w:jc w:val="both"/>
        <w:rPr>
          <w:lang w:val="es-ES_tradnl" w:eastAsia="es-ES"/>
        </w:rPr>
      </w:pPr>
    </w:p>
    <w:p w14:paraId="21FB176A" w14:textId="77777777" w:rsidR="00386F65" w:rsidRPr="00386F65" w:rsidRDefault="00386F65" w:rsidP="00386F65">
      <w:pPr>
        <w:pBdr>
          <w:top w:val="nil"/>
          <w:left w:val="nil"/>
          <w:bottom w:val="nil"/>
          <w:right w:val="nil"/>
          <w:between w:val="nil"/>
        </w:pBdr>
        <w:jc w:val="both"/>
        <w:rPr>
          <w:lang w:val="es-ES_tradnl" w:eastAsia="es-ES"/>
        </w:rPr>
      </w:pPr>
    </w:p>
    <w:p w14:paraId="1E18252E" w14:textId="1D8F7982" w:rsidR="00D95869" w:rsidRDefault="00A11E3A" w:rsidP="00BD631B">
      <w:pPr>
        <w:pBdr>
          <w:top w:val="nil"/>
          <w:left w:val="nil"/>
          <w:bottom w:val="nil"/>
          <w:right w:val="nil"/>
          <w:between w:val="nil"/>
        </w:pBdr>
        <w:ind w:left="567"/>
        <w:jc w:val="both"/>
        <w:rPr>
          <w:rFonts w:ascii="Palatino Linotype" w:eastAsia="Palatino Linotype" w:hAnsi="Palatino Linotype" w:cs="Palatino Linotype"/>
          <w:lang w:val="es-ES_tradnl" w:eastAsia="es-ES"/>
        </w:rPr>
      </w:pPr>
      <w:r w:rsidRPr="00386F65">
        <w:rPr>
          <w:rFonts w:ascii="Palatino Linotype" w:eastAsia="Palatino Linotype" w:hAnsi="Palatino Linotype" w:cs="Palatino Linotype"/>
          <w:lang w:val="es-ES_tradnl" w:eastAsia="es-ES"/>
        </w:rPr>
        <w:t>A su inconformidad adjuntó un archivo en formato pdf donde refiere lo siguiente:</w:t>
      </w:r>
    </w:p>
    <w:p w14:paraId="38BE0271" w14:textId="77777777" w:rsidR="00386F65" w:rsidRPr="00386F65" w:rsidRDefault="00386F65" w:rsidP="00BD631B">
      <w:pPr>
        <w:pBdr>
          <w:top w:val="nil"/>
          <w:left w:val="nil"/>
          <w:bottom w:val="nil"/>
          <w:right w:val="nil"/>
          <w:between w:val="nil"/>
        </w:pBdr>
        <w:ind w:left="567"/>
        <w:jc w:val="both"/>
        <w:rPr>
          <w:rFonts w:ascii="Palatino Linotype" w:eastAsia="Palatino Linotype" w:hAnsi="Palatino Linotype" w:cs="Palatino Linotype"/>
          <w:lang w:val="es-ES_tradnl" w:eastAsia="es-ES"/>
        </w:rPr>
      </w:pPr>
    </w:p>
    <w:p w14:paraId="24354160" w14:textId="02903BBA" w:rsidR="00A11E3A" w:rsidRPr="00386F65" w:rsidRDefault="00A11E3A" w:rsidP="00BD631B">
      <w:pPr>
        <w:pBdr>
          <w:top w:val="nil"/>
          <w:left w:val="nil"/>
          <w:bottom w:val="nil"/>
          <w:right w:val="nil"/>
          <w:between w:val="nil"/>
        </w:pBdr>
        <w:ind w:left="567"/>
        <w:jc w:val="center"/>
        <w:rPr>
          <w:rFonts w:ascii="Palatino Linotype" w:eastAsia="Palatino Linotype" w:hAnsi="Palatino Linotype" w:cs="Palatino Linotype"/>
          <w:color w:val="2F5496"/>
          <w:lang w:val="es-ES_tradnl" w:eastAsia="es-ES"/>
        </w:rPr>
      </w:pPr>
      <w:r w:rsidRPr="00386F65">
        <w:rPr>
          <w:rFonts w:ascii="Palatino Linotype" w:eastAsia="Palatino Linotype" w:hAnsi="Palatino Linotype" w:cs="Palatino Linotype"/>
          <w:noProof/>
          <w:color w:val="2F5496"/>
        </w:rPr>
        <w:drawing>
          <wp:inline distT="0" distB="0" distL="0" distR="0" wp14:anchorId="725008DD" wp14:editId="000E0AC6">
            <wp:extent cx="3266532" cy="1898374"/>
            <wp:effectExtent l="76200" t="38100" r="67310" b="1212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82209" cy="1907485"/>
                    </a:xfrm>
                    <a:prstGeom prst="rect">
                      <a:avLst/>
                    </a:prstGeom>
                    <a:ln>
                      <a:solidFill>
                        <a:schemeClr val="tx1"/>
                      </a:solidFill>
                    </a:ln>
                    <a:effectLst>
                      <a:outerShdw blurRad="50800" dist="38100" dir="5400000" algn="t" rotWithShape="0">
                        <a:prstClr val="black">
                          <a:alpha val="40000"/>
                        </a:prstClr>
                      </a:outerShdw>
                    </a:effectLst>
                  </pic:spPr>
                </pic:pic>
              </a:graphicData>
            </a:graphic>
          </wp:inline>
        </w:drawing>
      </w:r>
    </w:p>
    <w:p w14:paraId="35BFED2D" w14:textId="77777777" w:rsidR="00464CC4" w:rsidRPr="00386F65" w:rsidRDefault="00464CC4" w:rsidP="00BD631B">
      <w:pPr>
        <w:pBdr>
          <w:top w:val="nil"/>
          <w:left w:val="nil"/>
          <w:bottom w:val="nil"/>
          <w:right w:val="nil"/>
          <w:between w:val="nil"/>
        </w:pBdr>
        <w:ind w:left="567"/>
        <w:jc w:val="center"/>
        <w:rPr>
          <w:rFonts w:ascii="Palatino Linotype" w:eastAsia="Palatino Linotype" w:hAnsi="Palatino Linotype" w:cs="Palatino Linotype"/>
          <w:color w:val="2F5496"/>
          <w:lang w:val="es-ES_tradnl" w:eastAsia="es-ES"/>
        </w:rPr>
      </w:pPr>
    </w:p>
    <w:p w14:paraId="6DB13270" w14:textId="08C476B8" w:rsidR="00D95869" w:rsidRPr="00386F65" w:rsidRDefault="00D95869" w:rsidP="00BD631B">
      <w:pPr>
        <w:numPr>
          <w:ilvl w:val="0"/>
          <w:numId w:val="5"/>
        </w:numPr>
        <w:pBdr>
          <w:top w:val="nil"/>
          <w:left w:val="nil"/>
          <w:bottom w:val="nil"/>
          <w:right w:val="nil"/>
          <w:between w:val="nil"/>
        </w:pBdr>
        <w:tabs>
          <w:tab w:val="left" w:pos="0"/>
        </w:tabs>
        <w:spacing w:line="360" w:lineRule="auto"/>
        <w:ind w:left="0" w:firstLine="0"/>
        <w:jc w:val="both"/>
        <w:rPr>
          <w:rFonts w:asciiTheme="minorHAnsi" w:eastAsiaTheme="minorEastAsia" w:hAnsiTheme="minorHAnsi" w:cstheme="minorBidi"/>
          <w:color w:val="000000"/>
          <w:lang w:val="es-ES_tradnl" w:eastAsia="es-ES"/>
        </w:rPr>
      </w:pPr>
      <w:r w:rsidRPr="00386F65">
        <w:rPr>
          <w:rFonts w:ascii="Palatino Linotype" w:eastAsia="Palatino Linotype" w:hAnsi="Palatino Linotype" w:cs="Palatino Linotype"/>
          <w:color w:val="000000"/>
          <w:lang w:val="es-ES_tradnl" w:eastAsia="es-ES"/>
        </w:rPr>
        <w:lastRenderedPageBreak/>
        <w:t xml:space="preserve">La Comisionada Ponente con fundamento en lo dispuesto por el artículo 185 fracción II de la ley de la materia, a través del acuerdo de admisión de fecha </w:t>
      </w:r>
      <w:r w:rsidR="00A11E3A" w:rsidRPr="00386F65">
        <w:rPr>
          <w:rFonts w:ascii="Palatino Linotype" w:eastAsia="Palatino Linotype" w:hAnsi="Palatino Linotype" w:cs="Palatino Linotype"/>
          <w:b/>
          <w:color w:val="000000"/>
          <w:lang w:val="es-ES_tradnl" w:eastAsia="es-ES"/>
        </w:rPr>
        <w:t>veintiuno de abril de dos mil veintiséis</w:t>
      </w:r>
      <w:r w:rsidRPr="00386F65">
        <w:rPr>
          <w:rFonts w:ascii="Palatino Linotype" w:eastAsia="Palatino Linotype" w:hAnsi="Palatino Linotype" w:cs="Palatino Linotype"/>
          <w:color w:val="000000"/>
          <w:lang w:val="es-ES_tradnl" w:eastAsia="es-ES"/>
        </w:rPr>
        <w:t xml:space="preserve">, puso a disposición de las partes el expediente electrónico vía </w:t>
      </w:r>
      <w:r w:rsidRPr="00386F65">
        <w:rPr>
          <w:rFonts w:ascii="Palatino Linotype" w:eastAsia="Palatino Linotype" w:hAnsi="Palatino Linotype" w:cs="Palatino Linotype"/>
          <w:b/>
          <w:color w:val="000000"/>
          <w:lang w:val="es-ES_tradnl" w:eastAsia="es-ES"/>
        </w:rPr>
        <w:t xml:space="preserve">SAIMEX </w:t>
      </w:r>
      <w:r w:rsidRPr="00386F65">
        <w:rPr>
          <w:rFonts w:ascii="Palatino Linotype" w:eastAsia="Palatino Linotype" w:hAnsi="Palatino Linotype" w:cs="Palatino Linotype"/>
          <w:color w:val="000000"/>
          <w:lang w:val="es-ES_tradnl" w:eastAsia="es-ES"/>
        </w:rPr>
        <w:t xml:space="preserve">a efecto de que en un plazo máximo de siete días </w:t>
      </w:r>
      <w:r w:rsidRPr="00386F65">
        <w:rPr>
          <w:rFonts w:ascii="Palatino Linotype" w:eastAsia="Palatino Linotype" w:hAnsi="Palatino Linotype" w:cs="Palatino Linotype"/>
          <w:lang w:val="es-ES_tradnl" w:eastAsia="es-ES"/>
        </w:rPr>
        <w:t>manifestara</w:t>
      </w:r>
      <w:r w:rsidRPr="00386F65">
        <w:rPr>
          <w:rFonts w:ascii="Palatino Linotype" w:eastAsia="Palatino Linotype" w:hAnsi="Palatino Linotype" w:cs="Palatino Linotype"/>
          <w:color w:val="000000"/>
          <w:lang w:val="es-ES_tradnl" w:eastAsia="es-ES"/>
        </w:rPr>
        <w:t xml:space="preserve"> lo que a su derecho conviniera, </w:t>
      </w:r>
      <w:r w:rsidRPr="00386F65">
        <w:rPr>
          <w:rFonts w:ascii="Palatino Linotype" w:eastAsia="Palatino Linotype" w:hAnsi="Palatino Linotype" w:cs="Palatino Linotype"/>
          <w:lang w:val="es-ES_tradnl" w:eastAsia="es-ES"/>
        </w:rPr>
        <w:t>ofreciera</w:t>
      </w:r>
      <w:r w:rsidRPr="00386F65">
        <w:rPr>
          <w:rFonts w:ascii="Palatino Linotype" w:eastAsia="Palatino Linotype" w:hAnsi="Palatino Linotype" w:cs="Palatino Linotype"/>
          <w:color w:val="000000"/>
          <w:lang w:val="es-ES_tradnl" w:eastAsia="es-ES"/>
        </w:rPr>
        <w:t xml:space="preserve"> pruebas y alegatos según corresponda a los casos concretos, y el </w:t>
      </w:r>
      <w:r w:rsidRPr="00386F65">
        <w:rPr>
          <w:rFonts w:ascii="Palatino Linotype" w:eastAsia="Palatino Linotype" w:hAnsi="Palatino Linotype" w:cs="Palatino Linotype"/>
          <w:b/>
          <w:color w:val="000000"/>
          <w:lang w:val="es-ES_tradnl" w:eastAsia="es-ES"/>
        </w:rPr>
        <w:t>SUJETO OBLIGADO</w:t>
      </w:r>
      <w:r w:rsidRPr="00386F65">
        <w:rPr>
          <w:rFonts w:ascii="Palatino Linotype" w:eastAsia="Palatino Linotype" w:hAnsi="Palatino Linotype" w:cs="Palatino Linotype"/>
          <w:color w:val="000000"/>
          <w:lang w:val="es-ES_tradnl" w:eastAsia="es-ES"/>
        </w:rPr>
        <w:t xml:space="preserve"> presentará el Informe Justificado procedente.</w:t>
      </w:r>
    </w:p>
    <w:p w14:paraId="41E8DC30" w14:textId="77777777" w:rsidR="00D95869" w:rsidRPr="00386F65" w:rsidRDefault="00D95869" w:rsidP="00BD631B">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ES"/>
        </w:rPr>
      </w:pPr>
    </w:p>
    <w:p w14:paraId="1D53EDB0" w14:textId="3D5FD22A" w:rsidR="00D95869" w:rsidRPr="00386F65" w:rsidRDefault="00D95869" w:rsidP="00BD631B">
      <w:pPr>
        <w:numPr>
          <w:ilvl w:val="0"/>
          <w:numId w:val="5"/>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color w:val="000000"/>
          <w:lang w:val="es-ES_tradnl" w:eastAsia="es-ES"/>
        </w:rPr>
      </w:pPr>
      <w:r w:rsidRPr="00386F65">
        <w:rPr>
          <w:rFonts w:ascii="Palatino Linotype" w:eastAsia="Palatino Linotype" w:hAnsi="Palatino Linotype" w:cs="Palatino Linotype"/>
          <w:color w:val="000000"/>
          <w:lang w:val="es-ES_tradnl" w:eastAsia="es-ES"/>
        </w:rPr>
        <w:t xml:space="preserve">De lo anterior, el </w:t>
      </w:r>
      <w:r w:rsidRPr="00386F65">
        <w:rPr>
          <w:rFonts w:ascii="Palatino Linotype" w:eastAsia="Palatino Linotype" w:hAnsi="Palatino Linotype" w:cs="Palatino Linotype"/>
          <w:b/>
          <w:color w:val="000000"/>
          <w:lang w:val="es-ES_tradnl" w:eastAsia="es-ES"/>
        </w:rPr>
        <w:t>SUJETO OBLIGAD</w:t>
      </w:r>
      <w:r w:rsidRPr="00386F65">
        <w:rPr>
          <w:rFonts w:ascii="Palatino Linotype" w:eastAsia="Palatino Linotype" w:hAnsi="Palatino Linotype" w:cs="Palatino Linotype"/>
          <w:color w:val="000000"/>
          <w:lang w:val="es-ES_tradnl" w:eastAsia="es-ES"/>
        </w:rPr>
        <w:t xml:space="preserve">O en fecha </w:t>
      </w:r>
      <w:r w:rsidR="00A11E3A" w:rsidRPr="00386F65">
        <w:rPr>
          <w:rFonts w:ascii="Palatino Linotype" w:eastAsia="Palatino Linotype" w:hAnsi="Palatino Linotype" w:cs="Palatino Linotype"/>
          <w:b/>
          <w:color w:val="000000"/>
          <w:lang w:val="es-ES_tradnl" w:eastAsia="es-ES"/>
        </w:rPr>
        <w:t>treinta de abril</w:t>
      </w:r>
      <w:r w:rsidR="00F83F41" w:rsidRPr="00386F65">
        <w:rPr>
          <w:rFonts w:ascii="Palatino Linotype" w:eastAsia="Palatino Linotype" w:hAnsi="Palatino Linotype" w:cs="Palatino Linotype"/>
          <w:b/>
          <w:color w:val="000000"/>
          <w:lang w:val="es-ES_tradnl" w:eastAsia="es-ES"/>
        </w:rPr>
        <w:t xml:space="preserve"> de dos mil veintiséis</w:t>
      </w:r>
      <w:r w:rsidRPr="00386F65">
        <w:rPr>
          <w:rFonts w:ascii="Palatino Linotype" w:eastAsia="Palatino Linotype" w:hAnsi="Palatino Linotype" w:cs="Palatino Linotype"/>
          <w:b/>
          <w:color w:val="000000"/>
          <w:lang w:val="es-ES_tradnl" w:eastAsia="es-ES"/>
        </w:rPr>
        <w:t xml:space="preserve">, </w:t>
      </w:r>
      <w:r w:rsidR="00F83F41" w:rsidRPr="00386F65">
        <w:rPr>
          <w:rFonts w:ascii="Palatino Linotype" w:eastAsia="Palatino Linotype" w:hAnsi="Palatino Linotype" w:cs="Palatino Linotype"/>
          <w:color w:val="000000"/>
          <w:lang w:val="es-ES_tradnl" w:eastAsia="es-ES"/>
        </w:rPr>
        <w:t>entregó</w:t>
      </w:r>
      <w:r w:rsidRPr="00386F65">
        <w:rPr>
          <w:rFonts w:ascii="Palatino Linotype" w:eastAsia="Palatino Linotype" w:hAnsi="Palatino Linotype" w:cs="Palatino Linotype"/>
          <w:color w:val="000000"/>
          <w:lang w:val="es-ES_tradnl" w:eastAsia="es-ES"/>
        </w:rPr>
        <w:t xml:space="preserve"> </w:t>
      </w:r>
      <w:r w:rsidR="004C435B" w:rsidRPr="00386F65">
        <w:rPr>
          <w:rFonts w:ascii="Palatino Linotype" w:eastAsia="Palatino Linotype" w:hAnsi="Palatino Linotype" w:cs="Palatino Linotype"/>
          <w:color w:val="000000"/>
          <w:lang w:val="es-ES_tradnl" w:eastAsia="es-ES"/>
        </w:rPr>
        <w:t>archivo</w:t>
      </w:r>
      <w:r w:rsidR="00A11E3A" w:rsidRPr="00386F65">
        <w:rPr>
          <w:rFonts w:ascii="Palatino Linotype" w:eastAsia="Palatino Linotype" w:hAnsi="Palatino Linotype" w:cs="Palatino Linotype"/>
          <w:color w:val="000000"/>
          <w:lang w:val="es-ES_tradnl" w:eastAsia="es-ES"/>
        </w:rPr>
        <w:t>s</w:t>
      </w:r>
      <w:r w:rsidR="004C435B" w:rsidRPr="00386F65">
        <w:rPr>
          <w:rFonts w:ascii="Palatino Linotype" w:eastAsia="Palatino Linotype" w:hAnsi="Palatino Linotype" w:cs="Palatino Linotype"/>
          <w:color w:val="000000"/>
          <w:lang w:val="es-ES_tradnl" w:eastAsia="es-ES"/>
        </w:rPr>
        <w:t xml:space="preserve"> </w:t>
      </w:r>
      <w:r w:rsidR="001563D1" w:rsidRPr="00386F65">
        <w:rPr>
          <w:rFonts w:ascii="Palatino Linotype" w:eastAsia="Palatino Linotype" w:hAnsi="Palatino Linotype" w:cs="Palatino Linotype"/>
          <w:color w:val="000000"/>
          <w:lang w:val="es-ES_tradnl" w:eastAsia="es-ES"/>
        </w:rPr>
        <w:t>electrónico</w:t>
      </w:r>
      <w:r w:rsidR="00A11E3A" w:rsidRPr="00386F65">
        <w:rPr>
          <w:rFonts w:ascii="Palatino Linotype" w:eastAsia="Palatino Linotype" w:hAnsi="Palatino Linotype" w:cs="Palatino Linotype"/>
          <w:color w:val="000000"/>
          <w:lang w:val="es-ES_tradnl" w:eastAsia="es-ES"/>
        </w:rPr>
        <w:t>s</w:t>
      </w:r>
      <w:r w:rsidRPr="00386F65">
        <w:rPr>
          <w:rFonts w:ascii="Palatino Linotype" w:eastAsia="Palatino Linotype" w:hAnsi="Palatino Linotype" w:cs="Palatino Linotype"/>
          <w:color w:val="000000"/>
          <w:lang w:val="es-ES_tradnl" w:eastAsia="es-ES"/>
        </w:rPr>
        <w:t xml:space="preserve"> en formato pdf, cuyo contenido </w:t>
      </w:r>
      <w:r w:rsidRPr="00386F65">
        <w:rPr>
          <w:rFonts w:ascii="Palatino Linotype" w:eastAsia="Palatino Linotype" w:hAnsi="Palatino Linotype" w:cs="Palatino Linotype"/>
          <w:i/>
          <w:color w:val="000000"/>
          <w:lang w:val="es-ES_tradnl" w:eastAsia="es-ES"/>
        </w:rPr>
        <w:t>a grosso modo</w:t>
      </w:r>
      <w:r w:rsidRPr="00386F65">
        <w:rPr>
          <w:rFonts w:ascii="Palatino Linotype" w:eastAsia="Palatino Linotype" w:hAnsi="Palatino Linotype" w:cs="Palatino Linotype"/>
          <w:color w:val="000000"/>
          <w:lang w:val="es-ES_tradnl" w:eastAsia="es-ES"/>
        </w:rPr>
        <w:t xml:space="preserve"> es el siguiente. </w:t>
      </w:r>
    </w:p>
    <w:p w14:paraId="0D263106" w14:textId="0002152C" w:rsidR="00A11E3A" w:rsidRPr="00386F65" w:rsidRDefault="00A11E3A" w:rsidP="00BD631B">
      <w:pPr>
        <w:pBdr>
          <w:top w:val="nil"/>
          <w:left w:val="nil"/>
          <w:bottom w:val="nil"/>
          <w:right w:val="nil"/>
          <w:between w:val="nil"/>
        </w:pBdr>
        <w:ind w:left="1134"/>
        <w:jc w:val="both"/>
        <w:rPr>
          <w:rFonts w:ascii="Palatino Linotype" w:eastAsia="Palatino Linotype" w:hAnsi="Palatino Linotype" w:cs="Palatino Linotype"/>
          <w:i/>
          <w:color w:val="000000"/>
          <w:lang w:val="es-ES_tradnl" w:eastAsia="es-ES"/>
        </w:rPr>
      </w:pPr>
      <w:bookmarkStart w:id="2" w:name="_heading=h.3znysh7" w:colFirst="0" w:colLast="0"/>
      <w:bookmarkEnd w:id="2"/>
      <w:r w:rsidRPr="00386F65">
        <w:rPr>
          <w:rFonts w:ascii="Palatino Linotype" w:eastAsia="Palatino Linotype" w:hAnsi="Palatino Linotype" w:cs="Palatino Linotype"/>
          <w:b/>
          <w:i/>
          <w:color w:val="000000"/>
          <w:lang w:val="es-ES_tradnl" w:eastAsia="es-ES"/>
        </w:rPr>
        <w:t xml:space="preserve">anexos 00408.pdf: </w:t>
      </w:r>
      <w:r w:rsidR="00AF00A2" w:rsidRPr="00386F65">
        <w:rPr>
          <w:rFonts w:ascii="Palatino Linotype" w:eastAsia="Palatino Linotype" w:hAnsi="Palatino Linotype" w:cs="Palatino Linotype"/>
          <w:i/>
          <w:color w:val="000000"/>
          <w:lang w:val="es-ES_tradnl" w:eastAsia="es-ES"/>
        </w:rPr>
        <w:t xml:space="preserve">Donde el Sujeto Obligado refiere que en su calidad de autoridad Investigadora de faltas administrativas , que para efectos prácticos consiste en recopilar información que permita presumir la existencia de una falta grave o no grave o bien determinar la conclusión y archivo del expediente que se trate; a su vez el </w:t>
      </w:r>
      <w:r w:rsidR="00F7284D" w:rsidRPr="00386F65">
        <w:rPr>
          <w:rFonts w:ascii="Palatino Linotype" w:eastAsia="Palatino Linotype" w:hAnsi="Palatino Linotype" w:cs="Palatino Linotype"/>
          <w:i/>
          <w:color w:val="000000"/>
          <w:lang w:val="es-ES_tradnl" w:eastAsia="es-ES"/>
        </w:rPr>
        <w:t>análisis</w:t>
      </w:r>
      <w:r w:rsidR="00AF00A2" w:rsidRPr="00386F65">
        <w:rPr>
          <w:rFonts w:ascii="Palatino Linotype" w:eastAsia="Palatino Linotype" w:hAnsi="Palatino Linotype" w:cs="Palatino Linotype"/>
          <w:i/>
          <w:color w:val="000000"/>
          <w:lang w:val="es-ES_tradnl" w:eastAsia="es-ES"/>
        </w:rPr>
        <w:t xml:space="preserve"> y turno de las denuncias a la </w:t>
      </w:r>
      <w:r w:rsidR="00F7284D" w:rsidRPr="00386F65">
        <w:rPr>
          <w:rFonts w:ascii="Palatino Linotype" w:eastAsia="Palatino Linotype" w:hAnsi="Palatino Linotype" w:cs="Palatino Linotype"/>
          <w:i/>
          <w:color w:val="000000"/>
          <w:lang w:val="es-ES_tradnl" w:eastAsia="es-ES"/>
        </w:rPr>
        <w:t>autoridades</w:t>
      </w:r>
      <w:r w:rsidR="00AF00A2" w:rsidRPr="00386F65">
        <w:rPr>
          <w:rFonts w:ascii="Palatino Linotype" w:eastAsia="Palatino Linotype" w:hAnsi="Palatino Linotype" w:cs="Palatino Linotype"/>
          <w:i/>
          <w:color w:val="000000"/>
          <w:lang w:val="es-ES_tradnl" w:eastAsia="es-ES"/>
        </w:rPr>
        <w:t xml:space="preserve"> competentes a través del sistema correspondiente, de ahí que el turno de control y competencia  </w:t>
      </w:r>
      <w:r w:rsidR="00F7284D" w:rsidRPr="00386F65">
        <w:rPr>
          <w:rFonts w:ascii="Palatino Linotype" w:eastAsia="Palatino Linotype" w:hAnsi="Palatino Linotype" w:cs="Palatino Linotype"/>
          <w:i/>
          <w:color w:val="000000"/>
          <w:lang w:val="es-ES_tradnl" w:eastAsia="es-ES"/>
        </w:rPr>
        <w:t>concluyó</w:t>
      </w:r>
      <w:r w:rsidR="00AF00A2" w:rsidRPr="00386F65">
        <w:rPr>
          <w:rFonts w:ascii="Palatino Linotype" w:eastAsia="Palatino Linotype" w:hAnsi="Palatino Linotype" w:cs="Palatino Linotype"/>
          <w:i/>
          <w:color w:val="000000"/>
          <w:lang w:val="es-ES_tradnl" w:eastAsia="es-ES"/>
        </w:rPr>
        <w:t xml:space="preserve"> al momento de ser turnada al sujeto obligado diverso, </w:t>
      </w:r>
      <w:r w:rsidR="00F7284D" w:rsidRPr="00386F65">
        <w:rPr>
          <w:rFonts w:ascii="Palatino Linotype" w:eastAsia="Palatino Linotype" w:hAnsi="Palatino Linotype" w:cs="Palatino Linotype"/>
          <w:i/>
          <w:color w:val="000000"/>
          <w:lang w:val="es-ES_tradnl" w:eastAsia="es-ES"/>
        </w:rPr>
        <w:t>siendo</w:t>
      </w:r>
      <w:r w:rsidR="00AF00A2" w:rsidRPr="00386F65">
        <w:rPr>
          <w:rFonts w:ascii="Palatino Linotype" w:eastAsia="Palatino Linotype" w:hAnsi="Palatino Linotype" w:cs="Palatino Linotype"/>
          <w:i/>
          <w:color w:val="000000"/>
          <w:lang w:val="es-ES_tradnl" w:eastAsia="es-ES"/>
        </w:rPr>
        <w:t xml:space="preserve"> éste último quien debe llevar el asunto hasta su conclusión. Así mismo refiere que no existe documental que </w:t>
      </w:r>
      <w:r w:rsidR="00F7284D" w:rsidRPr="00386F65">
        <w:rPr>
          <w:rFonts w:ascii="Palatino Linotype" w:eastAsia="Palatino Linotype" w:hAnsi="Palatino Linotype" w:cs="Palatino Linotype"/>
          <w:i/>
          <w:color w:val="000000"/>
          <w:lang w:val="es-ES_tradnl" w:eastAsia="es-ES"/>
        </w:rPr>
        <w:t>dé</w:t>
      </w:r>
      <w:r w:rsidR="00AF00A2" w:rsidRPr="00386F65">
        <w:rPr>
          <w:rFonts w:ascii="Palatino Linotype" w:eastAsia="Palatino Linotype" w:hAnsi="Palatino Linotype" w:cs="Palatino Linotype"/>
          <w:i/>
          <w:color w:val="000000"/>
          <w:lang w:val="es-ES_tradnl" w:eastAsia="es-ES"/>
        </w:rPr>
        <w:t xml:space="preserve"> cuenta de la petición del Recurrente en cuanto a los </w:t>
      </w:r>
      <w:r w:rsidR="00AF00A2" w:rsidRPr="00386F65">
        <w:rPr>
          <w:rFonts w:ascii="Palatino Linotype" w:eastAsia="Palatino Linotype" w:hAnsi="Palatino Linotype" w:cs="Palatino Linotype"/>
          <w:b/>
          <w:i/>
          <w:color w:val="000000"/>
          <w:lang w:val="es-ES_tradnl" w:eastAsia="es-ES"/>
        </w:rPr>
        <w:t>motivos y razones</w:t>
      </w:r>
      <w:r w:rsidR="00AF00A2" w:rsidRPr="00386F65">
        <w:rPr>
          <w:rFonts w:ascii="Palatino Linotype" w:eastAsia="Palatino Linotype" w:hAnsi="Palatino Linotype" w:cs="Palatino Linotype"/>
          <w:i/>
          <w:color w:val="000000"/>
          <w:lang w:val="es-ES_tradnl" w:eastAsia="es-ES"/>
        </w:rPr>
        <w:t xml:space="preserve"> por las que no existe un registro de seguimiento respecto al folio de denuncia referido en la solicitud, </w:t>
      </w:r>
      <w:r w:rsidR="00F7284D" w:rsidRPr="00386F65">
        <w:rPr>
          <w:rFonts w:ascii="Palatino Linotype" w:eastAsia="Palatino Linotype" w:hAnsi="Palatino Linotype" w:cs="Palatino Linotype"/>
          <w:i/>
          <w:color w:val="000000"/>
          <w:lang w:val="es-ES_tradnl" w:eastAsia="es-ES"/>
        </w:rPr>
        <w:t>así</w:t>
      </w:r>
      <w:r w:rsidR="00AF00A2" w:rsidRPr="00386F65">
        <w:rPr>
          <w:rFonts w:ascii="Palatino Linotype" w:eastAsia="Palatino Linotype" w:hAnsi="Palatino Linotype" w:cs="Palatino Linotype"/>
          <w:i/>
          <w:color w:val="000000"/>
          <w:lang w:val="es-ES_tradnl" w:eastAsia="es-ES"/>
        </w:rPr>
        <w:t xml:space="preserve"> mismo refiere que ante las omisiones de las autoridades del Poder Ejecutivo</w:t>
      </w:r>
      <w:r w:rsidR="00F7284D" w:rsidRPr="00386F65">
        <w:rPr>
          <w:rFonts w:ascii="Palatino Linotype" w:eastAsia="Palatino Linotype" w:hAnsi="Palatino Linotype" w:cs="Palatino Linotype"/>
          <w:i/>
          <w:color w:val="000000"/>
          <w:lang w:val="es-ES_tradnl" w:eastAsia="es-ES"/>
        </w:rPr>
        <w:t>, municipios y organismos auxiliares estatales y municipales para dar respuesta a los particulares, una vez transcurridos por lo menos diez días siguientes a su presentación , podrán promover Juicio Contencioso Administrativo en concordancia con el artículo 229 fr. VI del Código Adjetivo en la materia.</w:t>
      </w:r>
    </w:p>
    <w:p w14:paraId="079730FA" w14:textId="77777777" w:rsidR="00A11E3A" w:rsidRPr="00386F65" w:rsidRDefault="00A11E3A" w:rsidP="00BD631B">
      <w:pPr>
        <w:pBdr>
          <w:top w:val="nil"/>
          <w:left w:val="nil"/>
          <w:bottom w:val="nil"/>
          <w:right w:val="nil"/>
          <w:between w:val="nil"/>
        </w:pBdr>
        <w:ind w:left="1134"/>
        <w:jc w:val="both"/>
        <w:rPr>
          <w:rFonts w:ascii="Palatino Linotype" w:eastAsia="Palatino Linotype" w:hAnsi="Palatino Linotype" w:cs="Palatino Linotype"/>
          <w:b/>
          <w:i/>
          <w:color w:val="000000"/>
          <w:lang w:val="es-ES_tradnl" w:eastAsia="es-ES"/>
        </w:rPr>
      </w:pPr>
    </w:p>
    <w:p w14:paraId="1C8325BD" w14:textId="50DF89E4" w:rsidR="00F83F41" w:rsidRPr="00386F65" w:rsidRDefault="00A11E3A" w:rsidP="00BD631B">
      <w:pPr>
        <w:pBdr>
          <w:top w:val="nil"/>
          <w:left w:val="nil"/>
          <w:bottom w:val="nil"/>
          <w:right w:val="nil"/>
          <w:between w:val="nil"/>
        </w:pBdr>
        <w:ind w:left="1134"/>
        <w:jc w:val="both"/>
        <w:rPr>
          <w:rFonts w:ascii="Palatino Linotype" w:eastAsia="Palatino Linotype" w:hAnsi="Palatino Linotype" w:cs="Palatino Linotype"/>
          <w:b/>
          <w:i/>
          <w:color w:val="000000"/>
          <w:lang w:eastAsia="es-ES"/>
        </w:rPr>
      </w:pPr>
      <w:r w:rsidRPr="00386F65">
        <w:rPr>
          <w:rFonts w:ascii="Palatino Linotype" w:eastAsia="Palatino Linotype" w:hAnsi="Palatino Linotype" w:cs="Palatino Linotype"/>
          <w:b/>
          <w:i/>
          <w:color w:val="000000"/>
          <w:lang w:val="es-ES_tradnl" w:eastAsia="es-ES"/>
        </w:rPr>
        <w:t>04008 rr.pdf:</w:t>
      </w:r>
      <w:r w:rsidR="001563D1" w:rsidRPr="00386F65">
        <w:rPr>
          <w:rFonts w:ascii="Palatino Linotype" w:eastAsia="Palatino Linotype" w:hAnsi="Palatino Linotype" w:cs="Palatino Linotype"/>
          <w:b/>
          <w:i/>
          <w:color w:val="000000"/>
          <w:lang w:val="es-ES_tradnl" w:eastAsia="es-ES"/>
        </w:rPr>
        <w:t xml:space="preserve"> </w:t>
      </w:r>
      <w:r w:rsidR="00F7284D" w:rsidRPr="00386F65">
        <w:rPr>
          <w:rFonts w:ascii="Palatino Linotype" w:eastAsia="Palatino Linotype" w:hAnsi="Palatino Linotype" w:cs="Palatino Linotype"/>
          <w:bCs/>
          <w:i/>
          <w:color w:val="000000"/>
          <w:lang w:val="es-ES_tradnl" w:eastAsia="es-ES"/>
        </w:rPr>
        <w:t>Donde el Titular de la Unidad de Transparencia rinde informe justificado,</w:t>
      </w:r>
    </w:p>
    <w:p w14:paraId="0B686DD0" w14:textId="46740FAF" w:rsidR="00F92368" w:rsidRPr="00386F65" w:rsidRDefault="00F92368" w:rsidP="00BD631B">
      <w:pPr>
        <w:pBdr>
          <w:top w:val="nil"/>
          <w:left w:val="nil"/>
          <w:bottom w:val="nil"/>
          <w:right w:val="nil"/>
          <w:between w:val="nil"/>
        </w:pBdr>
        <w:ind w:left="1134"/>
        <w:jc w:val="both"/>
        <w:rPr>
          <w:rFonts w:ascii="Palatino Linotype" w:eastAsia="Palatino Linotype" w:hAnsi="Palatino Linotype" w:cs="Palatino Linotype"/>
          <w:bCs/>
          <w:color w:val="000000"/>
          <w:lang w:val="es-ES_tradnl" w:eastAsia="es-ES"/>
        </w:rPr>
      </w:pPr>
    </w:p>
    <w:p w14:paraId="6E4B8931" w14:textId="77777777" w:rsidR="001563D1" w:rsidRPr="00386F65" w:rsidRDefault="001563D1" w:rsidP="00BD631B">
      <w:pPr>
        <w:pStyle w:val="Prrafodelista"/>
        <w:rPr>
          <w:rFonts w:ascii="Palatino Linotype" w:eastAsia="Palatino Linotype" w:hAnsi="Palatino Linotype" w:cs="Palatino Linotype"/>
          <w:color w:val="000000"/>
          <w:lang w:val="es-ES_tradnl" w:eastAsia="es-ES"/>
        </w:rPr>
      </w:pPr>
    </w:p>
    <w:p w14:paraId="141252F7" w14:textId="12991163" w:rsidR="00D95869" w:rsidRPr="00386F65" w:rsidRDefault="00D95869" w:rsidP="00BD631B">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lang w:val="es-ES_tradnl" w:eastAsia="es-ES"/>
        </w:rPr>
      </w:pPr>
      <w:r w:rsidRPr="00386F65">
        <w:rPr>
          <w:rFonts w:ascii="Palatino Linotype" w:eastAsia="Palatino Linotype" w:hAnsi="Palatino Linotype" w:cs="Palatino Linotype"/>
          <w:color w:val="000000"/>
          <w:lang w:val="es-ES_tradnl" w:eastAsia="es-ES"/>
        </w:rPr>
        <w:t xml:space="preserve">Por su parte el </w:t>
      </w:r>
      <w:r w:rsidRPr="00386F65">
        <w:rPr>
          <w:rFonts w:ascii="Palatino Linotype" w:eastAsia="Palatino Linotype" w:hAnsi="Palatino Linotype" w:cs="Palatino Linotype"/>
          <w:b/>
          <w:color w:val="000000"/>
          <w:lang w:val="es-ES_tradnl" w:eastAsia="es-ES"/>
        </w:rPr>
        <w:t xml:space="preserve">RECURRENTE </w:t>
      </w:r>
      <w:r w:rsidRPr="00386F65">
        <w:rPr>
          <w:rFonts w:ascii="Palatino Linotype" w:eastAsia="Palatino Linotype" w:hAnsi="Palatino Linotype" w:cs="Palatino Linotype"/>
          <w:color w:val="000000"/>
          <w:lang w:val="es-ES_tradnl" w:eastAsia="es-ES"/>
        </w:rPr>
        <w:t>dejo de realizar manifestacion</w:t>
      </w:r>
      <w:r w:rsidR="00F7284D" w:rsidRPr="00386F65">
        <w:rPr>
          <w:rFonts w:ascii="Palatino Linotype" w:eastAsia="Palatino Linotype" w:hAnsi="Palatino Linotype" w:cs="Palatino Linotype"/>
          <w:color w:val="000000"/>
          <w:lang w:val="es-ES_tradnl" w:eastAsia="es-ES"/>
        </w:rPr>
        <w:t>es que a su derecho convinieran y asistieran.</w:t>
      </w:r>
    </w:p>
    <w:p w14:paraId="1E059A29" w14:textId="77777777" w:rsidR="00D95869" w:rsidRPr="00386F65" w:rsidRDefault="00D95869" w:rsidP="00BD631B">
      <w:pPr>
        <w:ind w:left="720"/>
        <w:contextualSpacing/>
        <w:rPr>
          <w:rFonts w:ascii="Palatino Linotype" w:eastAsia="Palatino Linotype" w:hAnsi="Palatino Linotype" w:cs="Palatino Linotype"/>
          <w:color w:val="000000"/>
          <w:lang w:val="es-ES_tradnl" w:eastAsia="es-ES"/>
        </w:rPr>
      </w:pPr>
    </w:p>
    <w:p w14:paraId="1E3986A9" w14:textId="2BC379F7" w:rsidR="00F7284D" w:rsidRPr="00386F65" w:rsidRDefault="003C2875" w:rsidP="00BD631B">
      <w:pPr>
        <w:numPr>
          <w:ilvl w:val="0"/>
          <w:numId w:val="12"/>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lastRenderedPageBreak/>
        <w:t xml:space="preserve">La Comisionada Ponente decretó el cierre de instrucción mediante el acuerdo del </w:t>
      </w:r>
      <w:r w:rsidR="00464CC4" w:rsidRPr="00386F65">
        <w:rPr>
          <w:rFonts w:ascii="Palatino Linotype" w:eastAsia="Palatino Linotype" w:hAnsi="Palatino Linotype" w:cs="Palatino Linotype"/>
          <w:b/>
        </w:rPr>
        <w:t>veintisiete de mayo</w:t>
      </w:r>
      <w:r w:rsidRPr="00386F65">
        <w:rPr>
          <w:rFonts w:ascii="Palatino Linotype" w:eastAsia="Palatino Linotype" w:hAnsi="Palatino Linotype" w:cs="Palatino Linotype"/>
          <w:b/>
        </w:rPr>
        <w:t xml:space="preserve"> de dos mil veintiséis; </w:t>
      </w:r>
      <w:r w:rsidRPr="00386F65">
        <w:rPr>
          <w:rFonts w:ascii="Palatino Linotype" w:eastAsia="Palatino Linotype" w:hAnsi="Palatino Linotype" w:cs="Palatino Linotype"/>
        </w:rPr>
        <w:t>por lo que en virtud de que el expediente electrónico ha sido debidamente substanciado y no existe diligencia pendiente de desahogo, se procede a emitir la presente resolución que</w:t>
      </w:r>
      <w:r w:rsidR="00F7284D" w:rsidRPr="00386F65">
        <w:rPr>
          <w:rFonts w:ascii="Palatino Linotype" w:eastAsia="Palatino Linotype" w:hAnsi="Palatino Linotype" w:cs="Palatino Linotype"/>
        </w:rPr>
        <w:t xml:space="preserve"> conforme a Derecho corresponda.</w:t>
      </w:r>
    </w:p>
    <w:p w14:paraId="20877704" w14:textId="4A8A5A38" w:rsidR="00F7284D" w:rsidRPr="00386F65" w:rsidRDefault="00F7284D" w:rsidP="00BD631B">
      <w:pPr>
        <w:spacing w:line="360" w:lineRule="auto"/>
        <w:jc w:val="both"/>
        <w:rPr>
          <w:rFonts w:ascii="Palatino Linotype" w:eastAsia="Palatino Linotype" w:hAnsi="Palatino Linotype" w:cs="Palatino Linotype"/>
        </w:rPr>
      </w:pPr>
    </w:p>
    <w:p w14:paraId="411109C7" w14:textId="00D061A9" w:rsidR="00F7284D" w:rsidRPr="00386F65" w:rsidRDefault="00F7284D" w:rsidP="00BD631B">
      <w:pPr>
        <w:pStyle w:val="Prrafodelista"/>
        <w:numPr>
          <w:ilvl w:val="0"/>
          <w:numId w:val="12"/>
        </w:numPr>
        <w:spacing w:line="360" w:lineRule="auto"/>
        <w:jc w:val="both"/>
        <w:rPr>
          <w:rFonts w:ascii="Palatino Linotype" w:eastAsia="Palatino Linotype" w:hAnsi="Palatino Linotype" w:cs="Palatino Linotype"/>
          <w:color w:val="000000"/>
        </w:rPr>
      </w:pPr>
      <w:r w:rsidRPr="00386F65">
        <w:rPr>
          <w:rFonts w:ascii="Palatino Linotype" w:eastAsia="Palatino Linotype" w:hAnsi="Palatino Linotype" w:cs="Palatino Linotype"/>
          <w:color w:val="000000"/>
        </w:rPr>
        <w:t xml:space="preserve">En fecha </w:t>
      </w:r>
      <w:r w:rsidRPr="00386F65">
        <w:rPr>
          <w:rFonts w:ascii="Palatino Linotype" w:eastAsia="Palatino Linotype" w:hAnsi="Palatino Linotype" w:cs="Palatino Linotype"/>
          <w:b/>
          <w:color w:val="000000"/>
        </w:rPr>
        <w:t>veinticinco de junio de dos mil veintiséis</w:t>
      </w:r>
      <w:r w:rsidRPr="00386F65">
        <w:rPr>
          <w:rFonts w:ascii="Palatino Linotype" w:eastAsia="Palatino Linotype" w:hAnsi="Palatino Linotype" w:cs="Palatino Linotype"/>
          <w:color w:val="000000"/>
        </w:rPr>
        <w:t>, se acordó ampliar el término para resolver el presente asunto.</w:t>
      </w:r>
    </w:p>
    <w:p w14:paraId="45B0E1EC" w14:textId="77777777" w:rsidR="00F7284D" w:rsidRPr="00386F65" w:rsidRDefault="00F7284D" w:rsidP="00BD631B">
      <w:pPr>
        <w:pStyle w:val="Prrafodelista"/>
        <w:spacing w:line="360" w:lineRule="auto"/>
        <w:ind w:left="0"/>
        <w:jc w:val="both"/>
        <w:rPr>
          <w:rFonts w:ascii="Palatino Linotype" w:eastAsia="Palatino Linotype" w:hAnsi="Palatino Linotype" w:cs="Palatino Linotype"/>
          <w:color w:val="000000"/>
        </w:rPr>
      </w:pPr>
    </w:p>
    <w:p w14:paraId="2DD7F147" w14:textId="77777777" w:rsidR="00F7284D" w:rsidRPr="00386F65" w:rsidRDefault="00F7284D" w:rsidP="00BD631B">
      <w:pPr>
        <w:pStyle w:val="Prrafodelista"/>
        <w:numPr>
          <w:ilvl w:val="0"/>
          <w:numId w:val="12"/>
        </w:numPr>
        <w:spacing w:line="360" w:lineRule="auto"/>
        <w:ind w:left="0" w:firstLine="0"/>
        <w:jc w:val="both"/>
        <w:rPr>
          <w:rFonts w:ascii="Palatino Linotype" w:eastAsia="Palatino Linotype" w:hAnsi="Palatino Linotype" w:cs="Palatino Linotype"/>
          <w:color w:val="000000"/>
        </w:rPr>
      </w:pPr>
      <w:r w:rsidRPr="00386F65">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14:paraId="2122E344" w14:textId="2D6BF69F" w:rsidR="00D95869" w:rsidRPr="00386F65" w:rsidRDefault="00F7284D" w:rsidP="00BD631B">
      <w:pPr>
        <w:pBdr>
          <w:top w:val="nil"/>
          <w:left w:val="nil"/>
          <w:bottom w:val="nil"/>
          <w:right w:val="nil"/>
          <w:between w:val="nil"/>
        </w:pBdr>
        <w:spacing w:line="360" w:lineRule="auto"/>
        <w:jc w:val="center"/>
        <w:rPr>
          <w:rFonts w:ascii="Palatino Linotype" w:eastAsia="Palatino Linotype" w:hAnsi="Palatino Linotype" w:cs="Palatino Linotype"/>
          <w:b/>
          <w:color w:val="000000"/>
          <w:lang w:val="es-ES_tradnl" w:eastAsia="es-ES"/>
        </w:rPr>
      </w:pPr>
      <w:r w:rsidRPr="00386F65">
        <w:rPr>
          <w:rFonts w:ascii="Palatino Linotype" w:eastAsia="Palatino Linotype" w:hAnsi="Palatino Linotype" w:cs="Palatino Linotype"/>
          <w:b/>
          <w:color w:val="000000"/>
          <w:lang w:val="es-ES_tradnl" w:eastAsia="es-ES"/>
        </w:rPr>
        <w:t xml:space="preserve">C O N S I D E R A N D O </w:t>
      </w:r>
    </w:p>
    <w:p w14:paraId="6C854DC9" w14:textId="77777777" w:rsidR="00F7284D" w:rsidRPr="00386F65" w:rsidRDefault="00F7284D" w:rsidP="00BD631B">
      <w:pPr>
        <w:widowControl w:val="0"/>
        <w:numPr>
          <w:ilvl w:val="0"/>
          <w:numId w:val="19"/>
        </w:numPr>
        <w:tabs>
          <w:tab w:val="left" w:pos="1701"/>
        </w:tabs>
        <w:autoSpaceDE w:val="0"/>
        <w:autoSpaceDN w:val="0"/>
        <w:adjustRightInd w:val="0"/>
        <w:spacing w:before="100" w:beforeAutospacing="1" w:line="360" w:lineRule="auto"/>
        <w:ind w:left="0" w:firstLine="0"/>
        <w:jc w:val="both"/>
        <w:rPr>
          <w:rFonts w:ascii="Palatino Linotype" w:hAnsi="Palatino Linotype" w:cs="Arial"/>
        </w:rPr>
      </w:pPr>
      <w:r w:rsidRPr="00386F65">
        <w:rPr>
          <w:rFonts w:ascii="Palatino Linotype" w:hAnsi="Palatino Linotype"/>
          <w:b/>
        </w:rPr>
        <w:t>De la Competencia</w:t>
      </w:r>
      <w:r w:rsidRPr="00386F65">
        <w:rPr>
          <w:rFonts w:ascii="Palatino Linotype" w:hAnsi="Palatino Linotype"/>
        </w:rPr>
        <w:t>.</w:t>
      </w:r>
      <w:r w:rsidRPr="00386F65">
        <w:rPr>
          <w:rFonts w:ascii="Palatino Linotype" w:hAnsi="Palatino Linotype"/>
          <w:b/>
        </w:rPr>
        <w:t xml:space="preserve"> </w:t>
      </w:r>
    </w:p>
    <w:p w14:paraId="510612D4" w14:textId="7F6A8931" w:rsidR="00F7284D" w:rsidRPr="00386F65" w:rsidRDefault="00F7284D" w:rsidP="00BD631B">
      <w:pPr>
        <w:pStyle w:val="Prrafodelista"/>
        <w:numPr>
          <w:ilvl w:val="0"/>
          <w:numId w:val="1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86F65">
        <w:rPr>
          <w:rFonts w:ascii="Palatino Linotype" w:eastAsia="Palatino Linotype" w:hAnsi="Palatino Linotype" w:cs="Palatino Linotype"/>
          <w:color w:val="000000"/>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 II, III, IV y V de la Constitución Política del Estado Libre y Soberano de México; 1°, 8°, 9°, 10, 37 y 42, fracciones I, II y III, de la Ley General de Transparencia y Acceso a la Información Pública vigente a la </w:t>
      </w:r>
      <w:r w:rsidRPr="00386F65">
        <w:rPr>
          <w:rFonts w:ascii="Palatino Linotype" w:eastAsia="Palatino Linotype" w:hAnsi="Palatino Linotype" w:cs="Palatino Linotype"/>
          <w:color w:val="000000"/>
        </w:rPr>
        <w:lastRenderedPageBreak/>
        <w:t>fecha de la solicitud de información;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710D1DC3" w14:textId="77777777" w:rsidR="00F7284D" w:rsidRPr="00386F65" w:rsidRDefault="00F7284D" w:rsidP="00BD631B">
      <w:pPr>
        <w:spacing w:line="360" w:lineRule="auto"/>
        <w:jc w:val="both"/>
        <w:rPr>
          <w:rFonts w:ascii="Palatino Linotype" w:eastAsia="Palatino Linotype" w:hAnsi="Palatino Linotype" w:cs="Palatino Linotype"/>
        </w:rPr>
      </w:pPr>
    </w:p>
    <w:p w14:paraId="1F3BBE5F" w14:textId="77777777" w:rsidR="00F7284D" w:rsidRPr="00386F65" w:rsidRDefault="00F7284D" w:rsidP="00BD631B">
      <w:pPr>
        <w:pStyle w:val="Ttulo2"/>
        <w:spacing w:before="0" w:line="360" w:lineRule="auto"/>
        <w:rPr>
          <w:rFonts w:ascii="Palatino Linotype" w:eastAsia="Palatino Linotype" w:hAnsi="Palatino Linotype" w:cs="Palatino Linotype"/>
          <w:b/>
          <w:color w:val="000000"/>
          <w:sz w:val="24"/>
          <w:szCs w:val="24"/>
        </w:rPr>
      </w:pPr>
      <w:r w:rsidRPr="00386F65">
        <w:rPr>
          <w:rFonts w:ascii="Palatino Linotype" w:eastAsia="Palatino Linotype" w:hAnsi="Palatino Linotype" w:cs="Palatino Linotype"/>
          <w:b/>
          <w:color w:val="000000"/>
          <w:sz w:val="24"/>
          <w:szCs w:val="24"/>
        </w:rPr>
        <w:t>SEGUNDO. De la oportunidad y procedencia.</w:t>
      </w:r>
    </w:p>
    <w:p w14:paraId="52031827" w14:textId="0DB74FC1" w:rsidR="00F7284D" w:rsidRPr="00386F65" w:rsidRDefault="00F7284D" w:rsidP="00BD631B">
      <w:pPr>
        <w:pStyle w:val="Prrafodelista"/>
        <w:numPr>
          <w:ilvl w:val="0"/>
          <w:numId w:val="1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 xml:space="preserve">Este Órgano Garante considera que el medio de impugnación reúne los requisitos de </w:t>
      </w:r>
      <w:r w:rsidRPr="00386F65">
        <w:rPr>
          <w:rFonts w:ascii="Palatino Linotype" w:eastAsia="Palatino Linotype" w:hAnsi="Palatino Linotype" w:cs="Palatino Linotype"/>
          <w:color w:val="000000"/>
        </w:rPr>
        <w:t>procedencia</w:t>
      </w:r>
      <w:r w:rsidRPr="00386F65">
        <w:rPr>
          <w:rFonts w:ascii="Palatino Linotype" w:eastAsia="Palatino Linotype" w:hAnsi="Palatino Linotype" w:cs="Palatino Linotype"/>
        </w:rPr>
        <w:t xml:space="preserve"> </w:t>
      </w:r>
      <w:r w:rsidRPr="00386F65">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5BC2819C" w14:textId="77777777" w:rsidR="00F7284D" w:rsidRPr="00386F65" w:rsidRDefault="00F7284D" w:rsidP="00BD631B">
      <w:pPr>
        <w:spacing w:line="360" w:lineRule="auto"/>
        <w:ind w:left="360"/>
        <w:jc w:val="both"/>
        <w:rPr>
          <w:rFonts w:ascii="Palatino Linotype" w:eastAsia="Palatino Linotype" w:hAnsi="Palatino Linotype" w:cs="Palatino Linotype"/>
        </w:rPr>
      </w:pPr>
    </w:p>
    <w:p w14:paraId="4FF317A9" w14:textId="717D6CC0" w:rsidR="00F7284D" w:rsidRPr="00386F65" w:rsidRDefault="00F7284D" w:rsidP="00BD631B">
      <w:pPr>
        <w:numPr>
          <w:ilvl w:val="0"/>
          <w:numId w:val="1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 xml:space="preserve">El </w:t>
      </w:r>
      <w:r w:rsidRPr="00386F65">
        <w:rPr>
          <w:rFonts w:ascii="Palatino Linotype" w:eastAsia="Palatino Linotype" w:hAnsi="Palatino Linotype" w:cs="Palatino Linotype"/>
          <w:color w:val="000000"/>
        </w:rPr>
        <w:t>medio</w:t>
      </w:r>
      <w:r w:rsidRPr="00386F65">
        <w:rPr>
          <w:rFonts w:ascii="Palatino Linotype" w:eastAsia="Palatino Linotype" w:hAnsi="Palatino Linotype" w:cs="Palatino Linotype"/>
        </w:rPr>
        <w:t xml:space="preserve"> de impugnación fue presentado a través del </w:t>
      </w:r>
      <w:r w:rsidRPr="00386F65">
        <w:rPr>
          <w:rFonts w:ascii="Palatino Linotype" w:eastAsia="Palatino Linotype" w:hAnsi="Palatino Linotype" w:cs="Palatino Linotype"/>
          <w:b/>
        </w:rPr>
        <w:t>SAIMEX,</w:t>
      </w:r>
      <w:r w:rsidRPr="00386F65">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386F65">
        <w:rPr>
          <w:rFonts w:ascii="Palatino Linotype" w:eastAsia="Palatino Linotype" w:hAnsi="Palatino Linotype" w:cs="Palatino Linotype"/>
          <w:b/>
        </w:rPr>
        <w:t>SUJETO OBLIGADO</w:t>
      </w:r>
      <w:r w:rsidRPr="00386F65">
        <w:rPr>
          <w:rFonts w:ascii="Palatino Linotype" w:eastAsia="Palatino Linotype" w:hAnsi="Palatino Linotype" w:cs="Palatino Linotype"/>
        </w:rPr>
        <w:t xml:space="preserve"> entregó respuesta el </w:t>
      </w:r>
      <w:r w:rsidRPr="00386F65">
        <w:rPr>
          <w:rFonts w:ascii="Palatino Linotype" w:eastAsia="Palatino Linotype" w:hAnsi="Palatino Linotype" w:cs="Palatino Linotype"/>
          <w:b/>
        </w:rPr>
        <w:t>dieciséis de abril de dos mil veintiséis</w:t>
      </w:r>
      <w:r w:rsidRPr="00386F65">
        <w:rPr>
          <w:rFonts w:ascii="Palatino Linotype" w:eastAsia="Palatino Linotype" w:hAnsi="Palatino Linotype" w:cs="Palatino Linotype"/>
        </w:rPr>
        <w:t xml:space="preserve">, de tal forma que el plazo para interponer el recurso transcurrió del </w:t>
      </w:r>
      <w:r w:rsidRPr="00386F65">
        <w:rPr>
          <w:rFonts w:ascii="Palatino Linotype" w:eastAsia="Palatino Linotype" w:hAnsi="Palatino Linotype" w:cs="Palatino Linotype"/>
          <w:b/>
        </w:rPr>
        <w:t>diecisiete de</w:t>
      </w:r>
      <w:r w:rsidR="003C6B8B" w:rsidRPr="00386F65">
        <w:rPr>
          <w:rFonts w:ascii="Palatino Linotype" w:eastAsia="Palatino Linotype" w:hAnsi="Palatino Linotype" w:cs="Palatino Linotype"/>
          <w:b/>
        </w:rPr>
        <w:t xml:space="preserve"> </w:t>
      </w:r>
      <w:r w:rsidRPr="00386F65">
        <w:rPr>
          <w:rFonts w:ascii="Palatino Linotype" w:eastAsia="Palatino Linotype" w:hAnsi="Palatino Linotype" w:cs="Palatino Linotype"/>
          <w:b/>
        </w:rPr>
        <w:t xml:space="preserve">abril al </w:t>
      </w:r>
      <w:r w:rsidR="003C6B8B" w:rsidRPr="00386F65">
        <w:rPr>
          <w:rFonts w:ascii="Palatino Linotype" w:eastAsia="Palatino Linotype" w:hAnsi="Palatino Linotype" w:cs="Palatino Linotype"/>
          <w:b/>
        </w:rPr>
        <w:t>once de mayo</w:t>
      </w:r>
      <w:r w:rsidRPr="00386F65">
        <w:rPr>
          <w:rFonts w:ascii="Palatino Linotype" w:eastAsia="Palatino Linotype" w:hAnsi="Palatino Linotype" w:cs="Palatino Linotype"/>
          <w:b/>
        </w:rPr>
        <w:t xml:space="preserve"> de dos mil veintiséis, </w:t>
      </w:r>
      <w:r w:rsidRPr="00386F65">
        <w:rPr>
          <w:rFonts w:ascii="Palatino Linotype" w:eastAsia="Palatino Linotype" w:hAnsi="Palatino Linotype" w:cs="Palatino Linotype"/>
        </w:rPr>
        <w:t xml:space="preserve">en consecuencia, si el </w:t>
      </w:r>
      <w:r w:rsidRPr="00386F65">
        <w:rPr>
          <w:rFonts w:ascii="Palatino Linotype" w:eastAsia="Palatino Linotype" w:hAnsi="Palatino Linotype" w:cs="Palatino Linotype"/>
          <w:b/>
        </w:rPr>
        <w:t>PARTICULAR</w:t>
      </w:r>
      <w:r w:rsidRPr="00386F65">
        <w:rPr>
          <w:rFonts w:ascii="Palatino Linotype" w:eastAsia="Palatino Linotype" w:hAnsi="Palatino Linotype" w:cs="Palatino Linotype"/>
        </w:rPr>
        <w:t xml:space="preserve"> presentó su inconformidad el </w:t>
      </w:r>
      <w:r w:rsidR="003C6B8B" w:rsidRPr="00386F65">
        <w:rPr>
          <w:rFonts w:ascii="Palatino Linotype" w:eastAsia="Palatino Linotype" w:hAnsi="Palatino Linotype" w:cs="Palatino Linotype"/>
          <w:b/>
        </w:rPr>
        <w:t>diecisiete de abril</w:t>
      </w:r>
      <w:r w:rsidRPr="00386F65">
        <w:rPr>
          <w:rFonts w:ascii="Palatino Linotype" w:eastAsia="Palatino Linotype" w:hAnsi="Palatino Linotype" w:cs="Palatino Linotype"/>
          <w:b/>
        </w:rPr>
        <w:t xml:space="preserve"> de dos mil veintiséis</w:t>
      </w:r>
      <w:r w:rsidRPr="00386F65">
        <w:rPr>
          <w:rFonts w:ascii="Palatino Linotype" w:eastAsia="Palatino Linotype" w:hAnsi="Palatino Linotype" w:cs="Palatino Linotype"/>
        </w:rPr>
        <w:t xml:space="preserve">, este  se encuentra dentro de los márgenes temporales previstos en el </w:t>
      </w:r>
      <w:r w:rsidRPr="00386F65">
        <w:rPr>
          <w:rFonts w:ascii="Palatino Linotype" w:eastAsia="Palatino Linotype" w:hAnsi="Palatino Linotype" w:cs="Palatino Linotype"/>
          <w:b/>
        </w:rPr>
        <w:t>artículo 178</w:t>
      </w:r>
      <w:r w:rsidRPr="00386F65">
        <w:rPr>
          <w:rFonts w:ascii="Palatino Linotype" w:eastAsia="Palatino Linotype" w:hAnsi="Palatino Linotype" w:cs="Palatino Linotype"/>
        </w:rPr>
        <w:t xml:space="preserve"> de la </w:t>
      </w:r>
      <w:r w:rsidRPr="00386F65">
        <w:rPr>
          <w:rFonts w:ascii="Palatino Linotype" w:eastAsia="Palatino Linotype" w:hAnsi="Palatino Linotype" w:cs="Palatino Linotype"/>
          <w:b/>
        </w:rPr>
        <w:t xml:space="preserve">Ley de Transparencia y Acceso a la Información Pública del Estado de México y Municipios </w:t>
      </w:r>
      <w:r w:rsidRPr="00386F65">
        <w:rPr>
          <w:rFonts w:ascii="Palatino Linotype" w:eastAsia="Palatino Linotype" w:hAnsi="Palatino Linotype" w:cs="Palatino Linotype"/>
        </w:rPr>
        <w:t xml:space="preserve">vigente.  </w:t>
      </w:r>
    </w:p>
    <w:p w14:paraId="3BDF8E01" w14:textId="77777777" w:rsidR="00F7284D" w:rsidRPr="00386F65" w:rsidRDefault="00F7284D" w:rsidP="00BD631B">
      <w:pPr>
        <w:pStyle w:val="Prrafodelista"/>
        <w:rPr>
          <w:rFonts w:ascii="Palatino Linotype" w:eastAsia="Palatino Linotype" w:hAnsi="Palatino Linotype" w:cs="Palatino Linotype"/>
        </w:rPr>
      </w:pPr>
    </w:p>
    <w:p w14:paraId="3031A13A" w14:textId="176562B3" w:rsidR="003C6B8B" w:rsidRPr="00386F65" w:rsidRDefault="00464CC4" w:rsidP="00BD631B">
      <w:pPr>
        <w:pStyle w:val="Prrafodelista"/>
        <w:numPr>
          <w:ilvl w:val="0"/>
          <w:numId w:val="12"/>
        </w:numPr>
        <w:spacing w:line="360" w:lineRule="auto"/>
        <w:ind w:left="0" w:firstLine="0"/>
        <w:jc w:val="both"/>
        <w:rPr>
          <w:rFonts w:ascii="Palatino Linotype" w:hAnsi="Palatino Linotype"/>
        </w:rPr>
      </w:pPr>
      <w:r w:rsidRPr="00386F65">
        <w:rPr>
          <w:rFonts w:ascii="Palatino Linotype" w:hAnsi="Palatino Linotype"/>
        </w:rPr>
        <w:t>P</w:t>
      </w:r>
      <w:r w:rsidR="003C6B8B" w:rsidRPr="00386F65">
        <w:rPr>
          <w:rFonts w:ascii="Palatino Linotype" w:hAnsi="Palatino Linotype"/>
        </w:rPr>
        <w:t xml:space="preserve">or </w:t>
      </w:r>
      <w:r w:rsidR="003C6B8B" w:rsidRPr="00386F65">
        <w:rPr>
          <w:rFonts w:ascii="Palatino Linotype" w:eastAsia="Calibri" w:hAnsi="Palatino Linotype" w:cs="Arial"/>
        </w:rPr>
        <w:t>otro</w:t>
      </w:r>
      <w:r w:rsidR="003C6B8B" w:rsidRPr="00386F65">
        <w:rPr>
          <w:rFonts w:ascii="Palatino Linotype" w:hAnsi="Palatino Linotype"/>
        </w:rPr>
        <w:t xml:space="preserve"> </w:t>
      </w:r>
      <w:r w:rsidR="003C6B8B" w:rsidRPr="00386F65">
        <w:rPr>
          <w:rFonts w:ascii="Palatino Linotype" w:eastAsia="Calibri" w:hAnsi="Palatino Linotype" w:cs="Arial"/>
        </w:rPr>
        <w:t>lado</w:t>
      </w:r>
      <w:r w:rsidR="003C6B8B" w:rsidRPr="00386F65">
        <w:rPr>
          <w:rFonts w:ascii="Palatino Linotype" w:hAnsi="Palatino Linotype"/>
        </w:rPr>
        <w:t xml:space="preserve">, </w:t>
      </w:r>
      <w:r w:rsidR="003C6B8B" w:rsidRPr="00386F65">
        <w:rPr>
          <w:rFonts w:ascii="Palatino Linotype" w:eastAsia="Calibri" w:hAnsi="Palatino Linotype" w:cs="Arial"/>
        </w:rPr>
        <w:t>es</w:t>
      </w:r>
      <w:r w:rsidR="003C6B8B" w:rsidRPr="00386F65">
        <w:rPr>
          <w:rFonts w:ascii="Palatino Linotype" w:eastAsia="Palatino Linotype" w:hAnsi="Palatino Linotype" w:cs="Palatino Linotype"/>
        </w:rPr>
        <w:t xml:space="preserve"> de suma importancia señalar que la parte recurrente no </w:t>
      </w:r>
      <w:r w:rsidR="003C6B8B" w:rsidRPr="00386F65">
        <w:rPr>
          <w:rFonts w:ascii="Palatino Linotype" w:eastAsia="Calibri" w:hAnsi="Palatino Linotype" w:cs="Arial"/>
        </w:rPr>
        <w:t>proporciona</w:t>
      </w:r>
      <w:r w:rsidR="003C6B8B" w:rsidRPr="00386F65">
        <w:rPr>
          <w:rFonts w:ascii="Palatino Linotype" w:eastAsia="Palatino Linotype" w:hAnsi="Palatino Linotype" w:cs="Palatino Linotype"/>
        </w:rPr>
        <w:t xml:space="preserve"> un nombre completo o datos de identificación como se advierte en el detalle de </w:t>
      </w:r>
      <w:r w:rsidR="003C6B8B" w:rsidRPr="00386F65">
        <w:rPr>
          <w:rFonts w:ascii="Palatino Linotype" w:hAnsi="Palatino Linotype" w:cs="Arial"/>
        </w:rPr>
        <w:t>seguimiento</w:t>
      </w:r>
      <w:r w:rsidR="003C6B8B" w:rsidRPr="00386F65">
        <w:rPr>
          <w:rFonts w:ascii="Palatino Linotype" w:eastAsia="Palatino Linotype" w:hAnsi="Palatino Linotype" w:cs="Palatino Linotype"/>
        </w:rPr>
        <w:t xml:space="preserve"> del </w:t>
      </w:r>
      <w:r w:rsidR="003C6B8B" w:rsidRPr="00386F65">
        <w:rPr>
          <w:rFonts w:ascii="Palatino Linotype" w:eastAsia="Palatino Linotype" w:hAnsi="Palatino Linotype" w:cs="Palatino Linotype"/>
        </w:rPr>
        <w:lastRenderedPageBreak/>
        <w:t>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3CDAB842" w14:textId="77777777" w:rsidR="003C6B8B" w:rsidRPr="00386F65" w:rsidRDefault="003C6B8B" w:rsidP="00BD631B">
      <w:pPr>
        <w:pStyle w:val="Textoindependienteprimerasangra2"/>
        <w:tabs>
          <w:tab w:val="left" w:pos="7938"/>
        </w:tabs>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t>“</w:t>
      </w:r>
      <w:r w:rsidRPr="00386F65">
        <w:rPr>
          <w:rFonts w:ascii="Palatino Linotype" w:eastAsia="Palatino Linotype" w:hAnsi="Palatino Linotype"/>
          <w:b/>
          <w:i/>
        </w:rPr>
        <w:t>Las solicitudes anónimas</w:t>
      </w:r>
      <w:r w:rsidRPr="00386F65">
        <w:rPr>
          <w:rFonts w:ascii="Palatino Linotype" w:eastAsia="Palatino Linotype" w:hAnsi="Palatino Linotype"/>
          <w:i/>
        </w:rPr>
        <w:t xml:space="preserve">, con nombre incompleto o seudónimo </w:t>
      </w:r>
      <w:r w:rsidRPr="00386F65">
        <w:rPr>
          <w:rFonts w:ascii="Palatino Linotype" w:eastAsia="Palatino Linotype" w:hAnsi="Palatino Linotype"/>
          <w:b/>
          <w:i/>
        </w:rPr>
        <w:t>serán procedentes para su trámite por parte del sujeto obligado ante quien se presente</w:t>
      </w:r>
      <w:r w:rsidRPr="00386F65">
        <w:rPr>
          <w:rFonts w:ascii="Palatino Linotype" w:eastAsia="Palatino Linotype" w:hAnsi="Palatino Linotype"/>
          <w:i/>
        </w:rPr>
        <w:t xml:space="preserve">. No podrá requerirse información adicional con motivo del nombre proporcionado por el solicitante.” </w:t>
      </w:r>
      <w:r w:rsidRPr="00386F65">
        <w:rPr>
          <w:rFonts w:ascii="Palatino Linotype" w:eastAsia="Palatino Linotype" w:hAnsi="Palatino Linotype"/>
        </w:rPr>
        <w:t>(Sic)</w:t>
      </w:r>
    </w:p>
    <w:p w14:paraId="2DDB9837" w14:textId="77777777" w:rsidR="003C6B8B" w:rsidRPr="00386F65" w:rsidRDefault="003C6B8B" w:rsidP="00BD631B">
      <w:pPr>
        <w:pStyle w:val="Textoindependienteprimerasangra2"/>
        <w:spacing w:line="360" w:lineRule="auto"/>
        <w:ind w:left="0" w:firstLine="0"/>
        <w:rPr>
          <w:rFonts w:ascii="Palatino Linotype" w:eastAsia="Palatino Linotype" w:hAnsi="Palatino Linotype"/>
          <w:i/>
        </w:rPr>
      </w:pPr>
    </w:p>
    <w:p w14:paraId="5C6B4075" w14:textId="354DC49E" w:rsidR="003C6B8B" w:rsidRPr="00386F65" w:rsidRDefault="003C6B8B" w:rsidP="00BD631B">
      <w:pPr>
        <w:pStyle w:val="Prrafodelista"/>
        <w:numPr>
          <w:ilvl w:val="0"/>
          <w:numId w:val="12"/>
        </w:numPr>
        <w:spacing w:line="360" w:lineRule="auto"/>
        <w:ind w:left="0" w:firstLine="0"/>
        <w:jc w:val="both"/>
        <w:rPr>
          <w:rFonts w:ascii="Palatino Linotype" w:eastAsia="Palatino Linotype" w:hAnsi="Palatino Linotype" w:cs="Palatino Linotype"/>
        </w:rPr>
      </w:pPr>
      <w:r w:rsidRPr="00386F65">
        <w:rPr>
          <w:rFonts w:ascii="Palatino Linotype" w:hAnsi="Palatino Linotype"/>
        </w:rPr>
        <w:t>Robusteciendo</w:t>
      </w:r>
      <w:r w:rsidRPr="00386F65">
        <w:rPr>
          <w:rFonts w:ascii="Palatino Linotype" w:eastAsia="Palatino Linotype" w:hAnsi="Palatino Linotype" w:cs="Palatino Linotype"/>
        </w:rPr>
        <w:t xml:space="preserve"> lo anterior se encuentra lo dispuesto en el artículo 6, Apartado A, </w:t>
      </w:r>
      <w:r w:rsidRPr="00386F65">
        <w:rPr>
          <w:rFonts w:ascii="Palatino Linotype" w:eastAsia="Calibri" w:hAnsi="Palatino Linotype" w:cs="Arial"/>
        </w:rPr>
        <w:t>fracciones</w:t>
      </w:r>
      <w:r w:rsidRPr="00386F65">
        <w:rPr>
          <w:rFonts w:ascii="Palatino Linotype" w:eastAsia="Palatino Linotype" w:hAnsi="Palatino Linotype" w:cs="Palatino Linotype"/>
        </w:rPr>
        <w:t xml:space="preserve"> III de la Constitución Política de los Estados Unidos Mexicanos que establece:</w:t>
      </w:r>
    </w:p>
    <w:p w14:paraId="794F772B" w14:textId="77777777" w:rsidR="003C6B8B" w:rsidRPr="00386F65" w:rsidRDefault="003C6B8B" w:rsidP="00BD631B">
      <w:pPr>
        <w:pStyle w:val="Textoindependienteprimerasangra2"/>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t>“</w:t>
      </w:r>
      <w:r w:rsidRPr="00386F65">
        <w:rPr>
          <w:rFonts w:ascii="Palatino Linotype" w:eastAsia="Palatino Linotype" w:hAnsi="Palatino Linotype"/>
          <w:b/>
          <w:i/>
        </w:rPr>
        <w:t>Artículo 6.-</w:t>
      </w:r>
      <w:r w:rsidRPr="00386F65">
        <w:rPr>
          <w:rFonts w:ascii="Palatino Linotype" w:eastAsia="Palatino Linotype" w:hAnsi="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789BA122" w14:textId="77777777" w:rsidR="003C6B8B" w:rsidRPr="00386F65" w:rsidRDefault="003C6B8B" w:rsidP="00BD631B">
      <w:pPr>
        <w:pStyle w:val="Sangradetextonormal"/>
        <w:spacing w:after="0" w:line="240" w:lineRule="atLeast"/>
        <w:ind w:left="1134"/>
        <w:jc w:val="both"/>
        <w:rPr>
          <w:rFonts w:ascii="Palatino Linotype" w:eastAsia="Palatino Linotype" w:hAnsi="Palatino Linotype"/>
          <w:i/>
        </w:rPr>
      </w:pPr>
      <w:r w:rsidRPr="00386F65">
        <w:rPr>
          <w:rFonts w:ascii="Palatino Linotype" w:eastAsia="Palatino Linotype" w:hAnsi="Palatino Linotype"/>
          <w:i/>
        </w:rPr>
        <w:t>Para efectos de lo dispuesto en el presente artículo se observará lo siguiente:</w:t>
      </w:r>
    </w:p>
    <w:p w14:paraId="05818094" w14:textId="77777777" w:rsidR="003C6B8B" w:rsidRPr="00386F65" w:rsidRDefault="003C6B8B" w:rsidP="00BD631B">
      <w:pPr>
        <w:pStyle w:val="Textoindependienteprimerasangra2"/>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t>A. Para el ejercicio del derecho de acceso a la información, la Federación, los Estados y el Distrito Federal, en el ámbito de sus respectivas competencias, se regirán por los siguientes principios y bases:</w:t>
      </w:r>
    </w:p>
    <w:p w14:paraId="542E5E8B" w14:textId="77777777" w:rsidR="003C6B8B" w:rsidRPr="00386F65" w:rsidRDefault="003C6B8B" w:rsidP="00BD631B">
      <w:pPr>
        <w:pStyle w:val="Textoindependienteprimerasangra2"/>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t>III. Toda persona, sin necesidad de acreditar interés alguno o justificar su utilización, tendrá acceso gratuito a la información pública, a sus datos personales o a la rectificación de éstos.”</w:t>
      </w:r>
      <w:r w:rsidRPr="00386F65">
        <w:rPr>
          <w:rFonts w:ascii="Palatino Linotype" w:eastAsia="Palatino Linotype" w:hAnsi="Palatino Linotype"/>
        </w:rPr>
        <w:t>(Sic)</w:t>
      </w:r>
    </w:p>
    <w:p w14:paraId="11EDDDDB" w14:textId="77777777" w:rsidR="003C6B8B" w:rsidRPr="00386F65" w:rsidRDefault="003C6B8B" w:rsidP="00BD631B">
      <w:pPr>
        <w:pStyle w:val="Textoindependienteprimerasangra2"/>
        <w:spacing w:line="360" w:lineRule="auto"/>
        <w:ind w:left="0" w:firstLine="0"/>
        <w:rPr>
          <w:rFonts w:ascii="Palatino Linotype" w:eastAsia="Palatino Linotype" w:hAnsi="Palatino Linotype"/>
          <w:i/>
        </w:rPr>
      </w:pPr>
    </w:p>
    <w:p w14:paraId="6D64C87D" w14:textId="77777777" w:rsidR="003C6B8B" w:rsidRPr="00386F65" w:rsidRDefault="003C6B8B" w:rsidP="00BD631B">
      <w:pPr>
        <w:pStyle w:val="Prrafodelista"/>
        <w:numPr>
          <w:ilvl w:val="0"/>
          <w:numId w:val="12"/>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 xml:space="preserve">Así </w:t>
      </w:r>
      <w:r w:rsidRPr="00386F65">
        <w:rPr>
          <w:rFonts w:ascii="Palatino Linotype" w:hAnsi="Palatino Linotype"/>
        </w:rPr>
        <w:t>como</w:t>
      </w:r>
      <w:r w:rsidRPr="00386F65">
        <w:rPr>
          <w:rFonts w:ascii="Palatino Linotype" w:eastAsia="Palatino Linotype" w:hAnsi="Palatino Linotype" w:cs="Palatino Linotype"/>
        </w:rPr>
        <w:t xml:space="preserve"> el artículo 5 fracción III, párrafo vigésimo noveno, trigésimo y </w:t>
      </w:r>
      <w:r w:rsidRPr="00386F65">
        <w:rPr>
          <w:rFonts w:ascii="Palatino Linotype" w:hAnsi="Palatino Linotype"/>
        </w:rPr>
        <w:t>trigésimo</w:t>
      </w:r>
      <w:r w:rsidRPr="00386F65">
        <w:rPr>
          <w:rFonts w:ascii="Palatino Linotype" w:eastAsia="Palatino Linotype" w:hAnsi="Palatino Linotype" w:cs="Palatino Linotype"/>
        </w:rPr>
        <w:t xml:space="preserve"> </w:t>
      </w:r>
      <w:r w:rsidRPr="00386F65">
        <w:rPr>
          <w:rFonts w:ascii="Palatino Linotype" w:eastAsia="Calibri" w:hAnsi="Palatino Linotype" w:cs="Arial"/>
        </w:rPr>
        <w:t>primero</w:t>
      </w:r>
      <w:r w:rsidRPr="00386F65">
        <w:rPr>
          <w:rFonts w:ascii="Palatino Linotype" w:eastAsia="Palatino Linotype" w:hAnsi="Palatino Linotype" w:cs="Palatino Linotype"/>
        </w:rPr>
        <w:t>, de la Constitución Política del Estado Libre y Soberano de México, que determina lo siguiente:</w:t>
      </w:r>
    </w:p>
    <w:p w14:paraId="2B735B08" w14:textId="77777777" w:rsidR="003C6B8B" w:rsidRPr="00386F65" w:rsidRDefault="003C6B8B" w:rsidP="00BD631B">
      <w:pPr>
        <w:pStyle w:val="Textoindependienteprimerasangra2"/>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t>“</w:t>
      </w:r>
      <w:r w:rsidRPr="00386F65">
        <w:rPr>
          <w:rFonts w:ascii="Palatino Linotype" w:eastAsia="Palatino Linotype" w:hAnsi="Palatino Linotype"/>
          <w:b/>
          <w:i/>
        </w:rPr>
        <w:t>Artículo 5.-</w:t>
      </w:r>
      <w:r w:rsidRPr="00386F65">
        <w:rPr>
          <w:rFonts w:ascii="Palatino Linotype" w:eastAsia="Palatino Linotype" w:hAnsi="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w:t>
      </w:r>
      <w:r w:rsidRPr="00386F65">
        <w:rPr>
          <w:rFonts w:ascii="Palatino Linotype" w:eastAsia="Palatino Linotype" w:hAnsi="Palatino Linotype"/>
          <w:i/>
        </w:rPr>
        <w:lastRenderedPageBreak/>
        <w:t>podrán restringirse ni suspenderse salvo en los casos y bajo las condiciones que la Constitución Política de los Estados Unidos Mexicanos establece”.(Sic)</w:t>
      </w:r>
    </w:p>
    <w:p w14:paraId="03781AC6" w14:textId="77777777" w:rsidR="003C6B8B" w:rsidRPr="00386F65" w:rsidRDefault="003C6B8B" w:rsidP="00BD631B">
      <w:pPr>
        <w:spacing w:line="240" w:lineRule="atLeast"/>
        <w:ind w:left="1134"/>
        <w:jc w:val="both"/>
        <w:rPr>
          <w:rFonts w:ascii="Palatino Linotype" w:eastAsia="Palatino Linotype" w:hAnsi="Palatino Linotype" w:cs="Palatino Linotype"/>
          <w:i/>
        </w:rPr>
      </w:pPr>
      <w:r w:rsidRPr="00386F65">
        <w:rPr>
          <w:rFonts w:ascii="Palatino Linotype" w:eastAsia="Palatino Linotype" w:hAnsi="Palatino Linotype" w:cs="Palatino Linotype"/>
          <w:i/>
        </w:rPr>
        <w:t>…</w:t>
      </w:r>
    </w:p>
    <w:p w14:paraId="31A7E1BE" w14:textId="77777777" w:rsidR="003C6B8B" w:rsidRPr="00386F65" w:rsidRDefault="003C6B8B" w:rsidP="00BD631B">
      <w:pPr>
        <w:pStyle w:val="Textoindependienteprimerasangra2"/>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t>Toda persona en el Estado de México, tiene derecho al libre acceso a la información plural y oportuna, así como a buscar recibir y difundir información e ideas de toda índole por cualquier medio de expresión.</w:t>
      </w:r>
    </w:p>
    <w:p w14:paraId="108BF843" w14:textId="77777777" w:rsidR="003C6B8B" w:rsidRPr="00386F65" w:rsidRDefault="003C6B8B" w:rsidP="00BD631B">
      <w:pPr>
        <w:spacing w:line="240" w:lineRule="atLeast"/>
        <w:ind w:left="1134"/>
        <w:jc w:val="both"/>
        <w:rPr>
          <w:rFonts w:ascii="Palatino Linotype" w:eastAsia="Palatino Linotype" w:hAnsi="Palatino Linotype" w:cs="Palatino Linotype"/>
          <w:i/>
        </w:rPr>
      </w:pPr>
      <w:r w:rsidRPr="00386F65">
        <w:rPr>
          <w:rFonts w:ascii="Palatino Linotype" w:eastAsia="Palatino Linotype" w:hAnsi="Palatino Linotype" w:cs="Palatino Linotype"/>
          <w:i/>
        </w:rPr>
        <w:t>...</w:t>
      </w:r>
    </w:p>
    <w:p w14:paraId="64BFEBB1" w14:textId="77777777" w:rsidR="003C6B8B" w:rsidRPr="00386F65" w:rsidRDefault="003C6B8B" w:rsidP="00BD631B">
      <w:pPr>
        <w:pStyle w:val="Textoindependienteprimerasangra2"/>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t>El derecho a la información será garantizado por el Estado. La ley establecerá las previsiones que permitan asegurar la protección, el respeto y la difusión de este derecho.</w:t>
      </w:r>
    </w:p>
    <w:p w14:paraId="31C1DED6" w14:textId="77777777" w:rsidR="003C6B8B" w:rsidRPr="00386F65" w:rsidRDefault="003C6B8B" w:rsidP="00BD631B">
      <w:pPr>
        <w:pStyle w:val="Textoindependienteprimerasangra2"/>
        <w:spacing w:line="240" w:lineRule="atLeast"/>
        <w:ind w:left="1134" w:firstLine="0"/>
        <w:jc w:val="both"/>
        <w:rPr>
          <w:rFonts w:ascii="Palatino Linotype" w:eastAsia="Palatino Linotype" w:hAnsi="Palatino Linotype"/>
          <w:i/>
        </w:rPr>
      </w:pPr>
    </w:p>
    <w:p w14:paraId="758E830B" w14:textId="77777777" w:rsidR="003C6B8B" w:rsidRPr="00386F65" w:rsidRDefault="003C6B8B" w:rsidP="00BD631B">
      <w:pPr>
        <w:pStyle w:val="Textoindependienteprimerasangra2"/>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77462BE3" w14:textId="77777777" w:rsidR="003C6B8B" w:rsidRPr="00386F65" w:rsidRDefault="003C6B8B" w:rsidP="00BD631B">
      <w:pPr>
        <w:pStyle w:val="Textoindependienteprimerasangra2"/>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t>III. Toda persona, sin necesidad de acreditar interés alguno o justificar su utilización, tendrá acceso gratuito a la información pública, a sus datos personales o a la rectificación de éstos;</w:t>
      </w:r>
    </w:p>
    <w:p w14:paraId="5A0E9D12" w14:textId="77777777" w:rsidR="003C6B8B" w:rsidRPr="00386F65" w:rsidRDefault="003C6B8B" w:rsidP="00BD631B">
      <w:pPr>
        <w:spacing w:line="240" w:lineRule="atLeast"/>
        <w:ind w:left="1134"/>
        <w:jc w:val="both"/>
        <w:rPr>
          <w:rFonts w:ascii="Palatino Linotype" w:eastAsia="Palatino Linotype" w:hAnsi="Palatino Linotype" w:cs="Palatino Linotype"/>
          <w:i/>
        </w:rPr>
      </w:pPr>
      <w:r w:rsidRPr="00386F65">
        <w:rPr>
          <w:rFonts w:ascii="Palatino Linotype" w:eastAsia="Palatino Linotype" w:hAnsi="Palatino Linotype" w:cs="Palatino Linotype"/>
          <w:i/>
        </w:rPr>
        <w:t>...</w:t>
      </w:r>
    </w:p>
    <w:p w14:paraId="7DACB43F" w14:textId="77777777" w:rsidR="003C6B8B" w:rsidRPr="00386F65" w:rsidRDefault="003C6B8B" w:rsidP="00BD631B">
      <w:pPr>
        <w:pStyle w:val="Textoindependienteprimerasangra2"/>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(Sic)</w:t>
      </w:r>
    </w:p>
    <w:p w14:paraId="658BC6A0" w14:textId="77777777" w:rsidR="003C6B8B" w:rsidRPr="00386F65" w:rsidRDefault="003C6B8B" w:rsidP="00BD631B">
      <w:pPr>
        <w:pStyle w:val="Textoindependienteprimerasangra2"/>
        <w:spacing w:line="360" w:lineRule="auto"/>
        <w:ind w:left="0" w:firstLine="0"/>
        <w:rPr>
          <w:rFonts w:ascii="Palatino Linotype" w:eastAsia="Palatino Linotype" w:hAnsi="Palatino Linotype"/>
          <w:i/>
        </w:rPr>
      </w:pPr>
    </w:p>
    <w:p w14:paraId="3E4FDE23" w14:textId="77777777" w:rsidR="003C6B8B" w:rsidRPr="00386F65" w:rsidRDefault="003C6B8B" w:rsidP="00BD631B">
      <w:pPr>
        <w:pStyle w:val="Prrafodelista"/>
        <w:numPr>
          <w:ilvl w:val="0"/>
          <w:numId w:val="12"/>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Por otra parte, del contenido del artículo 1 de la Constitución Política de los Estados Unidos mexicanos, se destaca lo siguiente:</w:t>
      </w:r>
    </w:p>
    <w:p w14:paraId="265BB9B3" w14:textId="77777777" w:rsidR="003C6B8B" w:rsidRPr="00386F65" w:rsidRDefault="003C6B8B" w:rsidP="00BD631B">
      <w:pPr>
        <w:pStyle w:val="Textoindependienteprimerasangra2"/>
        <w:tabs>
          <w:tab w:val="left" w:pos="7938"/>
        </w:tabs>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t>“</w:t>
      </w:r>
      <w:r w:rsidRPr="00386F65">
        <w:rPr>
          <w:rFonts w:ascii="Palatino Linotype" w:eastAsia="Palatino Linotype" w:hAnsi="Palatino Linotype"/>
          <w:b/>
          <w:i/>
        </w:rPr>
        <w:t>Artículo 1</w:t>
      </w:r>
      <w:r w:rsidRPr="00386F65">
        <w:rPr>
          <w:rFonts w:ascii="Palatino Linotype" w:eastAsia="Palatino Linotype" w:hAnsi="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27EFC9AB" w14:textId="77777777" w:rsidR="003C6B8B" w:rsidRPr="00386F65" w:rsidRDefault="003C6B8B" w:rsidP="00BD631B">
      <w:pPr>
        <w:pStyle w:val="Textoindependienteprimerasangra2"/>
        <w:tabs>
          <w:tab w:val="left" w:pos="7938"/>
        </w:tabs>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lastRenderedPageBreak/>
        <w:t>Las normas relativas a los derechos humanos se interpretarán de conformidad con esta Constitución y con los tratados internacionales de la materia favoreciendo en todo tiempo a las personas la protección más amplia.</w:t>
      </w:r>
    </w:p>
    <w:p w14:paraId="35185D18" w14:textId="77777777" w:rsidR="003C6B8B" w:rsidRPr="00386F65" w:rsidRDefault="003C6B8B" w:rsidP="00BD631B">
      <w:pPr>
        <w:pStyle w:val="Textoindependienteprimerasangra2"/>
        <w:tabs>
          <w:tab w:val="left" w:pos="7938"/>
        </w:tabs>
        <w:spacing w:line="240" w:lineRule="atLeast"/>
        <w:ind w:left="1134" w:firstLine="0"/>
        <w:jc w:val="both"/>
        <w:rPr>
          <w:rFonts w:ascii="Palatino Linotype" w:eastAsia="Palatino Linotype" w:hAnsi="Palatino Linotype"/>
          <w:i/>
        </w:rPr>
      </w:pPr>
      <w:r w:rsidRPr="00386F65">
        <w:rPr>
          <w:rFonts w:ascii="Palatino Linotype" w:eastAsia="Palatino Linotype" w:hAnsi="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14:paraId="02B82F80" w14:textId="77777777" w:rsidR="003C6B8B" w:rsidRPr="00386F65" w:rsidRDefault="003C6B8B" w:rsidP="00BD631B">
      <w:pPr>
        <w:pStyle w:val="Textoindependienteprimerasangra2"/>
        <w:spacing w:line="360" w:lineRule="auto"/>
        <w:ind w:left="0" w:firstLine="0"/>
        <w:rPr>
          <w:rFonts w:ascii="Palatino Linotype" w:eastAsia="Palatino Linotype" w:hAnsi="Palatino Linotype"/>
          <w:i/>
        </w:rPr>
      </w:pPr>
    </w:p>
    <w:p w14:paraId="6F02E371" w14:textId="77777777" w:rsidR="003C6B8B" w:rsidRPr="00386F65" w:rsidRDefault="003C6B8B" w:rsidP="00BD631B">
      <w:pPr>
        <w:pStyle w:val="Prrafodelista"/>
        <w:numPr>
          <w:ilvl w:val="0"/>
          <w:numId w:val="12"/>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386F65">
        <w:rPr>
          <w:rFonts w:ascii="Palatino Linotype" w:eastAsia="Palatino Linotype" w:hAnsi="Palatino Linotype" w:cs="Palatino Linotype"/>
          <w:i/>
        </w:rPr>
        <w:t>derecho fundamental exime a quien lo ejerce</w:t>
      </w:r>
      <w:r w:rsidRPr="00386F65">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5CDC4AC1" w14:textId="77777777" w:rsidR="003C6B8B" w:rsidRPr="00386F65" w:rsidRDefault="003C6B8B" w:rsidP="00BD631B">
      <w:pPr>
        <w:spacing w:line="360" w:lineRule="auto"/>
        <w:jc w:val="both"/>
        <w:rPr>
          <w:rFonts w:ascii="Palatino Linotype" w:eastAsia="Palatino Linotype" w:hAnsi="Palatino Linotype" w:cs="Palatino Linotype"/>
        </w:rPr>
      </w:pPr>
    </w:p>
    <w:p w14:paraId="0A2CC3D4" w14:textId="77777777" w:rsidR="003C6B8B" w:rsidRPr="00386F65" w:rsidRDefault="003C6B8B" w:rsidP="00BD631B">
      <w:pPr>
        <w:pStyle w:val="Prrafodelista"/>
        <w:numPr>
          <w:ilvl w:val="0"/>
          <w:numId w:val="12"/>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Lo que se fortalece con el Criterio 6/2014 del entonces Instituto Federal de Acceso a la Información y Protección de Datos, ahora Instituto Nacional de Transparencia Acceso a la Información y Protección de Datos Personales, el cual se reproduce para una mayor referencia:</w:t>
      </w:r>
    </w:p>
    <w:p w14:paraId="1C416EC8" w14:textId="77777777" w:rsidR="003C6B8B" w:rsidRPr="00386F65" w:rsidRDefault="003C6B8B" w:rsidP="00BD631B">
      <w:pPr>
        <w:pStyle w:val="Textoindependienteprimerasangra2"/>
        <w:spacing w:line="240" w:lineRule="atLeast"/>
        <w:ind w:left="1060" w:firstLine="0"/>
        <w:jc w:val="both"/>
        <w:rPr>
          <w:rFonts w:ascii="Palatino Linotype" w:eastAsia="Palatino Linotype" w:hAnsi="Palatino Linotype"/>
          <w:i/>
        </w:rPr>
      </w:pPr>
      <w:r w:rsidRPr="00386F65">
        <w:rPr>
          <w:rFonts w:ascii="Palatino Linotype" w:eastAsia="Palatino Linotype" w:hAnsi="Palatino Linotype"/>
          <w:i/>
        </w:rPr>
        <w:t>“Acceso a información gubernamental. No debe condicionarse a que el solicitante acredite su personalidad, demuestre interés alguno o justifique su utilización. De conformidad con lo dispuesto en los artículos 6º., apartado A, fracción III de la Constitución Política de los Estados Unidos Mexicanos, y 1º, 2º, 4º y 40 de la Ley Federal de Transparencia y Acceso a la Información Pública Gubernamental, la respuesta a una solicitud de acceso a información y entrega de la misma, no debe estar condicionada a que el particular acredite su personalidad, demuestre interés alguno o justifique su utilización, en virtud de que los sujetos obligados no deben requerir al solicitante mayores requisitos que los establecidos en la Ley. En este sentido, las dependencias y entidades, sólo deberán asegurarse de que, en su caso, se haya cubierto el pago de reproducción y envío de la información, mediante la exhibición del recibo correspondiente.”(Sic)</w:t>
      </w:r>
    </w:p>
    <w:p w14:paraId="04465BF7" w14:textId="6163DA1D" w:rsidR="00F7284D" w:rsidRPr="00386F65" w:rsidRDefault="00F7284D" w:rsidP="00BD631B">
      <w:pPr>
        <w:pStyle w:val="Prrafodelista"/>
        <w:numPr>
          <w:ilvl w:val="0"/>
          <w:numId w:val="1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lastRenderedPageBreak/>
        <w:t>Finalmente, el escrito contiene las formalidades previstas por el artículo 180 último párrafo de la citada Ley de la materia, por lo que es procedente que este Instituto conozca y resuelva el presente Recurso de Revisión.</w:t>
      </w:r>
    </w:p>
    <w:p w14:paraId="6C708715" w14:textId="77777777" w:rsidR="00386F65" w:rsidRDefault="00386F65" w:rsidP="00BD631B">
      <w:pPr>
        <w:pStyle w:val="Ttulo2"/>
        <w:spacing w:before="0" w:line="360" w:lineRule="auto"/>
        <w:rPr>
          <w:rFonts w:ascii="Palatino Linotype" w:eastAsia="Palatino Linotype" w:hAnsi="Palatino Linotype" w:cs="Palatino Linotype"/>
          <w:b/>
          <w:color w:val="000000"/>
          <w:sz w:val="24"/>
          <w:szCs w:val="24"/>
        </w:rPr>
      </w:pPr>
    </w:p>
    <w:p w14:paraId="0C0E8FB5" w14:textId="77777777" w:rsidR="00F7284D" w:rsidRPr="00386F65" w:rsidRDefault="00F7284D" w:rsidP="00BD631B">
      <w:pPr>
        <w:pStyle w:val="Ttulo2"/>
        <w:spacing w:before="0" w:line="360" w:lineRule="auto"/>
        <w:rPr>
          <w:rFonts w:ascii="Palatino Linotype" w:eastAsia="Palatino Linotype" w:hAnsi="Palatino Linotype" w:cs="Palatino Linotype"/>
          <w:b/>
          <w:color w:val="000000"/>
          <w:sz w:val="24"/>
          <w:szCs w:val="24"/>
        </w:rPr>
      </w:pPr>
      <w:r w:rsidRPr="00386F65">
        <w:rPr>
          <w:rFonts w:ascii="Palatino Linotype" w:eastAsia="Palatino Linotype" w:hAnsi="Palatino Linotype" w:cs="Palatino Linotype"/>
          <w:b/>
          <w:color w:val="000000"/>
          <w:sz w:val="24"/>
          <w:szCs w:val="24"/>
        </w:rPr>
        <w:t>TERCERO. De las causales de sobreseimiento</w:t>
      </w:r>
    </w:p>
    <w:p w14:paraId="25ABDB83" w14:textId="6977A63C" w:rsidR="00F7284D" w:rsidRPr="00386F65" w:rsidRDefault="00F7284D" w:rsidP="00BD631B">
      <w:pPr>
        <w:pStyle w:val="Prrafodelista"/>
        <w:numPr>
          <w:ilvl w:val="0"/>
          <w:numId w:val="2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86F65">
        <w:rPr>
          <w:rFonts w:ascii="Palatino Linotype" w:eastAsia="Palatino Linotype" w:hAnsi="Palatino Linotype" w:cs="Palatino Linotype"/>
          <w:color w:val="000000"/>
        </w:rPr>
        <w:t>De las constancias en el expediente al rubro indicado, se desprende que el particular  solicitó tener acceso a la información que a continuación se desagrega:</w:t>
      </w:r>
    </w:p>
    <w:p w14:paraId="1E2F3926" w14:textId="270132AC" w:rsidR="00F7284D" w:rsidRPr="00386F65" w:rsidRDefault="003C6B8B" w:rsidP="00BD631B">
      <w:pPr>
        <w:pStyle w:val="Prrafodelista"/>
        <w:numPr>
          <w:ilvl w:val="3"/>
          <w:numId w:val="20"/>
        </w:numPr>
        <w:tabs>
          <w:tab w:val="left" w:pos="7938"/>
        </w:tabs>
        <w:spacing w:line="276" w:lineRule="auto"/>
        <w:ind w:left="1701"/>
        <w:rPr>
          <w:rFonts w:ascii="Palatino Linotype" w:eastAsia="Palatino Linotype" w:hAnsi="Palatino Linotype" w:cs="Palatino Linotype"/>
          <w:i/>
        </w:rPr>
      </w:pPr>
      <w:r w:rsidRPr="00386F65">
        <w:rPr>
          <w:rFonts w:ascii="Palatino Linotype" w:hAnsi="Palatino Linotype"/>
          <w:i/>
          <w:color w:val="000000"/>
        </w:rPr>
        <w:t>Que el Sujeto Obligado funde o motivo la razón por la que a la fecha de su solicitud no existen registros de seguimiento del enlace de la dependencia, organismo auxiliar o ayuntamiento respecto del folio referido en la solicitud.</w:t>
      </w:r>
    </w:p>
    <w:p w14:paraId="7401B724" w14:textId="20795A9F" w:rsidR="003C6B8B" w:rsidRPr="00386F65" w:rsidRDefault="003C6B8B" w:rsidP="00BD631B">
      <w:pPr>
        <w:pStyle w:val="Prrafodelista"/>
        <w:numPr>
          <w:ilvl w:val="3"/>
          <w:numId w:val="20"/>
        </w:numPr>
        <w:tabs>
          <w:tab w:val="left" w:pos="7938"/>
        </w:tabs>
        <w:spacing w:line="276" w:lineRule="auto"/>
        <w:ind w:left="1701"/>
        <w:rPr>
          <w:rFonts w:ascii="Palatino Linotype" w:eastAsia="Palatino Linotype" w:hAnsi="Palatino Linotype" w:cs="Palatino Linotype"/>
          <w:i/>
        </w:rPr>
      </w:pPr>
      <w:r w:rsidRPr="00386F65">
        <w:rPr>
          <w:rFonts w:ascii="Palatino Linotype" w:hAnsi="Palatino Linotype"/>
          <w:i/>
          <w:color w:val="000000"/>
        </w:rPr>
        <w:t xml:space="preserve">Que el Sujeto Obligado fundamente y motive el término que el Organismo Autónomo de Agua Potable para cargar el registro correspondiente al SAM  </w:t>
      </w:r>
    </w:p>
    <w:p w14:paraId="2F3F1F63" w14:textId="77777777" w:rsidR="00464CC4" w:rsidRPr="00386F65" w:rsidRDefault="00464CC4" w:rsidP="00BD631B">
      <w:pPr>
        <w:tabs>
          <w:tab w:val="left" w:pos="7938"/>
        </w:tabs>
        <w:spacing w:line="276" w:lineRule="auto"/>
        <w:ind w:left="1341"/>
        <w:rPr>
          <w:rFonts w:ascii="Palatino Linotype" w:eastAsia="Palatino Linotype" w:hAnsi="Palatino Linotype" w:cs="Palatino Linotype"/>
          <w:i/>
        </w:rPr>
      </w:pPr>
    </w:p>
    <w:p w14:paraId="6DECC499" w14:textId="75033306" w:rsidR="00464CC4" w:rsidRPr="00386F65" w:rsidRDefault="00464CC4" w:rsidP="00BD631B">
      <w:pPr>
        <w:pStyle w:val="Prrafodelista"/>
        <w:numPr>
          <w:ilvl w:val="3"/>
          <w:numId w:val="20"/>
        </w:numPr>
        <w:tabs>
          <w:tab w:val="left" w:pos="7938"/>
        </w:tabs>
        <w:spacing w:line="276" w:lineRule="auto"/>
        <w:ind w:left="1701"/>
        <w:rPr>
          <w:rFonts w:ascii="Palatino Linotype" w:eastAsia="Palatino Linotype" w:hAnsi="Palatino Linotype" w:cs="Palatino Linotype"/>
          <w:i/>
        </w:rPr>
      </w:pPr>
      <w:r w:rsidRPr="00386F65">
        <w:rPr>
          <w:rFonts w:ascii="Palatino Linotype" w:hAnsi="Palatino Linotype"/>
          <w:i/>
          <w:color w:val="000000"/>
        </w:rPr>
        <w:t>Que el Sujeto Obligado fundamente y motive el término que el Organismo Autónomo de Agua Potable para emitir una resolución a la denuncia referida en la solicitud.</w:t>
      </w:r>
    </w:p>
    <w:p w14:paraId="2D8AC6B9" w14:textId="77777777" w:rsidR="00464CC4" w:rsidRPr="00386F65" w:rsidRDefault="00464CC4" w:rsidP="00BD631B">
      <w:pPr>
        <w:tabs>
          <w:tab w:val="left" w:pos="7938"/>
        </w:tabs>
        <w:spacing w:line="276" w:lineRule="auto"/>
        <w:ind w:left="1341"/>
        <w:rPr>
          <w:rFonts w:ascii="Palatino Linotype" w:eastAsia="Palatino Linotype" w:hAnsi="Palatino Linotype" w:cs="Palatino Linotype"/>
          <w:i/>
        </w:rPr>
      </w:pPr>
    </w:p>
    <w:p w14:paraId="14B02C57" w14:textId="77777777" w:rsidR="00F7284D" w:rsidRPr="00386F65" w:rsidRDefault="00F7284D" w:rsidP="00BD631B">
      <w:pPr>
        <w:tabs>
          <w:tab w:val="left" w:pos="7938"/>
        </w:tabs>
        <w:spacing w:line="276" w:lineRule="auto"/>
        <w:ind w:left="1701"/>
        <w:jc w:val="center"/>
        <w:rPr>
          <w:rFonts w:ascii="Palatino Linotype" w:eastAsia="Palatino Linotype" w:hAnsi="Palatino Linotype" w:cs="Palatino Linotype"/>
          <w:i/>
        </w:rPr>
      </w:pPr>
    </w:p>
    <w:p w14:paraId="45A1CEA9" w14:textId="615621CB" w:rsidR="00F7284D" w:rsidRPr="00386F65" w:rsidRDefault="00F7284D" w:rsidP="00BD631B">
      <w:pPr>
        <w:numPr>
          <w:ilvl w:val="0"/>
          <w:numId w:val="2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86F65">
        <w:rPr>
          <w:rFonts w:ascii="Palatino Linotype" w:eastAsia="Palatino Linotype" w:hAnsi="Palatino Linotype" w:cs="Palatino Linotype"/>
          <w:color w:val="000000"/>
        </w:rPr>
        <w:t xml:space="preserve">En respuesta, el </w:t>
      </w:r>
      <w:r w:rsidRPr="00386F65">
        <w:rPr>
          <w:rFonts w:ascii="Palatino Linotype" w:eastAsia="Palatino Linotype" w:hAnsi="Palatino Linotype" w:cs="Palatino Linotype"/>
          <w:b/>
          <w:color w:val="000000"/>
        </w:rPr>
        <w:t>SUJETO OBLIGADO</w:t>
      </w:r>
      <w:r w:rsidRPr="00386F65">
        <w:rPr>
          <w:rFonts w:ascii="Palatino Linotype" w:eastAsia="Palatino Linotype" w:hAnsi="Palatino Linotype" w:cs="Palatino Linotype"/>
          <w:color w:val="000000"/>
        </w:rPr>
        <w:t xml:space="preserve">, remitió </w:t>
      </w:r>
      <w:r w:rsidR="00F30B17" w:rsidRPr="00386F65">
        <w:rPr>
          <w:rFonts w:ascii="Palatino Linotype" w:eastAsia="Palatino Linotype" w:hAnsi="Palatino Linotype" w:cs="Palatino Linotype"/>
          <w:color w:val="000000"/>
        </w:rPr>
        <w:t>los archivos electrónicos</w:t>
      </w:r>
      <w:r w:rsidRPr="00386F65">
        <w:rPr>
          <w:rFonts w:ascii="Palatino Linotype" w:eastAsia="Palatino Linotype" w:hAnsi="Palatino Linotype" w:cs="Palatino Linotype"/>
          <w:color w:val="000000"/>
        </w:rPr>
        <w:t xml:space="preserve"> en formato PDF, desglosado</w:t>
      </w:r>
      <w:r w:rsidR="00F30B17" w:rsidRPr="00386F65">
        <w:rPr>
          <w:rFonts w:ascii="Palatino Linotype" w:eastAsia="Palatino Linotype" w:hAnsi="Palatino Linotype" w:cs="Palatino Linotype"/>
          <w:color w:val="000000"/>
        </w:rPr>
        <w:t>s</w:t>
      </w:r>
      <w:r w:rsidRPr="00386F65">
        <w:rPr>
          <w:rFonts w:ascii="Palatino Linotype" w:eastAsia="Palatino Linotype" w:hAnsi="Palatino Linotype" w:cs="Palatino Linotype"/>
          <w:color w:val="000000"/>
        </w:rPr>
        <w:t xml:space="preserve"> en el párrafo segundo del presente. </w:t>
      </w:r>
    </w:p>
    <w:p w14:paraId="6B82070D" w14:textId="77777777" w:rsidR="00F7284D" w:rsidRPr="00386F65" w:rsidRDefault="00F7284D" w:rsidP="00BD631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6557FDF" w14:textId="20A856E6" w:rsidR="00F7284D" w:rsidRPr="00386F65" w:rsidRDefault="00F7284D" w:rsidP="00BD631B">
      <w:pPr>
        <w:numPr>
          <w:ilvl w:val="0"/>
          <w:numId w:val="20"/>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86F65">
        <w:rPr>
          <w:rFonts w:ascii="Palatino Linotype" w:eastAsia="Palatino Linotype" w:hAnsi="Palatino Linotype" w:cs="Palatino Linotype"/>
          <w:color w:val="000000"/>
        </w:rPr>
        <w:t xml:space="preserve">Por lo que, el particular se inconformó por la  entrega </w:t>
      </w:r>
      <w:r w:rsidR="006C0461" w:rsidRPr="00386F65">
        <w:rPr>
          <w:rFonts w:ascii="Palatino Linotype" w:eastAsia="Palatino Linotype" w:hAnsi="Palatino Linotype" w:cs="Palatino Linotype"/>
          <w:color w:val="000000"/>
        </w:rPr>
        <w:t>de información que no corresponde con lo solicitado.</w:t>
      </w:r>
    </w:p>
    <w:p w14:paraId="49177B7B" w14:textId="77777777" w:rsidR="00F7284D" w:rsidRPr="00386F65" w:rsidRDefault="00F7284D" w:rsidP="00BD631B">
      <w:pPr>
        <w:pStyle w:val="Prrafodelista"/>
        <w:rPr>
          <w:rFonts w:ascii="Palatino Linotype" w:eastAsia="Palatino Linotype" w:hAnsi="Palatino Linotype" w:cs="Palatino Linotype"/>
          <w:color w:val="000000"/>
        </w:rPr>
      </w:pPr>
    </w:p>
    <w:p w14:paraId="24E90610" w14:textId="6F947F08" w:rsidR="00F7284D" w:rsidRPr="00386F65" w:rsidRDefault="00F7284D" w:rsidP="00BD631B">
      <w:pPr>
        <w:numPr>
          <w:ilvl w:val="0"/>
          <w:numId w:val="20"/>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 xml:space="preserve">En dichas condiciones, la </w:t>
      </w:r>
      <w:r w:rsidRPr="00386F65">
        <w:rPr>
          <w:rFonts w:ascii="Palatino Linotype" w:eastAsia="Palatino Linotype" w:hAnsi="Palatino Linotype" w:cs="Palatino Linotype"/>
          <w:i/>
        </w:rPr>
        <w:t>Litis</w:t>
      </w:r>
      <w:r w:rsidRPr="00386F65">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Pr="00386F65">
        <w:rPr>
          <w:rFonts w:ascii="Palatino Linotype" w:eastAsia="Palatino Linotype" w:hAnsi="Palatino Linotype" w:cs="Palatino Linotype"/>
          <w:b/>
        </w:rPr>
        <w:t xml:space="preserve">fracción </w:t>
      </w:r>
      <w:r w:rsidR="00F30B17" w:rsidRPr="00386F65">
        <w:rPr>
          <w:rFonts w:ascii="Palatino Linotype" w:eastAsia="Palatino Linotype" w:hAnsi="Palatino Linotype" w:cs="Palatino Linotype"/>
          <w:b/>
        </w:rPr>
        <w:t>V</w:t>
      </w:r>
      <w:r w:rsidRPr="00386F65">
        <w:rPr>
          <w:rFonts w:ascii="Palatino Linotype" w:eastAsia="Palatino Linotype" w:hAnsi="Palatino Linotype" w:cs="Palatino Linotype"/>
          <w:b/>
        </w:rPr>
        <w:t xml:space="preserve">I </w:t>
      </w:r>
      <w:r w:rsidRPr="00386F65">
        <w:rPr>
          <w:rFonts w:ascii="Palatino Linotype" w:eastAsia="Palatino Linotype" w:hAnsi="Palatino Linotype" w:cs="Palatino Linotype"/>
        </w:rPr>
        <w:t xml:space="preserve">de la </w:t>
      </w:r>
      <w:r w:rsidRPr="00386F65">
        <w:rPr>
          <w:rFonts w:ascii="Palatino Linotype" w:eastAsia="Palatino Linotype" w:hAnsi="Palatino Linotype" w:cs="Palatino Linotype"/>
          <w:b/>
        </w:rPr>
        <w:t>Ley de Transparencia y Acceso a la Información Pública del Estado de México y Municipios</w:t>
      </w:r>
      <w:r w:rsidRPr="00386F65">
        <w:rPr>
          <w:rFonts w:ascii="Palatino Linotype" w:eastAsia="Palatino Linotype" w:hAnsi="Palatino Linotype" w:cs="Palatino Linotype"/>
        </w:rPr>
        <w:t xml:space="preserve">; </w:t>
      </w:r>
      <w:r w:rsidRPr="00386F65">
        <w:rPr>
          <w:rFonts w:ascii="Palatino Linotype" w:eastAsia="Palatino Linotype" w:hAnsi="Palatino Linotype" w:cs="Palatino Linotype"/>
          <w:color w:val="000000"/>
        </w:rPr>
        <w:t xml:space="preserve">fracción </w:t>
      </w:r>
      <w:r w:rsidRPr="00386F65">
        <w:rPr>
          <w:rFonts w:ascii="Palatino Linotype" w:eastAsia="Palatino Linotype" w:hAnsi="Palatino Linotype" w:cs="Palatino Linotype"/>
          <w:color w:val="000000"/>
        </w:rPr>
        <w:lastRenderedPageBreak/>
        <w:t xml:space="preserve">que determina </w:t>
      </w:r>
      <w:r w:rsidR="006C0461" w:rsidRPr="00386F65">
        <w:rPr>
          <w:rFonts w:ascii="Palatino Linotype" w:eastAsia="Palatino Linotype" w:hAnsi="Palatino Linotype" w:cs="Palatino Linotype"/>
          <w:color w:val="000000"/>
        </w:rPr>
        <w:t>la  entrega de información que no corresponde con lo solicitado</w:t>
      </w:r>
      <w:r w:rsidRPr="00386F65">
        <w:rPr>
          <w:rFonts w:ascii="Palatino Linotype" w:eastAsia="Palatino Linotype" w:hAnsi="Palatino Linotype" w:cs="Palatino Linotype"/>
          <w:color w:val="000000"/>
        </w:rPr>
        <w:t xml:space="preserve">; </w:t>
      </w:r>
      <w:r w:rsidRPr="00386F65">
        <w:rPr>
          <w:rFonts w:ascii="Palatino Linotype" w:eastAsia="Palatino Linotype" w:hAnsi="Palatino Linotype" w:cs="Palatino Linotype"/>
        </w:rPr>
        <w:t xml:space="preserve">contexto del  cual se dolió </w:t>
      </w:r>
      <w:r w:rsidRPr="00386F65">
        <w:rPr>
          <w:rFonts w:ascii="Palatino Linotype" w:eastAsia="Palatino Linotype" w:hAnsi="Palatino Linotype" w:cs="Palatino Linotype"/>
          <w:b/>
        </w:rPr>
        <w:t xml:space="preserve">EL RECURRENTE </w:t>
      </w:r>
      <w:r w:rsidRPr="00386F65">
        <w:rPr>
          <w:rFonts w:ascii="Palatino Linotype" w:eastAsia="Palatino Linotype" w:hAnsi="Palatino Linotype" w:cs="Palatino Linotype"/>
        </w:rPr>
        <w:t>al momento de interponer su inconformidad.</w:t>
      </w:r>
      <w:r w:rsidRPr="00386F65">
        <w:rPr>
          <w:rFonts w:ascii="Palatino Linotype" w:eastAsia="Palatino Linotype" w:hAnsi="Palatino Linotype" w:cs="Palatino Linotype"/>
          <w:color w:val="000000"/>
        </w:rPr>
        <w:t xml:space="preserve"> </w:t>
      </w:r>
    </w:p>
    <w:p w14:paraId="1A9A4844" w14:textId="77777777" w:rsidR="00F7284D" w:rsidRPr="00386F65" w:rsidRDefault="00F7284D" w:rsidP="00BD631B">
      <w:pPr>
        <w:pBdr>
          <w:top w:val="nil"/>
          <w:left w:val="nil"/>
          <w:bottom w:val="nil"/>
          <w:right w:val="nil"/>
          <w:between w:val="nil"/>
        </w:pBdr>
        <w:ind w:left="720"/>
        <w:rPr>
          <w:rFonts w:ascii="Palatino Linotype" w:eastAsia="Palatino Linotype" w:hAnsi="Palatino Linotype" w:cs="Palatino Linotype"/>
          <w:color w:val="000000"/>
        </w:rPr>
      </w:pPr>
    </w:p>
    <w:p w14:paraId="2BD311E0" w14:textId="77777777" w:rsidR="00F7284D" w:rsidRPr="00386F65" w:rsidRDefault="00F7284D" w:rsidP="00BD631B">
      <w:pPr>
        <w:numPr>
          <w:ilvl w:val="0"/>
          <w:numId w:val="20"/>
        </w:numPr>
        <w:spacing w:line="360" w:lineRule="auto"/>
        <w:ind w:left="0" w:firstLine="0"/>
        <w:jc w:val="both"/>
        <w:rPr>
          <w:rFonts w:ascii="Palatino Linotype" w:eastAsia="Palatino Linotype" w:hAnsi="Palatino Linotype" w:cs="Palatino Linotype"/>
        </w:rPr>
      </w:pPr>
      <w:bookmarkStart w:id="3" w:name="_heading=h.3dy6vkm" w:colFirst="0" w:colLast="0"/>
      <w:bookmarkEnd w:id="3"/>
      <w:r w:rsidRPr="00386F65">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5B61888D" w14:textId="77777777" w:rsidR="00F7284D" w:rsidRPr="00386F65" w:rsidRDefault="00F7284D" w:rsidP="00BD631B">
      <w:pPr>
        <w:spacing w:line="360" w:lineRule="auto"/>
        <w:jc w:val="both"/>
        <w:rPr>
          <w:rFonts w:ascii="Palatino Linotype" w:eastAsia="Palatino Linotype" w:hAnsi="Palatino Linotype" w:cs="Palatino Linotype"/>
        </w:rPr>
      </w:pPr>
    </w:p>
    <w:p w14:paraId="47C082AE" w14:textId="77777777" w:rsidR="00F7284D" w:rsidRPr="00386F65" w:rsidRDefault="00F7284D" w:rsidP="00BD631B">
      <w:pPr>
        <w:numPr>
          <w:ilvl w:val="0"/>
          <w:numId w:val="23"/>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Ahora bien,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3F6237E9" w14:textId="77777777" w:rsidR="00F7284D" w:rsidRPr="00386F65" w:rsidRDefault="00F7284D" w:rsidP="00BD631B">
      <w:pPr>
        <w:spacing w:line="360" w:lineRule="auto"/>
        <w:jc w:val="both"/>
        <w:rPr>
          <w:rFonts w:ascii="Palatino Linotype" w:eastAsia="Palatino Linotype" w:hAnsi="Palatino Linotype" w:cs="Palatino Linotype"/>
        </w:rPr>
      </w:pPr>
    </w:p>
    <w:p w14:paraId="3607B24C" w14:textId="77777777" w:rsidR="00F7284D" w:rsidRPr="00386F65" w:rsidRDefault="00F7284D" w:rsidP="00BD631B">
      <w:pPr>
        <w:pStyle w:val="Default"/>
        <w:numPr>
          <w:ilvl w:val="0"/>
          <w:numId w:val="23"/>
        </w:numPr>
        <w:spacing w:line="360" w:lineRule="auto"/>
        <w:ind w:left="0" w:firstLine="0"/>
        <w:jc w:val="both"/>
        <w:rPr>
          <w:rFonts w:ascii="Palatino Linotype" w:eastAsia="Arial Unicode MS" w:hAnsi="Palatino Linotype"/>
          <w:color w:val="auto"/>
        </w:rPr>
      </w:pPr>
      <w:r w:rsidRPr="00386F65">
        <w:rPr>
          <w:rFonts w:ascii="Palatino Linotype" w:eastAsia="Arial Unicode MS" w:hAnsi="Palatino Linotype"/>
          <w:color w:val="auto"/>
        </w:rPr>
        <w:t xml:space="preserve">En atención a lo expuesto, de conformidad con el contenido de los documentos descritos previamente, podemos concluir que, se obvia el estudio del marco normativo que rige el actual </w:t>
      </w:r>
      <w:r w:rsidRPr="00386F65">
        <w:rPr>
          <w:rFonts w:ascii="Palatino Linotype" w:eastAsia="Arial Unicode MS" w:hAnsi="Palatino Linotype"/>
          <w:color w:val="auto"/>
        </w:rPr>
        <w:lastRenderedPageBreak/>
        <w:t>del Sujeto Obligado,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604FE07A" w14:textId="77777777" w:rsidR="00F7284D" w:rsidRPr="00386F65" w:rsidRDefault="00F7284D" w:rsidP="00BD631B">
      <w:pPr>
        <w:pStyle w:val="Default"/>
        <w:spacing w:line="360" w:lineRule="auto"/>
        <w:jc w:val="both"/>
        <w:rPr>
          <w:rFonts w:ascii="Palatino Linotype" w:eastAsia="Arial Unicode MS" w:hAnsi="Palatino Linotype"/>
          <w:color w:val="auto"/>
        </w:rPr>
      </w:pPr>
    </w:p>
    <w:p w14:paraId="7363A479" w14:textId="77777777" w:rsidR="00F7284D" w:rsidRPr="00386F65" w:rsidRDefault="00F7284D" w:rsidP="00BD631B">
      <w:pPr>
        <w:pStyle w:val="Default"/>
        <w:numPr>
          <w:ilvl w:val="0"/>
          <w:numId w:val="23"/>
        </w:numPr>
        <w:spacing w:line="360" w:lineRule="auto"/>
        <w:ind w:left="0" w:firstLine="0"/>
        <w:jc w:val="both"/>
        <w:rPr>
          <w:rFonts w:ascii="Palatino Linotype" w:eastAsia="Arial Unicode MS" w:hAnsi="Palatino Linotype"/>
          <w:color w:val="auto"/>
        </w:rPr>
      </w:pPr>
      <w:r w:rsidRPr="00386F65">
        <w:rPr>
          <w:rFonts w:ascii="Palatino Linotype" w:eastAsia="Arial Unicode MS" w:hAnsi="Palatino Linotype"/>
          <w:color w:val="auto"/>
        </w:rPr>
        <w:t>En este sentido, el hecho de que el SUJETO OBLIGADO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199E75FE" w14:textId="77777777" w:rsidR="00F7284D" w:rsidRPr="00386F65" w:rsidRDefault="00F7284D" w:rsidP="00BD631B">
      <w:pPr>
        <w:pStyle w:val="Default"/>
        <w:spacing w:line="276" w:lineRule="auto"/>
        <w:ind w:left="1134"/>
        <w:jc w:val="both"/>
        <w:rPr>
          <w:rFonts w:ascii="Palatino Linotype" w:eastAsia="Arial Unicode MS" w:hAnsi="Palatino Linotype"/>
          <w:i/>
          <w:color w:val="auto"/>
        </w:rPr>
      </w:pPr>
      <w:r w:rsidRPr="00386F65">
        <w:rPr>
          <w:rFonts w:ascii="Palatino Linotype" w:eastAsia="Arial Unicode MS" w:hAnsi="Palatino Linotype"/>
          <w:i/>
          <w:color w:val="auto"/>
        </w:rPr>
        <w:t>“Artículo 12. Quienes generen, recopilen, administren, manejen, procesen, archiven o conserven información pública serán responsables de la misma en los términos de las disposiciones jurídicas aplicables.</w:t>
      </w:r>
    </w:p>
    <w:p w14:paraId="6F214B44" w14:textId="77777777" w:rsidR="00F7284D" w:rsidRPr="00386F65" w:rsidRDefault="00F7284D" w:rsidP="00BD631B">
      <w:pPr>
        <w:pStyle w:val="Default"/>
        <w:spacing w:line="276" w:lineRule="auto"/>
        <w:ind w:left="1134"/>
        <w:jc w:val="both"/>
        <w:rPr>
          <w:rFonts w:ascii="Palatino Linotype" w:eastAsia="Arial Unicode MS" w:hAnsi="Palatino Linotype"/>
          <w:i/>
          <w:color w:val="auto"/>
        </w:rPr>
      </w:pPr>
    </w:p>
    <w:p w14:paraId="6B51602B" w14:textId="77777777" w:rsidR="00F7284D" w:rsidRPr="00386F65" w:rsidRDefault="00F7284D" w:rsidP="00BD631B">
      <w:pPr>
        <w:pStyle w:val="Default"/>
        <w:spacing w:line="276" w:lineRule="auto"/>
        <w:ind w:left="1134"/>
        <w:jc w:val="both"/>
        <w:rPr>
          <w:rFonts w:ascii="Palatino Linotype" w:eastAsia="Arial Unicode MS" w:hAnsi="Palatino Linotype"/>
          <w:i/>
          <w:color w:val="auto"/>
        </w:rPr>
      </w:pPr>
      <w:r w:rsidRPr="00386F65">
        <w:rPr>
          <w:rFonts w:ascii="Palatino Linotype" w:eastAsia="Arial Unicode MS" w:hAnsi="Palatino Linotype"/>
          <w:i/>
          <w:color w:val="auto"/>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BE34430" w14:textId="77777777" w:rsidR="00F7284D" w:rsidRPr="00386F65" w:rsidRDefault="00F7284D" w:rsidP="00BD631B">
      <w:pPr>
        <w:pStyle w:val="Default"/>
        <w:spacing w:line="360" w:lineRule="auto"/>
        <w:jc w:val="both"/>
        <w:rPr>
          <w:rFonts w:ascii="Palatino Linotype" w:eastAsia="Arial Unicode MS" w:hAnsi="Palatino Linotype"/>
          <w:color w:val="auto"/>
        </w:rPr>
      </w:pPr>
    </w:p>
    <w:p w14:paraId="48BBB4F0" w14:textId="77777777" w:rsidR="00F7284D" w:rsidRPr="00386F65" w:rsidRDefault="00F7284D" w:rsidP="00BD631B">
      <w:pPr>
        <w:pStyle w:val="Default"/>
        <w:numPr>
          <w:ilvl w:val="0"/>
          <w:numId w:val="23"/>
        </w:numPr>
        <w:spacing w:line="360" w:lineRule="auto"/>
        <w:ind w:left="0" w:firstLine="0"/>
        <w:jc w:val="both"/>
        <w:rPr>
          <w:rFonts w:ascii="Palatino Linotype" w:eastAsia="Arial Unicode MS" w:hAnsi="Palatino Linotype"/>
          <w:color w:val="auto"/>
        </w:rPr>
      </w:pPr>
      <w:r w:rsidRPr="00386F65">
        <w:rPr>
          <w:rFonts w:ascii="Palatino Linotype" w:eastAsia="Arial Unicode MS" w:hAnsi="Palatino Linotype"/>
          <w:color w:val="auto"/>
        </w:rPr>
        <w:t>En atención a lo expuesto, se advierte que la respuesta fue emitida por el Servidor Público Habilitado competente, así es dable sostener que, al haber existido un pronunciamiento por parte del SUJETO OBLIGADO, este Instituto no está facultado para manifestarse sobre la veracidad de este, pues no existe precepto legal alguno en la Ley de la materia que lo faculte para que, vía recurso de revisión, pueda pronunciarse al respecto.</w:t>
      </w:r>
    </w:p>
    <w:p w14:paraId="15C61CA6" w14:textId="75771176" w:rsidR="00F7284D" w:rsidRPr="00386F65" w:rsidRDefault="00F7284D" w:rsidP="00BD631B">
      <w:pPr>
        <w:numPr>
          <w:ilvl w:val="0"/>
          <w:numId w:val="24"/>
        </w:numPr>
        <w:spacing w:line="360" w:lineRule="auto"/>
        <w:ind w:left="0" w:firstLine="0"/>
        <w:jc w:val="both"/>
        <w:rPr>
          <w:rFonts w:ascii="Palatino Linotype" w:eastAsia="Palatino Linotype" w:hAnsi="Palatino Linotype" w:cs="Palatino Linotype"/>
          <w:b/>
          <w:color w:val="000000"/>
        </w:rPr>
      </w:pPr>
      <w:r w:rsidRPr="00386F65">
        <w:rPr>
          <w:rFonts w:ascii="Palatino Linotype" w:eastAsia="Palatino Linotype" w:hAnsi="Palatino Linotype" w:cs="Palatino Linotype"/>
        </w:rPr>
        <w:lastRenderedPageBreak/>
        <w:t xml:space="preserve">Por lo que de la respuesta emitida por el Sujeto Obligado </w:t>
      </w:r>
      <w:r w:rsidR="006C0461" w:rsidRPr="00386F65">
        <w:rPr>
          <w:rFonts w:ascii="Palatino Linotype" w:eastAsia="Palatino Linotype" w:hAnsi="Palatino Linotype" w:cs="Palatino Linotype"/>
          <w:color w:val="000000"/>
          <w:lang w:val="es-ES_tradnl" w:eastAsia="es-ES"/>
        </w:rPr>
        <w:t xml:space="preserve">refirió y fundamentó  la facultad de la Dirección de Investigación para recibir denuncias, analizarlas y turnarlas a las autoridades investigadoras competentes; </w:t>
      </w:r>
      <w:r w:rsidR="009C66A7" w:rsidRPr="00386F65">
        <w:rPr>
          <w:rFonts w:ascii="Palatino Linotype" w:eastAsia="Palatino Linotype" w:hAnsi="Palatino Linotype" w:cs="Palatino Linotype"/>
          <w:color w:val="000000"/>
          <w:lang w:val="es-ES_tradnl" w:eastAsia="es-ES"/>
        </w:rPr>
        <w:t xml:space="preserve">en el mismo sentido refirió respuesta en cuanto </w:t>
      </w:r>
      <w:r w:rsidR="006C0461" w:rsidRPr="00386F65">
        <w:rPr>
          <w:rFonts w:ascii="Palatino Linotype" w:eastAsia="Palatino Linotype" w:hAnsi="Palatino Linotype" w:cs="Palatino Linotype"/>
          <w:color w:val="000000"/>
          <w:lang w:val="es-ES_tradnl" w:eastAsia="es-ES"/>
        </w:rPr>
        <w:t xml:space="preserve"> la autonomía </w:t>
      </w:r>
      <w:r w:rsidR="009C66A7" w:rsidRPr="00386F65">
        <w:rPr>
          <w:rFonts w:ascii="Palatino Linotype" w:eastAsia="Palatino Linotype" w:hAnsi="Palatino Linotype" w:cs="Palatino Linotype"/>
          <w:color w:val="000000"/>
          <w:lang w:val="es-ES_tradnl" w:eastAsia="es-ES"/>
        </w:rPr>
        <w:t>de los Ayuntamientos y Organismos Auxiliares, para el caso concreto al Organismo al que fue remitida la denuncia.</w:t>
      </w:r>
    </w:p>
    <w:p w14:paraId="4D6A8FD7" w14:textId="77777777" w:rsidR="00F7284D" w:rsidRPr="00386F65" w:rsidRDefault="00F7284D" w:rsidP="00BD631B">
      <w:pPr>
        <w:spacing w:line="360" w:lineRule="auto"/>
        <w:jc w:val="both"/>
        <w:rPr>
          <w:rFonts w:ascii="Palatino Linotype" w:eastAsia="Palatino Linotype" w:hAnsi="Palatino Linotype" w:cs="Palatino Linotype"/>
        </w:rPr>
      </w:pPr>
    </w:p>
    <w:p w14:paraId="7661983B" w14:textId="4AD5B5B0" w:rsidR="00F7284D" w:rsidRPr="00386F65" w:rsidRDefault="00F7284D" w:rsidP="00BD631B">
      <w:pPr>
        <w:numPr>
          <w:ilvl w:val="0"/>
          <w:numId w:val="24"/>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 xml:space="preserve">De lo anterior, se aprecia que en informe justificado se pronunció el </w:t>
      </w:r>
      <w:r w:rsidRPr="00386F65">
        <w:rPr>
          <w:rFonts w:ascii="Palatino Linotype" w:eastAsia="Palatino Linotype" w:hAnsi="Palatino Linotype" w:cs="Palatino Linotype"/>
          <w:b/>
        </w:rPr>
        <w:t>SUJETO OBLIGADO</w:t>
      </w:r>
      <w:r w:rsidRPr="00386F65">
        <w:rPr>
          <w:rFonts w:ascii="Palatino Linotype" w:eastAsia="Palatino Linotype" w:hAnsi="Palatino Linotype" w:cs="Palatino Linotype"/>
        </w:rPr>
        <w:t xml:space="preserve"> quien </w:t>
      </w:r>
      <w:r w:rsidR="009C66A7" w:rsidRPr="00386F65">
        <w:rPr>
          <w:rFonts w:ascii="Palatino Linotype" w:eastAsia="Palatino Linotype" w:hAnsi="Palatino Linotype" w:cs="Palatino Linotype"/>
        </w:rPr>
        <w:t>refirió:</w:t>
      </w:r>
    </w:p>
    <w:p w14:paraId="03A801F9" w14:textId="1303DD5E" w:rsidR="009C66A7" w:rsidRPr="00386F65" w:rsidRDefault="009C66A7" w:rsidP="00BD631B">
      <w:pPr>
        <w:pStyle w:val="Prrafodelista"/>
        <w:numPr>
          <w:ilvl w:val="3"/>
          <w:numId w:val="24"/>
        </w:numPr>
        <w:spacing w:line="276" w:lineRule="auto"/>
        <w:ind w:left="1134"/>
        <w:jc w:val="both"/>
        <w:rPr>
          <w:rFonts w:ascii="Palatino Linotype" w:eastAsia="Palatino Linotype" w:hAnsi="Palatino Linotype" w:cs="Palatino Linotype"/>
          <w:i/>
        </w:rPr>
      </w:pPr>
      <w:r w:rsidRPr="00386F65">
        <w:rPr>
          <w:rFonts w:ascii="Palatino Linotype" w:eastAsia="Palatino Linotype" w:hAnsi="Palatino Linotype" w:cs="Palatino Linotype"/>
          <w:i/>
        </w:rPr>
        <w:t xml:space="preserve">Como autoridad investigadora recopila información que permita presumir la existencia de una falta grave o no grave o bien determinar la conclusión y archivo del expediente que se trate; a su vez el análisis y </w:t>
      </w:r>
      <w:r w:rsidRPr="00386F65">
        <w:rPr>
          <w:rFonts w:ascii="Palatino Linotype" w:eastAsia="Palatino Linotype" w:hAnsi="Palatino Linotype" w:cs="Palatino Linotype"/>
          <w:b/>
          <w:i/>
        </w:rPr>
        <w:t>turno de las denuncias a la autoridades competentes</w:t>
      </w:r>
      <w:r w:rsidRPr="00386F65">
        <w:rPr>
          <w:rFonts w:ascii="Palatino Linotype" w:eastAsia="Palatino Linotype" w:hAnsi="Palatino Linotype" w:cs="Palatino Linotype"/>
          <w:i/>
        </w:rPr>
        <w:t xml:space="preserve"> a través del sistema correspondiente, de ahí que </w:t>
      </w:r>
      <w:r w:rsidR="00BC110E" w:rsidRPr="00386F65">
        <w:rPr>
          <w:rFonts w:ascii="Palatino Linotype" w:eastAsia="Palatino Linotype" w:hAnsi="Palatino Linotype" w:cs="Palatino Linotype"/>
          <w:b/>
          <w:i/>
        </w:rPr>
        <w:t xml:space="preserve">para el caso concreto </w:t>
      </w:r>
      <w:r w:rsidRPr="00386F65">
        <w:rPr>
          <w:rFonts w:ascii="Palatino Linotype" w:eastAsia="Palatino Linotype" w:hAnsi="Palatino Linotype" w:cs="Palatino Linotype"/>
          <w:b/>
          <w:i/>
        </w:rPr>
        <w:t>el turno de control y competencia  concluyó al momento de ser turnada al sujeto obligado diverso</w:t>
      </w:r>
      <w:r w:rsidR="00BC110E" w:rsidRPr="00386F65">
        <w:rPr>
          <w:rFonts w:ascii="Palatino Linotype" w:eastAsia="Palatino Linotype" w:hAnsi="Palatino Linotype" w:cs="Palatino Linotype"/>
          <w:b/>
          <w:i/>
        </w:rPr>
        <w:t>.</w:t>
      </w:r>
    </w:p>
    <w:p w14:paraId="4A7CCF7F" w14:textId="77777777" w:rsidR="00916867" w:rsidRPr="00386F65" w:rsidRDefault="00916867" w:rsidP="00BD631B">
      <w:pPr>
        <w:spacing w:line="276" w:lineRule="auto"/>
        <w:ind w:left="774"/>
        <w:jc w:val="both"/>
        <w:rPr>
          <w:rFonts w:ascii="Palatino Linotype" w:eastAsia="Palatino Linotype" w:hAnsi="Palatino Linotype" w:cs="Palatino Linotype"/>
          <w:i/>
        </w:rPr>
      </w:pPr>
    </w:p>
    <w:p w14:paraId="16501B78" w14:textId="39378CFF" w:rsidR="00BC110E" w:rsidRPr="00386F65" w:rsidRDefault="00BC110E" w:rsidP="00BD631B">
      <w:pPr>
        <w:pStyle w:val="Prrafodelista"/>
        <w:numPr>
          <w:ilvl w:val="3"/>
          <w:numId w:val="24"/>
        </w:numPr>
        <w:spacing w:line="276" w:lineRule="auto"/>
        <w:ind w:left="1134"/>
        <w:jc w:val="both"/>
        <w:rPr>
          <w:rFonts w:ascii="Palatino Linotype" w:eastAsia="Palatino Linotype" w:hAnsi="Palatino Linotype" w:cs="Palatino Linotype"/>
          <w:i/>
        </w:rPr>
      </w:pPr>
      <w:r w:rsidRPr="00386F65">
        <w:rPr>
          <w:rFonts w:ascii="Palatino Linotype" w:eastAsia="Palatino Linotype" w:hAnsi="Palatino Linotype" w:cs="Palatino Linotype"/>
          <w:i/>
        </w:rPr>
        <w:t xml:space="preserve">No existe documental que dé cuenta </w:t>
      </w:r>
      <w:r w:rsidRPr="00386F65">
        <w:rPr>
          <w:rFonts w:ascii="Palatino Linotype" w:eastAsia="Palatino Linotype" w:hAnsi="Palatino Linotype" w:cs="Palatino Linotype"/>
          <w:i/>
          <w:color w:val="000000"/>
          <w:lang w:val="es-ES_tradnl" w:eastAsia="es-ES"/>
        </w:rPr>
        <w:t xml:space="preserve">de la petición del Recurrente en cuanto a los </w:t>
      </w:r>
      <w:r w:rsidRPr="00386F65">
        <w:rPr>
          <w:rFonts w:ascii="Palatino Linotype" w:eastAsia="Palatino Linotype" w:hAnsi="Palatino Linotype" w:cs="Palatino Linotype"/>
          <w:b/>
          <w:i/>
          <w:color w:val="000000"/>
          <w:lang w:val="es-ES_tradnl" w:eastAsia="es-ES"/>
        </w:rPr>
        <w:t>motivos y razones</w:t>
      </w:r>
      <w:r w:rsidRPr="00386F65">
        <w:rPr>
          <w:rFonts w:ascii="Palatino Linotype" w:eastAsia="Palatino Linotype" w:hAnsi="Palatino Linotype" w:cs="Palatino Linotype"/>
          <w:i/>
          <w:color w:val="000000"/>
          <w:lang w:val="es-ES_tradnl" w:eastAsia="es-ES"/>
        </w:rPr>
        <w:t xml:space="preserve"> por las que no existe un registro de seguimiento respecto al folio de denuncia referido en la solicitud.</w:t>
      </w:r>
    </w:p>
    <w:p w14:paraId="075FA838" w14:textId="77777777" w:rsidR="00BC110E" w:rsidRPr="00386F65" w:rsidRDefault="00BC110E" w:rsidP="00BD631B">
      <w:pPr>
        <w:spacing w:line="276" w:lineRule="auto"/>
        <w:ind w:left="774"/>
        <w:jc w:val="both"/>
        <w:rPr>
          <w:rFonts w:ascii="Palatino Linotype" w:eastAsia="Palatino Linotype" w:hAnsi="Palatino Linotype" w:cs="Palatino Linotype"/>
          <w:i/>
        </w:rPr>
      </w:pPr>
    </w:p>
    <w:p w14:paraId="2328DE17" w14:textId="362A1475" w:rsidR="00BC110E" w:rsidRPr="00386F65" w:rsidRDefault="00BC110E" w:rsidP="00BD631B">
      <w:pPr>
        <w:pStyle w:val="Prrafodelista"/>
        <w:numPr>
          <w:ilvl w:val="3"/>
          <w:numId w:val="24"/>
        </w:numPr>
        <w:spacing w:line="276" w:lineRule="auto"/>
        <w:ind w:left="1134"/>
        <w:jc w:val="both"/>
        <w:rPr>
          <w:rFonts w:ascii="Palatino Linotype" w:eastAsia="Palatino Linotype" w:hAnsi="Palatino Linotype" w:cs="Palatino Linotype"/>
          <w:i/>
        </w:rPr>
      </w:pPr>
      <w:r w:rsidRPr="00386F65">
        <w:rPr>
          <w:rFonts w:ascii="Palatino Linotype" w:eastAsia="Palatino Linotype" w:hAnsi="Palatino Linotype" w:cs="Palatino Linotype"/>
          <w:i/>
        </w:rPr>
        <w:t>Las omisiones de las autoridades del Poder Ejecutivo, municipios y organismos auxiliares estatales y municipales para dar respuesta a los particulares, una vez transcurridos por lo menos diez días siguientes a su presentación , podrán promover Juicio Contencioso Administrativo en concordancia con el artículo 229 fr. VI del Código Adjetivo en la materia.</w:t>
      </w:r>
    </w:p>
    <w:p w14:paraId="191A14BC" w14:textId="224A026B" w:rsidR="00F7284D" w:rsidRPr="00386F65" w:rsidRDefault="00F7284D" w:rsidP="00BD631B">
      <w:pPr>
        <w:spacing w:line="360" w:lineRule="auto"/>
        <w:jc w:val="center"/>
        <w:rPr>
          <w:rFonts w:ascii="Palatino Linotype" w:eastAsia="Palatino Linotype" w:hAnsi="Palatino Linotype" w:cs="Palatino Linotype"/>
        </w:rPr>
      </w:pPr>
    </w:p>
    <w:p w14:paraId="4C688240" w14:textId="77777777" w:rsidR="00634C89" w:rsidRPr="00386F65" w:rsidRDefault="00634C89" w:rsidP="00BD631B">
      <w:pPr>
        <w:numPr>
          <w:ilvl w:val="0"/>
          <w:numId w:val="26"/>
        </w:numPr>
        <w:spacing w:line="360" w:lineRule="auto"/>
        <w:ind w:left="0" w:firstLine="0"/>
        <w:jc w:val="both"/>
        <w:rPr>
          <w:rFonts w:ascii="Palatino Linotype" w:hAnsi="Palatino Linotype"/>
        </w:rPr>
      </w:pPr>
      <w:r w:rsidRPr="00386F65">
        <w:rPr>
          <w:rFonts w:ascii="Palatino Linotype" w:hAnsi="Palatino Linotype"/>
          <w:color w:val="000000" w:themeColor="text1"/>
        </w:rPr>
        <w:t>A más de lo anterior, es de explorado derecho que este Instituto no se encuentra facultado para dudar de la veracidad</w:t>
      </w:r>
      <w:r w:rsidRPr="00386F65">
        <w:rPr>
          <w:rFonts w:ascii="Palatino Linotype" w:eastAsia="Palatino Linotype" w:hAnsi="Palatino Linotype" w:cs="Palatino Linotype"/>
          <w:color w:val="000000"/>
        </w:rPr>
        <w:t xml:space="preserve"> de la </w:t>
      </w:r>
      <w:r w:rsidRPr="00386F65">
        <w:rPr>
          <w:rFonts w:ascii="Palatino Linotype" w:eastAsia="MS Mincho" w:hAnsi="Palatino Linotype" w:cs="Arial"/>
        </w:rPr>
        <w:t>información</w:t>
      </w:r>
      <w:r w:rsidRPr="00386F65">
        <w:rPr>
          <w:rFonts w:ascii="Palatino Linotype" w:eastAsia="Palatino Linotype" w:hAnsi="Palatino Linotype" w:cs="Palatino Linotype"/>
          <w:color w:val="000000"/>
        </w:rPr>
        <w:t xml:space="preserve"> que le fue entregada al hoy </w:t>
      </w:r>
      <w:r w:rsidRPr="00386F65">
        <w:rPr>
          <w:rFonts w:ascii="Palatino Linotype" w:eastAsia="Palatino Linotype" w:hAnsi="Palatino Linotype" w:cs="Palatino Linotype"/>
          <w:b/>
          <w:color w:val="000000"/>
        </w:rPr>
        <w:t>RECURRENTE</w:t>
      </w:r>
      <w:r w:rsidRPr="00386F65">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sidRPr="00386F65">
        <w:rPr>
          <w:rFonts w:ascii="Palatino Linotype" w:hAnsi="Palatino Linotype" w:cs="Arial"/>
        </w:rPr>
        <w:t xml:space="preserve">situación que se aleja de las atribuciones de este Instituto </w:t>
      </w:r>
      <w:r w:rsidRPr="00386F65">
        <w:rPr>
          <w:rFonts w:ascii="Palatino Linotype" w:hAnsi="Palatino Linotype"/>
          <w:i/>
          <w:color w:val="000000"/>
        </w:rPr>
        <w:lastRenderedPageBreak/>
        <w:t>máxime</w:t>
      </w:r>
      <w:r w:rsidRPr="00386F65">
        <w:rPr>
          <w:rFonts w:ascii="Palatino Linotype" w:hAnsi="Palatino Linotype"/>
          <w:color w:val="000000"/>
        </w:rPr>
        <w:t xml:space="preserve"> que al momento que ponen a disposición ésta, la misma tiene el carácter oficial y se presume veraz, tan es así que la misma queda registrada en el Sistema de Acceso a la Información Mexiquense (SAIMEX).</w:t>
      </w:r>
    </w:p>
    <w:p w14:paraId="6059B787" w14:textId="77777777" w:rsidR="00634C89" w:rsidRPr="00386F65" w:rsidRDefault="00634C89" w:rsidP="00BD631B">
      <w:pPr>
        <w:pStyle w:val="Prrafodelista"/>
        <w:spacing w:line="360" w:lineRule="auto"/>
        <w:rPr>
          <w:rFonts w:ascii="Palatino Linotype" w:hAnsi="Palatino Linotype"/>
        </w:rPr>
      </w:pPr>
    </w:p>
    <w:p w14:paraId="6CE28D8F" w14:textId="77777777" w:rsidR="00634C89" w:rsidRPr="00386F65" w:rsidRDefault="00634C89" w:rsidP="00BD631B">
      <w:pPr>
        <w:numPr>
          <w:ilvl w:val="0"/>
          <w:numId w:val="26"/>
        </w:numPr>
        <w:spacing w:line="360" w:lineRule="auto"/>
        <w:ind w:left="0" w:firstLine="0"/>
        <w:jc w:val="both"/>
        <w:rPr>
          <w:rFonts w:ascii="Palatino Linotype" w:hAnsi="Palatino Linotype"/>
        </w:rPr>
      </w:pPr>
      <w:r w:rsidRPr="00386F65">
        <w:rPr>
          <w:rFonts w:ascii="Palatino Linotype" w:hAnsi="Palatino Linotype"/>
        </w:rPr>
        <w:t xml:space="preserve">Sirviendo de apoyo a lo anterior por analogía, el criterio 31-10 emitido por el entonces Instituto </w:t>
      </w:r>
      <w:r w:rsidRPr="00386F65">
        <w:rPr>
          <w:rFonts w:ascii="Palatino Linotype" w:eastAsia="Palatino Linotype" w:hAnsi="Palatino Linotype" w:cs="Palatino Linotype"/>
          <w:color w:val="000000"/>
        </w:rPr>
        <w:t>Nacional</w:t>
      </w:r>
      <w:r w:rsidRPr="00386F65">
        <w:rPr>
          <w:rFonts w:ascii="Palatino Linotype" w:hAnsi="Palatino Linotype"/>
        </w:rPr>
        <w:t xml:space="preserve"> de Transparencia, Acceso a la Información y Protección de Datos Personales, que a la letra dice:</w:t>
      </w:r>
    </w:p>
    <w:p w14:paraId="01088CCA" w14:textId="77777777" w:rsidR="00634C89" w:rsidRPr="00386F65" w:rsidRDefault="00634C89" w:rsidP="00BD631B">
      <w:pPr>
        <w:pStyle w:val="Default"/>
        <w:spacing w:line="276" w:lineRule="auto"/>
        <w:ind w:left="1134"/>
        <w:jc w:val="both"/>
        <w:rPr>
          <w:rFonts w:ascii="Palatino Linotype" w:hAnsi="Palatino Linotype"/>
          <w:i/>
        </w:rPr>
      </w:pPr>
      <w:r w:rsidRPr="00386F65">
        <w:rPr>
          <w:rFonts w:ascii="Palatino Linotype" w:hAnsi="Palatino Linotype"/>
          <w:i/>
        </w:rPr>
        <w:t xml:space="preserve">“El Instituto Federal de Acceso a la Información y Protección de Datos </w:t>
      </w:r>
      <w:r w:rsidRPr="00386F65">
        <w:rPr>
          <w:rFonts w:ascii="Palatino Linotype" w:hAnsi="Palatino Linotype"/>
          <w:b/>
          <w:i/>
        </w:rPr>
        <w:t>no cuenta con facultades para pronunciarse respecto de la veracidad de los documentos proporcionados por los sujetos obligados.</w:t>
      </w:r>
      <w:r w:rsidRPr="00386F65">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400DC499" w14:textId="77777777" w:rsidR="00634C89" w:rsidRPr="00386F65" w:rsidRDefault="00634C89" w:rsidP="00BD631B">
      <w:pPr>
        <w:pStyle w:val="Default"/>
        <w:spacing w:line="360" w:lineRule="auto"/>
        <w:ind w:left="851"/>
        <w:jc w:val="both"/>
        <w:rPr>
          <w:rFonts w:ascii="Palatino Linotype" w:hAnsi="Palatino Linotype"/>
          <w:i/>
        </w:rPr>
      </w:pPr>
    </w:p>
    <w:p w14:paraId="6B3C09A8" w14:textId="77777777" w:rsidR="00634C89" w:rsidRPr="00386F65" w:rsidRDefault="00634C89" w:rsidP="00BD631B">
      <w:pPr>
        <w:numPr>
          <w:ilvl w:val="0"/>
          <w:numId w:val="26"/>
        </w:numPr>
        <w:spacing w:line="360" w:lineRule="auto"/>
        <w:ind w:left="0" w:firstLine="0"/>
        <w:jc w:val="both"/>
        <w:rPr>
          <w:rFonts w:ascii="Palatino Linotype" w:hAnsi="Palatino Linotype"/>
          <w:i/>
        </w:rPr>
      </w:pPr>
      <w:r w:rsidRPr="00386F65">
        <w:rPr>
          <w:rFonts w:ascii="Palatino Linotype" w:hAnsi="Palatino Linotype" w:cs="Arial"/>
        </w:rPr>
        <w:t>Así como lo dispuesto por</w:t>
      </w:r>
      <w:r w:rsidRPr="00386F65">
        <w:rPr>
          <w:rFonts w:ascii="Palatino Linotype" w:hAnsi="Palatino Linotype"/>
        </w:rPr>
        <w:t xml:space="preserve"> la </w:t>
      </w:r>
      <w:r w:rsidRPr="00386F65">
        <w:rPr>
          <w:rFonts w:ascii="Palatino Linotype" w:hAnsi="Palatino Linotype"/>
          <w:b/>
        </w:rPr>
        <w:t xml:space="preserve">Ley de Transparencia y Acceso a la Información Pública del </w:t>
      </w:r>
      <w:r w:rsidRPr="00386F65">
        <w:rPr>
          <w:rFonts w:ascii="Palatino Linotype" w:eastAsia="Palatino Linotype" w:hAnsi="Palatino Linotype" w:cs="Palatino Linotype"/>
          <w:color w:val="000000"/>
        </w:rPr>
        <w:t>Estado</w:t>
      </w:r>
      <w:r w:rsidRPr="00386F65">
        <w:rPr>
          <w:rFonts w:ascii="Palatino Linotype" w:hAnsi="Palatino Linotype"/>
          <w:b/>
        </w:rPr>
        <w:t xml:space="preserve"> de México y Municipios</w:t>
      </w:r>
      <w:r w:rsidRPr="00386F65">
        <w:rPr>
          <w:rFonts w:ascii="Palatino Linotype" w:hAnsi="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794B62CC" w14:textId="77777777" w:rsidR="00634C89" w:rsidRPr="00386F65" w:rsidRDefault="00634C89" w:rsidP="00BD631B">
      <w:pPr>
        <w:pStyle w:val="Prrafodelista"/>
        <w:spacing w:line="360" w:lineRule="auto"/>
        <w:ind w:left="0"/>
        <w:jc w:val="both"/>
        <w:rPr>
          <w:rFonts w:ascii="Palatino Linotype" w:hAnsi="Palatino Linotype"/>
          <w:i/>
        </w:rPr>
      </w:pPr>
    </w:p>
    <w:p w14:paraId="5C1A142F" w14:textId="77777777" w:rsidR="00634C89" w:rsidRPr="00386F65" w:rsidRDefault="00634C89" w:rsidP="00BD631B">
      <w:pPr>
        <w:pStyle w:val="Prrafodelista"/>
        <w:tabs>
          <w:tab w:val="left" w:pos="7938"/>
        </w:tabs>
        <w:spacing w:line="240" w:lineRule="atLeast"/>
        <w:ind w:left="1134"/>
        <w:jc w:val="both"/>
        <w:rPr>
          <w:rFonts w:ascii="Palatino Linotype" w:hAnsi="Palatino Linotype" w:cs="Arial"/>
          <w:b/>
          <w:i/>
        </w:rPr>
      </w:pPr>
      <w:r w:rsidRPr="00386F65">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386F65">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14:paraId="6F853473" w14:textId="77777777" w:rsidR="00634C89" w:rsidRPr="00386F65" w:rsidRDefault="00634C89" w:rsidP="00BD631B">
      <w:pPr>
        <w:pStyle w:val="Prrafodelista"/>
        <w:spacing w:line="360" w:lineRule="auto"/>
        <w:ind w:left="567"/>
        <w:jc w:val="both"/>
        <w:rPr>
          <w:rFonts w:ascii="Palatino Linotype" w:hAnsi="Palatino Linotype" w:cs="Arial"/>
          <w:b/>
          <w:i/>
        </w:rPr>
      </w:pPr>
    </w:p>
    <w:p w14:paraId="643A16C3" w14:textId="77777777" w:rsidR="00634C89" w:rsidRPr="00386F65" w:rsidRDefault="00634C89" w:rsidP="00BD631B">
      <w:pPr>
        <w:numPr>
          <w:ilvl w:val="0"/>
          <w:numId w:val="26"/>
        </w:numPr>
        <w:spacing w:line="360" w:lineRule="auto"/>
        <w:ind w:left="0" w:firstLine="0"/>
        <w:jc w:val="both"/>
        <w:rPr>
          <w:rFonts w:ascii="Palatino Linotype" w:eastAsia="Palatino Linotype" w:hAnsi="Palatino Linotype" w:cs="Palatino Linotype"/>
          <w:color w:val="000000"/>
        </w:rPr>
      </w:pPr>
      <w:r w:rsidRPr="00386F65">
        <w:rPr>
          <w:rFonts w:ascii="Palatino Linotype" w:hAnsi="Palatino Linotype" w:cs="Arial"/>
        </w:rPr>
        <w:t>Numerales</w:t>
      </w:r>
      <w:r w:rsidRPr="00386F65">
        <w:rPr>
          <w:rFonts w:ascii="Palatino Linotype" w:hAnsi="Palatino Linotype" w:cs="Arial"/>
          <w:noProof/>
        </w:rPr>
        <w:t xml:space="preserve"> que compelen al </w:t>
      </w:r>
      <w:r w:rsidRPr="00386F65">
        <w:rPr>
          <w:rFonts w:ascii="Palatino Linotype" w:hAnsi="Palatino Linotype" w:cs="Arial"/>
          <w:b/>
          <w:noProof/>
        </w:rPr>
        <w:t>SUJETO OBLIGADO</w:t>
      </w:r>
      <w:r w:rsidRPr="00386F65">
        <w:rPr>
          <w:rFonts w:ascii="Palatino Linotype" w:hAnsi="Palatino Linotype" w:cs="Arial"/>
          <w:noProof/>
        </w:rPr>
        <w:t xml:space="preserve"> apegarse en todo momento a los </w:t>
      </w:r>
      <w:r w:rsidRPr="00386F65">
        <w:rPr>
          <w:rFonts w:ascii="Palatino Linotype" w:hAnsi="Palatino Linotype" w:cs="Arial"/>
        </w:rPr>
        <w:t>criterios</w:t>
      </w:r>
      <w:r w:rsidRPr="00386F65">
        <w:rPr>
          <w:rFonts w:ascii="Palatino Linotype" w:hAnsi="Palatino Linotype" w:cs="Arial"/>
          <w:noProof/>
        </w:rPr>
        <w:t xml:space="preserve"> ya expuestos, impidiendo a este Órgano Colegiado cuestionar la veracidad de la información.</w:t>
      </w:r>
    </w:p>
    <w:p w14:paraId="5CCA0F33" w14:textId="77777777" w:rsidR="00634C89" w:rsidRPr="00386F65" w:rsidRDefault="00634C89" w:rsidP="00BD631B">
      <w:pPr>
        <w:spacing w:line="360" w:lineRule="auto"/>
        <w:jc w:val="both"/>
        <w:rPr>
          <w:rFonts w:ascii="Palatino Linotype" w:hAnsi="Palatino Linotype" w:cs="Arial"/>
          <w:bCs/>
        </w:rPr>
      </w:pPr>
    </w:p>
    <w:p w14:paraId="65802FF6" w14:textId="222B3D82" w:rsidR="00BC110E" w:rsidRPr="00386F65" w:rsidRDefault="00BC110E" w:rsidP="00BD631B">
      <w:pPr>
        <w:pStyle w:val="Prrafodelista"/>
        <w:numPr>
          <w:ilvl w:val="0"/>
          <w:numId w:val="26"/>
        </w:numPr>
        <w:spacing w:line="360" w:lineRule="auto"/>
        <w:ind w:left="0" w:firstLine="0"/>
        <w:contextualSpacing w:val="0"/>
        <w:jc w:val="both"/>
        <w:rPr>
          <w:rFonts w:ascii="Palatino Linotype" w:hAnsi="Palatino Linotype" w:cs="Arial"/>
          <w:bCs/>
        </w:rPr>
      </w:pPr>
      <w:r w:rsidRPr="00386F65">
        <w:rPr>
          <w:rFonts w:ascii="Palatino Linotype" w:eastAsia="Palatino Linotype" w:hAnsi="Palatino Linotype" w:cs="Palatino Linotype"/>
        </w:rPr>
        <w:t>Aunado a lo anterior se advierte</w:t>
      </w:r>
      <w:r w:rsidR="00916867" w:rsidRPr="00386F65">
        <w:rPr>
          <w:rFonts w:ascii="Palatino Linotype" w:eastAsia="Palatino Linotype" w:hAnsi="Palatino Linotype" w:cs="Palatino Linotype"/>
        </w:rPr>
        <w:t>,</w:t>
      </w:r>
      <w:r w:rsidRPr="00386F65">
        <w:rPr>
          <w:rFonts w:ascii="Palatino Linotype" w:eastAsia="Palatino Linotype" w:hAnsi="Palatino Linotype" w:cs="Palatino Linotype"/>
        </w:rPr>
        <w:t xml:space="preserve"> dados los cuestionamientos vertidos por el particular en su solicitud </w:t>
      </w:r>
      <w:r w:rsidRPr="00386F65">
        <w:rPr>
          <w:rFonts w:ascii="Palatino Linotype" w:eastAsia="Palatino Linotype" w:hAnsi="Palatino Linotype" w:cs="Palatino Linotype"/>
          <w:i/>
        </w:rPr>
        <w:t>(punto 1)</w:t>
      </w:r>
      <w:r w:rsidRPr="00386F65">
        <w:rPr>
          <w:rFonts w:ascii="Palatino Linotype" w:eastAsia="Palatino Linotype" w:hAnsi="Palatino Linotype" w:cs="Palatino Linotype"/>
        </w:rPr>
        <w:t xml:space="preserve"> que </w:t>
      </w:r>
      <w:r w:rsidRPr="00386F65">
        <w:rPr>
          <w:rFonts w:ascii="Palatino Linotype" w:hAnsi="Palatino Linotype" w:cs="Arial"/>
        </w:rPr>
        <w:t xml:space="preserve">hay que hacer un énfasis en que tal es </w:t>
      </w:r>
      <w:r w:rsidRPr="00386F65">
        <w:rPr>
          <w:rFonts w:ascii="Palatino Linotype" w:eastAsia="MS Mincho" w:hAnsi="Palatino Linotype"/>
        </w:rPr>
        <w:t xml:space="preserve"> una  solicitud que debe señalarse</w:t>
      </w:r>
      <w:r w:rsidRPr="00386F65">
        <w:rPr>
          <w:rFonts w:ascii="Palatino Linotype" w:hAnsi="Palatino Linotype"/>
          <w:i/>
        </w:rPr>
        <w:t xml:space="preserve">, </w:t>
      </w:r>
      <w:r w:rsidRPr="00386F65">
        <w:rPr>
          <w:rFonts w:ascii="Palatino Linotype" w:hAnsi="Palatino Linotype" w:cs="Arial"/>
        </w:rPr>
        <w:t xml:space="preserve">no constituye un derecho de acceso a la información pública y por lo tanto </w:t>
      </w:r>
      <w:bookmarkStart w:id="4" w:name="_Hlk197080205"/>
      <w:r w:rsidRPr="00386F65">
        <w:rPr>
          <w:rFonts w:ascii="Palatino Linotype" w:hAnsi="Palatino Linotype" w:cs="Arial"/>
          <w:b/>
        </w:rPr>
        <w:t>no es atendible mediante una solicitud de Acceso a la Información</w:t>
      </w:r>
      <w:r w:rsidRPr="00386F65">
        <w:rPr>
          <w:rFonts w:ascii="Palatino Linotype" w:hAnsi="Palatino Linotype" w:cs="Arial"/>
        </w:rPr>
        <w:t xml:space="preserve">, porque se trata de manifestaciones subjetivas vertidas por el particular, </w:t>
      </w:r>
      <w:r w:rsidRPr="00386F65">
        <w:rPr>
          <w:rFonts w:ascii="Palatino Linotype" w:hAnsi="Palatino Linotype" w:cs="Arial"/>
          <w:b/>
        </w:rPr>
        <w:t>interrogantes</w:t>
      </w:r>
      <w:r w:rsidRPr="00386F65">
        <w:rPr>
          <w:rFonts w:ascii="Palatino Linotype" w:hAnsi="Palatino Linotype" w:cs="Arial"/>
        </w:rPr>
        <w:t xml:space="preserve"> y declaraciones que no se colman con la entrega de documentos, situación que conlleva a afirmar que se está en presencia del ejercicio del </w:t>
      </w:r>
      <w:r w:rsidRPr="00386F65">
        <w:rPr>
          <w:rFonts w:ascii="Palatino Linotype" w:hAnsi="Palatino Linotype" w:cs="Arial"/>
          <w:b/>
        </w:rPr>
        <w:t>DERECHO DE PETICIÓN</w:t>
      </w:r>
      <w:r w:rsidRPr="00386F65">
        <w:rPr>
          <w:rFonts w:ascii="Palatino Linotype" w:hAnsi="Palatino Linotype" w:cs="Arial"/>
        </w:rPr>
        <w:t>.</w:t>
      </w:r>
    </w:p>
    <w:p w14:paraId="01BCDDC4" w14:textId="77777777" w:rsidR="00BC110E" w:rsidRPr="00386F65" w:rsidRDefault="00BC110E" w:rsidP="00BD631B">
      <w:pPr>
        <w:pStyle w:val="Prrafodelista"/>
        <w:spacing w:line="360" w:lineRule="auto"/>
        <w:ind w:left="0"/>
        <w:jc w:val="both"/>
        <w:rPr>
          <w:rFonts w:ascii="Palatino Linotype" w:hAnsi="Palatino Linotype"/>
        </w:rPr>
      </w:pPr>
    </w:p>
    <w:p w14:paraId="4594632C" w14:textId="77777777" w:rsidR="00BC110E" w:rsidRPr="00386F65" w:rsidRDefault="00BC110E" w:rsidP="00BD631B">
      <w:pPr>
        <w:pStyle w:val="Prrafodelista"/>
        <w:numPr>
          <w:ilvl w:val="0"/>
          <w:numId w:val="26"/>
        </w:numPr>
        <w:spacing w:line="360" w:lineRule="auto"/>
        <w:ind w:left="0" w:firstLine="0"/>
        <w:contextualSpacing w:val="0"/>
        <w:jc w:val="both"/>
        <w:rPr>
          <w:rFonts w:ascii="Palatino Linotype" w:hAnsi="Palatino Linotype" w:cs="Arial"/>
        </w:rPr>
      </w:pPr>
      <w:r w:rsidRPr="00386F65">
        <w:rPr>
          <w:rFonts w:ascii="Palatino Linotype" w:hAnsi="Palatino Linotype" w:cs="Arial"/>
        </w:rPr>
        <w:t xml:space="preserve">Por lo que la entrega de una razón o un razonamiento por parte del </w:t>
      </w:r>
      <w:r w:rsidRPr="00386F65">
        <w:rPr>
          <w:rFonts w:ascii="Palatino Linotype" w:hAnsi="Palatino Linotype" w:cs="Arial"/>
          <w:b/>
        </w:rPr>
        <w:t>Sujeto Obligado</w:t>
      </w:r>
      <w:r w:rsidRPr="00386F65">
        <w:rPr>
          <w:rFonts w:ascii="Palatino Linotype" w:hAnsi="Palatino Linotype" w:cs="Arial"/>
        </w:rPr>
        <w:t xml:space="preserve"> no es algo que la ley establezca como atribución, derecho, o facultad; pues ello implicaría un juicio de valor referente a </w:t>
      </w:r>
      <w:r w:rsidRPr="00386F65">
        <w:rPr>
          <w:rFonts w:ascii="Palatino Linotype" w:hAnsi="Palatino Linotype" w:cs="Arial"/>
          <w:b/>
        </w:rPr>
        <w:t>un cuestionamiento</w:t>
      </w:r>
      <w:r w:rsidRPr="00386F65">
        <w:rPr>
          <w:rFonts w:ascii="Palatino Linotype" w:hAnsi="Palatino Linotype" w:cs="Arial"/>
        </w:rPr>
        <w:t xml:space="preserve"> realizado, los cuales, </w:t>
      </w:r>
      <w:r w:rsidRPr="00386F65">
        <w:rPr>
          <w:rFonts w:ascii="Palatino Linotype" w:hAnsi="Palatino Linotype" w:cs="Arial"/>
          <w:b/>
        </w:rPr>
        <w:t>al constituir interrogantes</w:t>
      </w:r>
      <w:r w:rsidRPr="00386F65">
        <w:rPr>
          <w:rFonts w:ascii="Palatino Linotype" w:hAnsi="Palatino Linotype" w:cs="Arial"/>
        </w:rPr>
        <w:t xml:space="preserve">, </w:t>
      </w:r>
      <w:r w:rsidRPr="00386F65">
        <w:rPr>
          <w:rFonts w:ascii="Palatino Linotype" w:hAnsi="Palatino Linotype" w:cs="Arial"/>
          <w:b/>
        </w:rPr>
        <w:t>inquietudes</w:t>
      </w:r>
      <w:r w:rsidRPr="00386F65">
        <w:rPr>
          <w:rFonts w:ascii="Palatino Linotype" w:hAnsi="Palatino Linotype" w:cs="Arial"/>
        </w:rPr>
        <w:t xml:space="preserve"> y manifestaciones se satisfacen vía derecho de petición.</w:t>
      </w:r>
    </w:p>
    <w:bookmarkEnd w:id="4"/>
    <w:p w14:paraId="68AD66F3" w14:textId="77777777" w:rsidR="00BC110E" w:rsidRPr="00386F65" w:rsidRDefault="00BC110E" w:rsidP="00BD631B">
      <w:pPr>
        <w:spacing w:line="360" w:lineRule="auto"/>
        <w:jc w:val="both"/>
        <w:rPr>
          <w:rFonts w:ascii="Palatino Linotype" w:hAnsi="Palatino Linotype" w:cs="Arial"/>
        </w:rPr>
      </w:pPr>
    </w:p>
    <w:p w14:paraId="5F53728F" w14:textId="77777777" w:rsidR="00BC110E" w:rsidRPr="00386F65" w:rsidRDefault="00BC110E" w:rsidP="00BD631B">
      <w:pPr>
        <w:pStyle w:val="Prrafodelista"/>
        <w:numPr>
          <w:ilvl w:val="0"/>
          <w:numId w:val="26"/>
        </w:numPr>
        <w:spacing w:line="360" w:lineRule="auto"/>
        <w:ind w:left="0" w:firstLine="0"/>
        <w:contextualSpacing w:val="0"/>
        <w:jc w:val="both"/>
        <w:rPr>
          <w:rFonts w:ascii="Palatino Linotype" w:hAnsi="Palatino Linotype" w:cs="Arial"/>
        </w:rPr>
      </w:pPr>
      <w:r w:rsidRPr="00386F65">
        <w:rPr>
          <w:rFonts w:ascii="Palatino Linotype" w:hAnsi="Palatino Linotype" w:cs="Arial"/>
        </w:rPr>
        <w:lastRenderedPageBreak/>
        <w:t>Asimismo, se puede advertir que el ejercicio del derecho de acceso a la información pública se centra en la potestad de los particulares para conocer el contenido de los documentos que obren en los archivos de los Sujetos Obligados, ya sea porque los generen, administren o simplemente los posean en el ejercicio de sus atribuciones.</w:t>
      </w:r>
    </w:p>
    <w:p w14:paraId="1F5EC293" w14:textId="77777777" w:rsidR="00BC110E" w:rsidRPr="00386F65" w:rsidRDefault="00BC110E" w:rsidP="00BD631B">
      <w:pPr>
        <w:spacing w:line="360" w:lineRule="auto"/>
        <w:jc w:val="both"/>
        <w:rPr>
          <w:rFonts w:ascii="Palatino Linotype" w:hAnsi="Palatino Linotype" w:cs="Arial"/>
        </w:rPr>
      </w:pPr>
    </w:p>
    <w:p w14:paraId="115B4717" w14:textId="77777777" w:rsidR="00BC110E" w:rsidRPr="00386F65" w:rsidRDefault="00BC110E" w:rsidP="00BD631B">
      <w:pPr>
        <w:pStyle w:val="Prrafodelista"/>
        <w:numPr>
          <w:ilvl w:val="0"/>
          <w:numId w:val="26"/>
        </w:numPr>
        <w:spacing w:line="360" w:lineRule="auto"/>
        <w:ind w:left="0" w:firstLine="0"/>
        <w:contextualSpacing w:val="0"/>
        <w:jc w:val="both"/>
        <w:rPr>
          <w:rFonts w:ascii="Palatino Linotype" w:hAnsi="Palatino Linotype" w:cs="Arial"/>
        </w:rPr>
      </w:pPr>
      <w:r w:rsidRPr="00386F65">
        <w:rPr>
          <w:rFonts w:ascii="Palatino Linotype" w:hAnsi="Palatino Linotype" w:cs="Arial"/>
        </w:rPr>
        <w:t xml:space="preserve">Para ello, la Ley de la materia otorga la calidad de documento a los expedientes, reportes, estudios, actas, resoluciones, oficios, correspondencia, acuerdos, directivas, directrices, circulares, contratos, convenios, instructivos, notas, memorandos, estadísticas o bien, </w:t>
      </w:r>
      <w:r w:rsidRPr="00386F65">
        <w:rPr>
          <w:rFonts w:ascii="Palatino Linotype" w:hAnsi="Palatino Linotype" w:cs="Arial"/>
          <w:b/>
        </w:rPr>
        <w:t>cualquier otro registro que documente el ejercicio de las facultades, funciones y competencias de los Sujetos Obligados</w:t>
      </w:r>
      <w:r w:rsidRPr="00386F65">
        <w:rPr>
          <w:rFonts w:ascii="Palatino Linotype" w:hAnsi="Palatino Linotype" w:cs="Arial"/>
        </w:rPr>
        <w:t>, sus servidores públicos e integrantes, sin importar su fuente o fecha de elaboración. Los documentos podrán estar en cualquier medio, sea escrito, impreso, sonoro, visual, electrónico, informático u holográfico.</w:t>
      </w:r>
    </w:p>
    <w:p w14:paraId="75C2EDFB" w14:textId="77777777" w:rsidR="00BC110E" w:rsidRPr="00386F65" w:rsidRDefault="00BC110E" w:rsidP="00BD631B">
      <w:pPr>
        <w:spacing w:line="360" w:lineRule="auto"/>
        <w:jc w:val="both"/>
        <w:rPr>
          <w:rFonts w:ascii="Palatino Linotype" w:hAnsi="Palatino Linotype" w:cs="Arial"/>
        </w:rPr>
      </w:pPr>
    </w:p>
    <w:p w14:paraId="5230B1F7" w14:textId="77777777" w:rsidR="00BC110E" w:rsidRPr="00386F65" w:rsidRDefault="00BC110E" w:rsidP="00BD631B">
      <w:pPr>
        <w:pStyle w:val="Prrafodelista"/>
        <w:numPr>
          <w:ilvl w:val="0"/>
          <w:numId w:val="26"/>
        </w:numPr>
        <w:spacing w:line="360" w:lineRule="auto"/>
        <w:ind w:left="0" w:firstLine="0"/>
        <w:contextualSpacing w:val="0"/>
        <w:jc w:val="both"/>
        <w:rPr>
          <w:rFonts w:ascii="Palatino Linotype" w:hAnsi="Palatino Linotype" w:cs="Arial"/>
          <w:b/>
        </w:rPr>
      </w:pPr>
      <w:r w:rsidRPr="00386F65">
        <w:rPr>
          <w:rFonts w:ascii="Palatino Linotype" w:hAnsi="Palatino Linotype" w:cs="Arial"/>
        </w:rPr>
        <w:t xml:space="preserve">De lo anterior, se puede concluir que la distinción entre el derecho de petición y el derecho de acceso a la información pública estriba principalmente en que en el primero de ellos, </w:t>
      </w:r>
      <w:r w:rsidRPr="00386F65">
        <w:rPr>
          <w:rFonts w:ascii="Palatino Linotype" w:hAnsi="Palatino Linotype" w:cs="Arial"/>
          <w:color w:val="000000"/>
        </w:rPr>
        <w:t xml:space="preserve">la pretensión del peticionario consiste generalmente en obligar a la autoridad responsable a que actúe en el sentido de contestar lo solicitado, mientras que en el </w:t>
      </w:r>
      <w:r w:rsidRPr="00386F65">
        <w:rPr>
          <w:rFonts w:ascii="Palatino Linotype" w:hAnsi="Palatino Linotype" w:cs="Arial"/>
          <w:bCs/>
          <w:lang w:eastAsia="es-CO"/>
        </w:rPr>
        <w:t xml:space="preserve">segundo supuesto </w:t>
      </w:r>
      <w:r w:rsidRPr="00386F65">
        <w:rPr>
          <w:rFonts w:ascii="Palatino Linotype" w:hAnsi="Palatino Linotype" w:cs="Arial"/>
          <w:b/>
          <w:bCs/>
          <w:lang w:eastAsia="es-CO"/>
        </w:rPr>
        <w:t>la solicitud de acceso a la información pública se encamina primordialmente a</w:t>
      </w:r>
      <w:r w:rsidRPr="00386F65">
        <w:rPr>
          <w:rFonts w:ascii="Palatino Linotype" w:hAnsi="Palatino Linotype" w:cs="Arial"/>
          <w:b/>
        </w:rPr>
        <w:t xml:space="preserve"> permitir el </w:t>
      </w:r>
      <w:r w:rsidRPr="00386F65">
        <w:rPr>
          <w:rFonts w:ascii="Palatino Linotype" w:hAnsi="Palatino Linotype" w:cs="Arial"/>
          <w:b/>
          <w:lang w:eastAsia="es-CO"/>
        </w:rPr>
        <w:t xml:space="preserve">acceso a datos, registros y todo tipo de información pública que conste en documentos, sea generada o se encuentre en posesión de </w:t>
      </w:r>
      <w:r w:rsidRPr="00386F65">
        <w:rPr>
          <w:rFonts w:ascii="Palatino Linotype" w:hAnsi="Palatino Linotype" w:cs="Arial"/>
          <w:b/>
        </w:rPr>
        <w:t xml:space="preserve">la autoridad. </w:t>
      </w:r>
    </w:p>
    <w:p w14:paraId="31282D45" w14:textId="77777777" w:rsidR="00BC110E" w:rsidRPr="00386F65" w:rsidRDefault="00BC110E" w:rsidP="00BD631B">
      <w:pPr>
        <w:spacing w:line="360" w:lineRule="auto"/>
        <w:jc w:val="both"/>
        <w:rPr>
          <w:rFonts w:ascii="Palatino Linotype" w:hAnsi="Palatino Linotype"/>
        </w:rPr>
      </w:pPr>
    </w:p>
    <w:p w14:paraId="6D5D700D" w14:textId="77777777" w:rsidR="00BC110E" w:rsidRPr="00386F65" w:rsidRDefault="00BC110E" w:rsidP="00BD631B">
      <w:pPr>
        <w:pStyle w:val="Prrafodelista"/>
        <w:numPr>
          <w:ilvl w:val="0"/>
          <w:numId w:val="26"/>
        </w:numPr>
        <w:spacing w:line="360" w:lineRule="auto"/>
        <w:ind w:left="0" w:firstLine="0"/>
        <w:contextualSpacing w:val="0"/>
        <w:jc w:val="both"/>
        <w:rPr>
          <w:rFonts w:ascii="Palatino Linotype" w:hAnsi="Palatino Linotype"/>
        </w:rPr>
      </w:pPr>
      <w:r w:rsidRPr="00386F65">
        <w:rPr>
          <w:rFonts w:ascii="Palatino Linotype" w:hAnsi="Palatino Linotype"/>
        </w:rPr>
        <w:t>Sobre el particular, cabe traer a colación los artículos 2°, fracción II; 3°, fracción XI y 18, de la Ley de Transparencia y Acceso a la Información Pública del Estado de México y Municipios; los cuales disponen lo siguiente:</w:t>
      </w:r>
    </w:p>
    <w:p w14:paraId="124967D4" w14:textId="77777777" w:rsidR="00BC110E" w:rsidRPr="00386F65" w:rsidRDefault="00BC110E" w:rsidP="00BD631B">
      <w:pPr>
        <w:pStyle w:val="Prrafodelista"/>
        <w:numPr>
          <w:ilvl w:val="1"/>
          <w:numId w:val="26"/>
        </w:numPr>
        <w:spacing w:line="360" w:lineRule="auto"/>
        <w:contextualSpacing w:val="0"/>
        <w:jc w:val="both"/>
        <w:rPr>
          <w:rFonts w:ascii="Palatino Linotype" w:hAnsi="Palatino Linotype"/>
          <w:i/>
        </w:rPr>
      </w:pPr>
      <w:r w:rsidRPr="00386F65">
        <w:rPr>
          <w:rFonts w:ascii="Palatino Linotype" w:hAnsi="Palatino Linotype"/>
          <w:i/>
        </w:rPr>
        <w:lastRenderedPageBreak/>
        <w:t>Que uno de los objetivos de la Ley es proveer lo necesario para garantizar a toda persona el derecho de acceso a la información pública;</w:t>
      </w:r>
    </w:p>
    <w:p w14:paraId="2520F70D" w14:textId="77777777" w:rsidR="00BC110E" w:rsidRPr="00386F65" w:rsidRDefault="00BC110E" w:rsidP="00BD631B">
      <w:pPr>
        <w:pStyle w:val="Prrafodelista"/>
        <w:numPr>
          <w:ilvl w:val="1"/>
          <w:numId w:val="26"/>
        </w:numPr>
        <w:spacing w:line="360" w:lineRule="auto"/>
        <w:contextualSpacing w:val="0"/>
        <w:jc w:val="both"/>
        <w:rPr>
          <w:rFonts w:ascii="Palatino Linotype" w:hAnsi="Palatino Linotype"/>
          <w:i/>
        </w:rPr>
      </w:pPr>
      <w:r w:rsidRPr="00386F65">
        <w:rPr>
          <w:rFonts w:ascii="Palatino Linotype" w:hAnsi="Palatino Linotype"/>
          <w:i/>
        </w:rPr>
        <w:t>Que los documentos son los expedientes, reportes, estudios, actas, resoluciones, contratos, convenios, instructivos, notas, memorandos, estadísticas o cualquier registro que documente el ejercicio de facultades, funciones y competencia de los Sujetos Obligados, sin importar su fuente y fecha de elaboración y, por último, que los sujetos obligados deberán documentar todo acto que derive del ejercicio de sus facultades, competencias o funciones, considerando desde su origen la eventual publicidad y reutilización de la información que generan. En este orden de ideas, puede concluirse que la Ley en cita, es una ley de acceso a documentos.</w:t>
      </w:r>
    </w:p>
    <w:p w14:paraId="7CB268B0" w14:textId="77777777" w:rsidR="00BC110E" w:rsidRPr="00386F65" w:rsidRDefault="00BC110E" w:rsidP="00BD631B">
      <w:pPr>
        <w:spacing w:line="360" w:lineRule="auto"/>
        <w:jc w:val="both"/>
        <w:rPr>
          <w:rFonts w:ascii="Palatino Linotype" w:hAnsi="Palatino Linotype" w:cs="Arial"/>
          <w:color w:val="000000" w:themeColor="text1"/>
        </w:rPr>
      </w:pPr>
    </w:p>
    <w:p w14:paraId="63672644" w14:textId="77777777" w:rsidR="00BC110E" w:rsidRPr="00386F65" w:rsidRDefault="00BC110E" w:rsidP="00BD631B">
      <w:pPr>
        <w:pStyle w:val="Prrafodelista"/>
        <w:numPr>
          <w:ilvl w:val="0"/>
          <w:numId w:val="26"/>
        </w:numPr>
        <w:autoSpaceDE w:val="0"/>
        <w:autoSpaceDN w:val="0"/>
        <w:adjustRightInd w:val="0"/>
        <w:spacing w:line="360" w:lineRule="auto"/>
        <w:ind w:left="0" w:firstLine="0"/>
        <w:jc w:val="both"/>
        <w:rPr>
          <w:rFonts w:ascii="Palatino Linotype" w:eastAsia="MS Mincho" w:hAnsi="Palatino Linotype" w:cs="Arial"/>
        </w:rPr>
      </w:pPr>
      <w:r w:rsidRPr="00386F65">
        <w:rPr>
          <w:rFonts w:ascii="Palatino Linotype" w:eastAsia="MS Mincho" w:hAnsi="Palatino Linotype" w:cs="Arial"/>
        </w:rPr>
        <w:t>Por lo que, la entrega de una razón o un razonamiento por parte del</w:t>
      </w:r>
      <w:r w:rsidRPr="00386F65">
        <w:rPr>
          <w:rFonts w:ascii="Palatino Linotype" w:eastAsia="MS Mincho" w:hAnsi="Palatino Linotype" w:cs="Arial"/>
          <w:b/>
        </w:rPr>
        <w:t xml:space="preserve"> Sujeto Obligado</w:t>
      </w:r>
      <w:r w:rsidRPr="00386F65">
        <w:rPr>
          <w:rFonts w:ascii="Palatino Linotype" w:eastAsia="MS Mincho" w:hAnsi="Palatino Linotype" w:cs="Arial"/>
        </w:rPr>
        <w:t xml:space="preserve"> no es algo que la ley establezca como atribución, derecho, o facultad; pues ello implicaría </w:t>
      </w:r>
      <w:r w:rsidRPr="00386F65">
        <w:rPr>
          <w:rFonts w:ascii="Palatino Linotype" w:eastAsia="MS Mincho" w:hAnsi="Palatino Linotype" w:cs="Arial"/>
          <w:b/>
        </w:rPr>
        <w:t>un juicio de valor</w:t>
      </w:r>
      <w:r w:rsidRPr="00386F65">
        <w:rPr>
          <w:rFonts w:ascii="Palatino Linotype" w:eastAsia="MS Mincho" w:hAnsi="Palatino Linotype" w:cs="Arial"/>
        </w:rPr>
        <w:t xml:space="preserve"> referente a un cuestionamiento realizado, los cuales, al constituir interrogantes, inquietudes y manifestaciones se satisfacen vía derecho de petición, y no así, a través del ejercicio del derecho a acceder a información pública.</w:t>
      </w:r>
    </w:p>
    <w:p w14:paraId="0733E223" w14:textId="77777777" w:rsidR="00BC110E" w:rsidRPr="00386F65" w:rsidRDefault="00BC110E" w:rsidP="00BD631B">
      <w:pPr>
        <w:spacing w:line="360" w:lineRule="auto"/>
        <w:contextualSpacing/>
        <w:jc w:val="both"/>
        <w:rPr>
          <w:rFonts w:ascii="Palatino Linotype" w:eastAsia="MS Mincho" w:hAnsi="Palatino Linotype" w:cs="Arial"/>
        </w:rPr>
      </w:pPr>
    </w:p>
    <w:p w14:paraId="6C770D9D" w14:textId="77777777" w:rsidR="00BC110E" w:rsidRPr="00386F65" w:rsidRDefault="00BC110E" w:rsidP="00BD631B">
      <w:pPr>
        <w:pStyle w:val="Prrafodelista"/>
        <w:numPr>
          <w:ilvl w:val="0"/>
          <w:numId w:val="26"/>
        </w:numPr>
        <w:spacing w:line="360" w:lineRule="auto"/>
        <w:ind w:left="0" w:firstLine="0"/>
        <w:jc w:val="both"/>
        <w:rPr>
          <w:rFonts w:ascii="Palatino Linotype" w:eastAsia="MS Mincho" w:hAnsi="Palatino Linotype" w:cs="Arial"/>
          <w:color w:val="000000"/>
        </w:rPr>
      </w:pPr>
      <w:r w:rsidRPr="00386F65">
        <w:rPr>
          <w:rFonts w:ascii="Palatino Linotype" w:eastAsia="MS Mincho" w:hAnsi="Palatino Linotype" w:cs="Arial"/>
          <w:color w:val="000000"/>
        </w:rPr>
        <w:t xml:space="preserve">Entonces, al tratarse de un derecho de petición estamos en presencia de una consulta que se aleja del derecho de acceso a la información pública, bajo esas consideraciones, se afirma que en el recurso de revisión sujeto a estudio se actualiza la hipótesis jurídica citada, toda vez que quedó probado que la solicitud de acceso a la información que promovió la parte </w:t>
      </w:r>
      <w:r w:rsidRPr="00386F65">
        <w:rPr>
          <w:rFonts w:ascii="Palatino Linotype" w:eastAsia="MS Mincho" w:hAnsi="Palatino Linotype" w:cs="Arial"/>
          <w:b/>
          <w:bCs/>
          <w:color w:val="000000"/>
        </w:rPr>
        <w:t>Recurrente</w:t>
      </w:r>
      <w:r w:rsidRPr="00386F65">
        <w:rPr>
          <w:rFonts w:ascii="Palatino Linotype" w:eastAsia="MS Mincho" w:hAnsi="Palatino Linotype" w:cs="Arial"/>
          <w:color w:val="000000"/>
        </w:rPr>
        <w:t xml:space="preserve"> corresponde en parte al ejercicio de un derecho de petición y no al derecho de acceso a la información pública.</w:t>
      </w:r>
    </w:p>
    <w:p w14:paraId="2E522304" w14:textId="77777777" w:rsidR="00BC110E" w:rsidRPr="00386F65" w:rsidRDefault="00BC110E" w:rsidP="00BD631B">
      <w:pPr>
        <w:spacing w:line="360" w:lineRule="auto"/>
        <w:jc w:val="both"/>
        <w:rPr>
          <w:rFonts w:ascii="Palatino Linotype" w:eastAsia="Palatino Linotype" w:hAnsi="Palatino Linotype" w:cs="Palatino Linotype"/>
        </w:rPr>
      </w:pPr>
    </w:p>
    <w:p w14:paraId="4AC7EF4C" w14:textId="2EB64C34" w:rsidR="00BC110E" w:rsidRPr="00386F65" w:rsidRDefault="00916867" w:rsidP="00BD631B">
      <w:pPr>
        <w:numPr>
          <w:ilvl w:val="0"/>
          <w:numId w:val="17"/>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lastRenderedPageBreak/>
        <w:t>De lo anterior se concluye entonces que,</w:t>
      </w:r>
      <w:r w:rsidR="00BC110E" w:rsidRPr="00386F65">
        <w:rPr>
          <w:rFonts w:ascii="Palatino Linotype" w:eastAsia="Palatino Linotype" w:hAnsi="Palatino Linotype" w:cs="Palatino Linotype"/>
        </w:rPr>
        <w:t xml:space="preserve"> al tratarse de </w:t>
      </w:r>
      <w:r w:rsidRPr="00386F65">
        <w:rPr>
          <w:rFonts w:ascii="Palatino Linotype" w:eastAsia="Palatino Linotype" w:hAnsi="Palatino Linotype" w:cs="Palatino Linotype"/>
        </w:rPr>
        <w:t xml:space="preserve">información que no obra en los archivos del Sujeto Obligado sino de otro diverso, al referir que no obra en sus archivos documentales que den cuenta al derecho de petición en cita y </w:t>
      </w:r>
      <w:r w:rsidR="00B3042C" w:rsidRPr="00386F65">
        <w:rPr>
          <w:rFonts w:ascii="Palatino Linotype" w:eastAsia="Palatino Linotype" w:hAnsi="Palatino Linotype" w:cs="Palatino Linotype"/>
        </w:rPr>
        <w:t xml:space="preserve">finalmente </w:t>
      </w:r>
      <w:r w:rsidRPr="00386F65">
        <w:rPr>
          <w:rFonts w:ascii="Palatino Linotype" w:eastAsia="Palatino Linotype" w:hAnsi="Palatino Linotype" w:cs="Palatino Linotype"/>
        </w:rPr>
        <w:t xml:space="preserve">orientar al particular sobre el procedimiento para el caso de omisiones de autoridades es que se tiene por colmado el derecho de acceso a la información del particular. </w:t>
      </w:r>
    </w:p>
    <w:p w14:paraId="6ECB2D24" w14:textId="49F19985" w:rsidR="00F7284D" w:rsidRPr="00386F65" w:rsidRDefault="00F7284D" w:rsidP="00BD631B">
      <w:pPr>
        <w:spacing w:line="360" w:lineRule="auto"/>
        <w:jc w:val="both"/>
        <w:rPr>
          <w:rFonts w:ascii="Palatino Linotype" w:eastAsia="Palatino Linotype" w:hAnsi="Palatino Linotype" w:cs="Palatino Linotype"/>
        </w:rPr>
      </w:pPr>
    </w:p>
    <w:p w14:paraId="038F9FCA" w14:textId="77777777" w:rsidR="00F7284D" w:rsidRPr="00386F65" w:rsidRDefault="00F7284D" w:rsidP="00BD631B">
      <w:pPr>
        <w:numPr>
          <w:ilvl w:val="0"/>
          <w:numId w:val="17"/>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 xml:space="preserve">Por lo tanto, en virtud de los argumentos expuestos con anterioridad así como del análisis realizado a las constancias que obran en el expediente electrónico y toda vez que el </w:t>
      </w:r>
      <w:r w:rsidRPr="00386F65">
        <w:rPr>
          <w:rFonts w:ascii="Palatino Linotype" w:eastAsia="Palatino Linotype" w:hAnsi="Palatino Linotype" w:cs="Palatino Linotype"/>
          <w:b/>
        </w:rPr>
        <w:t>SUJETO OBLIGADO</w:t>
      </w:r>
      <w:r w:rsidRPr="00386F65">
        <w:rPr>
          <w:rFonts w:ascii="Palatino Linotype" w:eastAsia="Palatino Linotype" w:hAnsi="Palatino Linotype" w:cs="Palatino Linotype"/>
        </w:rPr>
        <w:t xml:space="preserve">, atendió lo requerido en informe justificado,  se determina </w:t>
      </w:r>
      <w:r w:rsidRPr="00386F65">
        <w:rPr>
          <w:rFonts w:ascii="Palatino Linotype" w:eastAsia="Palatino Linotype" w:hAnsi="Palatino Linotype" w:cs="Palatino Linotype"/>
          <w:b/>
          <w:i/>
        </w:rPr>
        <w:t xml:space="preserve">sobreseer </w:t>
      </w:r>
      <w:r w:rsidRPr="00386F65">
        <w:rPr>
          <w:rFonts w:ascii="Palatino Linotype" w:eastAsia="Palatino Linotype" w:hAnsi="Palatino Linotype" w:cs="Palatino Linotype"/>
        </w:rPr>
        <w:t xml:space="preserve">el presente recurso de revisión por actualizarse la causal de sobreseimiento prevista en la </w:t>
      </w:r>
      <w:r w:rsidRPr="00386F65">
        <w:rPr>
          <w:rFonts w:ascii="Palatino Linotype" w:eastAsia="Palatino Linotype" w:hAnsi="Palatino Linotype" w:cs="Palatino Linotype"/>
          <w:b/>
          <w:i/>
        </w:rPr>
        <w:t>fracción III del artículo 192</w:t>
      </w:r>
      <w:r w:rsidRPr="00386F65">
        <w:rPr>
          <w:rFonts w:ascii="Palatino Linotype" w:eastAsia="Palatino Linotype" w:hAnsi="Palatino Linotype" w:cs="Palatino Linotype"/>
        </w:rPr>
        <w:t xml:space="preserve">, de la Ley de Transparencia y Acceso a la Información Pública del Estado de México y Municipios en su correlación con la causal de improcedencia contemplada en la </w:t>
      </w:r>
      <w:r w:rsidRPr="00386F65">
        <w:rPr>
          <w:rFonts w:ascii="Palatino Linotype" w:eastAsia="Palatino Linotype" w:hAnsi="Palatino Linotype" w:cs="Palatino Linotype"/>
        </w:rPr>
        <w:fldChar w:fldCharType="begin"/>
      </w:r>
      <w:r w:rsidRPr="00386F65">
        <w:rPr>
          <w:rFonts w:ascii="Palatino Linotype" w:eastAsia="Palatino Linotype" w:hAnsi="Palatino Linotype" w:cs="Palatino Linotype"/>
        </w:rPr>
        <w:instrText xml:space="preserve"> fracción VII del  </w:instrText>
      </w:r>
      <w:r w:rsidRPr="00386F65">
        <w:rPr>
          <w:rFonts w:ascii="Palatino Linotype" w:eastAsia="Palatino Linotype" w:hAnsi="Palatino Linotype" w:cs="Palatino Linotype"/>
        </w:rPr>
        <w:fldChar w:fldCharType="separate"/>
      </w:r>
      <w:r w:rsidR="00CA1480" w:rsidRPr="00386F65">
        <w:rPr>
          <w:rFonts w:ascii="Palatino Linotype" w:eastAsia="Palatino Linotype" w:hAnsi="Palatino Linotype" w:cs="Palatino Linotype"/>
          <w:b/>
          <w:bCs/>
          <w:lang w:val="es-ES"/>
        </w:rPr>
        <w:t>¡Error! Marcador no definido.</w:t>
      </w:r>
      <w:r w:rsidRPr="00386F65">
        <w:rPr>
          <w:rFonts w:ascii="Palatino Linotype" w:eastAsia="Palatino Linotype" w:hAnsi="Palatino Linotype" w:cs="Palatino Linotype"/>
        </w:rPr>
        <w:fldChar w:fldCharType="end"/>
      </w:r>
      <w:r w:rsidRPr="00386F65">
        <w:rPr>
          <w:rFonts w:ascii="Palatino Linotype" w:eastAsia="Palatino Linotype" w:hAnsi="Palatino Linotype" w:cs="Palatino Linotype"/>
        </w:rPr>
        <w:t>artículo 191, del ordenamiento legal en cita, los que se transcriben a continuación, para un mejor entendimiento:</w:t>
      </w:r>
    </w:p>
    <w:p w14:paraId="4EF1C1E8" w14:textId="77777777" w:rsidR="00F7284D" w:rsidRPr="00386F65" w:rsidRDefault="00F7284D" w:rsidP="00BD631B">
      <w:pPr>
        <w:pStyle w:val="Prrafodelista"/>
        <w:pBdr>
          <w:top w:val="nil"/>
          <w:left w:val="nil"/>
          <w:bottom w:val="nil"/>
          <w:right w:val="nil"/>
          <w:between w:val="nil"/>
        </w:pBdr>
        <w:tabs>
          <w:tab w:val="left" w:pos="7938"/>
        </w:tabs>
        <w:spacing w:line="360" w:lineRule="auto"/>
        <w:ind w:left="1134"/>
        <w:jc w:val="both"/>
        <w:rPr>
          <w:rFonts w:ascii="Palatino Linotype" w:eastAsia="Palatino Linotype" w:hAnsi="Palatino Linotype" w:cs="Palatino Linotype"/>
          <w:i/>
        </w:rPr>
      </w:pPr>
      <w:r w:rsidRPr="00386F65">
        <w:rPr>
          <w:rFonts w:ascii="Palatino Linotype" w:eastAsia="Palatino Linotype" w:hAnsi="Palatino Linotype" w:cs="Palatino Linotype"/>
          <w:b/>
          <w:i/>
        </w:rPr>
        <w:t>Artículo 192.</w:t>
      </w:r>
      <w:r w:rsidRPr="00386F65">
        <w:rPr>
          <w:rFonts w:ascii="Palatino Linotype" w:eastAsia="Palatino Linotype" w:hAnsi="Palatino Linotype" w:cs="Palatino Linotype"/>
          <w:i/>
        </w:rPr>
        <w:t xml:space="preserve"> El recurso será sobreseído, en todo o en parte, cuando una vez admitido, se actualicen alguno de los siguientes supuestos:</w:t>
      </w:r>
    </w:p>
    <w:p w14:paraId="2BA8B07B" w14:textId="77777777" w:rsidR="00F7284D" w:rsidRPr="00386F65" w:rsidRDefault="00F7284D" w:rsidP="00BD631B">
      <w:pPr>
        <w:pStyle w:val="Prrafodelista"/>
        <w:pBdr>
          <w:top w:val="nil"/>
          <w:left w:val="nil"/>
          <w:bottom w:val="nil"/>
          <w:right w:val="nil"/>
          <w:between w:val="nil"/>
        </w:pBdr>
        <w:tabs>
          <w:tab w:val="left" w:pos="7938"/>
        </w:tabs>
        <w:spacing w:line="360" w:lineRule="auto"/>
        <w:ind w:left="1134"/>
        <w:jc w:val="both"/>
        <w:rPr>
          <w:rFonts w:ascii="Palatino Linotype" w:eastAsia="Palatino Linotype" w:hAnsi="Palatino Linotype" w:cs="Palatino Linotype"/>
          <w:i/>
        </w:rPr>
      </w:pPr>
      <w:r w:rsidRPr="00386F65">
        <w:rPr>
          <w:rFonts w:ascii="Palatino Linotype" w:eastAsia="Palatino Linotype" w:hAnsi="Palatino Linotype" w:cs="Palatino Linotype"/>
          <w:i/>
        </w:rPr>
        <w:t>…</w:t>
      </w:r>
    </w:p>
    <w:p w14:paraId="0187384D" w14:textId="77777777" w:rsidR="00F7284D" w:rsidRPr="00386F65" w:rsidRDefault="00F7284D" w:rsidP="00BD631B">
      <w:pPr>
        <w:tabs>
          <w:tab w:val="left" w:pos="7938"/>
        </w:tabs>
        <w:autoSpaceDE w:val="0"/>
        <w:autoSpaceDN w:val="0"/>
        <w:adjustRightInd w:val="0"/>
        <w:ind w:left="1134"/>
        <w:rPr>
          <w:rFonts w:ascii="Palatino Linotype" w:eastAsia="Calibri" w:hAnsi="Palatino Linotype" w:cs="Bookman Old Style"/>
          <w:i/>
          <w:color w:val="000000"/>
        </w:rPr>
      </w:pPr>
      <w:r w:rsidRPr="00386F65">
        <w:rPr>
          <w:rFonts w:ascii="Palatino Linotype" w:eastAsia="Calibri" w:hAnsi="Palatino Linotype" w:cs="Bookman Old Style"/>
          <w:b/>
          <w:bCs/>
          <w:i/>
          <w:color w:val="000000"/>
        </w:rPr>
        <w:t xml:space="preserve">III. </w:t>
      </w:r>
      <w:r w:rsidRPr="00386F65">
        <w:rPr>
          <w:rFonts w:ascii="Palatino Linotype" w:hAnsi="Palatino Linotype"/>
          <w:i/>
        </w:rPr>
        <w:t>El sujeto obligado responsable del acto lo modifique o revoque de tal manera que el  recurso de revisión quede sin materia;</w:t>
      </w:r>
      <w:r w:rsidRPr="00386F65">
        <w:rPr>
          <w:rFonts w:ascii="Palatino Linotype" w:eastAsia="Calibri" w:hAnsi="Palatino Linotype" w:cs="Bookman Old Style"/>
          <w:i/>
          <w:color w:val="000000"/>
        </w:rPr>
        <w:t xml:space="preserve">. </w:t>
      </w:r>
    </w:p>
    <w:p w14:paraId="3B879EBD" w14:textId="77777777" w:rsidR="00F7284D" w:rsidRPr="00386F65" w:rsidRDefault="00F7284D" w:rsidP="00BD631B">
      <w:pPr>
        <w:pStyle w:val="Prrafodelista"/>
        <w:pBdr>
          <w:top w:val="nil"/>
          <w:left w:val="nil"/>
          <w:bottom w:val="nil"/>
          <w:right w:val="nil"/>
          <w:between w:val="nil"/>
        </w:pBdr>
        <w:tabs>
          <w:tab w:val="left" w:pos="7938"/>
        </w:tabs>
        <w:spacing w:line="360" w:lineRule="auto"/>
        <w:ind w:left="1134"/>
        <w:jc w:val="both"/>
        <w:rPr>
          <w:rFonts w:ascii="Palatino Linotype" w:eastAsia="Palatino Linotype" w:hAnsi="Palatino Linotype" w:cs="Palatino Linotype"/>
          <w:i/>
        </w:rPr>
      </w:pPr>
      <w:r w:rsidRPr="00386F65">
        <w:rPr>
          <w:rFonts w:ascii="Palatino Linotype" w:eastAsia="Palatino Linotype" w:hAnsi="Palatino Linotype" w:cs="Palatino Linotype"/>
          <w:b/>
          <w:i/>
        </w:rPr>
        <w:t>…</w:t>
      </w:r>
      <w:r w:rsidRPr="00386F65">
        <w:rPr>
          <w:rFonts w:ascii="Palatino Linotype" w:eastAsia="Palatino Linotype" w:hAnsi="Palatino Linotype" w:cs="Palatino Linotype"/>
          <w:i/>
        </w:rPr>
        <w:t>“</w:t>
      </w:r>
    </w:p>
    <w:p w14:paraId="5CE19E6A" w14:textId="77777777" w:rsidR="00F7284D" w:rsidRPr="00386F65" w:rsidRDefault="00F7284D" w:rsidP="00BD631B">
      <w:pPr>
        <w:numPr>
          <w:ilvl w:val="0"/>
          <w:numId w:val="17"/>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 xml:space="preserve">Siendo el </w:t>
      </w:r>
      <w:r w:rsidRPr="00386F65">
        <w:rPr>
          <w:rFonts w:ascii="Palatino Linotype" w:eastAsia="Palatino Linotype" w:hAnsi="Palatino Linotype" w:cs="Palatino Linotype"/>
          <w:i/>
        </w:rPr>
        <w:t>sobreseimiento</w:t>
      </w:r>
      <w:r w:rsidRPr="00386F65">
        <w:rPr>
          <w:rFonts w:ascii="Palatino Linotype" w:eastAsia="Palatino Linotype" w:hAnsi="Palatino Linotype" w:cs="Palatino Linotype"/>
        </w:rPr>
        <w:t xml:space="preserve">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w:t>
      </w:r>
      <w:r w:rsidRPr="00386F65">
        <w:rPr>
          <w:rFonts w:ascii="Palatino Linotype" w:eastAsia="Palatino Linotype" w:hAnsi="Palatino Linotype" w:cs="Palatino Linotype"/>
        </w:rPr>
        <w:lastRenderedPageBreak/>
        <w:t>fondo del asunto de que se trate; lo anterior con apoyo en el criterio del Poder Judicial de la Federación con rubro:</w:t>
      </w:r>
    </w:p>
    <w:p w14:paraId="190CA435" w14:textId="77777777" w:rsidR="00F7284D" w:rsidRPr="00386F65" w:rsidRDefault="00F7284D" w:rsidP="00BD631B">
      <w:pPr>
        <w:pStyle w:val="Prrafodelista"/>
        <w:spacing w:line="360" w:lineRule="auto"/>
        <w:ind w:left="1134"/>
        <w:jc w:val="both"/>
        <w:rPr>
          <w:rFonts w:ascii="Palatino Linotype" w:eastAsia="Palatino Linotype" w:hAnsi="Palatino Linotype" w:cs="Palatino Linotype"/>
          <w:b/>
          <w:i/>
        </w:rPr>
      </w:pPr>
      <w:r w:rsidRPr="00386F65">
        <w:rPr>
          <w:rFonts w:ascii="Palatino Linotype" w:eastAsia="Palatino Linotype" w:hAnsi="Palatino Linotype" w:cs="Palatino Linotype"/>
          <w:i/>
        </w:rPr>
        <w:t>“</w:t>
      </w:r>
      <w:r w:rsidRPr="00386F65">
        <w:rPr>
          <w:rFonts w:ascii="Palatino Linotype" w:eastAsia="Palatino Linotype" w:hAnsi="Palatino Linotype" w:cs="Palatino Linotype"/>
          <w:b/>
          <w:i/>
        </w:rPr>
        <w:t>SOBRESEIMIENTO, NO PERMITE ENTRAR AL ESTUDIO DE LAS CUESTIONES DE FONDO</w:t>
      </w:r>
    </w:p>
    <w:p w14:paraId="1504319D" w14:textId="77777777" w:rsidR="00F7284D" w:rsidRPr="00386F65" w:rsidRDefault="00F7284D" w:rsidP="00BD631B">
      <w:pPr>
        <w:pStyle w:val="Prrafodelista"/>
        <w:spacing w:line="360" w:lineRule="auto"/>
        <w:ind w:left="1134"/>
        <w:jc w:val="both"/>
        <w:rPr>
          <w:rFonts w:ascii="Palatino Linotype" w:eastAsia="Palatino Linotype" w:hAnsi="Palatino Linotype" w:cs="Palatino Linotype"/>
          <w:i/>
        </w:rPr>
      </w:pPr>
      <w:r w:rsidRPr="00386F65">
        <w:rPr>
          <w:rFonts w:ascii="Palatino Linotype" w:eastAsia="Palatino Linotype" w:hAnsi="Palatino Linotype" w:cs="Palatino Linotype"/>
          <w:i/>
        </w:rPr>
        <w:t>Localización: 213609. II.2o.183 K. Tribunales Colegiados de Circuito. Octava Época. Semanario Judicial de la Federación. Tomo XIII, Febrero de 1994, Pág. 420</w:t>
      </w:r>
    </w:p>
    <w:p w14:paraId="5CF01BE4" w14:textId="77777777" w:rsidR="00F7284D" w:rsidRPr="00386F65" w:rsidRDefault="00F7284D" w:rsidP="00BD631B">
      <w:pPr>
        <w:pStyle w:val="Prrafodelista"/>
        <w:spacing w:line="360" w:lineRule="auto"/>
        <w:ind w:left="1134"/>
        <w:jc w:val="both"/>
        <w:rPr>
          <w:rFonts w:ascii="Palatino Linotype" w:eastAsia="Palatino Linotype" w:hAnsi="Palatino Linotype" w:cs="Palatino Linotype"/>
          <w:i/>
        </w:rPr>
      </w:pPr>
      <w:r w:rsidRPr="00386F65">
        <w:rPr>
          <w:rFonts w:ascii="Palatino Linotype" w:eastAsia="Palatino Linotype" w:hAnsi="Palatino Linotype" w:cs="Palatino Linotype"/>
          <w:i/>
        </w:rPr>
        <w:t xml:space="preserve">Cuerpo de tesis: No causa agravio la sentencia que no se ocupa de los razonamientos tendientes a demostrar la inconstitucionalidad de los actos reclamados de las autoridades responsables, que constituyen el problema de fondo, si se decreta el sobreseimiento del juicio.” </w:t>
      </w:r>
    </w:p>
    <w:p w14:paraId="026ADB17" w14:textId="77777777" w:rsidR="00F7284D" w:rsidRPr="00386F65" w:rsidRDefault="00F7284D" w:rsidP="00BD631B">
      <w:pPr>
        <w:pStyle w:val="Prrafodelista"/>
        <w:spacing w:line="360" w:lineRule="auto"/>
        <w:ind w:left="360"/>
        <w:jc w:val="both"/>
        <w:rPr>
          <w:rFonts w:ascii="Palatino Linotype" w:eastAsia="Palatino Linotype" w:hAnsi="Palatino Linotype" w:cs="Palatino Linotype"/>
          <w:i/>
        </w:rPr>
      </w:pPr>
    </w:p>
    <w:p w14:paraId="5863ABFD" w14:textId="77777777" w:rsidR="00F7284D" w:rsidRPr="00386F65" w:rsidRDefault="00F7284D" w:rsidP="00BD631B">
      <w:pPr>
        <w:numPr>
          <w:ilvl w:val="0"/>
          <w:numId w:val="17"/>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18151105" w14:textId="77777777" w:rsidR="00F7284D" w:rsidRPr="00386F65" w:rsidRDefault="00F7284D" w:rsidP="00BD631B">
      <w:pPr>
        <w:pStyle w:val="Prrafodelista"/>
        <w:spacing w:line="360" w:lineRule="auto"/>
        <w:ind w:left="1134"/>
        <w:jc w:val="both"/>
        <w:rPr>
          <w:rFonts w:ascii="Palatino Linotype" w:eastAsia="Palatino Linotype" w:hAnsi="Palatino Linotype" w:cs="Palatino Linotype"/>
          <w:b/>
          <w:i/>
        </w:rPr>
      </w:pPr>
      <w:r w:rsidRPr="00386F65">
        <w:rPr>
          <w:rFonts w:ascii="Palatino Linotype" w:eastAsia="Palatino Linotype" w:hAnsi="Palatino Linotype" w:cs="Palatino Linotype"/>
          <w:b/>
          <w:i/>
        </w:rPr>
        <w:t>“DESECHAMIENTO O SOBRESEIMIENTO EN EL JUICIO DE AMPARO. NO IMPLICA DENEGACIÓN DE JUSTICIA NI GENERA INSEGURIDAD JURÍDICA”</w:t>
      </w:r>
    </w:p>
    <w:p w14:paraId="7B3AAC21" w14:textId="77777777" w:rsidR="00F7284D" w:rsidRPr="00386F65" w:rsidRDefault="00F7284D" w:rsidP="00BD631B">
      <w:pPr>
        <w:pStyle w:val="Prrafodelista"/>
        <w:spacing w:line="360" w:lineRule="auto"/>
        <w:ind w:left="1134"/>
        <w:jc w:val="both"/>
        <w:rPr>
          <w:rFonts w:ascii="Palatino Linotype" w:eastAsia="Palatino Linotype" w:hAnsi="Palatino Linotype" w:cs="Palatino Linotype"/>
          <w:i/>
        </w:rPr>
      </w:pPr>
      <w:r w:rsidRPr="00386F65">
        <w:rPr>
          <w:rFonts w:ascii="Palatino Linotype" w:eastAsia="Palatino Linotype" w:hAnsi="Palatino Linotype" w:cs="Palatino Linotype"/>
          <w:i/>
        </w:rPr>
        <w:t xml:space="preserve">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w:t>
      </w:r>
      <w:r w:rsidRPr="00386F65">
        <w:rPr>
          <w:rFonts w:ascii="Palatino Linotype" w:eastAsia="Palatino Linotype" w:hAnsi="Palatino Linotype" w:cs="Palatino Linotype"/>
          <w:i/>
        </w:rPr>
        <w:lastRenderedPageBreak/>
        <w:t>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p>
    <w:p w14:paraId="14EA717E" w14:textId="77777777" w:rsidR="00F7284D" w:rsidRPr="00386F65" w:rsidRDefault="00F7284D" w:rsidP="00BD631B">
      <w:pPr>
        <w:pStyle w:val="Prrafodelista"/>
        <w:spacing w:line="360" w:lineRule="auto"/>
        <w:ind w:left="360"/>
        <w:jc w:val="both"/>
        <w:rPr>
          <w:rFonts w:ascii="Palatino Linotype" w:eastAsia="Palatino Linotype" w:hAnsi="Palatino Linotype" w:cs="Palatino Linotype"/>
          <w:i/>
        </w:rPr>
      </w:pPr>
      <w:r w:rsidRPr="00386F65">
        <w:rPr>
          <w:rFonts w:ascii="Palatino Linotype" w:eastAsia="Palatino Linotype" w:hAnsi="Palatino Linotype" w:cs="Palatino Linotype"/>
        </w:rPr>
        <w:tab/>
      </w:r>
    </w:p>
    <w:p w14:paraId="011099DD" w14:textId="7F7BF022" w:rsidR="00F7284D" w:rsidRPr="00386F65" w:rsidRDefault="00F7284D" w:rsidP="00BD631B">
      <w:pPr>
        <w:numPr>
          <w:ilvl w:val="0"/>
          <w:numId w:val="17"/>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 xml:space="preserve">Bajo ese tenor con fundamento en la segunda hipótesis de la fracción I del artículo 186, de la Ley de Transparencia y Acceso a la Información Pública del Estado de México y Municipios, se </w:t>
      </w:r>
      <w:r w:rsidRPr="00386F65">
        <w:rPr>
          <w:rFonts w:ascii="Palatino Linotype" w:eastAsia="Palatino Linotype" w:hAnsi="Palatino Linotype" w:cs="Palatino Linotype"/>
          <w:b/>
        </w:rPr>
        <w:t xml:space="preserve">Sobresee </w:t>
      </w:r>
      <w:r w:rsidRPr="00386F65">
        <w:rPr>
          <w:rFonts w:ascii="Palatino Linotype" w:eastAsia="Palatino Linotype" w:hAnsi="Palatino Linotype" w:cs="Palatino Linotype"/>
        </w:rPr>
        <w:t xml:space="preserve">el recurso de revisión </w:t>
      </w:r>
      <w:r w:rsidR="00B3042C" w:rsidRPr="00386F65">
        <w:rPr>
          <w:rFonts w:ascii="Palatino Linotype" w:eastAsia="Palatino Linotype" w:hAnsi="Palatino Linotype" w:cs="Palatino Linotype"/>
          <w:b/>
        </w:rPr>
        <w:t>04008</w:t>
      </w:r>
      <w:r w:rsidRPr="00386F65">
        <w:rPr>
          <w:rFonts w:ascii="Palatino Linotype" w:eastAsia="Palatino Linotype" w:hAnsi="Palatino Linotype" w:cs="Palatino Linotype"/>
          <w:b/>
        </w:rPr>
        <w:t>/INFOEM/IP/RR/2026</w:t>
      </w:r>
      <w:r w:rsidRPr="00386F65">
        <w:rPr>
          <w:rFonts w:ascii="Palatino Linotype" w:eastAsia="Palatino Linotype" w:hAnsi="Palatino Linotype" w:cs="Palatino Linotype"/>
        </w:rPr>
        <w:t>, que ha sido materia del presente fallo.</w:t>
      </w:r>
    </w:p>
    <w:p w14:paraId="74EB5167" w14:textId="77777777" w:rsidR="00F7284D" w:rsidRPr="00386F65" w:rsidRDefault="00F7284D" w:rsidP="00BD631B">
      <w:pPr>
        <w:pStyle w:val="Prrafodelista"/>
        <w:spacing w:line="360" w:lineRule="auto"/>
        <w:rPr>
          <w:rFonts w:ascii="Palatino Linotype" w:eastAsia="Palatino Linotype" w:hAnsi="Palatino Linotype" w:cs="Palatino Linotype"/>
        </w:rPr>
      </w:pPr>
    </w:p>
    <w:p w14:paraId="029EDD60" w14:textId="77777777" w:rsidR="00F7284D" w:rsidRPr="00386F65" w:rsidRDefault="00F7284D" w:rsidP="00BD631B">
      <w:pPr>
        <w:numPr>
          <w:ilvl w:val="0"/>
          <w:numId w:val="17"/>
        </w:numPr>
        <w:spacing w:line="360" w:lineRule="auto"/>
        <w:ind w:left="0" w:firstLine="0"/>
        <w:jc w:val="both"/>
        <w:rPr>
          <w:rFonts w:ascii="Palatino Linotype" w:eastAsia="Palatino Linotype" w:hAnsi="Palatino Linotype" w:cs="Palatino Linotype"/>
        </w:rPr>
      </w:pPr>
      <w:r w:rsidRPr="00386F65">
        <w:rPr>
          <w:rFonts w:ascii="Palatino Linotype" w:eastAsia="Palatino Linotype" w:hAnsi="Palatino Linotype" w:cs="Palatino Linotype"/>
        </w:rPr>
        <w:t>Así, con fundamento en lo prescrito en los artículos 5 párrafos trigésimo, trigésimo primero y trigésimo segundo de la Constitución Política del Estado Libre y Soberano de México; 2, fracción II; 29, 36 fracciones I y II; 176, 178, 181, 185 y 186 fracción II de la Ley de Transparencia y Acceso a la Información Pública del Estado de México y Municipios, este Pleno</w:t>
      </w:r>
      <w:r w:rsidRPr="00386F65">
        <w:rPr>
          <w:rFonts w:ascii="Palatino Linotype" w:eastAsia="Palatino Linotype" w:hAnsi="Palatino Linotype" w:cs="Palatino Linotype"/>
          <w:color w:val="000000"/>
        </w:rPr>
        <w:t xml:space="preserve"> emite los siguientes:</w:t>
      </w:r>
      <w:bookmarkStart w:id="5" w:name="_GoBack"/>
      <w:bookmarkEnd w:id="5"/>
    </w:p>
    <w:p w14:paraId="304E18CA" w14:textId="77777777" w:rsidR="00F7284D" w:rsidRPr="00386F65" w:rsidRDefault="00F7284D" w:rsidP="00BD631B">
      <w:pPr>
        <w:pStyle w:val="Ttulo1"/>
        <w:spacing w:before="0" w:line="360" w:lineRule="auto"/>
        <w:jc w:val="center"/>
        <w:rPr>
          <w:rFonts w:ascii="Palatino Linotype" w:eastAsia="Palatino Linotype" w:hAnsi="Palatino Linotype" w:cs="Palatino Linotype"/>
          <w:b/>
          <w:color w:val="000000"/>
          <w:sz w:val="24"/>
          <w:szCs w:val="24"/>
        </w:rPr>
      </w:pPr>
      <w:bookmarkStart w:id="6" w:name="_heading=h.4d34og8" w:colFirst="0" w:colLast="0"/>
      <w:bookmarkEnd w:id="6"/>
      <w:r w:rsidRPr="00386F65">
        <w:rPr>
          <w:rFonts w:ascii="Palatino Linotype" w:eastAsia="Palatino Linotype" w:hAnsi="Palatino Linotype" w:cs="Palatino Linotype"/>
          <w:b/>
          <w:color w:val="000000"/>
          <w:sz w:val="24"/>
          <w:szCs w:val="24"/>
        </w:rPr>
        <w:t>R E S O L U T I V O S</w:t>
      </w:r>
    </w:p>
    <w:p w14:paraId="3F19D6EC" w14:textId="77777777" w:rsidR="00F7284D" w:rsidRPr="00386F65" w:rsidRDefault="00F7284D" w:rsidP="00BD631B">
      <w:pPr>
        <w:spacing w:line="360" w:lineRule="auto"/>
        <w:rPr>
          <w:rFonts w:ascii="Palatino Linotype" w:eastAsia="Palatino Linotype" w:hAnsi="Palatino Linotype" w:cs="Palatino Linotype"/>
        </w:rPr>
      </w:pPr>
    </w:p>
    <w:p w14:paraId="5D56F7E5" w14:textId="0876CF09" w:rsidR="00F7284D" w:rsidRPr="00386F65" w:rsidRDefault="00F7284D" w:rsidP="00BD631B">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7" w:name="_heading=h.1t3h5sf" w:colFirst="0" w:colLast="0"/>
      <w:bookmarkEnd w:id="7"/>
      <w:r w:rsidRPr="00386F65">
        <w:rPr>
          <w:rFonts w:ascii="Palatino Linotype" w:eastAsia="Palatino Linotype" w:hAnsi="Palatino Linotype" w:cs="Palatino Linotype"/>
          <w:b/>
          <w:color w:val="000000"/>
        </w:rPr>
        <w:t xml:space="preserve">PRIMERO. </w:t>
      </w:r>
      <w:r w:rsidRPr="00386F65">
        <w:rPr>
          <w:rFonts w:ascii="Palatino Linotype" w:eastAsia="Palatino Linotype" w:hAnsi="Palatino Linotype" w:cs="Palatino Linotype"/>
          <w:color w:val="000000"/>
        </w:rPr>
        <w:t xml:space="preserve">Se </w:t>
      </w:r>
      <w:r w:rsidRPr="00386F65">
        <w:rPr>
          <w:rFonts w:ascii="Palatino Linotype" w:eastAsia="Palatino Linotype" w:hAnsi="Palatino Linotype" w:cs="Palatino Linotype"/>
          <w:b/>
          <w:color w:val="000000"/>
        </w:rPr>
        <w:t>SOBRESEE</w:t>
      </w:r>
      <w:r w:rsidRPr="00386F65">
        <w:rPr>
          <w:rFonts w:ascii="Palatino Linotype" w:eastAsia="Palatino Linotype" w:hAnsi="Palatino Linotype" w:cs="Palatino Linotype"/>
          <w:color w:val="000000"/>
        </w:rPr>
        <w:t xml:space="preserve"> el Recurso de Revisión número </w:t>
      </w:r>
      <w:r w:rsidRPr="00386F65">
        <w:rPr>
          <w:rFonts w:ascii="Palatino Linotype" w:eastAsia="Palatino Linotype" w:hAnsi="Palatino Linotype" w:cs="Palatino Linotype"/>
          <w:b/>
          <w:color w:val="000000"/>
        </w:rPr>
        <w:t> </w:t>
      </w:r>
      <w:r w:rsidR="00B3042C" w:rsidRPr="00386F65">
        <w:rPr>
          <w:rFonts w:ascii="Palatino Linotype" w:eastAsia="Palatino Linotype" w:hAnsi="Palatino Linotype" w:cs="Palatino Linotype"/>
          <w:b/>
          <w:color w:val="000000"/>
        </w:rPr>
        <w:t>04008/INFOEM/IP/RR/2026</w:t>
      </w:r>
      <w:r w:rsidRPr="00386F65">
        <w:rPr>
          <w:rFonts w:ascii="Palatino Linotype" w:eastAsia="Palatino Linotype" w:hAnsi="Palatino Linotype" w:cs="Palatino Linotype"/>
          <w:color w:val="000000"/>
        </w:rPr>
        <w:t>, conforme al artículo 192, fracción III,</w:t>
      </w:r>
      <w:r w:rsidRPr="00386F65">
        <w:rPr>
          <w:rFonts w:ascii="Palatino Linotype" w:eastAsia="Palatino Linotype" w:hAnsi="Palatino Linotype" w:cs="Palatino Linotype"/>
        </w:rPr>
        <w:t xml:space="preserve"> de la Ley de Transparencia y Acceso a la Información Pública del Estado de México y Municipios</w:t>
      </w:r>
      <w:r w:rsidRPr="00386F65">
        <w:rPr>
          <w:rFonts w:ascii="Palatino Linotype" w:eastAsia="Palatino Linotype" w:hAnsi="Palatino Linotype" w:cs="Palatino Linotype"/>
          <w:color w:val="000000"/>
        </w:rPr>
        <w:t xml:space="preserve">, porque al modificar la respuesta el </w:t>
      </w:r>
      <w:r w:rsidRPr="00386F65">
        <w:rPr>
          <w:rFonts w:ascii="Palatino Linotype" w:eastAsia="Palatino Linotype" w:hAnsi="Palatino Linotype" w:cs="Palatino Linotype"/>
          <w:b/>
          <w:color w:val="000000"/>
        </w:rPr>
        <w:t>SUJETO OBLIGADO</w:t>
      </w:r>
      <w:r w:rsidRPr="00386F65">
        <w:rPr>
          <w:rFonts w:ascii="Palatino Linotype" w:eastAsia="Palatino Linotype" w:hAnsi="Palatino Linotype" w:cs="Palatino Linotype"/>
          <w:color w:val="000000"/>
        </w:rPr>
        <w:t xml:space="preserve">, el Recurso de Revisión quedó sin materia en términos del  Considerando </w:t>
      </w:r>
      <w:r w:rsidRPr="00386F65">
        <w:rPr>
          <w:rFonts w:ascii="Palatino Linotype" w:eastAsia="Palatino Linotype" w:hAnsi="Palatino Linotype" w:cs="Palatino Linotype"/>
          <w:b/>
          <w:color w:val="000000"/>
        </w:rPr>
        <w:t>TERCERO</w:t>
      </w:r>
      <w:r w:rsidRPr="00386F65">
        <w:rPr>
          <w:rFonts w:ascii="Palatino Linotype" w:eastAsia="Palatino Linotype" w:hAnsi="Palatino Linotype" w:cs="Palatino Linotype"/>
          <w:color w:val="000000"/>
        </w:rPr>
        <w:t xml:space="preserve"> de la presente Resolución.</w:t>
      </w:r>
    </w:p>
    <w:p w14:paraId="6C70F610" w14:textId="77777777" w:rsidR="00F7284D" w:rsidRPr="00386F65" w:rsidRDefault="00F7284D" w:rsidP="00BD631B">
      <w:pPr>
        <w:spacing w:line="360" w:lineRule="auto"/>
        <w:jc w:val="both"/>
        <w:rPr>
          <w:rFonts w:ascii="Palatino Linotype" w:eastAsia="Palatino Linotype" w:hAnsi="Palatino Linotype" w:cs="Palatino Linotype"/>
          <w:b/>
        </w:rPr>
      </w:pPr>
    </w:p>
    <w:p w14:paraId="449CB6E7" w14:textId="77777777" w:rsidR="00F7284D" w:rsidRPr="00386F65" w:rsidRDefault="00F7284D" w:rsidP="00BD631B">
      <w:pPr>
        <w:pBdr>
          <w:top w:val="nil"/>
          <w:left w:val="nil"/>
          <w:bottom w:val="nil"/>
          <w:right w:val="nil"/>
          <w:between w:val="nil"/>
        </w:pBdr>
        <w:spacing w:line="360" w:lineRule="auto"/>
        <w:jc w:val="both"/>
        <w:rPr>
          <w:rFonts w:ascii="Palatino Linotype" w:eastAsia="Palatino Linotype" w:hAnsi="Palatino Linotype" w:cs="Palatino Linotype"/>
          <w:b/>
          <w:color w:val="000000"/>
        </w:rPr>
      </w:pPr>
      <w:bookmarkStart w:id="8" w:name="_heading=h.35nkun2" w:colFirst="0" w:colLast="0"/>
      <w:bookmarkEnd w:id="8"/>
      <w:r w:rsidRPr="00386F65">
        <w:rPr>
          <w:rFonts w:ascii="Palatino Linotype" w:eastAsia="Palatino Linotype" w:hAnsi="Palatino Linotype" w:cs="Palatino Linotype"/>
          <w:b/>
          <w:color w:val="000000"/>
        </w:rPr>
        <w:lastRenderedPageBreak/>
        <w:t xml:space="preserve">SEGUNDO. Notifíquese </w:t>
      </w:r>
      <w:r w:rsidRPr="00386F65">
        <w:rPr>
          <w:rFonts w:ascii="Palatino Linotype" w:eastAsia="Palatino Linotype" w:hAnsi="Palatino Linotype" w:cs="Palatino Linotype"/>
          <w:color w:val="000000"/>
        </w:rPr>
        <w:t xml:space="preserve">a través del Sistema de Acceso a la Información Mexiquense </w:t>
      </w:r>
      <w:r w:rsidRPr="00386F65">
        <w:rPr>
          <w:rFonts w:ascii="Palatino Linotype" w:eastAsia="Palatino Linotype" w:hAnsi="Palatino Linotype" w:cs="Palatino Linotype"/>
          <w:b/>
          <w:color w:val="000000"/>
        </w:rPr>
        <w:t xml:space="preserve">(SAIMEX) </w:t>
      </w:r>
      <w:r w:rsidRPr="00386F65">
        <w:rPr>
          <w:rFonts w:ascii="Palatino Linotype" w:eastAsia="Palatino Linotype" w:hAnsi="Palatino Linotype" w:cs="Palatino Linotype"/>
          <w:color w:val="000000"/>
        </w:rPr>
        <w:t>la presente resolución al Titular de la Unidad de Transparencia del</w:t>
      </w:r>
      <w:r w:rsidRPr="00386F65">
        <w:rPr>
          <w:rFonts w:ascii="Palatino Linotype" w:eastAsia="Palatino Linotype" w:hAnsi="Palatino Linotype" w:cs="Palatino Linotype"/>
          <w:b/>
          <w:color w:val="000000"/>
        </w:rPr>
        <w:t xml:space="preserve"> SUJETO OBLIGADO. </w:t>
      </w:r>
    </w:p>
    <w:p w14:paraId="4B2195C2" w14:textId="77777777" w:rsidR="00F7284D" w:rsidRPr="00386F65" w:rsidRDefault="00F7284D" w:rsidP="00BD631B">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14:paraId="627B0526" w14:textId="77777777" w:rsidR="00F7284D" w:rsidRPr="00386F65" w:rsidRDefault="00F7284D" w:rsidP="00BD631B">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386F65">
        <w:rPr>
          <w:rFonts w:ascii="Palatino Linotype" w:eastAsia="Palatino Linotype" w:hAnsi="Palatino Linotype" w:cs="Palatino Linotype"/>
          <w:b/>
          <w:color w:val="000000"/>
        </w:rPr>
        <w:t xml:space="preserve">TERCERO. Notifíquese </w:t>
      </w:r>
      <w:r w:rsidRPr="00386F65">
        <w:rPr>
          <w:rFonts w:ascii="Palatino Linotype" w:eastAsia="Palatino Linotype" w:hAnsi="Palatino Linotype" w:cs="Palatino Linotype"/>
          <w:color w:val="000000"/>
        </w:rPr>
        <w:t xml:space="preserve">al </w:t>
      </w:r>
      <w:r w:rsidRPr="00386F65">
        <w:rPr>
          <w:rFonts w:ascii="Palatino Linotype" w:eastAsia="Palatino Linotype" w:hAnsi="Palatino Linotype" w:cs="Palatino Linotype"/>
          <w:b/>
          <w:color w:val="000000"/>
        </w:rPr>
        <w:t xml:space="preserve">RECURRENTE </w:t>
      </w:r>
      <w:r w:rsidRPr="00386F65">
        <w:rPr>
          <w:rFonts w:ascii="Palatino Linotype" w:eastAsia="Palatino Linotype" w:hAnsi="Palatino Linotype" w:cs="Palatino Linotype"/>
          <w:color w:val="000000"/>
        </w:rPr>
        <w:t>la presente resolución, vía SAIMEX.</w:t>
      </w:r>
    </w:p>
    <w:p w14:paraId="24815C32" w14:textId="77777777" w:rsidR="00F7284D" w:rsidRPr="00386F65" w:rsidRDefault="00F7284D" w:rsidP="00BD631B">
      <w:pPr>
        <w:tabs>
          <w:tab w:val="left" w:pos="8080"/>
        </w:tabs>
        <w:spacing w:line="360" w:lineRule="auto"/>
        <w:jc w:val="both"/>
        <w:rPr>
          <w:rFonts w:ascii="Palatino Linotype" w:eastAsia="Palatino Linotype" w:hAnsi="Palatino Linotype" w:cs="Palatino Linotype"/>
          <w:b/>
        </w:rPr>
      </w:pPr>
    </w:p>
    <w:p w14:paraId="11BAB864" w14:textId="77777777" w:rsidR="00F7284D" w:rsidRPr="00386F65" w:rsidRDefault="00F7284D" w:rsidP="00BD631B">
      <w:pPr>
        <w:shd w:val="clear" w:color="auto" w:fill="FFFFFF"/>
        <w:spacing w:line="360" w:lineRule="auto"/>
        <w:jc w:val="both"/>
        <w:rPr>
          <w:rFonts w:ascii="Palatino Linotype" w:eastAsia="Palatino Linotype" w:hAnsi="Palatino Linotype" w:cs="Palatino Linotype"/>
        </w:rPr>
      </w:pPr>
      <w:r w:rsidRPr="00386F65">
        <w:rPr>
          <w:rFonts w:ascii="Palatino Linotype" w:eastAsia="Palatino Linotype" w:hAnsi="Palatino Linotype" w:cs="Palatino Linotype"/>
          <w:b/>
        </w:rPr>
        <w:t>CUARTO.</w:t>
      </w:r>
      <w:r w:rsidRPr="00386F65">
        <w:rPr>
          <w:rFonts w:ascii="Palatino Linotype" w:eastAsia="Palatino Linotype" w:hAnsi="Palatino Linotype" w:cs="Palatino Linotype"/>
        </w:rPr>
        <w:t xml:space="preserve"> Se hace del conocimiento del </w:t>
      </w:r>
      <w:r w:rsidRPr="00386F65">
        <w:rPr>
          <w:rFonts w:ascii="Palatino Linotype" w:eastAsia="Palatino Linotype" w:hAnsi="Palatino Linotype" w:cs="Palatino Linotype"/>
          <w:b/>
        </w:rPr>
        <w:t xml:space="preserve">RECURRENTE </w:t>
      </w:r>
      <w:r w:rsidRPr="00386F65">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4340A015" w14:textId="77777777" w:rsidR="00F7284D" w:rsidRPr="00386F65" w:rsidRDefault="00F7284D" w:rsidP="00BD631B">
      <w:pPr>
        <w:shd w:val="clear" w:color="auto" w:fill="FFFFFF"/>
        <w:spacing w:line="360" w:lineRule="auto"/>
        <w:jc w:val="both"/>
        <w:rPr>
          <w:rFonts w:ascii="Palatino Linotype" w:eastAsia="Palatino Linotype" w:hAnsi="Palatino Linotype" w:cs="Palatino Linotype"/>
        </w:rPr>
      </w:pPr>
    </w:p>
    <w:p w14:paraId="6BFB7B8A" w14:textId="77777777" w:rsidR="00BD631B" w:rsidRPr="00386F65" w:rsidRDefault="00BD631B" w:rsidP="00BD631B">
      <w:pPr>
        <w:spacing w:before="240" w:after="240" w:line="360" w:lineRule="auto"/>
        <w:ind w:firstLine="1"/>
        <w:jc w:val="both"/>
        <w:rPr>
          <w:rFonts w:ascii="Palatino Linotype" w:hAnsi="Palatino Linotype"/>
        </w:rPr>
      </w:pPr>
      <w:bookmarkStart w:id="9" w:name="_Hlk99014733"/>
      <w:r w:rsidRPr="00386F6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386F65">
        <w:rPr>
          <w:rFonts w:ascii="Palatino Linotype" w:hAnsi="Palatino Linotype" w:cs="Palatino Linotype"/>
          <w:color w:val="000000" w:themeColor="text1"/>
        </w:rPr>
        <w:t>ALEXIS TAPIA RAMÍREZ.</w:t>
      </w:r>
    </w:p>
    <w:bookmarkEnd w:id="9"/>
    <w:p w14:paraId="48DEBA15" w14:textId="77777777" w:rsidR="00D95869" w:rsidRPr="00386F65" w:rsidRDefault="00D95869" w:rsidP="00BD631B">
      <w:pPr>
        <w:spacing w:line="360" w:lineRule="auto"/>
        <w:jc w:val="both"/>
        <w:rPr>
          <w:rFonts w:ascii="Palatino Linotype" w:eastAsia="Palatino Linotype" w:hAnsi="Palatino Linotype" w:cs="Palatino Linotype"/>
        </w:rPr>
      </w:pPr>
    </w:p>
    <w:p w14:paraId="2395A0AE" w14:textId="77777777" w:rsidR="00D95869" w:rsidRPr="00386F65" w:rsidRDefault="00D95869" w:rsidP="00BD631B">
      <w:pPr>
        <w:spacing w:line="360" w:lineRule="auto"/>
        <w:jc w:val="both"/>
        <w:rPr>
          <w:rFonts w:ascii="Palatino Linotype" w:eastAsia="Palatino Linotype" w:hAnsi="Palatino Linotype" w:cs="Palatino Linotype"/>
        </w:rPr>
      </w:pPr>
    </w:p>
    <w:p w14:paraId="3E420003" w14:textId="77777777" w:rsidR="00D95869" w:rsidRPr="00386F65" w:rsidRDefault="00D95869" w:rsidP="00BD631B">
      <w:pPr>
        <w:spacing w:line="360" w:lineRule="auto"/>
        <w:jc w:val="both"/>
        <w:rPr>
          <w:rFonts w:ascii="Palatino Linotype" w:eastAsia="Palatino Linotype" w:hAnsi="Palatino Linotype" w:cs="Palatino Linotype"/>
        </w:rPr>
      </w:pPr>
    </w:p>
    <w:p w14:paraId="050753E7" w14:textId="77777777" w:rsidR="00D95869" w:rsidRPr="00386F65" w:rsidRDefault="00D95869" w:rsidP="00BD631B">
      <w:pPr>
        <w:spacing w:line="360" w:lineRule="auto"/>
        <w:jc w:val="both"/>
        <w:rPr>
          <w:rFonts w:ascii="Palatino Linotype" w:eastAsia="Palatino Linotype" w:hAnsi="Palatino Linotype" w:cs="Palatino Linotype"/>
        </w:rPr>
      </w:pPr>
    </w:p>
    <w:p w14:paraId="052A6C1C" w14:textId="77777777" w:rsidR="00D95869" w:rsidRPr="00386F65" w:rsidRDefault="00D95869" w:rsidP="00BD631B">
      <w:pPr>
        <w:spacing w:line="360" w:lineRule="auto"/>
        <w:jc w:val="both"/>
        <w:rPr>
          <w:rFonts w:ascii="Palatino Linotype" w:eastAsia="Palatino Linotype" w:hAnsi="Palatino Linotype" w:cs="Palatino Linotype"/>
        </w:rPr>
      </w:pPr>
    </w:p>
    <w:p w14:paraId="47822193" w14:textId="77777777" w:rsidR="00D95869" w:rsidRPr="00386F65" w:rsidRDefault="00D95869" w:rsidP="00BD631B">
      <w:pPr>
        <w:spacing w:line="360" w:lineRule="auto"/>
        <w:jc w:val="both"/>
        <w:rPr>
          <w:rFonts w:ascii="Palatino Linotype" w:eastAsia="Palatino Linotype" w:hAnsi="Palatino Linotype" w:cs="Palatino Linotype"/>
        </w:rPr>
      </w:pPr>
    </w:p>
    <w:p w14:paraId="664ECF1B" w14:textId="77777777" w:rsidR="00D95869" w:rsidRPr="00386F65" w:rsidRDefault="00D95869" w:rsidP="00BD631B">
      <w:pPr>
        <w:spacing w:line="360" w:lineRule="auto"/>
        <w:rPr>
          <w:rFonts w:ascii="Palatino Linotype" w:eastAsia="Palatino Linotype" w:hAnsi="Palatino Linotype" w:cs="Palatino Linotype"/>
        </w:rPr>
      </w:pPr>
    </w:p>
    <w:p w14:paraId="786C1C51" w14:textId="77777777" w:rsidR="00D95869" w:rsidRPr="00386F65" w:rsidRDefault="00D95869" w:rsidP="00BD631B">
      <w:pPr>
        <w:spacing w:line="360" w:lineRule="auto"/>
        <w:rPr>
          <w:rFonts w:ascii="Palatino Linotype" w:eastAsia="Palatino Linotype" w:hAnsi="Palatino Linotype" w:cs="Palatino Linotype"/>
        </w:rPr>
      </w:pPr>
    </w:p>
    <w:p w14:paraId="668743A3" w14:textId="77777777" w:rsidR="00D95869" w:rsidRPr="00386F65" w:rsidRDefault="00D95869" w:rsidP="00BD631B">
      <w:pPr>
        <w:spacing w:line="360" w:lineRule="auto"/>
        <w:rPr>
          <w:rFonts w:ascii="Palatino Linotype" w:eastAsia="Palatino Linotype" w:hAnsi="Palatino Linotype" w:cs="Palatino Linotype"/>
        </w:rPr>
      </w:pPr>
    </w:p>
    <w:p w14:paraId="6E3AB9ED" w14:textId="77777777" w:rsidR="00D95869" w:rsidRPr="00386F65" w:rsidRDefault="00D95869" w:rsidP="00BD631B">
      <w:pPr>
        <w:spacing w:line="360" w:lineRule="auto"/>
        <w:rPr>
          <w:rFonts w:ascii="Palatino Linotype" w:eastAsia="Palatino Linotype" w:hAnsi="Palatino Linotype" w:cs="Palatino Linotype"/>
        </w:rPr>
      </w:pPr>
    </w:p>
    <w:p w14:paraId="5DFBA0A6" w14:textId="77777777" w:rsidR="00D95869" w:rsidRPr="00386F65" w:rsidRDefault="00D95869" w:rsidP="00BD631B">
      <w:pPr>
        <w:spacing w:line="360" w:lineRule="auto"/>
        <w:rPr>
          <w:rFonts w:ascii="Palatino Linotype" w:eastAsia="Palatino Linotype" w:hAnsi="Palatino Linotype" w:cs="Palatino Linotype"/>
        </w:rPr>
      </w:pPr>
    </w:p>
    <w:p w14:paraId="194EDB58" w14:textId="77777777" w:rsidR="00D95869" w:rsidRPr="00386F65" w:rsidRDefault="00D95869" w:rsidP="00BD631B">
      <w:pPr>
        <w:spacing w:line="360" w:lineRule="auto"/>
        <w:rPr>
          <w:rFonts w:ascii="Palatino Linotype" w:eastAsia="Palatino Linotype" w:hAnsi="Palatino Linotype" w:cs="Palatino Linotype"/>
        </w:rPr>
      </w:pPr>
    </w:p>
    <w:p w14:paraId="01418D0C" w14:textId="77777777" w:rsidR="00D95869" w:rsidRPr="00386F65" w:rsidRDefault="00D95869" w:rsidP="00BD631B">
      <w:pPr>
        <w:spacing w:line="360" w:lineRule="auto"/>
        <w:rPr>
          <w:rFonts w:ascii="Palatino Linotype" w:eastAsia="Palatino Linotype" w:hAnsi="Palatino Linotype" w:cs="Palatino Linotype"/>
        </w:rPr>
      </w:pPr>
    </w:p>
    <w:p w14:paraId="4ACCC32D" w14:textId="77777777" w:rsidR="00D95869" w:rsidRPr="00386F65" w:rsidRDefault="00D95869" w:rsidP="00BD631B"/>
    <w:p w14:paraId="2C686992" w14:textId="77777777" w:rsidR="00D95869" w:rsidRPr="00386F65" w:rsidRDefault="00D95869" w:rsidP="00BD631B"/>
    <w:p w14:paraId="3CA6CB46" w14:textId="77777777" w:rsidR="00D95869" w:rsidRPr="00386F65" w:rsidRDefault="00D95869" w:rsidP="00BD631B"/>
    <w:p w14:paraId="4AB1BC90" w14:textId="77777777" w:rsidR="006603F1" w:rsidRPr="00386F65" w:rsidRDefault="006603F1" w:rsidP="00BD631B"/>
    <w:sectPr w:rsidR="006603F1" w:rsidRPr="00386F65" w:rsidSect="00386F65">
      <w:headerReference w:type="even" r:id="rId8"/>
      <w:headerReference w:type="default" r:id="rId9"/>
      <w:footerReference w:type="default" r:id="rId10"/>
      <w:headerReference w:type="first" r:id="rId11"/>
      <w:footerReference w:type="first" r:id="rId12"/>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DCD18" w14:textId="77777777" w:rsidR="00935768" w:rsidRDefault="00935768" w:rsidP="00D95869">
      <w:r>
        <w:separator/>
      </w:r>
    </w:p>
  </w:endnote>
  <w:endnote w:type="continuationSeparator" w:id="0">
    <w:p w14:paraId="26D10ECB" w14:textId="77777777" w:rsidR="00935768" w:rsidRDefault="00935768" w:rsidP="00D95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18256" w14:textId="77777777" w:rsidR="009C66A7" w:rsidRPr="00386F65" w:rsidRDefault="009C66A7">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386F65">
      <w:rPr>
        <w:rFonts w:ascii="Palatino Linotype" w:hAnsi="Palatino Linotype"/>
        <w:color w:val="000000"/>
        <w:sz w:val="22"/>
      </w:rPr>
      <w:t xml:space="preserve">Página </w:t>
    </w:r>
    <w:r w:rsidRPr="00386F65">
      <w:rPr>
        <w:rFonts w:ascii="Palatino Linotype" w:hAnsi="Palatino Linotype"/>
        <w:b/>
        <w:color w:val="000000"/>
        <w:sz w:val="22"/>
      </w:rPr>
      <w:fldChar w:fldCharType="begin"/>
    </w:r>
    <w:r w:rsidRPr="00386F65">
      <w:rPr>
        <w:rFonts w:ascii="Palatino Linotype" w:hAnsi="Palatino Linotype"/>
        <w:b/>
        <w:color w:val="000000"/>
        <w:sz w:val="22"/>
      </w:rPr>
      <w:instrText>PAGE</w:instrText>
    </w:r>
    <w:r w:rsidRPr="00386F65">
      <w:rPr>
        <w:rFonts w:ascii="Palatino Linotype" w:hAnsi="Palatino Linotype"/>
        <w:b/>
        <w:color w:val="000000"/>
        <w:sz w:val="22"/>
      </w:rPr>
      <w:fldChar w:fldCharType="separate"/>
    </w:r>
    <w:r w:rsidR="00386F65">
      <w:rPr>
        <w:rFonts w:ascii="Palatino Linotype" w:hAnsi="Palatino Linotype"/>
        <w:b/>
        <w:noProof/>
        <w:color w:val="000000"/>
        <w:sz w:val="22"/>
      </w:rPr>
      <w:t>21</w:t>
    </w:r>
    <w:r w:rsidRPr="00386F65">
      <w:rPr>
        <w:rFonts w:ascii="Palatino Linotype" w:hAnsi="Palatino Linotype"/>
        <w:b/>
        <w:color w:val="000000"/>
        <w:sz w:val="22"/>
      </w:rPr>
      <w:fldChar w:fldCharType="end"/>
    </w:r>
    <w:r w:rsidRPr="00386F65">
      <w:rPr>
        <w:rFonts w:ascii="Palatino Linotype" w:hAnsi="Palatino Linotype"/>
        <w:color w:val="000000"/>
        <w:sz w:val="22"/>
      </w:rPr>
      <w:t xml:space="preserve"> de </w:t>
    </w:r>
    <w:r w:rsidRPr="00386F65">
      <w:rPr>
        <w:rFonts w:ascii="Palatino Linotype" w:hAnsi="Palatino Linotype"/>
        <w:b/>
        <w:color w:val="000000"/>
        <w:sz w:val="22"/>
      </w:rPr>
      <w:fldChar w:fldCharType="begin"/>
    </w:r>
    <w:r w:rsidRPr="00386F65">
      <w:rPr>
        <w:rFonts w:ascii="Palatino Linotype" w:hAnsi="Palatino Linotype"/>
        <w:b/>
        <w:color w:val="000000"/>
        <w:sz w:val="22"/>
      </w:rPr>
      <w:instrText>NUMPAGES</w:instrText>
    </w:r>
    <w:r w:rsidRPr="00386F65">
      <w:rPr>
        <w:rFonts w:ascii="Palatino Linotype" w:hAnsi="Palatino Linotype"/>
        <w:b/>
        <w:color w:val="000000"/>
        <w:sz w:val="22"/>
      </w:rPr>
      <w:fldChar w:fldCharType="separate"/>
    </w:r>
    <w:r w:rsidR="00386F65">
      <w:rPr>
        <w:rFonts w:ascii="Palatino Linotype" w:hAnsi="Palatino Linotype"/>
        <w:b/>
        <w:noProof/>
        <w:color w:val="000000"/>
        <w:sz w:val="22"/>
      </w:rPr>
      <w:t>22</w:t>
    </w:r>
    <w:r w:rsidRPr="00386F65">
      <w:rPr>
        <w:rFonts w:ascii="Palatino Linotype" w:hAnsi="Palatino Linotype"/>
        <w:b/>
        <w:color w:val="000000"/>
        <w:sz w:val="22"/>
      </w:rPr>
      <w:fldChar w:fldCharType="end"/>
    </w:r>
  </w:p>
  <w:p w14:paraId="33D1F822" w14:textId="77777777" w:rsidR="009C66A7" w:rsidRDefault="009C66A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72224" w14:textId="77777777" w:rsidR="009C66A7" w:rsidRPr="00386F65" w:rsidRDefault="009C66A7">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386F65">
      <w:rPr>
        <w:rFonts w:ascii="Palatino Linotype" w:hAnsi="Palatino Linotype"/>
        <w:color w:val="000000"/>
        <w:sz w:val="22"/>
      </w:rPr>
      <w:t xml:space="preserve">Página </w:t>
    </w:r>
    <w:r w:rsidRPr="00386F65">
      <w:rPr>
        <w:rFonts w:ascii="Palatino Linotype" w:hAnsi="Palatino Linotype"/>
        <w:b/>
        <w:color w:val="000000"/>
        <w:sz w:val="22"/>
      </w:rPr>
      <w:fldChar w:fldCharType="begin"/>
    </w:r>
    <w:r w:rsidRPr="00386F65">
      <w:rPr>
        <w:rFonts w:ascii="Palatino Linotype" w:hAnsi="Palatino Linotype"/>
        <w:b/>
        <w:color w:val="000000"/>
        <w:sz w:val="22"/>
      </w:rPr>
      <w:instrText>PAGE</w:instrText>
    </w:r>
    <w:r w:rsidRPr="00386F65">
      <w:rPr>
        <w:rFonts w:ascii="Palatino Linotype" w:hAnsi="Palatino Linotype"/>
        <w:b/>
        <w:color w:val="000000"/>
        <w:sz w:val="22"/>
      </w:rPr>
      <w:fldChar w:fldCharType="separate"/>
    </w:r>
    <w:r w:rsidR="00386F65">
      <w:rPr>
        <w:rFonts w:ascii="Palatino Linotype" w:hAnsi="Palatino Linotype"/>
        <w:b/>
        <w:noProof/>
        <w:color w:val="000000"/>
        <w:sz w:val="22"/>
      </w:rPr>
      <w:t>1</w:t>
    </w:r>
    <w:r w:rsidRPr="00386F65">
      <w:rPr>
        <w:rFonts w:ascii="Palatino Linotype" w:hAnsi="Palatino Linotype"/>
        <w:b/>
        <w:color w:val="000000"/>
        <w:sz w:val="22"/>
      </w:rPr>
      <w:fldChar w:fldCharType="end"/>
    </w:r>
    <w:r w:rsidRPr="00386F65">
      <w:rPr>
        <w:rFonts w:ascii="Palatino Linotype" w:hAnsi="Palatino Linotype"/>
        <w:color w:val="000000"/>
        <w:sz w:val="22"/>
      </w:rPr>
      <w:t xml:space="preserve"> de </w:t>
    </w:r>
    <w:r w:rsidRPr="00386F65">
      <w:rPr>
        <w:rFonts w:ascii="Palatino Linotype" w:hAnsi="Palatino Linotype"/>
        <w:b/>
        <w:color w:val="000000"/>
        <w:sz w:val="22"/>
      </w:rPr>
      <w:fldChar w:fldCharType="begin"/>
    </w:r>
    <w:r w:rsidRPr="00386F65">
      <w:rPr>
        <w:rFonts w:ascii="Palatino Linotype" w:hAnsi="Palatino Linotype"/>
        <w:b/>
        <w:color w:val="000000"/>
        <w:sz w:val="22"/>
      </w:rPr>
      <w:instrText>NUMPAGES</w:instrText>
    </w:r>
    <w:r w:rsidRPr="00386F65">
      <w:rPr>
        <w:rFonts w:ascii="Palatino Linotype" w:hAnsi="Palatino Linotype"/>
        <w:b/>
        <w:color w:val="000000"/>
        <w:sz w:val="22"/>
      </w:rPr>
      <w:fldChar w:fldCharType="separate"/>
    </w:r>
    <w:r w:rsidR="00386F65">
      <w:rPr>
        <w:rFonts w:ascii="Palatino Linotype" w:hAnsi="Palatino Linotype"/>
        <w:b/>
        <w:noProof/>
        <w:color w:val="000000"/>
        <w:sz w:val="22"/>
      </w:rPr>
      <w:t>22</w:t>
    </w:r>
    <w:r w:rsidRPr="00386F65">
      <w:rPr>
        <w:rFonts w:ascii="Palatino Linotype" w:hAnsi="Palatino Linotype"/>
        <w:b/>
        <w:color w:val="000000"/>
        <w:sz w:val="22"/>
      </w:rPr>
      <w:fldChar w:fldCharType="end"/>
    </w:r>
  </w:p>
  <w:p w14:paraId="1C0577F4" w14:textId="77777777" w:rsidR="009C66A7" w:rsidRDefault="009C66A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C99F9D" w14:textId="77777777" w:rsidR="00935768" w:rsidRDefault="00935768" w:rsidP="00D95869">
      <w:r>
        <w:separator/>
      </w:r>
    </w:p>
  </w:footnote>
  <w:footnote w:type="continuationSeparator" w:id="0">
    <w:p w14:paraId="6BC5B279" w14:textId="77777777" w:rsidR="00935768" w:rsidRDefault="00935768" w:rsidP="00D958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1EB6A" w14:textId="77777777" w:rsidR="009C66A7" w:rsidRDefault="00935768">
    <w:pPr>
      <w:pBdr>
        <w:top w:val="nil"/>
        <w:left w:val="nil"/>
        <w:bottom w:val="nil"/>
        <w:right w:val="nil"/>
        <w:between w:val="nil"/>
      </w:pBdr>
      <w:tabs>
        <w:tab w:val="center" w:pos="4419"/>
        <w:tab w:val="right" w:pos="8838"/>
      </w:tabs>
      <w:rPr>
        <w:color w:val="000000"/>
      </w:rPr>
    </w:pPr>
    <w:r>
      <w:rPr>
        <w:color w:val="000000"/>
      </w:rPr>
      <w:pict w14:anchorId="46A7B7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875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268"/>
      <w:gridCol w:w="8080"/>
    </w:tblGrid>
    <w:tr w:rsidR="009C66A7" w14:paraId="72D933F5" w14:textId="77777777" w:rsidTr="00386F65">
      <w:trPr>
        <w:trHeight w:val="1734"/>
      </w:trPr>
      <w:tc>
        <w:tcPr>
          <w:tcW w:w="2268" w:type="dxa"/>
        </w:tcPr>
        <w:p w14:paraId="717ADDA8" w14:textId="79DEB6E3" w:rsidR="009C66A7" w:rsidRDefault="00386F65">
          <w:pPr>
            <w:tabs>
              <w:tab w:val="right" w:pos="4273"/>
            </w:tabs>
            <w:rPr>
              <w:rFonts w:ascii="Garamond" w:eastAsia="Garamond" w:hAnsi="Garamond" w:cs="Garamond"/>
              <w:sz w:val="16"/>
              <w:szCs w:val="16"/>
            </w:rPr>
          </w:pPr>
          <w:r>
            <w:rPr>
              <w:rFonts w:eastAsia="Calibri"/>
              <w:noProof/>
              <w:color w:val="000000"/>
            </w:rPr>
            <w:drawing>
              <wp:anchor distT="0" distB="0" distL="0" distR="0" simplePos="0" relativeHeight="251656704" behindDoc="1" locked="0" layoutInCell="1" hidden="0" allowOverlap="1" wp14:anchorId="1C9D2FD4" wp14:editId="6C91B1EF">
                <wp:simplePos x="0" y="0"/>
                <wp:positionH relativeFrom="page">
                  <wp:posOffset>-1088258</wp:posOffset>
                </wp:positionH>
                <wp:positionV relativeFrom="margin">
                  <wp:posOffset>-448945</wp:posOffset>
                </wp:positionV>
                <wp:extent cx="7694930" cy="10020300"/>
                <wp:effectExtent l="0" t="0" r="1270" b="0"/>
                <wp:wrapNone/>
                <wp:docPr id="6"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
                        <a:srcRect/>
                        <a:stretch>
                          <a:fillRect/>
                        </a:stretch>
                      </pic:blipFill>
                      <pic:spPr>
                        <a:xfrm>
                          <a:off x="0" y="0"/>
                          <a:ext cx="7694930" cy="10020300"/>
                        </a:xfrm>
                        <a:prstGeom prst="rect">
                          <a:avLst/>
                        </a:prstGeom>
                        <a:ln/>
                      </pic:spPr>
                    </pic:pic>
                  </a:graphicData>
                </a:graphic>
                <wp14:sizeRelH relativeFrom="margin">
                  <wp14:pctWidth>0</wp14:pctWidth>
                </wp14:sizeRelH>
                <wp14:sizeRelV relativeFrom="margin">
                  <wp14:pctHeight>0</wp14:pctHeight>
                </wp14:sizeRelV>
              </wp:anchor>
            </w:drawing>
          </w:r>
        </w:p>
      </w:tc>
      <w:tc>
        <w:tcPr>
          <w:tcW w:w="8080" w:type="dxa"/>
        </w:tcPr>
        <w:tbl>
          <w:tblPr>
            <w:tblW w:w="7410" w:type="dxa"/>
            <w:tblInd w:w="218" w:type="dxa"/>
            <w:tblBorders>
              <w:top w:val="nil"/>
              <w:left w:val="nil"/>
              <w:bottom w:val="nil"/>
              <w:right w:val="nil"/>
              <w:insideH w:val="nil"/>
              <w:insideV w:val="nil"/>
            </w:tblBorders>
            <w:tblLayout w:type="fixed"/>
            <w:tblLook w:val="0400" w:firstRow="0" w:lastRow="0" w:firstColumn="0" w:lastColumn="0" w:noHBand="0" w:noVBand="1"/>
          </w:tblPr>
          <w:tblGrid>
            <w:gridCol w:w="3720"/>
            <w:gridCol w:w="3690"/>
          </w:tblGrid>
          <w:tr w:rsidR="009C66A7" w14:paraId="00305944" w14:textId="77777777" w:rsidTr="00386F65">
            <w:trPr>
              <w:trHeight w:val="138"/>
            </w:trPr>
            <w:tc>
              <w:tcPr>
                <w:tcW w:w="3720" w:type="dxa"/>
                <w:vAlign w:val="center"/>
              </w:tcPr>
              <w:p w14:paraId="5314DB32" w14:textId="77777777" w:rsidR="009C66A7" w:rsidRPr="00BD631B" w:rsidRDefault="009C66A7" w:rsidP="004A250D">
                <w:pPr>
                  <w:ind w:right="34"/>
                  <w:jc w:val="right"/>
                  <w:rPr>
                    <w:rFonts w:ascii="Palatino Linotype" w:eastAsia="Palatino Linotype" w:hAnsi="Palatino Linotype" w:cs="Palatino Linotype"/>
                    <w:b/>
                  </w:rPr>
                </w:pPr>
                <w:r w:rsidRPr="00BD631B">
                  <w:rPr>
                    <w:rFonts w:ascii="Palatino Linotype" w:eastAsia="Palatino Linotype" w:hAnsi="Palatino Linotype" w:cs="Palatino Linotype"/>
                    <w:b/>
                  </w:rPr>
                  <w:t>RECURSO DE REVISIÓN:</w:t>
                </w:r>
              </w:p>
            </w:tc>
            <w:tc>
              <w:tcPr>
                <w:tcW w:w="3690" w:type="dxa"/>
                <w:vAlign w:val="center"/>
              </w:tcPr>
              <w:p w14:paraId="6229FF34" w14:textId="691D0D43" w:rsidR="009C66A7" w:rsidRPr="00386F65" w:rsidRDefault="009C66A7" w:rsidP="004A250D">
                <w:pPr>
                  <w:spacing w:line="360" w:lineRule="auto"/>
                  <w:jc w:val="both"/>
                  <w:rPr>
                    <w:rFonts w:ascii="Palatino Linotype" w:eastAsia="Palatino Linotype" w:hAnsi="Palatino Linotype" w:cs="Palatino Linotype"/>
                  </w:rPr>
                </w:pPr>
                <w:r w:rsidRPr="00386F65">
                  <w:rPr>
                    <w:rFonts w:ascii="Palatino Linotype" w:eastAsia="Palatino Linotype" w:hAnsi="Palatino Linotype" w:cs="Palatino Linotype"/>
                  </w:rPr>
                  <w:t>04008/INFOEM/IP/RR/2026</w:t>
                </w:r>
              </w:p>
            </w:tc>
          </w:tr>
          <w:tr w:rsidR="009C66A7" w14:paraId="760B1815" w14:textId="77777777" w:rsidTr="00386F65">
            <w:trPr>
              <w:trHeight w:val="233"/>
            </w:trPr>
            <w:tc>
              <w:tcPr>
                <w:tcW w:w="3720" w:type="dxa"/>
                <w:vAlign w:val="center"/>
              </w:tcPr>
              <w:p w14:paraId="59DD4458" w14:textId="77777777" w:rsidR="009C66A7" w:rsidRPr="00BD631B" w:rsidRDefault="009C66A7" w:rsidP="004A250D">
                <w:pPr>
                  <w:ind w:right="34"/>
                  <w:jc w:val="right"/>
                  <w:rPr>
                    <w:rFonts w:ascii="Palatino Linotype" w:eastAsia="Palatino Linotype" w:hAnsi="Palatino Linotype" w:cs="Palatino Linotype"/>
                    <w:b/>
                  </w:rPr>
                </w:pPr>
                <w:r w:rsidRPr="00BD631B">
                  <w:rPr>
                    <w:rFonts w:ascii="Palatino Linotype" w:eastAsia="Palatino Linotype" w:hAnsi="Palatino Linotype" w:cs="Palatino Linotype"/>
                    <w:b/>
                  </w:rPr>
                  <w:t>SUJETO OBLIGADO:</w:t>
                </w:r>
              </w:p>
            </w:tc>
            <w:tc>
              <w:tcPr>
                <w:tcW w:w="3690" w:type="dxa"/>
                <w:vAlign w:val="center"/>
              </w:tcPr>
              <w:p w14:paraId="1893B81E" w14:textId="51A678EF" w:rsidR="009C66A7" w:rsidRPr="00386F65" w:rsidRDefault="009C66A7" w:rsidP="00F83F41">
                <w:pPr>
                  <w:pBdr>
                    <w:top w:val="nil"/>
                    <w:left w:val="nil"/>
                    <w:bottom w:val="nil"/>
                    <w:right w:val="nil"/>
                    <w:between w:val="nil"/>
                  </w:pBdr>
                  <w:tabs>
                    <w:tab w:val="center" w:pos="4252"/>
                    <w:tab w:val="right" w:pos="8504"/>
                  </w:tabs>
                  <w:jc w:val="both"/>
                  <w:rPr>
                    <w:rFonts w:ascii="Palatino Linotype" w:eastAsia="Palatino Linotype" w:hAnsi="Palatino Linotype" w:cs="Palatino Linotype"/>
                  </w:rPr>
                </w:pPr>
                <w:r w:rsidRPr="00386F65">
                  <w:rPr>
                    <w:rFonts w:ascii="Palatino Linotype" w:eastAsia="Palatino Linotype" w:hAnsi="Palatino Linotype" w:cs="Palatino Linotype"/>
                    <w:bCs/>
                  </w:rPr>
                  <w:t>Secretaría de la Contraloría</w:t>
                </w:r>
              </w:p>
            </w:tc>
          </w:tr>
          <w:tr w:rsidR="009C66A7" w14:paraId="2D2FA474" w14:textId="77777777" w:rsidTr="00386F65">
            <w:trPr>
              <w:trHeight w:val="321"/>
            </w:trPr>
            <w:tc>
              <w:tcPr>
                <w:tcW w:w="3720" w:type="dxa"/>
                <w:vAlign w:val="center"/>
              </w:tcPr>
              <w:p w14:paraId="22A7DEE2" w14:textId="77777777" w:rsidR="009C66A7" w:rsidRPr="00BD631B" w:rsidRDefault="009C66A7" w:rsidP="004A250D">
                <w:pPr>
                  <w:ind w:right="34"/>
                  <w:jc w:val="right"/>
                  <w:rPr>
                    <w:rFonts w:ascii="Palatino Linotype" w:eastAsia="Palatino Linotype" w:hAnsi="Palatino Linotype" w:cs="Palatino Linotype"/>
                    <w:b/>
                  </w:rPr>
                </w:pPr>
                <w:r w:rsidRPr="00BD631B">
                  <w:rPr>
                    <w:rFonts w:ascii="Palatino Linotype" w:eastAsia="Palatino Linotype" w:hAnsi="Palatino Linotype" w:cs="Palatino Linotype"/>
                    <w:b/>
                  </w:rPr>
                  <w:t>COMISIONADA PONENTE:</w:t>
                </w:r>
              </w:p>
            </w:tc>
            <w:tc>
              <w:tcPr>
                <w:tcW w:w="3690" w:type="dxa"/>
                <w:vAlign w:val="center"/>
              </w:tcPr>
              <w:p w14:paraId="1D1E4451" w14:textId="77777777" w:rsidR="009C66A7" w:rsidRPr="00386F65" w:rsidRDefault="009C66A7" w:rsidP="004A250D">
                <w:pPr>
                  <w:pBdr>
                    <w:top w:val="nil"/>
                    <w:left w:val="nil"/>
                    <w:bottom w:val="nil"/>
                    <w:right w:val="nil"/>
                    <w:between w:val="nil"/>
                  </w:pBdr>
                  <w:tabs>
                    <w:tab w:val="center" w:pos="4252"/>
                    <w:tab w:val="right" w:pos="8504"/>
                  </w:tabs>
                  <w:rPr>
                    <w:rFonts w:ascii="Palatino Linotype" w:eastAsia="Palatino Linotype" w:hAnsi="Palatino Linotype" w:cs="Palatino Linotype"/>
                  </w:rPr>
                </w:pPr>
                <w:r w:rsidRPr="00386F65">
                  <w:rPr>
                    <w:rFonts w:ascii="Palatino Linotype" w:eastAsia="Palatino Linotype" w:hAnsi="Palatino Linotype" w:cs="Palatino Linotype"/>
                  </w:rPr>
                  <w:t>María del Rosario Mejía Ayala</w:t>
                </w:r>
              </w:p>
            </w:tc>
          </w:tr>
        </w:tbl>
        <w:p w14:paraId="17C4C57E" w14:textId="77777777" w:rsidR="009C66A7" w:rsidRDefault="009C66A7">
          <w:pPr>
            <w:tabs>
              <w:tab w:val="right" w:pos="8838"/>
            </w:tabs>
            <w:ind w:left="-28"/>
            <w:jc w:val="both"/>
            <w:rPr>
              <w:rFonts w:ascii="Arial" w:eastAsia="Arial" w:hAnsi="Arial" w:cs="Arial"/>
              <w:b/>
              <w:sz w:val="22"/>
              <w:szCs w:val="22"/>
            </w:rPr>
          </w:pPr>
        </w:p>
      </w:tc>
    </w:tr>
  </w:tbl>
  <w:p w14:paraId="11AB3F42" w14:textId="42816A7B" w:rsidR="009C66A7" w:rsidRDefault="009C66A7">
    <w:pPr>
      <w:pBdr>
        <w:top w:val="nil"/>
        <w:left w:val="nil"/>
        <w:bottom w:val="nil"/>
        <w:right w:val="nil"/>
        <w:between w:val="nil"/>
      </w:pBdr>
      <w:tabs>
        <w:tab w:val="center" w:pos="4419"/>
        <w:tab w:val="right" w:pos="8838"/>
      </w:tabs>
      <w:rPr>
        <w:color w:val="000000"/>
        <w:sz w:val="14"/>
        <w:szCs w:val="1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70" w:type="dxa"/>
      <w:tblLayout w:type="fixed"/>
      <w:tblLook w:val="0400" w:firstRow="0" w:lastRow="0" w:firstColumn="0" w:lastColumn="0" w:noHBand="0" w:noVBand="1"/>
    </w:tblPr>
    <w:tblGrid>
      <w:gridCol w:w="2265"/>
      <w:gridCol w:w="7605"/>
    </w:tblGrid>
    <w:tr w:rsidR="009C66A7" w14:paraId="20F0E5A5" w14:textId="77777777">
      <w:trPr>
        <w:trHeight w:val="1435"/>
      </w:trPr>
      <w:tc>
        <w:tcPr>
          <w:tcW w:w="2265" w:type="dxa"/>
        </w:tcPr>
        <w:p w14:paraId="2B144103" w14:textId="397EC768" w:rsidR="009C66A7" w:rsidRDefault="009C66A7">
          <w:pPr>
            <w:tabs>
              <w:tab w:val="right" w:pos="4273"/>
            </w:tabs>
            <w:rPr>
              <w:rFonts w:ascii="Garamond" w:eastAsia="Garamond" w:hAnsi="Garamond" w:cs="Garamond"/>
              <w:sz w:val="22"/>
              <w:szCs w:val="22"/>
            </w:rPr>
          </w:pPr>
        </w:p>
      </w:tc>
      <w:tc>
        <w:tcPr>
          <w:tcW w:w="7605" w:type="dxa"/>
        </w:tcPr>
        <w:tbl>
          <w:tblPr>
            <w:tblW w:w="7692" w:type="dxa"/>
            <w:tblInd w:w="435" w:type="dxa"/>
            <w:tblBorders>
              <w:top w:val="nil"/>
              <w:left w:val="nil"/>
              <w:bottom w:val="nil"/>
              <w:right w:val="nil"/>
              <w:insideH w:val="nil"/>
              <w:insideV w:val="nil"/>
            </w:tblBorders>
            <w:tblLayout w:type="fixed"/>
            <w:tblLook w:val="0400" w:firstRow="0" w:lastRow="0" w:firstColumn="0" w:lastColumn="0" w:noHBand="0" w:noVBand="1"/>
          </w:tblPr>
          <w:tblGrid>
            <w:gridCol w:w="3581"/>
            <w:gridCol w:w="4111"/>
          </w:tblGrid>
          <w:tr w:rsidR="009C66A7" w:rsidRPr="00BD631B" w14:paraId="73F271CC" w14:textId="77777777" w:rsidTr="00386F65">
            <w:trPr>
              <w:trHeight w:val="138"/>
            </w:trPr>
            <w:tc>
              <w:tcPr>
                <w:tcW w:w="3581" w:type="dxa"/>
                <w:vAlign w:val="center"/>
              </w:tcPr>
              <w:p w14:paraId="2920BB76" w14:textId="77777777" w:rsidR="009C66A7" w:rsidRPr="00BD631B" w:rsidRDefault="009C66A7" w:rsidP="00BD631B">
                <w:pPr>
                  <w:jc w:val="right"/>
                  <w:rPr>
                    <w:rFonts w:ascii="Palatino Linotype" w:eastAsia="Palatino Linotype" w:hAnsi="Palatino Linotype" w:cs="Palatino Linotype"/>
                    <w:b/>
                    <w:szCs w:val="22"/>
                  </w:rPr>
                </w:pPr>
                <w:r w:rsidRPr="00BD631B">
                  <w:rPr>
                    <w:rFonts w:ascii="Palatino Linotype" w:eastAsia="Palatino Linotype" w:hAnsi="Palatino Linotype" w:cs="Palatino Linotype"/>
                    <w:b/>
                    <w:szCs w:val="22"/>
                  </w:rPr>
                  <w:t>RECURSO DE REVISIÓN:</w:t>
                </w:r>
              </w:p>
            </w:tc>
            <w:tc>
              <w:tcPr>
                <w:tcW w:w="4111" w:type="dxa"/>
                <w:vAlign w:val="center"/>
              </w:tcPr>
              <w:p w14:paraId="67C4620D" w14:textId="416AC20F" w:rsidR="009C66A7" w:rsidRPr="00386F65" w:rsidRDefault="009C66A7" w:rsidP="00BD631B">
                <w:pPr>
                  <w:tabs>
                    <w:tab w:val="center" w:pos="4252"/>
                    <w:tab w:val="right" w:pos="8504"/>
                  </w:tabs>
                  <w:spacing w:line="360" w:lineRule="auto"/>
                  <w:jc w:val="both"/>
                  <w:rPr>
                    <w:rFonts w:ascii="Palatino Linotype" w:eastAsia="Palatino Linotype" w:hAnsi="Palatino Linotype" w:cs="Palatino Linotype"/>
                    <w:szCs w:val="22"/>
                  </w:rPr>
                </w:pPr>
                <w:r w:rsidRPr="00386F65">
                  <w:rPr>
                    <w:rFonts w:ascii="Palatino Linotype" w:eastAsia="Palatino Linotype" w:hAnsi="Palatino Linotype" w:cs="Palatino Linotype"/>
                    <w:szCs w:val="22"/>
                  </w:rPr>
                  <w:t>04008/INFOEM/IP/RR/2026</w:t>
                </w:r>
              </w:p>
            </w:tc>
          </w:tr>
          <w:tr w:rsidR="009C66A7" w:rsidRPr="00BD631B" w14:paraId="3170BAD4" w14:textId="77777777" w:rsidTr="00386F65">
            <w:trPr>
              <w:trHeight w:val="233"/>
            </w:trPr>
            <w:tc>
              <w:tcPr>
                <w:tcW w:w="3581" w:type="dxa"/>
                <w:vAlign w:val="center"/>
              </w:tcPr>
              <w:p w14:paraId="3704A096" w14:textId="77777777" w:rsidR="009C66A7" w:rsidRPr="00BD631B" w:rsidRDefault="009C66A7" w:rsidP="00BD631B">
                <w:pPr>
                  <w:jc w:val="right"/>
                  <w:rPr>
                    <w:rFonts w:ascii="Palatino Linotype" w:eastAsia="Palatino Linotype" w:hAnsi="Palatino Linotype" w:cs="Palatino Linotype"/>
                    <w:b/>
                    <w:szCs w:val="22"/>
                  </w:rPr>
                </w:pPr>
                <w:r w:rsidRPr="00BD631B">
                  <w:rPr>
                    <w:rFonts w:ascii="Palatino Linotype" w:eastAsia="Palatino Linotype" w:hAnsi="Palatino Linotype" w:cs="Palatino Linotype"/>
                    <w:b/>
                    <w:szCs w:val="22"/>
                  </w:rPr>
                  <w:t>RECURRENTE:</w:t>
                </w:r>
              </w:p>
            </w:tc>
            <w:tc>
              <w:tcPr>
                <w:tcW w:w="4111" w:type="dxa"/>
              </w:tcPr>
              <w:p w14:paraId="47916F89" w14:textId="552A1FF3" w:rsidR="009C66A7" w:rsidRPr="00386F65" w:rsidRDefault="009C66A7" w:rsidP="00BD631B">
                <w:pPr>
                  <w:pBdr>
                    <w:top w:val="nil"/>
                    <w:left w:val="nil"/>
                    <w:bottom w:val="nil"/>
                    <w:right w:val="nil"/>
                    <w:between w:val="nil"/>
                  </w:pBdr>
                  <w:tabs>
                    <w:tab w:val="center" w:pos="4252"/>
                    <w:tab w:val="right" w:pos="8504"/>
                  </w:tabs>
                  <w:ind w:right="-107"/>
                  <w:rPr>
                    <w:rFonts w:ascii="Palatino Linotype" w:eastAsia="Palatino Linotype" w:hAnsi="Palatino Linotype" w:cs="Palatino Linotype"/>
                    <w:szCs w:val="22"/>
                  </w:rPr>
                </w:pPr>
              </w:p>
            </w:tc>
          </w:tr>
          <w:tr w:rsidR="009C66A7" w:rsidRPr="00BD631B" w14:paraId="18CCA37B" w14:textId="77777777" w:rsidTr="00386F65">
            <w:trPr>
              <w:trHeight w:val="321"/>
            </w:trPr>
            <w:tc>
              <w:tcPr>
                <w:tcW w:w="3581" w:type="dxa"/>
                <w:vAlign w:val="center"/>
              </w:tcPr>
              <w:p w14:paraId="4CBC2B9C" w14:textId="77777777" w:rsidR="009C66A7" w:rsidRPr="00BD631B" w:rsidRDefault="009C66A7" w:rsidP="00BD631B">
                <w:pPr>
                  <w:jc w:val="right"/>
                  <w:rPr>
                    <w:rFonts w:ascii="Palatino Linotype" w:eastAsia="Palatino Linotype" w:hAnsi="Palatino Linotype" w:cs="Palatino Linotype"/>
                    <w:b/>
                    <w:szCs w:val="22"/>
                  </w:rPr>
                </w:pPr>
                <w:r w:rsidRPr="00BD631B">
                  <w:rPr>
                    <w:rFonts w:ascii="Palatino Linotype" w:eastAsia="Palatino Linotype" w:hAnsi="Palatino Linotype" w:cs="Palatino Linotype"/>
                    <w:b/>
                    <w:szCs w:val="22"/>
                  </w:rPr>
                  <w:t>SUJETO OBLIGADO:</w:t>
                </w:r>
              </w:p>
            </w:tc>
            <w:tc>
              <w:tcPr>
                <w:tcW w:w="4111" w:type="dxa"/>
                <w:vAlign w:val="center"/>
              </w:tcPr>
              <w:p w14:paraId="69E1DC48" w14:textId="29F3DCBA" w:rsidR="009C66A7" w:rsidRPr="00386F65" w:rsidRDefault="009C66A7" w:rsidP="00BD631B">
                <w:pPr>
                  <w:jc w:val="both"/>
                  <w:rPr>
                    <w:rFonts w:ascii="Palatino Linotype" w:eastAsia="Palatino Linotype" w:hAnsi="Palatino Linotype" w:cs="Palatino Linotype"/>
                    <w:szCs w:val="22"/>
                  </w:rPr>
                </w:pPr>
                <w:r w:rsidRPr="00386F65">
                  <w:rPr>
                    <w:rFonts w:ascii="Palatino Linotype" w:eastAsia="Palatino Linotype" w:hAnsi="Palatino Linotype" w:cs="Palatino Linotype"/>
                    <w:bCs/>
                    <w:szCs w:val="22"/>
                  </w:rPr>
                  <w:t>Secretaría de la Contraloría</w:t>
                </w:r>
              </w:p>
            </w:tc>
          </w:tr>
          <w:tr w:rsidR="009C66A7" w:rsidRPr="00BD631B" w14:paraId="1F59B861" w14:textId="77777777" w:rsidTr="00386F65">
            <w:trPr>
              <w:trHeight w:val="321"/>
            </w:trPr>
            <w:tc>
              <w:tcPr>
                <w:tcW w:w="3581" w:type="dxa"/>
                <w:vAlign w:val="center"/>
              </w:tcPr>
              <w:p w14:paraId="7DA859AE" w14:textId="77777777" w:rsidR="009C66A7" w:rsidRPr="00BD631B" w:rsidRDefault="009C66A7" w:rsidP="00BD631B">
                <w:pPr>
                  <w:jc w:val="right"/>
                  <w:rPr>
                    <w:rFonts w:ascii="Palatino Linotype" w:eastAsia="Palatino Linotype" w:hAnsi="Palatino Linotype" w:cs="Palatino Linotype"/>
                    <w:b/>
                    <w:szCs w:val="22"/>
                  </w:rPr>
                </w:pPr>
                <w:r w:rsidRPr="00BD631B">
                  <w:rPr>
                    <w:rFonts w:ascii="Palatino Linotype" w:eastAsia="Palatino Linotype" w:hAnsi="Palatino Linotype" w:cs="Palatino Linotype"/>
                    <w:b/>
                    <w:szCs w:val="22"/>
                  </w:rPr>
                  <w:t>COMISIONADA PONENTE:</w:t>
                </w:r>
              </w:p>
            </w:tc>
            <w:tc>
              <w:tcPr>
                <w:tcW w:w="4111" w:type="dxa"/>
                <w:vAlign w:val="center"/>
              </w:tcPr>
              <w:p w14:paraId="3E856AA9" w14:textId="77777777" w:rsidR="009C66A7" w:rsidRPr="00386F65" w:rsidRDefault="009C66A7" w:rsidP="00BD631B">
                <w:pPr>
                  <w:pBdr>
                    <w:top w:val="nil"/>
                    <w:left w:val="nil"/>
                    <w:bottom w:val="nil"/>
                    <w:right w:val="nil"/>
                    <w:between w:val="nil"/>
                  </w:pBdr>
                  <w:tabs>
                    <w:tab w:val="center" w:pos="4252"/>
                    <w:tab w:val="right" w:pos="8504"/>
                  </w:tabs>
                  <w:rPr>
                    <w:rFonts w:ascii="Palatino Linotype" w:eastAsia="Palatino Linotype" w:hAnsi="Palatino Linotype" w:cs="Palatino Linotype"/>
                    <w:szCs w:val="22"/>
                  </w:rPr>
                </w:pPr>
                <w:r w:rsidRPr="00386F65">
                  <w:rPr>
                    <w:rFonts w:ascii="Palatino Linotype" w:eastAsia="Palatino Linotype" w:hAnsi="Palatino Linotype" w:cs="Palatino Linotype"/>
                    <w:szCs w:val="22"/>
                  </w:rPr>
                  <w:t>María del Rosario Mejía Ayala</w:t>
                </w:r>
              </w:p>
            </w:tc>
          </w:tr>
        </w:tbl>
        <w:p w14:paraId="500312B1" w14:textId="77777777" w:rsidR="009C66A7" w:rsidRDefault="009C66A7">
          <w:pPr>
            <w:tabs>
              <w:tab w:val="right" w:pos="8838"/>
            </w:tabs>
            <w:ind w:left="-28"/>
            <w:jc w:val="both"/>
            <w:rPr>
              <w:rFonts w:ascii="Arial" w:eastAsia="Arial" w:hAnsi="Arial" w:cs="Arial"/>
              <w:b/>
              <w:sz w:val="22"/>
              <w:szCs w:val="22"/>
            </w:rPr>
          </w:pPr>
        </w:p>
      </w:tc>
    </w:tr>
  </w:tbl>
  <w:p w14:paraId="54A6C082" w14:textId="4FB4B812" w:rsidR="009C66A7" w:rsidRDefault="00386F65">
    <w:pPr>
      <w:pBdr>
        <w:top w:val="nil"/>
        <w:left w:val="nil"/>
        <w:bottom w:val="nil"/>
        <w:right w:val="nil"/>
        <w:between w:val="nil"/>
      </w:pBdr>
      <w:tabs>
        <w:tab w:val="center" w:pos="4419"/>
        <w:tab w:val="right" w:pos="8838"/>
      </w:tabs>
      <w:rPr>
        <w:color w:val="000000"/>
        <w:sz w:val="2"/>
        <w:szCs w:val="2"/>
      </w:rPr>
    </w:pPr>
    <w:r>
      <w:rPr>
        <w:color w:val="000000"/>
        <w:sz w:val="2"/>
        <w:szCs w:val="2"/>
      </w:rPr>
      <w:pict w14:anchorId="529ED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7.45pt;margin-top:-114.25pt;width:589.8pt;height:768pt;z-index:-251657728;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791B"/>
    <w:multiLevelType w:val="multilevel"/>
    <w:tmpl w:val="2ECCC936"/>
    <w:lvl w:ilvl="0">
      <w:start w:val="15"/>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0E802B6"/>
    <w:multiLevelType w:val="multilevel"/>
    <w:tmpl w:val="716CA794"/>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2" w15:restartNumberingAfterBreak="0">
    <w:nsid w:val="01FF538A"/>
    <w:multiLevelType w:val="multilevel"/>
    <w:tmpl w:val="2AC05CD4"/>
    <w:lvl w:ilvl="0">
      <w:start w:val="29"/>
      <w:numFmt w:val="decimal"/>
      <w:lvlText w:val="%1."/>
      <w:lvlJc w:val="left"/>
      <w:pPr>
        <w:ind w:left="501"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207EDF"/>
    <w:multiLevelType w:val="multilevel"/>
    <w:tmpl w:val="B4906510"/>
    <w:lvl w:ilvl="0">
      <w:start w:val="12"/>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670AF7"/>
    <w:multiLevelType w:val="multilevel"/>
    <w:tmpl w:val="9A3A490C"/>
    <w:lvl w:ilvl="0">
      <w:start w:val="31"/>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6CF1DF6"/>
    <w:multiLevelType w:val="multilevel"/>
    <w:tmpl w:val="08889AB6"/>
    <w:lvl w:ilvl="0">
      <w:start w:val="1"/>
      <w:numFmt w:val="upperRoman"/>
      <w:lvlText w:val="%1."/>
      <w:lvlJc w:val="right"/>
      <w:pPr>
        <w:ind w:left="360" w:hanging="360"/>
      </w:pPr>
      <w:rPr>
        <w:rFonts w:hint="default"/>
        <w:b w:val="0"/>
        <w:i/>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75B1264"/>
    <w:multiLevelType w:val="multilevel"/>
    <w:tmpl w:val="B122E27C"/>
    <w:lvl w:ilvl="0">
      <w:start w:val="43"/>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9A30EE0"/>
    <w:multiLevelType w:val="multilevel"/>
    <w:tmpl w:val="8564F2D8"/>
    <w:lvl w:ilvl="0">
      <w:start w:val="25"/>
      <w:numFmt w:val="decimal"/>
      <w:lvlText w:val="%1."/>
      <w:lvlJc w:val="left"/>
      <w:pPr>
        <w:ind w:left="501"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3C96499"/>
    <w:multiLevelType w:val="multilevel"/>
    <w:tmpl w:val="5C60681E"/>
    <w:lvl w:ilvl="0">
      <w:start w:val="20"/>
      <w:numFmt w:val="decimal"/>
      <w:lvlText w:val="%1."/>
      <w:lvlJc w:val="left"/>
      <w:pPr>
        <w:ind w:left="501" w:hanging="359"/>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1637"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BCA679E"/>
    <w:multiLevelType w:val="multilevel"/>
    <w:tmpl w:val="C84EF0FA"/>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50FF0A1C"/>
    <w:multiLevelType w:val="multilevel"/>
    <w:tmpl w:val="FC6671E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D67040"/>
    <w:multiLevelType w:val="multilevel"/>
    <w:tmpl w:val="1D9EAE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41745DC"/>
    <w:multiLevelType w:val="multilevel"/>
    <w:tmpl w:val="08889AB6"/>
    <w:lvl w:ilvl="0">
      <w:start w:val="1"/>
      <w:numFmt w:val="upperRoman"/>
      <w:lvlText w:val="%1."/>
      <w:lvlJc w:val="right"/>
      <w:pPr>
        <w:ind w:left="360" w:hanging="360"/>
      </w:pPr>
      <w:rPr>
        <w:rFonts w:hint="default"/>
        <w:b w:val="0"/>
        <w:i/>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A177B67"/>
    <w:multiLevelType w:val="multilevel"/>
    <w:tmpl w:val="A468D25E"/>
    <w:lvl w:ilvl="0">
      <w:start w:val="13"/>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5A426195"/>
    <w:multiLevelType w:val="multilevel"/>
    <w:tmpl w:val="73DAE2FE"/>
    <w:lvl w:ilvl="0">
      <w:start w:val="1"/>
      <w:numFmt w:val="upperRoman"/>
      <w:lvlText w:val="%1."/>
      <w:lvlJc w:val="right"/>
      <w:pPr>
        <w:ind w:left="360" w:hanging="360"/>
      </w:pPr>
      <w:rPr>
        <w:rFonts w:hint="default"/>
        <w:b w:val="0"/>
        <w:i/>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07D77A4"/>
    <w:multiLevelType w:val="multilevel"/>
    <w:tmpl w:val="34064B5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12E7AAA"/>
    <w:multiLevelType w:val="hybridMultilevel"/>
    <w:tmpl w:val="5E7628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82232C9"/>
    <w:multiLevelType w:val="multilevel"/>
    <w:tmpl w:val="126645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EB3166C"/>
    <w:multiLevelType w:val="multilevel"/>
    <w:tmpl w:val="1832A88E"/>
    <w:lvl w:ilvl="0">
      <w:start w:val="21"/>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0860B9B"/>
    <w:multiLevelType w:val="multilevel"/>
    <w:tmpl w:val="C92656B0"/>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1701D9D"/>
    <w:multiLevelType w:val="hybridMultilevel"/>
    <w:tmpl w:val="DC8A1FCC"/>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22" w15:restartNumberingAfterBreak="0">
    <w:nsid w:val="745C4DFB"/>
    <w:multiLevelType w:val="multilevel"/>
    <w:tmpl w:val="C5D040BC"/>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1430"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9795EEB"/>
    <w:multiLevelType w:val="hybridMultilevel"/>
    <w:tmpl w:val="7804B722"/>
    <w:lvl w:ilvl="0" w:tplc="FAA8B6DC">
      <w:start w:val="1"/>
      <w:numFmt w:val="ordinalText"/>
      <w:lvlText w:val="%1."/>
      <w:lvlJc w:val="left"/>
      <w:pPr>
        <w:ind w:left="1920" w:hanging="360"/>
      </w:pPr>
      <w:rPr>
        <w:b/>
        <w:caps/>
        <w:sz w:val="28"/>
      </w:rPr>
    </w:lvl>
    <w:lvl w:ilvl="1" w:tplc="16B6B4A4">
      <w:start w:val="1"/>
      <w:numFmt w:val="decimal"/>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7B525769"/>
    <w:multiLevelType w:val="multilevel"/>
    <w:tmpl w:val="08889AB6"/>
    <w:lvl w:ilvl="0">
      <w:start w:val="1"/>
      <w:numFmt w:val="upperRoman"/>
      <w:lvlText w:val="%1."/>
      <w:lvlJc w:val="right"/>
      <w:pPr>
        <w:ind w:left="360" w:hanging="360"/>
      </w:pPr>
      <w:rPr>
        <w:rFonts w:hint="default"/>
        <w:b w:val="0"/>
        <w:i/>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7B9B3977"/>
    <w:multiLevelType w:val="multilevel"/>
    <w:tmpl w:val="B4DC13B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FAF3AF7"/>
    <w:multiLevelType w:val="multilevel"/>
    <w:tmpl w:val="3F0AD830"/>
    <w:lvl w:ilvl="0">
      <w:start w:val="7"/>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5"/>
  </w:num>
  <w:num w:numId="2">
    <w:abstractNumId w:val="20"/>
  </w:num>
  <w:num w:numId="3">
    <w:abstractNumId w:val="22"/>
  </w:num>
  <w:num w:numId="4">
    <w:abstractNumId w:val="11"/>
  </w:num>
  <w:num w:numId="5">
    <w:abstractNumId w:val="16"/>
  </w:num>
  <w:num w:numId="6">
    <w:abstractNumId w:val="1"/>
  </w:num>
  <w:num w:numId="7">
    <w:abstractNumId w:val="18"/>
  </w:num>
  <w:num w:numId="8">
    <w:abstractNumId w:val="12"/>
  </w:num>
  <w:num w:numId="9">
    <w:abstractNumId w:val="10"/>
  </w:num>
  <w:num w:numId="10">
    <w:abstractNumId w:val="9"/>
  </w:num>
  <w:num w:numId="11">
    <w:abstractNumId w:val="17"/>
  </w:num>
  <w:num w:numId="12">
    <w:abstractNumId w:val="26"/>
  </w:num>
  <w:num w:numId="13">
    <w:abstractNumId w:val="24"/>
  </w:num>
  <w:num w:numId="14">
    <w:abstractNumId w:val="15"/>
  </w:num>
  <w:num w:numId="15">
    <w:abstractNumId w:val="5"/>
  </w:num>
  <w:num w:numId="16">
    <w:abstractNumId w:val="13"/>
  </w:num>
  <w:num w:numId="17">
    <w:abstractNumId w:val="6"/>
  </w:num>
  <w:num w:numId="18">
    <w:abstractNumId w:val="3"/>
  </w:num>
  <w:num w:numId="19">
    <w:abstractNumId w:val="23"/>
  </w:num>
  <w:num w:numId="20">
    <w:abstractNumId w:val="8"/>
  </w:num>
  <w:num w:numId="21">
    <w:abstractNumId w:val="14"/>
  </w:num>
  <w:num w:numId="22">
    <w:abstractNumId w:val="19"/>
  </w:num>
  <w:num w:numId="23">
    <w:abstractNumId w:val="7"/>
  </w:num>
  <w:num w:numId="24">
    <w:abstractNumId w:val="2"/>
  </w:num>
  <w:num w:numId="25">
    <w:abstractNumId w:val="0"/>
  </w:num>
  <w:num w:numId="26">
    <w:abstractNumId w:val="4"/>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869"/>
    <w:rsid w:val="0000767A"/>
    <w:rsid w:val="0004484F"/>
    <w:rsid w:val="00090988"/>
    <w:rsid w:val="0010106A"/>
    <w:rsid w:val="001563D1"/>
    <w:rsid w:val="002118D5"/>
    <w:rsid w:val="0025184D"/>
    <w:rsid w:val="002612AF"/>
    <w:rsid w:val="002806D1"/>
    <w:rsid w:val="00335057"/>
    <w:rsid w:val="00353105"/>
    <w:rsid w:val="00386F65"/>
    <w:rsid w:val="00395293"/>
    <w:rsid w:val="003A7B67"/>
    <w:rsid w:val="003C2875"/>
    <w:rsid w:val="003C6B8B"/>
    <w:rsid w:val="00425991"/>
    <w:rsid w:val="00464CC4"/>
    <w:rsid w:val="004A250D"/>
    <w:rsid w:val="004C435B"/>
    <w:rsid w:val="00541610"/>
    <w:rsid w:val="006018A8"/>
    <w:rsid w:val="00634C89"/>
    <w:rsid w:val="006603F1"/>
    <w:rsid w:val="006C0461"/>
    <w:rsid w:val="006F2E8D"/>
    <w:rsid w:val="00710D0E"/>
    <w:rsid w:val="0073300A"/>
    <w:rsid w:val="007567DD"/>
    <w:rsid w:val="008040B2"/>
    <w:rsid w:val="00890383"/>
    <w:rsid w:val="008C5F03"/>
    <w:rsid w:val="008E70CE"/>
    <w:rsid w:val="00916867"/>
    <w:rsid w:val="00935768"/>
    <w:rsid w:val="00963880"/>
    <w:rsid w:val="009C66A7"/>
    <w:rsid w:val="00A11E3A"/>
    <w:rsid w:val="00A7419A"/>
    <w:rsid w:val="00A92BD0"/>
    <w:rsid w:val="00AF00A2"/>
    <w:rsid w:val="00B04A8C"/>
    <w:rsid w:val="00B3042C"/>
    <w:rsid w:val="00BC110E"/>
    <w:rsid w:val="00BC64B5"/>
    <w:rsid w:val="00BD61B2"/>
    <w:rsid w:val="00BD631B"/>
    <w:rsid w:val="00BE23AB"/>
    <w:rsid w:val="00C47236"/>
    <w:rsid w:val="00CA1480"/>
    <w:rsid w:val="00D30553"/>
    <w:rsid w:val="00D67281"/>
    <w:rsid w:val="00D9447E"/>
    <w:rsid w:val="00D95869"/>
    <w:rsid w:val="00E26F62"/>
    <w:rsid w:val="00E375D2"/>
    <w:rsid w:val="00E767C9"/>
    <w:rsid w:val="00E82518"/>
    <w:rsid w:val="00EA6775"/>
    <w:rsid w:val="00F03AF7"/>
    <w:rsid w:val="00F30B17"/>
    <w:rsid w:val="00F7284D"/>
    <w:rsid w:val="00F83F41"/>
    <w:rsid w:val="00F85ADC"/>
    <w:rsid w:val="00F923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A88C21B"/>
  <w15:chartTrackingRefBased/>
  <w15:docId w15:val="{C42F2C77-104D-4538-BEE6-B7BF5A91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869"/>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D958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958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9586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9586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9586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9586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9586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9586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9586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9586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9586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9586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9586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9586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9586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9586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9586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95869"/>
    <w:rPr>
      <w:rFonts w:eastAsiaTheme="majorEastAsia" w:cstheme="majorBidi"/>
      <w:color w:val="272727" w:themeColor="text1" w:themeTint="D8"/>
    </w:rPr>
  </w:style>
  <w:style w:type="paragraph" w:styleId="Puesto">
    <w:name w:val="Title"/>
    <w:basedOn w:val="Normal"/>
    <w:next w:val="Normal"/>
    <w:link w:val="PuestoCar"/>
    <w:uiPriority w:val="10"/>
    <w:qFormat/>
    <w:rsid w:val="00D95869"/>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D9586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9586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9586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95869"/>
    <w:pPr>
      <w:spacing w:before="160"/>
      <w:jc w:val="center"/>
    </w:pPr>
    <w:rPr>
      <w:i/>
      <w:iCs/>
      <w:color w:val="404040" w:themeColor="text1" w:themeTint="BF"/>
    </w:rPr>
  </w:style>
  <w:style w:type="character" w:customStyle="1" w:styleId="CitaCar">
    <w:name w:val="Cita Car"/>
    <w:basedOn w:val="Fuentedeprrafopredeter"/>
    <w:link w:val="Cita"/>
    <w:uiPriority w:val="29"/>
    <w:rsid w:val="00D95869"/>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95869"/>
    <w:pPr>
      <w:ind w:left="720"/>
      <w:contextualSpacing/>
    </w:pPr>
  </w:style>
  <w:style w:type="character" w:styleId="nfasisintenso">
    <w:name w:val="Intense Emphasis"/>
    <w:basedOn w:val="Fuentedeprrafopredeter"/>
    <w:uiPriority w:val="21"/>
    <w:qFormat/>
    <w:rsid w:val="00D95869"/>
    <w:rPr>
      <w:i/>
      <w:iCs/>
      <w:color w:val="0F4761" w:themeColor="accent1" w:themeShade="BF"/>
    </w:rPr>
  </w:style>
  <w:style w:type="paragraph" w:styleId="Citadestacada">
    <w:name w:val="Intense Quote"/>
    <w:basedOn w:val="Normal"/>
    <w:next w:val="Normal"/>
    <w:link w:val="CitadestacadaCar"/>
    <w:uiPriority w:val="30"/>
    <w:qFormat/>
    <w:rsid w:val="00D958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95869"/>
    <w:rPr>
      <w:i/>
      <w:iCs/>
      <w:color w:val="0F4761" w:themeColor="accent1" w:themeShade="BF"/>
    </w:rPr>
  </w:style>
  <w:style w:type="character" w:styleId="Referenciaintensa">
    <w:name w:val="Intense Reference"/>
    <w:basedOn w:val="Fuentedeprrafopredeter"/>
    <w:uiPriority w:val="32"/>
    <w:qFormat/>
    <w:rsid w:val="00D95869"/>
    <w:rPr>
      <w:b/>
      <w:bCs/>
      <w:smallCaps/>
      <w:color w:val="0F4761"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D95869"/>
  </w:style>
  <w:style w:type="paragraph" w:styleId="Sinespaciado">
    <w:name w:val="No Spacing"/>
    <w:aliases w:val="Francesa,INAI"/>
    <w:link w:val="SinespaciadoCar"/>
    <w:uiPriority w:val="1"/>
    <w:qFormat/>
    <w:rsid w:val="00D95869"/>
    <w:pPr>
      <w:spacing w:after="0" w:line="240" w:lineRule="auto"/>
    </w:pPr>
    <w:rPr>
      <w:rFonts w:ascii="Times New Roman" w:eastAsia="Times New Roman" w:hAnsi="Times New Roman" w:cs="Times New Roman"/>
      <w:sz w:val="24"/>
      <w:szCs w:val="24"/>
      <w:lang w:eastAsia="es-MX"/>
    </w:rPr>
  </w:style>
  <w:style w:type="character" w:customStyle="1" w:styleId="SinespaciadoCar">
    <w:name w:val="Sin espaciado Car"/>
    <w:aliases w:val="Francesa Car,INAI Car"/>
    <w:link w:val="Sinespaciado"/>
    <w:uiPriority w:val="1"/>
    <w:locked/>
    <w:rsid w:val="00D95869"/>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D95869"/>
    <w:pPr>
      <w:tabs>
        <w:tab w:val="center" w:pos="4419"/>
        <w:tab w:val="right" w:pos="8838"/>
      </w:tabs>
    </w:pPr>
  </w:style>
  <w:style w:type="character" w:customStyle="1" w:styleId="PiedepginaCar">
    <w:name w:val="Pie de página Car"/>
    <w:basedOn w:val="Fuentedeprrafopredeter"/>
    <w:link w:val="Piedepgina"/>
    <w:uiPriority w:val="99"/>
    <w:rsid w:val="00D95869"/>
    <w:rPr>
      <w:rFonts w:ascii="Times New Roman" w:eastAsia="Times New Roman" w:hAnsi="Times New Roman" w:cs="Times New Roman"/>
      <w:sz w:val="24"/>
      <w:szCs w:val="24"/>
      <w:lang w:eastAsia="es-MX"/>
    </w:rPr>
  </w:style>
  <w:style w:type="table" w:styleId="Tablaconcuadrcula">
    <w:name w:val="Table Grid"/>
    <w:basedOn w:val="Tablanormal"/>
    <w:uiPriority w:val="39"/>
    <w:rsid w:val="00E26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
    <w:name w:val="Grid Table 2"/>
    <w:basedOn w:val="Tablanormal"/>
    <w:uiPriority w:val="47"/>
    <w:rsid w:val="00E26F6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qFormat/>
    <w:rsid w:val="00F7284D"/>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Sangradetextonormal">
    <w:name w:val="Body Text Indent"/>
    <w:basedOn w:val="Normal"/>
    <w:link w:val="SangradetextonormalCar"/>
    <w:uiPriority w:val="99"/>
    <w:unhideWhenUsed/>
    <w:rsid w:val="003C6B8B"/>
    <w:pPr>
      <w:spacing w:after="120"/>
      <w:ind w:left="283"/>
    </w:pPr>
  </w:style>
  <w:style w:type="character" w:customStyle="1" w:styleId="SangradetextonormalCar">
    <w:name w:val="Sangría de texto normal Car"/>
    <w:basedOn w:val="Fuentedeprrafopredeter"/>
    <w:link w:val="Sangradetextonormal"/>
    <w:uiPriority w:val="99"/>
    <w:rsid w:val="003C6B8B"/>
    <w:rPr>
      <w:rFonts w:ascii="Times New Roman" w:eastAsia="Times New Roman" w:hAnsi="Times New Roman" w:cs="Times New Roman"/>
      <w:sz w:val="24"/>
      <w:szCs w:val="24"/>
      <w:lang w:eastAsia="es-MX"/>
    </w:rPr>
  </w:style>
  <w:style w:type="paragraph" w:styleId="Textoindependienteprimerasangra2">
    <w:name w:val="Body Text First Indent 2"/>
    <w:basedOn w:val="Sangradetextonormal"/>
    <w:link w:val="Textoindependienteprimerasangra2Car"/>
    <w:uiPriority w:val="99"/>
    <w:unhideWhenUsed/>
    <w:rsid w:val="003C6B8B"/>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C6B8B"/>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22</Pages>
  <Words>5829</Words>
  <Characters>32062</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6</cp:revision>
  <cp:lastPrinted>2026-07-03T16:05:00Z</cp:lastPrinted>
  <dcterms:created xsi:type="dcterms:W3CDTF">2026-06-25T18:46:00Z</dcterms:created>
  <dcterms:modified xsi:type="dcterms:W3CDTF">2026-07-07T22:09:00Z</dcterms:modified>
</cp:coreProperties>
</file>