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B9252" w14:textId="77777777" w:rsidR="00F96EEE" w:rsidRDefault="00C21126">
      <w:pPr>
        <w:spacing w:before="240" w:after="240" w:line="360" w:lineRule="auto"/>
        <w:ind w:right="139"/>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VOTO DISIDENTE QUE FORMULA LA COMISIONADA GUADALUPE RAMÍREZ PEÑA, EN RELACIÓN CON LA RESOLUCIÓN DICTADA POR EL PLENO DEL INSTITUTO DE TRANSPARENCIA, ACCESO A LA INFORMACIÓN PÚBLICA Y PROTECCIÓN DE DATOS PERSONALES DEL ESTADO DE MÉXICO Y MUNICIPIOS, EN LA V</w:t>
      </w:r>
      <w:r>
        <w:rPr>
          <w:rFonts w:ascii="Palatino Linotype" w:eastAsia="Palatino Linotype" w:hAnsi="Palatino Linotype" w:cs="Palatino Linotype"/>
          <w:b/>
          <w:sz w:val="24"/>
          <w:szCs w:val="24"/>
        </w:rPr>
        <w:t>IGÉSIMO QUINTA SESIÓN ORDINARIA CELEBRADA EL SEIS DE JULIO DE DOS MIL VEINTIDÓS, EN LOS RECURSOS DE REVISIÓN 04199/INFOEM/IP/RR/2022 y 04245/INFOEM/IP/RR/2022 ACUMULADOS.</w:t>
      </w:r>
    </w:p>
    <w:p w14:paraId="0B8909BE" w14:textId="77777777" w:rsidR="00F96EEE" w:rsidRDefault="00C21126">
      <w:pPr>
        <w:spacing w:before="240" w:after="240" w:line="360" w:lineRule="auto"/>
        <w:ind w:right="139"/>
        <w:jc w:val="both"/>
        <w:rPr>
          <w:rFonts w:ascii="Palatino Linotype" w:eastAsia="Palatino Linotype" w:hAnsi="Palatino Linotype" w:cs="Palatino Linotype"/>
          <w:b/>
        </w:rPr>
      </w:pPr>
      <w:r>
        <w:rPr>
          <w:rFonts w:ascii="Palatino Linotype" w:eastAsia="Palatino Linotype" w:hAnsi="Palatino Linotype" w:cs="Palatino Linotype"/>
          <w:sz w:val="24"/>
          <w:szCs w:val="24"/>
        </w:rPr>
        <w:t xml:space="preserve">Con fundamento en lo dispuesto por el artículo 14, fracciones X y XI, del Reglamento </w:t>
      </w:r>
      <w:r>
        <w:rPr>
          <w:rFonts w:ascii="Palatino Linotype" w:eastAsia="Palatino Linotype" w:hAnsi="Palatino Linotype" w:cs="Palatino Linotype"/>
          <w:sz w:val="24"/>
          <w:szCs w:val="24"/>
        </w:rPr>
        <w:t xml:space="preserve">del Instituto de Transparencia, Acceso a la Información Pública y Protección de Datos Personales del Estado de México y Municipios, la que suscribe </w:t>
      </w:r>
      <w:r>
        <w:rPr>
          <w:rFonts w:ascii="Palatino Linotype" w:eastAsia="Palatino Linotype" w:hAnsi="Palatino Linotype" w:cs="Palatino Linotype"/>
          <w:b/>
          <w:sz w:val="24"/>
          <w:szCs w:val="24"/>
        </w:rPr>
        <w:t xml:space="preserve">GUADALUPE RAMÍREZ PEÑA </w:t>
      </w:r>
      <w:r>
        <w:rPr>
          <w:rFonts w:ascii="Palatino Linotype" w:eastAsia="Palatino Linotype" w:hAnsi="Palatino Linotype" w:cs="Palatino Linotype"/>
          <w:sz w:val="24"/>
          <w:szCs w:val="24"/>
        </w:rPr>
        <w:t xml:space="preserve"> emite </w:t>
      </w:r>
      <w:r>
        <w:rPr>
          <w:rFonts w:ascii="Palatino Linotype" w:eastAsia="Palatino Linotype" w:hAnsi="Palatino Linotype" w:cs="Palatino Linotype"/>
          <w:b/>
          <w:sz w:val="24"/>
          <w:szCs w:val="24"/>
        </w:rPr>
        <w:t xml:space="preserve">VOTO DISIDENTE </w:t>
      </w:r>
      <w:r>
        <w:rPr>
          <w:rFonts w:ascii="Palatino Linotype" w:eastAsia="Palatino Linotype" w:hAnsi="Palatino Linotype" w:cs="Palatino Linotype"/>
          <w:sz w:val="24"/>
          <w:szCs w:val="24"/>
        </w:rPr>
        <w:t xml:space="preserve">respecto a la resolución dictada en el recurso de revisión </w:t>
      </w:r>
      <w:r>
        <w:rPr>
          <w:rFonts w:ascii="Palatino Linotype" w:eastAsia="Palatino Linotype" w:hAnsi="Palatino Linotype" w:cs="Palatino Linotype"/>
          <w:b/>
        </w:rPr>
        <w:t>0419</w:t>
      </w:r>
      <w:r>
        <w:rPr>
          <w:rFonts w:ascii="Palatino Linotype" w:eastAsia="Palatino Linotype" w:hAnsi="Palatino Linotype" w:cs="Palatino Linotype"/>
          <w:b/>
        </w:rPr>
        <w:t xml:space="preserve">9/INFOEM/IP/RR/2022 y </w:t>
      </w:r>
      <w:r>
        <w:rPr>
          <w:rFonts w:ascii="Palatino Linotype" w:eastAsia="Palatino Linotype" w:hAnsi="Palatino Linotype" w:cs="Palatino Linotype"/>
          <w:b/>
          <w:sz w:val="24"/>
          <w:szCs w:val="24"/>
        </w:rPr>
        <w:t>04245/INFOEM/IP/RR/2022 ACUMULADOS</w:t>
      </w:r>
      <w:r>
        <w:rPr>
          <w:rFonts w:ascii="Palatino Linotype" w:eastAsia="Palatino Linotype" w:hAnsi="Palatino Linotype" w:cs="Palatino Linotype"/>
          <w:sz w:val="24"/>
          <w:szCs w:val="24"/>
        </w:rPr>
        <w:t xml:space="preserve">, pronunciada por el Pleno de este Instituto ante el proyecto presentado por la suscrita, el cual fue engrosado conforme al criterio mayoritario del pleno, al tenor siguiente: </w:t>
      </w:r>
    </w:p>
    <w:p w14:paraId="2347691C" w14:textId="77777777" w:rsidR="00F96EEE" w:rsidRDefault="00C21126">
      <w:pPr>
        <w:numPr>
          <w:ilvl w:val="0"/>
          <w:numId w:val="2"/>
        </w:numPr>
        <w:spacing w:before="120" w:after="0" w:line="360" w:lineRule="auto"/>
        <w:ind w:left="567" w:hanging="14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14:paraId="05981BA9" w14:textId="77777777" w:rsidR="00F96EEE" w:rsidRDefault="00C21126">
      <w:pPr>
        <w:spacing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el asu</w:t>
      </w:r>
      <w:r>
        <w:rPr>
          <w:rFonts w:ascii="Palatino Linotype" w:eastAsia="Palatino Linotype" w:hAnsi="Palatino Linotype" w:cs="Palatino Linotype"/>
          <w:sz w:val="24"/>
          <w:szCs w:val="24"/>
        </w:rPr>
        <w:t xml:space="preserve">nto que nos ocupa, el Recurrente solicitó al Ayuntamiento de Metepec, en su carácter de Sujeto Obligado, le proporcionará la siguiente información: </w:t>
      </w:r>
    </w:p>
    <w:tbl>
      <w:tblPr>
        <w:tblStyle w:val="a"/>
        <w:tblW w:w="8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0"/>
        <w:gridCol w:w="4461"/>
      </w:tblGrid>
      <w:tr w:rsidR="00F96EEE" w14:paraId="35F43EDF" w14:textId="77777777">
        <w:tc>
          <w:tcPr>
            <w:tcW w:w="4460" w:type="dxa"/>
            <w:shd w:val="clear" w:color="auto" w:fill="2F5496"/>
          </w:tcPr>
          <w:p w14:paraId="3769D69F" w14:textId="77777777" w:rsidR="00F96EEE" w:rsidRDefault="00C21126">
            <w:pPr>
              <w:spacing w:before="240" w:after="240" w:line="360" w:lineRule="auto"/>
              <w:jc w:val="center"/>
              <w:rPr>
                <w:rFonts w:ascii="Palatino Linotype" w:eastAsia="Palatino Linotype" w:hAnsi="Palatino Linotype" w:cs="Palatino Linotype"/>
                <w:b/>
                <w:color w:val="FFFFFF"/>
              </w:rPr>
            </w:pPr>
            <w:r>
              <w:rPr>
                <w:rFonts w:ascii="Palatino Linotype" w:eastAsia="Palatino Linotype" w:hAnsi="Palatino Linotype" w:cs="Palatino Linotype"/>
                <w:b/>
                <w:color w:val="FFFFFF"/>
              </w:rPr>
              <w:lastRenderedPageBreak/>
              <w:t>Número de solicitud</w:t>
            </w:r>
          </w:p>
        </w:tc>
        <w:tc>
          <w:tcPr>
            <w:tcW w:w="4461" w:type="dxa"/>
            <w:shd w:val="clear" w:color="auto" w:fill="2F5496"/>
          </w:tcPr>
          <w:p w14:paraId="725B5C63" w14:textId="77777777" w:rsidR="00F96EEE" w:rsidRDefault="00C21126">
            <w:pPr>
              <w:spacing w:before="240" w:after="240" w:line="360" w:lineRule="auto"/>
              <w:jc w:val="center"/>
              <w:rPr>
                <w:rFonts w:ascii="Palatino Linotype" w:eastAsia="Palatino Linotype" w:hAnsi="Palatino Linotype" w:cs="Palatino Linotype"/>
                <w:b/>
                <w:color w:val="FFFFFF"/>
              </w:rPr>
            </w:pPr>
            <w:r>
              <w:rPr>
                <w:rFonts w:ascii="Palatino Linotype" w:eastAsia="Palatino Linotype" w:hAnsi="Palatino Linotype" w:cs="Palatino Linotype"/>
                <w:b/>
                <w:color w:val="FFFFFF"/>
              </w:rPr>
              <w:t>Requerimientos</w:t>
            </w:r>
          </w:p>
        </w:tc>
      </w:tr>
      <w:tr w:rsidR="00F96EEE" w14:paraId="223DBF90" w14:textId="77777777">
        <w:tc>
          <w:tcPr>
            <w:tcW w:w="4460" w:type="dxa"/>
          </w:tcPr>
          <w:p w14:paraId="761CC30E" w14:textId="77777777" w:rsidR="00F96EEE" w:rsidRDefault="00C21126">
            <w:pPr>
              <w:spacing w:before="240" w:after="240"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xml:space="preserve">01171/METEPEC/IP/2022, </w:t>
            </w:r>
            <w:r>
              <w:rPr>
                <w:rFonts w:ascii="Palatino Linotype" w:eastAsia="Palatino Linotype" w:hAnsi="Palatino Linotype" w:cs="Palatino Linotype"/>
                <w:sz w:val="20"/>
                <w:szCs w:val="20"/>
              </w:rPr>
              <w:t>correspondiente al Recurso de Revisión</w:t>
            </w:r>
            <w:r>
              <w:rPr>
                <w:rFonts w:ascii="Palatino Linotype" w:eastAsia="Palatino Linotype" w:hAnsi="Palatino Linotype" w:cs="Palatino Linotype"/>
                <w:b/>
                <w:sz w:val="20"/>
                <w:szCs w:val="20"/>
              </w:rPr>
              <w:t xml:space="preserve"> 04199/INF</w:t>
            </w:r>
            <w:r>
              <w:rPr>
                <w:rFonts w:ascii="Palatino Linotype" w:eastAsia="Palatino Linotype" w:hAnsi="Palatino Linotype" w:cs="Palatino Linotype"/>
                <w:b/>
                <w:sz w:val="20"/>
                <w:szCs w:val="20"/>
              </w:rPr>
              <w:t>OEM/IP/RR/2022</w:t>
            </w:r>
          </w:p>
        </w:tc>
        <w:tc>
          <w:tcPr>
            <w:tcW w:w="4461" w:type="dxa"/>
          </w:tcPr>
          <w:p w14:paraId="4873EC51" w14:textId="77777777" w:rsidR="00F96EEE" w:rsidRDefault="00C21126">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“Se solicita c</w:t>
            </w:r>
            <w:r>
              <w:rPr>
                <w:rFonts w:ascii="Palatino Linotype" w:eastAsia="Palatino Linotype" w:hAnsi="Palatino Linotype" w:cs="Palatino Linotype"/>
                <w:b/>
                <w:i/>
                <w:sz w:val="20"/>
                <w:szCs w:val="20"/>
              </w:rPr>
              <w:t>opia de todos los oficios recibido</w:t>
            </w:r>
            <w:r>
              <w:rPr>
                <w:rFonts w:ascii="Palatino Linotype" w:eastAsia="Palatino Linotype" w:hAnsi="Palatino Linotype" w:cs="Palatino Linotype"/>
                <w:i/>
                <w:sz w:val="20"/>
                <w:szCs w:val="20"/>
              </w:rPr>
              <w:t>s por: Presidencia Municipal; Secretaría Particular de Presidencia; Oficina de Presidencia; Sindicatura Municipal; Primera, Segunda, Tercera y Cuarta Regidurías; Secretaría del Ayuntamiento; Contraloría Municipal; Tesorería Municipal; Consejería Jurídica M</w:t>
            </w:r>
            <w:r>
              <w:rPr>
                <w:rFonts w:ascii="Palatino Linotype" w:eastAsia="Palatino Linotype" w:hAnsi="Palatino Linotype" w:cs="Palatino Linotype"/>
                <w:i/>
                <w:sz w:val="20"/>
                <w:szCs w:val="20"/>
              </w:rPr>
              <w:t xml:space="preserve">unicipal; Dirección de Administración; Dirección de Cultura; Dirección de Desarrollo Social; Dirección de Desarrollo Económico, Turístico y Artesanal; Dirección de Desarrollo Urbano, Metropolitano </w:t>
            </w:r>
            <w:r>
              <w:rPr>
                <w:rFonts w:ascii="Palatino Linotype" w:eastAsia="Palatino Linotype" w:hAnsi="Palatino Linotype" w:cs="Palatino Linotype"/>
                <w:i/>
                <w:color w:val="000000"/>
                <w:sz w:val="20"/>
                <w:szCs w:val="20"/>
              </w:rPr>
              <w:t>y Obras Públicas; Dirección de Igualdad de Género; Direcció</w:t>
            </w:r>
            <w:r>
              <w:rPr>
                <w:rFonts w:ascii="Palatino Linotype" w:eastAsia="Palatino Linotype" w:hAnsi="Palatino Linotype" w:cs="Palatino Linotype"/>
                <w:i/>
                <w:color w:val="000000"/>
                <w:sz w:val="20"/>
                <w:szCs w:val="20"/>
              </w:rPr>
              <w:t>n de Educación; Dirección de Gobernación; Dirección de Gobierno Por Resultados; Dirección de Medio Ambiente; Dirección de Seguridad Pública y Tránsito; Dirección de Servicios Públicos; Unidad de Logística; Unidad de Transparencia; Coordinación de Comunicac</w:t>
            </w:r>
            <w:r>
              <w:rPr>
                <w:rFonts w:ascii="Palatino Linotype" w:eastAsia="Palatino Linotype" w:hAnsi="Palatino Linotype" w:cs="Palatino Linotype"/>
                <w:i/>
                <w:color w:val="000000"/>
                <w:sz w:val="20"/>
                <w:szCs w:val="20"/>
              </w:rPr>
              <w:t xml:space="preserve">ión Social; Coordinación de Gabinete Financiero; Coordinación de Gobierno Digital </w:t>
            </w:r>
            <w:r>
              <w:rPr>
                <w:rFonts w:ascii="Palatino Linotype" w:eastAsia="Palatino Linotype" w:hAnsi="Palatino Linotype" w:cs="Palatino Linotype"/>
                <w:i/>
                <w:sz w:val="20"/>
                <w:szCs w:val="20"/>
              </w:rPr>
              <w:t xml:space="preserve">y Electrónico; Coordinación de Protección Civil y Bomberos; Coordinación General del Instituto Municipal de Cultura Física y Deporte de Metepec del </w:t>
            </w:r>
            <w:r>
              <w:rPr>
                <w:rFonts w:ascii="Palatino Linotype" w:eastAsia="Palatino Linotype" w:hAnsi="Palatino Linotype" w:cs="Palatino Linotype"/>
                <w:b/>
                <w:i/>
                <w:sz w:val="20"/>
                <w:szCs w:val="20"/>
              </w:rPr>
              <w:t>15 de enero de 2022.</w:t>
            </w:r>
            <w:r>
              <w:rPr>
                <w:rFonts w:ascii="Palatino Linotype" w:eastAsia="Palatino Linotype" w:hAnsi="Palatino Linotype" w:cs="Palatino Linotype"/>
                <w:i/>
                <w:sz w:val="20"/>
                <w:szCs w:val="20"/>
              </w:rPr>
              <w:t>” (Sic</w:t>
            </w:r>
            <w:r>
              <w:rPr>
                <w:rFonts w:ascii="Palatino Linotype" w:eastAsia="Palatino Linotype" w:hAnsi="Palatino Linotype" w:cs="Palatino Linotype"/>
                <w:i/>
                <w:sz w:val="20"/>
                <w:szCs w:val="20"/>
              </w:rPr>
              <w:t>)</w:t>
            </w:r>
          </w:p>
        </w:tc>
      </w:tr>
      <w:tr w:rsidR="00F96EEE" w14:paraId="32354AF6" w14:textId="77777777">
        <w:tc>
          <w:tcPr>
            <w:tcW w:w="4460" w:type="dxa"/>
          </w:tcPr>
          <w:p w14:paraId="35EAAC83" w14:textId="77777777" w:rsidR="00F96EEE" w:rsidRDefault="00C21126">
            <w:pPr>
              <w:spacing w:before="240" w:after="240" w:line="240" w:lineRule="auto"/>
              <w:jc w:val="center"/>
              <w:rPr>
                <w:rFonts w:ascii="Palatino Linotype" w:eastAsia="Palatino Linotype" w:hAnsi="Palatino Linotype" w:cs="Palatino Linotype"/>
                <w:b/>
              </w:rPr>
            </w:pPr>
            <w:r>
              <w:rPr>
                <w:rFonts w:ascii="Palatino Linotype" w:eastAsia="Palatino Linotype" w:hAnsi="Palatino Linotype" w:cs="Palatino Linotype"/>
                <w:b/>
                <w:sz w:val="20"/>
                <w:szCs w:val="20"/>
              </w:rPr>
              <w:t xml:space="preserve">01569/METEPEC/IP/2022, </w:t>
            </w:r>
            <w:r>
              <w:rPr>
                <w:rFonts w:ascii="Palatino Linotype" w:eastAsia="Palatino Linotype" w:hAnsi="Palatino Linotype" w:cs="Palatino Linotype"/>
                <w:sz w:val="20"/>
                <w:szCs w:val="20"/>
              </w:rPr>
              <w:t>correspondiente al Recurso de Revisión</w:t>
            </w:r>
            <w:r>
              <w:rPr>
                <w:rFonts w:ascii="Palatino Linotype" w:eastAsia="Palatino Linotype" w:hAnsi="Palatino Linotype" w:cs="Palatino Linotype"/>
                <w:b/>
                <w:sz w:val="20"/>
                <w:szCs w:val="20"/>
              </w:rPr>
              <w:t xml:space="preserve"> 04245/INFOEM/IP/RR/2022</w:t>
            </w:r>
          </w:p>
        </w:tc>
        <w:tc>
          <w:tcPr>
            <w:tcW w:w="4461" w:type="dxa"/>
          </w:tcPr>
          <w:p w14:paraId="06E8F615" w14:textId="77777777" w:rsidR="00F96EEE" w:rsidRDefault="00C21126">
            <w:pPr>
              <w:spacing w:before="240" w:after="240"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“Se solicita </w:t>
            </w:r>
            <w:r>
              <w:rPr>
                <w:rFonts w:ascii="Palatino Linotype" w:eastAsia="Palatino Linotype" w:hAnsi="Palatino Linotype" w:cs="Palatino Linotype"/>
                <w:b/>
                <w:i/>
                <w:sz w:val="20"/>
                <w:szCs w:val="20"/>
              </w:rPr>
              <w:t>copia de todos los oficios recibidos</w:t>
            </w:r>
            <w:r>
              <w:rPr>
                <w:rFonts w:ascii="Palatino Linotype" w:eastAsia="Palatino Linotype" w:hAnsi="Palatino Linotype" w:cs="Palatino Linotype"/>
                <w:i/>
                <w:sz w:val="20"/>
                <w:szCs w:val="20"/>
              </w:rPr>
              <w:t xml:space="preserve"> por: Presidencia Municipal; Secretaría Particular de Presidencia; Oficina de Presidencia; Sindicatura Municipal; Prim</w:t>
            </w:r>
            <w:r>
              <w:rPr>
                <w:rFonts w:ascii="Palatino Linotype" w:eastAsia="Palatino Linotype" w:hAnsi="Palatino Linotype" w:cs="Palatino Linotype"/>
                <w:i/>
                <w:sz w:val="20"/>
                <w:szCs w:val="20"/>
              </w:rPr>
              <w:t>era, Segunda, Tercera y Cuarta Regidurías; Secretaría del Ayuntamiento; Contraloría Municipal; Tesorería Municipal; Consejería Jurídica Municipal; Dirección de Administración; Dirección de Cultura; Dirección de Desarrollo Social; Dirección de Desarrollo Ec</w:t>
            </w:r>
            <w:r>
              <w:rPr>
                <w:rFonts w:ascii="Palatino Linotype" w:eastAsia="Palatino Linotype" w:hAnsi="Palatino Linotype" w:cs="Palatino Linotype"/>
                <w:i/>
                <w:sz w:val="20"/>
                <w:szCs w:val="20"/>
              </w:rPr>
              <w:t xml:space="preserve">onómico, Turístico y Artesanal; Dirección de Desarrollo Urbano, Metropolitano y Obras Públicas; </w:t>
            </w:r>
            <w:r>
              <w:rPr>
                <w:rFonts w:ascii="Palatino Linotype" w:eastAsia="Palatino Linotype" w:hAnsi="Palatino Linotype" w:cs="Palatino Linotype"/>
                <w:i/>
                <w:sz w:val="20"/>
                <w:szCs w:val="20"/>
              </w:rPr>
              <w:lastRenderedPageBreak/>
              <w:t xml:space="preserve">Dirección de Igualdad de Género; Dirección de Educación; Dirección de Gobernación; Dirección de Gobierno Por Resultados; Dirección de Medio Ambiente; Dirección </w:t>
            </w:r>
            <w:r>
              <w:rPr>
                <w:rFonts w:ascii="Palatino Linotype" w:eastAsia="Palatino Linotype" w:hAnsi="Palatino Linotype" w:cs="Palatino Linotype"/>
                <w:i/>
                <w:sz w:val="20"/>
                <w:szCs w:val="20"/>
              </w:rPr>
              <w:t>de Seguridad Pública y Tránsito; Dirección de Servicios Públicos; Unidad de Logística; Unidad de Transparencia; Coordinación de Comunicación Social; Coordinación de Gabinete Financiero; Coordinación de Gobierno Digital y Electrónico; Coordinación de Protec</w:t>
            </w:r>
            <w:r>
              <w:rPr>
                <w:rFonts w:ascii="Palatino Linotype" w:eastAsia="Palatino Linotype" w:hAnsi="Palatino Linotype" w:cs="Palatino Linotype"/>
                <w:i/>
                <w:sz w:val="20"/>
                <w:szCs w:val="20"/>
              </w:rPr>
              <w:t xml:space="preserve">ción Civil y Bomberos; Coordinación General del Instituto Municipal de Cultura Física y Deporte de Metepec del </w:t>
            </w:r>
            <w:r>
              <w:rPr>
                <w:rFonts w:ascii="Palatino Linotype" w:eastAsia="Palatino Linotype" w:hAnsi="Palatino Linotype" w:cs="Palatino Linotype"/>
                <w:b/>
                <w:i/>
                <w:sz w:val="20"/>
                <w:szCs w:val="20"/>
              </w:rPr>
              <w:t>21 de enero de 2022.</w:t>
            </w:r>
            <w:r>
              <w:rPr>
                <w:rFonts w:ascii="Palatino Linotype" w:eastAsia="Palatino Linotype" w:hAnsi="Palatino Linotype" w:cs="Palatino Linotype"/>
                <w:i/>
                <w:sz w:val="20"/>
                <w:szCs w:val="20"/>
              </w:rPr>
              <w:t>” (Sic)</w:t>
            </w:r>
          </w:p>
        </w:tc>
      </w:tr>
    </w:tbl>
    <w:p w14:paraId="41899636" w14:textId="77777777" w:rsidR="00F96EEE" w:rsidRDefault="00C21126">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respuesta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remitió diversos oficios recibidos, los días 15 y 21 de enero de 2022.</w:t>
      </w:r>
    </w:p>
    <w:p w14:paraId="56545D19" w14:textId="77777777" w:rsidR="00F96EEE" w:rsidRDefault="00C21126">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tal senti</w:t>
      </w:r>
      <w:r>
        <w:rPr>
          <w:rFonts w:ascii="Palatino Linotype" w:eastAsia="Palatino Linotype" w:hAnsi="Palatino Linotype" w:cs="Palatino Linotype"/>
          <w:sz w:val="24"/>
          <w:szCs w:val="24"/>
        </w:rPr>
        <w:t>do, la ponencia que resolvió, derivado del análisis efectuado, consideró que los motivos de inconformidad aducidos por la persona solicítate resultaban parcialmente fundados, por lo que se procedió a modificar la respuesta emitida y ordenar la entrega de l</w:t>
      </w:r>
      <w:r>
        <w:rPr>
          <w:rFonts w:ascii="Palatino Linotype" w:eastAsia="Palatino Linotype" w:hAnsi="Palatino Linotype" w:cs="Palatino Linotype"/>
          <w:sz w:val="24"/>
          <w:szCs w:val="24"/>
        </w:rPr>
        <w:t>a siguiente información:</w:t>
      </w:r>
    </w:p>
    <w:p w14:paraId="7D846CDB" w14:textId="77777777" w:rsidR="00F96EEE" w:rsidRDefault="00C21126">
      <w:pPr>
        <w:spacing w:before="240" w:after="240" w:line="276" w:lineRule="auto"/>
        <w:ind w:left="567" w:right="900"/>
        <w:jc w:val="both"/>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Segundo. Se Ordena al Sujeto Obligado </w:t>
      </w:r>
      <w:r>
        <w:rPr>
          <w:rFonts w:ascii="Palatino Linotype" w:eastAsia="Palatino Linotype" w:hAnsi="Palatino Linotype" w:cs="Palatino Linotype"/>
          <w:i/>
        </w:rPr>
        <w:t>que en términos de los</w:t>
      </w:r>
      <w:r>
        <w:rPr>
          <w:rFonts w:ascii="Palatino Linotype" w:eastAsia="Palatino Linotype" w:hAnsi="Palatino Linotype" w:cs="Palatino Linotype"/>
          <w:b/>
          <w:i/>
        </w:rPr>
        <w:t xml:space="preserve"> Considerandos Cuarto y Quinto </w:t>
      </w:r>
      <w:r>
        <w:rPr>
          <w:rFonts w:ascii="Palatino Linotype" w:eastAsia="Palatino Linotype" w:hAnsi="Palatino Linotype" w:cs="Palatino Linotype"/>
          <w:i/>
        </w:rPr>
        <w:t xml:space="preserve">de esta resolución haga entrega a </w:t>
      </w:r>
      <w:r>
        <w:rPr>
          <w:rFonts w:ascii="Palatino Linotype" w:eastAsia="Palatino Linotype" w:hAnsi="Palatino Linotype" w:cs="Palatino Linotype"/>
          <w:b/>
          <w:i/>
        </w:rPr>
        <w:t>la parte Recurrente a través del SAIMEX, en versión pública de ser procedente, de lo siguiente:</w:t>
      </w:r>
    </w:p>
    <w:p w14:paraId="5C511986" w14:textId="77777777" w:rsidR="00F96EEE" w:rsidRDefault="00C21126">
      <w:pPr>
        <w:numPr>
          <w:ilvl w:val="0"/>
          <w:numId w:val="1"/>
        </w:numPr>
        <w:spacing w:before="240" w:after="240" w:line="276" w:lineRule="auto"/>
        <w:ind w:left="567" w:right="900" w:hanging="283"/>
        <w:jc w:val="both"/>
        <w:rPr>
          <w:rFonts w:ascii="Palatino Linotype" w:eastAsia="Palatino Linotype" w:hAnsi="Palatino Linotype" w:cs="Palatino Linotype"/>
          <w:i/>
        </w:rPr>
      </w:pPr>
      <w:r>
        <w:rPr>
          <w:rFonts w:ascii="Palatino Linotype" w:eastAsia="Palatino Linotype" w:hAnsi="Palatino Linotype" w:cs="Palatino Linotype"/>
          <w:i/>
        </w:rPr>
        <w:t xml:space="preserve">Los oficios recibidos el 15 de enero de 2022, de las áreas que no atendieron la solicitud de información </w:t>
      </w:r>
      <w:r>
        <w:rPr>
          <w:rFonts w:ascii="Palatino Linotype" w:eastAsia="Palatino Linotype" w:hAnsi="Palatino Linotype" w:cs="Palatino Linotype"/>
          <w:b/>
          <w:i/>
        </w:rPr>
        <w:t>01171/METEPEC/IP/2022</w:t>
      </w:r>
      <w:r>
        <w:rPr>
          <w:rFonts w:ascii="Palatino Linotype" w:eastAsia="Palatino Linotype" w:hAnsi="Palatino Linotype" w:cs="Palatino Linotype"/>
          <w:i/>
        </w:rPr>
        <w:t>.</w:t>
      </w:r>
    </w:p>
    <w:p w14:paraId="2E4D0F35" w14:textId="77777777" w:rsidR="00F96EEE" w:rsidRDefault="00C21126">
      <w:pPr>
        <w:numPr>
          <w:ilvl w:val="0"/>
          <w:numId w:val="1"/>
        </w:numPr>
        <w:spacing w:before="240" w:after="240" w:line="276" w:lineRule="auto"/>
        <w:ind w:left="567" w:right="900" w:hanging="283"/>
        <w:jc w:val="both"/>
        <w:rPr>
          <w:rFonts w:ascii="Palatino Linotype" w:eastAsia="Palatino Linotype" w:hAnsi="Palatino Linotype" w:cs="Palatino Linotype"/>
          <w:i/>
        </w:rPr>
      </w:pPr>
      <w:r>
        <w:rPr>
          <w:rFonts w:ascii="Palatino Linotype" w:eastAsia="Palatino Linotype" w:hAnsi="Palatino Linotype" w:cs="Palatino Linotype"/>
          <w:i/>
        </w:rPr>
        <w:t xml:space="preserve">Los oficios recibidos el 21 de enero de 2022, de las áreas que no atendieron la solicitud de información </w:t>
      </w:r>
      <w:r>
        <w:rPr>
          <w:rFonts w:ascii="Palatino Linotype" w:eastAsia="Palatino Linotype" w:hAnsi="Palatino Linotype" w:cs="Palatino Linotype"/>
          <w:b/>
          <w:i/>
        </w:rPr>
        <w:t>01569/METEPEC/IP/2022</w:t>
      </w:r>
      <w:r>
        <w:rPr>
          <w:rFonts w:ascii="Palatino Linotype" w:eastAsia="Palatino Linotype" w:hAnsi="Palatino Linotype" w:cs="Palatino Linotype"/>
          <w:i/>
        </w:rPr>
        <w:t>.</w:t>
      </w:r>
    </w:p>
    <w:p w14:paraId="5D4D42D0" w14:textId="77777777" w:rsidR="00F96EEE" w:rsidRDefault="00C21126">
      <w:pPr>
        <w:spacing w:before="240" w:after="24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De ser necesaria la versión pública, se deberá emitir el Acuerdo del Comité de Transparencia de acuerdo con la Ley de Transparencia y Acceso a la Información Pública del Estado de México y Municipios, en el que funde y motive las razones sobre los datos qu</w:t>
      </w:r>
      <w:r>
        <w:rPr>
          <w:rFonts w:ascii="Palatino Linotype" w:eastAsia="Palatino Linotype" w:hAnsi="Palatino Linotype" w:cs="Palatino Linotype"/>
          <w:i/>
        </w:rPr>
        <w:t>e se supriman o eliminen de los soportes documentales objeto de las versiones públicas que se formulen y se pongan a disposición de la parte Recurrente, mismo que igualmente hará de su conocimiento.</w:t>
      </w:r>
    </w:p>
    <w:p w14:paraId="7809083D" w14:textId="77777777" w:rsidR="00F96EEE" w:rsidRDefault="00C21126">
      <w:pPr>
        <w:spacing w:before="240" w:after="240"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i/>
        </w:rPr>
        <w:t>De ser el caso en el que no se hayan recibido oficios los</w:t>
      </w:r>
      <w:r>
        <w:rPr>
          <w:rFonts w:ascii="Palatino Linotype" w:eastAsia="Palatino Linotype" w:hAnsi="Palatino Linotype" w:cs="Palatino Linotype"/>
          <w:i/>
        </w:rPr>
        <w:t xml:space="preserve"> días 15 y 21 de enero de 2022, bastará con que el </w:t>
      </w:r>
      <w:r>
        <w:rPr>
          <w:rFonts w:ascii="Palatino Linotype" w:eastAsia="Palatino Linotype" w:hAnsi="Palatino Linotype" w:cs="Palatino Linotype"/>
          <w:b/>
          <w:i/>
        </w:rPr>
        <w:t>Sujeto Obligado</w:t>
      </w:r>
      <w:r>
        <w:rPr>
          <w:rFonts w:ascii="Palatino Linotype" w:eastAsia="Palatino Linotype" w:hAnsi="Palatino Linotype" w:cs="Palatino Linotype"/>
          <w:i/>
        </w:rPr>
        <w:t xml:space="preserve"> lo haga del conocimiento del recurrente, de manera fundada y motivada en términos del segundo párrafo del  artículo 19 de la Ley de Transparencia local, para dar por satisfecho el derecho d</w:t>
      </w:r>
      <w:r>
        <w:rPr>
          <w:rFonts w:ascii="Palatino Linotype" w:eastAsia="Palatino Linotype" w:hAnsi="Palatino Linotype" w:cs="Palatino Linotype"/>
          <w:i/>
        </w:rPr>
        <w:t xml:space="preserve">e acceso a la información. </w:t>
      </w:r>
    </w:p>
    <w:p w14:paraId="0D8E14D5" w14:textId="77777777" w:rsidR="00F96EEE" w:rsidRDefault="00C21126">
      <w:pPr>
        <w:spacing w:before="240" w:after="240" w:line="276" w:lineRule="auto"/>
        <w:ind w:left="567" w:right="900"/>
        <w:jc w:val="both"/>
        <w:rPr>
          <w:rFonts w:ascii="Palatino Linotype" w:eastAsia="Palatino Linotype" w:hAnsi="Palatino Linotype" w:cs="Palatino Linotype"/>
          <w:i/>
        </w:rPr>
      </w:pPr>
      <w:bookmarkStart w:id="1" w:name="_heading=h.1fob9te" w:colFirst="0" w:colLast="0"/>
      <w:bookmarkEnd w:id="1"/>
      <w:r>
        <w:rPr>
          <w:rFonts w:ascii="Palatino Linotype" w:eastAsia="Palatino Linotype" w:hAnsi="Palatino Linotype" w:cs="Palatino Linotype"/>
          <w:i/>
        </w:rPr>
        <w:t>De ser el caso que la información respecto de la que se ordena la entrega de la información, concurra con alguna causal de reserva, el Sujeto Obligado deberá emitir y entregar el Acuerdo de Clasificación como INFORMACIÓN RESERVA</w:t>
      </w:r>
      <w:r>
        <w:rPr>
          <w:rFonts w:ascii="Palatino Linotype" w:eastAsia="Palatino Linotype" w:hAnsi="Palatino Linotype" w:cs="Palatino Linotype"/>
          <w:i/>
        </w:rPr>
        <w:t>DA que emita el Comité de Transparencia, de conformidad con los artículos 128, 129, 135 y 140, de la Ley de Transparencia y Acceso a la Información Pública del Estado de México y Municipios, que sustente su clasificación en términos del Considerando Quinto</w:t>
      </w:r>
      <w:r>
        <w:rPr>
          <w:rFonts w:ascii="Palatino Linotype" w:eastAsia="Palatino Linotype" w:hAnsi="Palatino Linotype" w:cs="Palatino Linotype"/>
          <w:i/>
        </w:rPr>
        <w:t xml:space="preserve"> de esta resolución.” (Sic)</w:t>
      </w:r>
    </w:p>
    <w:p w14:paraId="1EC1EED8" w14:textId="77777777" w:rsidR="00F96EEE" w:rsidRDefault="00C21126">
      <w:pPr>
        <w:numPr>
          <w:ilvl w:val="0"/>
          <w:numId w:val="2"/>
        </w:numPr>
        <w:pBdr>
          <w:top w:val="nil"/>
          <w:left w:val="nil"/>
          <w:bottom w:val="nil"/>
          <w:right w:val="nil"/>
          <w:between w:val="nil"/>
        </w:pBdr>
        <w:spacing w:before="120" w:after="120" w:line="360" w:lineRule="auto"/>
        <w:ind w:left="567" w:hanging="283"/>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Razones del Voto Disidente. </w:t>
      </w:r>
    </w:p>
    <w:p w14:paraId="10F4A88B" w14:textId="77777777" w:rsidR="00F96EEE" w:rsidRDefault="00C21126">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bookmarkStart w:id="2" w:name="_heading=h.30j0zll" w:colFirst="0" w:colLast="0"/>
      <w:bookmarkEnd w:id="2"/>
      <w:r>
        <w:rPr>
          <w:rFonts w:ascii="Palatino Linotype" w:eastAsia="Palatino Linotype" w:hAnsi="Palatino Linotype" w:cs="Palatino Linotype"/>
          <w:sz w:val="24"/>
          <w:szCs w:val="24"/>
        </w:rPr>
        <w:t xml:space="preserve">No obstante, si bien la suscrita coincide en que los documentos entregados por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atendieron parcialmente los puntos solicitados por el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y por tanto, se comparte que se ord</w:t>
      </w:r>
      <w:r>
        <w:rPr>
          <w:rFonts w:ascii="Palatino Linotype" w:eastAsia="Palatino Linotype" w:hAnsi="Palatino Linotype" w:cs="Palatino Linotype"/>
          <w:sz w:val="24"/>
          <w:szCs w:val="24"/>
        </w:rPr>
        <w:t>ene la entrega de la información descrita en el resolutivo SEGUNDO de la resolución, también se considera que hay datos que debieron clasificarse como información reservada, concretamente respecto del número de placa que obra en la foja número 3 del soport</w:t>
      </w:r>
      <w:r>
        <w:rPr>
          <w:rFonts w:ascii="Palatino Linotype" w:eastAsia="Palatino Linotype" w:hAnsi="Palatino Linotype" w:cs="Palatino Linotype"/>
          <w:sz w:val="24"/>
          <w:szCs w:val="24"/>
        </w:rPr>
        <w:t xml:space="preserve">e documental </w:t>
      </w:r>
      <w:r>
        <w:rPr>
          <w:rFonts w:ascii="Palatino Linotype" w:eastAsia="Palatino Linotype" w:hAnsi="Palatino Linotype" w:cs="Palatino Linotype"/>
          <w:b/>
          <w:i/>
          <w:sz w:val="24"/>
          <w:szCs w:val="24"/>
        </w:rPr>
        <w:t xml:space="preserve">“01569- </w:t>
      </w:r>
      <w:r>
        <w:rPr>
          <w:rFonts w:ascii="Palatino Linotype" w:eastAsia="Palatino Linotype" w:hAnsi="Palatino Linotype" w:cs="Palatino Linotype"/>
          <w:b/>
          <w:i/>
          <w:sz w:val="24"/>
          <w:szCs w:val="24"/>
        </w:rPr>
        <w:lastRenderedPageBreak/>
        <w:t xml:space="preserve">OFICIOS RECIBIDOS 21 ENE 2022.pdf”, </w:t>
      </w:r>
      <w:r>
        <w:rPr>
          <w:rFonts w:ascii="Palatino Linotype" w:eastAsia="Palatino Linotype" w:hAnsi="Palatino Linotype" w:cs="Palatino Linotype"/>
          <w:sz w:val="24"/>
          <w:szCs w:val="24"/>
        </w:rPr>
        <w:t>correspondiente a los oficios recibidos por el Coordinador de Gobierno Digital y Electrónico del 17 al 21 de enero de 2022.</w:t>
      </w:r>
    </w:p>
    <w:p w14:paraId="14F28855" w14:textId="77777777" w:rsidR="00F96EEE" w:rsidRDefault="00C21126">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considero que se debió girar oficio al Órgano de Control In</w:t>
      </w:r>
      <w:r>
        <w:rPr>
          <w:rFonts w:ascii="Palatino Linotype" w:eastAsia="Palatino Linotype" w:hAnsi="Palatino Linotype" w:cs="Palatino Linotype"/>
          <w:sz w:val="24"/>
          <w:szCs w:val="24"/>
        </w:rPr>
        <w:t>terno, toda vez, que los datos de identificación de los vehículos, concretamente respecto del número de placa, se trata de información que hace plenamente identificable a un vehículo, siendo altamente posible identificar también a sus tripulantes.</w:t>
      </w:r>
    </w:p>
    <w:p w14:paraId="3764E252" w14:textId="77777777" w:rsidR="00F96EEE" w:rsidRDefault="00C21126">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Lo anterior, conforme a lo establecido en la Ley de Transparencia y Acceso a la Información Pública del Estado de México y Municipios, ya que prevé que la clasificación de la información es el proceso mediante el cual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determina que la in</w:t>
      </w:r>
      <w:r>
        <w:rPr>
          <w:rFonts w:ascii="Palatino Linotype" w:eastAsia="Palatino Linotype" w:hAnsi="Palatino Linotype" w:cs="Palatino Linotype"/>
          <w:color w:val="000000"/>
          <w:sz w:val="24"/>
          <w:szCs w:val="24"/>
        </w:rPr>
        <w:t>formación en su poder, actualiza alguno de los supuestos de reserva o confidencialidad.</w:t>
      </w:r>
    </w:p>
    <w:p w14:paraId="344B3B88" w14:textId="77777777" w:rsidR="00F96EEE" w:rsidRDefault="00C21126">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el entendido de que la clasificación de la información se llevará a cabo en el momento en que se reciba una solicitud de acceso a la información, se determine mediante resolución de autoridad competente o se generen versiones públicas para dar cumplimie</w:t>
      </w:r>
      <w:r>
        <w:rPr>
          <w:rFonts w:ascii="Palatino Linotype" w:eastAsia="Palatino Linotype" w:hAnsi="Palatino Linotype" w:cs="Palatino Linotype"/>
          <w:color w:val="000000"/>
          <w:sz w:val="24"/>
          <w:szCs w:val="24"/>
        </w:rPr>
        <w:t>nto a las obligaciones de transparencia previstas en la ley.</w:t>
      </w:r>
    </w:p>
    <w:p w14:paraId="45379EC8" w14:textId="77777777" w:rsidR="00F96EEE" w:rsidRDefault="00C21126">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excepcionalmente por razones de interés público, se clasificará como reservada aquella información pública que encuadre en alguno de los supuestos previstos en el artículo 140 de la Ley de l</w:t>
      </w:r>
      <w:r>
        <w:rPr>
          <w:rFonts w:ascii="Palatino Linotype" w:eastAsia="Palatino Linotype" w:hAnsi="Palatino Linotype" w:cs="Palatino Linotype"/>
          <w:color w:val="000000"/>
          <w:sz w:val="24"/>
          <w:szCs w:val="24"/>
        </w:rPr>
        <w:t>a materia, y que para el caso concreto se actualiza el previsto en la fracción IV, esto es ponga en riesgo la vida, seguridad o la salud de una persona física.</w:t>
      </w:r>
    </w:p>
    <w:p w14:paraId="01D33859" w14:textId="77777777" w:rsidR="00F96EEE" w:rsidRDefault="00C21126">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 xml:space="preserve">En tanto que se clasificará como información confidencial, entre otras y atendiendo al caso que </w:t>
      </w:r>
      <w:r>
        <w:rPr>
          <w:rFonts w:ascii="Palatino Linotype" w:eastAsia="Palatino Linotype" w:hAnsi="Palatino Linotype" w:cs="Palatino Linotype"/>
          <w:color w:val="000000"/>
          <w:sz w:val="24"/>
          <w:szCs w:val="24"/>
        </w:rPr>
        <w:t>nos ocupa, la información privada, datos personales concernientes a una persona física o jurídico colectiva identificada o identificable.</w:t>
      </w:r>
    </w:p>
    <w:p w14:paraId="1F257212" w14:textId="77777777" w:rsidR="00F96EEE" w:rsidRDefault="00C21126">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 acuerdo a lo anterior y conforme a la resolución del recurso de revisión que motiva el presente voto disidente, la </w:t>
      </w:r>
      <w:r>
        <w:rPr>
          <w:rFonts w:ascii="Palatino Linotype" w:eastAsia="Palatino Linotype" w:hAnsi="Palatino Linotype" w:cs="Palatino Linotype"/>
          <w:color w:val="000000"/>
          <w:sz w:val="24"/>
          <w:szCs w:val="24"/>
        </w:rPr>
        <w:t xml:space="preserve">información que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entregó en respuesta,</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por su naturaleza contiene datos de identificación de vehículos que son utilizados por servidores públicos adscritos al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para el desarrollo de sus funciones; por lo que, originariament</w:t>
      </w:r>
      <w:r>
        <w:rPr>
          <w:rFonts w:ascii="Palatino Linotype" w:eastAsia="Palatino Linotype" w:hAnsi="Palatino Linotype" w:cs="Palatino Linotype"/>
          <w:color w:val="000000"/>
          <w:sz w:val="24"/>
          <w:szCs w:val="24"/>
        </w:rPr>
        <w:t>e, dicha información es pública; sin embargo, excepcionalmente esa información podrá ser reservada si se acredita alguna de las causales señaladas en el artículo 140 de la Ley de la materia.</w:t>
      </w:r>
    </w:p>
    <w:p w14:paraId="7A95D7CE" w14:textId="77777777" w:rsidR="00F96EEE" w:rsidRDefault="00C21126">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Al respecto, es de precisar que los vehículos, con independencia </w:t>
      </w:r>
      <w:r>
        <w:rPr>
          <w:rFonts w:ascii="Palatino Linotype" w:eastAsia="Palatino Linotype" w:hAnsi="Palatino Linotype" w:cs="Palatino Linotype"/>
          <w:color w:val="000000"/>
          <w:sz w:val="24"/>
          <w:szCs w:val="24"/>
        </w:rPr>
        <w:t xml:space="preserve">de que sean particulares o pertenezcan al parque vehicular del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y son utilizados para el desarrollo de las actividades de su personal que ostentan cargos de Dirección, mandos medios y/o superiores, que, a diferencia de cualquier otro vehícul</w:t>
      </w:r>
      <w:r>
        <w:rPr>
          <w:rFonts w:ascii="Palatino Linotype" w:eastAsia="Palatino Linotype" w:hAnsi="Palatino Linotype" w:cs="Palatino Linotype"/>
          <w:color w:val="000000"/>
          <w:sz w:val="24"/>
          <w:szCs w:val="24"/>
        </w:rPr>
        <w:t>o utilitario, en ellos asisten a eventos públicos derivados de sus funciones y se trasladan de sus oficinas a sus domicilios.</w:t>
      </w:r>
    </w:p>
    <w:p w14:paraId="618504AD" w14:textId="77777777" w:rsidR="00F96EEE" w:rsidRDefault="00C21126">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lo que, al haber proporcionado la información de identificación de un vehículo como el número de placas, aun perteneciendo al </w:t>
      </w:r>
      <w:r>
        <w:rPr>
          <w:rFonts w:ascii="Palatino Linotype" w:eastAsia="Palatino Linotype" w:hAnsi="Palatino Linotype" w:cs="Palatino Linotype"/>
          <w:color w:val="000000"/>
          <w:sz w:val="24"/>
          <w:szCs w:val="24"/>
        </w:rPr>
        <w:t xml:space="preserve">servicio público, se está atentando contra la seguridad de los servidores públicos que en ellos se trasladan, máxime de </w:t>
      </w:r>
      <w:r>
        <w:rPr>
          <w:rFonts w:ascii="Palatino Linotype" w:eastAsia="Palatino Linotype" w:hAnsi="Palatino Linotype" w:cs="Palatino Linotype"/>
          <w:color w:val="000000"/>
          <w:sz w:val="24"/>
          <w:szCs w:val="24"/>
        </w:rPr>
        <w:lastRenderedPageBreak/>
        <w:t>aquellos que a nivel Estatal representan a la autoridad; incluso, se pone en riesgo a su familia, al vulnerar su esfera privada.</w:t>
      </w:r>
    </w:p>
    <w:p w14:paraId="47115104" w14:textId="77777777" w:rsidR="00F96EEE" w:rsidRDefault="00C21126">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Aunado </w:t>
      </w:r>
      <w:r>
        <w:rPr>
          <w:rFonts w:ascii="Palatino Linotype" w:eastAsia="Palatino Linotype" w:hAnsi="Palatino Linotype" w:cs="Palatino Linotype"/>
          <w:color w:val="000000"/>
          <w:sz w:val="24"/>
          <w:szCs w:val="24"/>
        </w:rPr>
        <w:t>a las condiciones socioeconómicas por las que atraviesa el país, en el que han proliferado grupos delictivos, que pudieran utilizar esa información para vulnerar la vida, seguridad o salud de dicho funcionario, de sus familias o entorno social, aumentando,</w:t>
      </w:r>
      <w:r>
        <w:rPr>
          <w:rFonts w:ascii="Palatino Linotype" w:eastAsia="Palatino Linotype" w:hAnsi="Palatino Linotype" w:cs="Palatino Linotype"/>
          <w:color w:val="000000"/>
          <w:sz w:val="24"/>
          <w:szCs w:val="24"/>
        </w:rPr>
        <w:t xml:space="preserve"> incluso, el riesgo de que personas ajenas a los intereses institucionales intenten realizar actos para inhibir o entrometerse en la función pública, situación que puede corroborarse con la incidencia delictiva, que publica el Secretariado Ejecutivo del Si</w:t>
      </w:r>
      <w:r>
        <w:rPr>
          <w:rFonts w:ascii="Palatino Linotype" w:eastAsia="Palatino Linotype" w:hAnsi="Palatino Linotype" w:cs="Palatino Linotype"/>
          <w:color w:val="000000"/>
          <w:sz w:val="24"/>
          <w:szCs w:val="24"/>
        </w:rPr>
        <w:t>stema Nacional de Seguridad Pública, en el que en lo toral éste concentra la ocurrencia de delitos registrados en Carpetas de Investigación, reportadas por las Procuradurías de Justicia y las Fiscalías Generales de las entidades federativas, en el caso del</w:t>
      </w:r>
      <w:r>
        <w:rPr>
          <w:rFonts w:ascii="Palatino Linotype" w:eastAsia="Palatino Linotype" w:hAnsi="Palatino Linotype" w:cs="Palatino Linotype"/>
          <w:color w:val="000000"/>
          <w:sz w:val="24"/>
          <w:szCs w:val="24"/>
        </w:rPr>
        <w:t xml:space="preserve"> fuero común y la Fiscalía General de la República en el fuero federal.</w:t>
      </w:r>
    </w:p>
    <w:p w14:paraId="7E5DDD11" w14:textId="77777777" w:rsidR="00F96EEE" w:rsidRDefault="00C21126">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Sirve de apoyo a lo anterior, el Criterio 9/2008 que sustenta por unanimidad de votos, el Comité de Acceso a la Información y de Protección de Datos Personales de la Suprema Corte de J</w:t>
      </w:r>
      <w:r>
        <w:rPr>
          <w:rFonts w:ascii="Palatino Linotype" w:eastAsia="Palatino Linotype" w:hAnsi="Palatino Linotype" w:cs="Palatino Linotype"/>
          <w:color w:val="000000"/>
          <w:sz w:val="24"/>
          <w:szCs w:val="24"/>
        </w:rPr>
        <w:t>usticia de la Nación, que cuenta con el siguiente rubro SERVIDORES PÚBLICOS DE LA SUPREMA CORTE DE JUSTICIA DE LA NACIÓN. LA INFORMACIÓN RELATIVA A LOS VEHÍCULOS QUE LES SON ASIGNADOS ES PÚBLICA SALVO POR LO QUE SE REFIERE A LOS DATOS QUE PERMITAN IDENTIFI</w:t>
      </w:r>
      <w:r>
        <w:rPr>
          <w:rFonts w:ascii="Palatino Linotype" w:eastAsia="Palatino Linotype" w:hAnsi="Palatino Linotype" w:cs="Palatino Linotype"/>
          <w:color w:val="000000"/>
          <w:sz w:val="24"/>
          <w:szCs w:val="24"/>
        </w:rPr>
        <w:t>CAR CUÁL CORRESPONDE A CADA UNO DE ELLOS, la cual señala:</w:t>
      </w:r>
    </w:p>
    <w:p w14:paraId="71F6D47A" w14:textId="77777777" w:rsidR="00F96EEE" w:rsidRDefault="00C21126">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“La asignación de vehículos a los servidores públicos de la Suprema Corte de Justicia de la Nación constituye un apoyo que se otorga para coadyuvar en el desempeño de sus funciones y cumplimiento de</w:t>
      </w:r>
      <w:r>
        <w:rPr>
          <w:rFonts w:ascii="Palatino Linotype" w:eastAsia="Palatino Linotype" w:hAnsi="Palatino Linotype" w:cs="Palatino Linotype"/>
          <w:i/>
          <w:color w:val="000000"/>
        </w:rPr>
        <w:t xml:space="preserve"> sus responsabilidades; además, tal apoyo se sujeta al presupuesto autorizado y se ejerce en afectación al mismo. En este sentido, los registros administrativos en que consten los datos inherentes a la asignación de vehículos a dichos servidores públicos (</w:t>
      </w:r>
      <w:r>
        <w:rPr>
          <w:rFonts w:ascii="Palatino Linotype" w:eastAsia="Palatino Linotype" w:hAnsi="Palatino Linotype" w:cs="Palatino Linotype"/>
          <w:i/>
          <w:color w:val="000000"/>
        </w:rPr>
        <w:t>marcas y modelos de autos asignados, así como las fechas de asignación y el kilometraje registrado al momento de la misma), en razón del ejercicio de su cargo, son públicos, en términos de lo dispuesto en los artículos 2° y 7°, fracciones IV y IX, de la Le</w:t>
      </w:r>
      <w:r>
        <w:rPr>
          <w:rFonts w:ascii="Palatino Linotype" w:eastAsia="Palatino Linotype" w:hAnsi="Palatino Linotype" w:cs="Palatino Linotype"/>
          <w:i/>
          <w:color w:val="000000"/>
        </w:rPr>
        <w:t xml:space="preserve">y Federal de Transparencia y Acceso a la Información Pública Gubernamental. No obstante, </w:t>
      </w:r>
      <w:r>
        <w:rPr>
          <w:rFonts w:ascii="Palatino Linotype" w:eastAsia="Palatino Linotype" w:hAnsi="Palatino Linotype" w:cs="Palatino Linotype"/>
          <w:b/>
          <w:i/>
          <w:color w:val="000000"/>
        </w:rPr>
        <w:t>la naturaleza pública de esta información no debe entenderse de manera absoluta, ya que encuentra su excepción respecto del dato consistente en el nombre de los mencio</w:t>
      </w:r>
      <w:r>
        <w:rPr>
          <w:rFonts w:ascii="Palatino Linotype" w:eastAsia="Palatino Linotype" w:hAnsi="Palatino Linotype" w:cs="Palatino Linotype"/>
          <w:b/>
          <w:i/>
          <w:color w:val="000000"/>
        </w:rPr>
        <w:t>nados servidores públicos, pues al relacionarse con los datos del vehículo o vehículos de su asignación, constituye un dato relevante y trascendente en su vida privada, pues los autos que se les otorgan son usados por ellos en apoyo del ejercicio de sus fu</w:t>
      </w:r>
      <w:r>
        <w:rPr>
          <w:rFonts w:ascii="Palatino Linotype" w:eastAsia="Palatino Linotype" w:hAnsi="Palatino Linotype" w:cs="Palatino Linotype"/>
          <w:b/>
          <w:i/>
          <w:color w:val="000000"/>
        </w:rPr>
        <w:t>nciones y responsabilidades, las cuales pueden desarrollarse conjuntamente con sus actividades personales y/o privadas</w:t>
      </w:r>
      <w:r>
        <w:rPr>
          <w:rFonts w:ascii="Palatino Linotype" w:eastAsia="Palatino Linotype" w:hAnsi="Palatino Linotype" w:cs="Palatino Linotype"/>
          <w:i/>
          <w:color w:val="000000"/>
        </w:rPr>
        <w:t xml:space="preserve">. Por lo tanto, el dato de su nombre relacionado con el de los vehículos de su asignación constituye un dato personal que trasciende a su </w:t>
      </w:r>
      <w:r>
        <w:rPr>
          <w:rFonts w:ascii="Palatino Linotype" w:eastAsia="Palatino Linotype" w:hAnsi="Palatino Linotype" w:cs="Palatino Linotype"/>
          <w:i/>
          <w:color w:val="000000"/>
        </w:rPr>
        <w:t>vida privada que debe ser objeto de protección, ya que su difusión pondría en riesgo el derecho fundamental a la vida privada.”</w:t>
      </w:r>
    </w:p>
    <w:p w14:paraId="25423D8A" w14:textId="77777777" w:rsidR="00F96EEE" w:rsidRDefault="00C21126">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Del criterio en cita, se advierte que no debe proporcionarse el número de placa de los vehículos oficiales que utilizan los servidores públicos, por hacerlos identificables y trascender a su vida privada, garantizando con ello su protección. </w:t>
      </w:r>
    </w:p>
    <w:p w14:paraId="793F9C4A" w14:textId="77777777" w:rsidR="00F96EEE" w:rsidRDefault="00C21126">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por las ra</w:t>
      </w:r>
      <w:r>
        <w:rPr>
          <w:rFonts w:ascii="Palatino Linotype" w:eastAsia="Palatino Linotype" w:hAnsi="Palatino Linotype" w:cs="Palatino Linotype"/>
          <w:color w:val="000000"/>
          <w:sz w:val="24"/>
          <w:szCs w:val="24"/>
        </w:rPr>
        <w:t xml:space="preserve">zones expuestas se emite el presente VOTO DISIDENTE, pues se debió enfatizar la reserva del número de placa de los vehículos que conforman el parque vehicular, en los documentos que el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 xml:space="preserve">remitió en respuesta e informe justificado en atención </w:t>
      </w:r>
      <w:r>
        <w:rPr>
          <w:rFonts w:ascii="Palatino Linotype" w:eastAsia="Palatino Linotype" w:hAnsi="Palatino Linotype" w:cs="Palatino Linotype"/>
          <w:color w:val="000000"/>
          <w:sz w:val="24"/>
          <w:szCs w:val="24"/>
        </w:rPr>
        <w:t xml:space="preserve">a los recursos de revisión </w:t>
      </w:r>
      <w:r>
        <w:rPr>
          <w:rFonts w:ascii="Palatino Linotype" w:eastAsia="Palatino Linotype" w:hAnsi="Palatino Linotype" w:cs="Palatino Linotype"/>
          <w:b/>
          <w:color w:val="000000"/>
        </w:rPr>
        <w:t xml:space="preserve">04199/INFOEM/IP/RR/2022 </w:t>
      </w:r>
      <w:r>
        <w:rPr>
          <w:rFonts w:ascii="Palatino Linotype" w:eastAsia="Palatino Linotype" w:hAnsi="Palatino Linotype" w:cs="Palatino Linotype"/>
          <w:b/>
          <w:color w:val="000000"/>
        </w:rPr>
        <w:lastRenderedPageBreak/>
        <w:t xml:space="preserve">y  </w:t>
      </w:r>
      <w:r>
        <w:rPr>
          <w:rFonts w:ascii="Palatino Linotype" w:eastAsia="Palatino Linotype" w:hAnsi="Palatino Linotype" w:cs="Palatino Linotype"/>
          <w:b/>
          <w:color w:val="000000"/>
          <w:sz w:val="24"/>
          <w:szCs w:val="24"/>
        </w:rPr>
        <w:t xml:space="preserve">04245/INFOEM/IP/RR/2022 ACUMULADOS, </w:t>
      </w:r>
      <w:r>
        <w:rPr>
          <w:rFonts w:ascii="Palatino Linotype" w:eastAsia="Palatino Linotype" w:hAnsi="Palatino Linotype" w:cs="Palatino Linotype"/>
          <w:color w:val="000000"/>
          <w:sz w:val="24"/>
          <w:szCs w:val="24"/>
        </w:rPr>
        <w:t>al corresponder con información que, por su naturaleza, trasciende en la vida privada de los servidores públicos, cuyo ámbito de protección es mucho más amplio, al po</w:t>
      </w:r>
      <w:r>
        <w:rPr>
          <w:rFonts w:ascii="Palatino Linotype" w:eastAsia="Palatino Linotype" w:hAnsi="Palatino Linotype" w:cs="Palatino Linotype"/>
          <w:color w:val="000000"/>
          <w:sz w:val="24"/>
          <w:szCs w:val="24"/>
        </w:rPr>
        <w:t>nderar los derechos que se protegen con la reserva, como la vida, integridad personal, el pleno ejercicio del servicio público, contra el acceso a la información de un particular, resulta proporcional clasificar esta información.</w:t>
      </w:r>
    </w:p>
    <w:p w14:paraId="185BB5D3" w14:textId="77777777" w:rsidR="00F96EEE" w:rsidRDefault="00C21126">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por todo lo vertido en </w:t>
      </w:r>
      <w:r>
        <w:rPr>
          <w:rFonts w:ascii="Palatino Linotype" w:eastAsia="Palatino Linotype" w:hAnsi="Palatino Linotype" w:cs="Palatino Linotype"/>
          <w:sz w:val="24"/>
          <w:szCs w:val="24"/>
        </w:rPr>
        <w:t>líneas anteriores que la suscrita no comparte el sentido de la resolución, y formula el presente voto disidente.</w:t>
      </w:r>
      <w:r>
        <w:rPr>
          <w:noProof/>
        </w:rPr>
        <mc:AlternateContent>
          <mc:Choice Requires="wpg">
            <w:drawing>
              <wp:anchor distT="0" distB="0" distL="114300" distR="114300" simplePos="0" relativeHeight="251658240" behindDoc="0" locked="0" layoutInCell="1" hidden="0" allowOverlap="1" wp14:anchorId="72565E06" wp14:editId="766208A2">
                <wp:simplePos x="0" y="0"/>
                <wp:positionH relativeFrom="column">
                  <wp:posOffset>25401</wp:posOffset>
                </wp:positionH>
                <wp:positionV relativeFrom="paragraph">
                  <wp:posOffset>596900</wp:posOffset>
                </wp:positionV>
                <wp:extent cx="5334000" cy="4848225"/>
                <wp:effectExtent l="0" t="0" r="0" b="0"/>
                <wp:wrapNone/>
                <wp:docPr id="22" name="Conector recto de flecha 22"/>
                <wp:cNvGraphicFramePr/>
                <a:graphic xmlns:a="http://schemas.openxmlformats.org/drawingml/2006/main">
                  <a:graphicData uri="http://schemas.microsoft.com/office/word/2010/wordprocessingShape">
                    <wps:wsp>
                      <wps:cNvCnPr/>
                      <wps:spPr>
                        <a:xfrm>
                          <a:off x="2683763" y="1360650"/>
                          <a:ext cx="5324475" cy="483870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596900</wp:posOffset>
                </wp:positionV>
                <wp:extent cx="5334000" cy="4848225"/>
                <wp:effectExtent b="0" l="0" r="0" t="0"/>
                <wp:wrapNone/>
                <wp:docPr id="2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334000" cy="4848225"/>
                        </a:xfrm>
                        <a:prstGeom prst="rect"/>
                        <a:ln/>
                      </pic:spPr>
                    </pic:pic>
                  </a:graphicData>
                </a:graphic>
              </wp:anchor>
            </w:drawing>
          </mc:Fallback>
        </mc:AlternateContent>
      </w:r>
    </w:p>
    <w:p w14:paraId="115B2BB5" w14:textId="77777777" w:rsidR="00F96EEE" w:rsidRDefault="00F96EEE">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b/>
          <w:color w:val="000000"/>
        </w:rPr>
      </w:pPr>
    </w:p>
    <w:p w14:paraId="71A8803D" w14:textId="77777777" w:rsidR="00F96EEE" w:rsidRDefault="00F96EEE">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p>
    <w:p w14:paraId="684C9AEB" w14:textId="77777777" w:rsidR="00F96EEE" w:rsidRDefault="00F96EEE">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p>
    <w:tbl>
      <w:tblPr>
        <w:tblStyle w:val="a0"/>
        <w:tblW w:w="8382" w:type="dxa"/>
        <w:tblInd w:w="764" w:type="dxa"/>
        <w:tblLayout w:type="fixed"/>
        <w:tblLook w:val="0000" w:firstRow="0" w:lastRow="0" w:firstColumn="0" w:lastColumn="0" w:noHBand="0" w:noVBand="0"/>
      </w:tblPr>
      <w:tblGrid>
        <w:gridCol w:w="4837"/>
        <w:gridCol w:w="3545"/>
      </w:tblGrid>
      <w:tr w:rsidR="00F96EEE" w14:paraId="637309C2" w14:textId="77777777">
        <w:trPr>
          <w:trHeight w:val="588"/>
        </w:trPr>
        <w:tc>
          <w:tcPr>
            <w:tcW w:w="4837" w:type="dxa"/>
            <w:tcBorders>
              <w:top w:val="nil"/>
              <w:left w:val="nil"/>
              <w:bottom w:val="nil"/>
              <w:right w:val="nil"/>
            </w:tcBorders>
          </w:tcPr>
          <w:p w14:paraId="5DE025D3" w14:textId="77777777" w:rsidR="00F96EEE" w:rsidRDefault="00F96EEE">
            <w:pPr>
              <w:pBdr>
                <w:top w:val="nil"/>
                <w:left w:val="nil"/>
                <w:bottom w:val="nil"/>
                <w:right w:val="nil"/>
                <w:between w:val="nil"/>
              </w:pBdr>
              <w:spacing w:line="240" w:lineRule="auto"/>
              <w:ind w:right="139" w:hanging="1325"/>
              <w:rPr>
                <w:rFonts w:ascii="Palatino Linotype" w:eastAsia="Palatino Linotype" w:hAnsi="Palatino Linotype" w:cs="Palatino Linotype"/>
                <w:color w:val="000000"/>
                <w:sz w:val="20"/>
                <w:szCs w:val="20"/>
              </w:rPr>
            </w:pPr>
          </w:p>
        </w:tc>
        <w:tc>
          <w:tcPr>
            <w:tcW w:w="3545" w:type="dxa"/>
            <w:tcBorders>
              <w:top w:val="nil"/>
              <w:left w:val="nil"/>
              <w:bottom w:val="nil"/>
              <w:right w:val="nil"/>
            </w:tcBorders>
          </w:tcPr>
          <w:p w14:paraId="7B18048A" w14:textId="77777777" w:rsidR="00F96EEE" w:rsidRDefault="00F96EEE">
            <w:pPr>
              <w:pBdr>
                <w:top w:val="nil"/>
                <w:left w:val="nil"/>
                <w:bottom w:val="nil"/>
                <w:right w:val="nil"/>
                <w:between w:val="nil"/>
              </w:pBdr>
              <w:spacing w:line="240" w:lineRule="auto"/>
              <w:ind w:right="139" w:hanging="682"/>
              <w:rPr>
                <w:rFonts w:ascii="Palatino Linotype" w:eastAsia="Palatino Linotype" w:hAnsi="Palatino Linotype" w:cs="Palatino Linotype"/>
                <w:color w:val="000000"/>
                <w:sz w:val="20"/>
                <w:szCs w:val="20"/>
              </w:rPr>
            </w:pPr>
          </w:p>
        </w:tc>
      </w:tr>
    </w:tbl>
    <w:p w14:paraId="4F4A3968" w14:textId="77777777" w:rsidR="00F96EEE" w:rsidRDefault="00F96EEE">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3"/>
          <w:szCs w:val="23"/>
        </w:rPr>
      </w:pPr>
    </w:p>
    <w:p w14:paraId="6D893421" w14:textId="77777777" w:rsidR="00F96EEE" w:rsidRDefault="00F96EEE">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3"/>
          <w:szCs w:val="23"/>
        </w:rPr>
      </w:pPr>
    </w:p>
    <w:p w14:paraId="43A1BEAA" w14:textId="77777777" w:rsidR="00F96EEE" w:rsidRDefault="00F96EEE">
      <w:pPr>
        <w:spacing w:before="240" w:after="240" w:line="360" w:lineRule="auto"/>
        <w:ind w:right="139"/>
        <w:jc w:val="both"/>
        <w:rPr>
          <w:rFonts w:ascii="Palatino Linotype" w:eastAsia="Palatino Linotype" w:hAnsi="Palatino Linotype" w:cs="Palatino Linotype"/>
          <w:sz w:val="24"/>
          <w:szCs w:val="24"/>
        </w:rPr>
      </w:pPr>
    </w:p>
    <w:p w14:paraId="2F1C5028" w14:textId="77777777" w:rsidR="00F96EEE" w:rsidRDefault="00F96EEE">
      <w:pPr>
        <w:spacing w:before="240" w:after="240" w:line="360" w:lineRule="auto"/>
        <w:ind w:right="139"/>
        <w:jc w:val="both"/>
        <w:rPr>
          <w:rFonts w:ascii="Palatino Linotype" w:eastAsia="Palatino Linotype" w:hAnsi="Palatino Linotype" w:cs="Palatino Linotype"/>
          <w:sz w:val="24"/>
          <w:szCs w:val="24"/>
        </w:rPr>
      </w:pPr>
    </w:p>
    <w:p w14:paraId="6C3BE48C" w14:textId="77777777" w:rsidR="00F96EEE" w:rsidRDefault="00F96EEE">
      <w:pPr>
        <w:spacing w:before="240" w:after="240" w:line="360" w:lineRule="auto"/>
        <w:ind w:right="139"/>
        <w:jc w:val="both"/>
        <w:rPr>
          <w:rFonts w:ascii="Palatino Linotype" w:eastAsia="Palatino Linotype" w:hAnsi="Palatino Linotype" w:cs="Palatino Linotype"/>
          <w:sz w:val="24"/>
          <w:szCs w:val="24"/>
        </w:rPr>
      </w:pPr>
    </w:p>
    <w:p w14:paraId="50BBBCC7" w14:textId="77777777" w:rsidR="00F96EEE" w:rsidRDefault="00F96EEE">
      <w:pPr>
        <w:spacing w:before="240" w:after="240" w:line="360" w:lineRule="auto"/>
        <w:ind w:right="139"/>
        <w:jc w:val="both"/>
        <w:rPr>
          <w:rFonts w:ascii="Palatino Linotype" w:eastAsia="Palatino Linotype" w:hAnsi="Palatino Linotype" w:cs="Palatino Linotype"/>
          <w:sz w:val="24"/>
          <w:szCs w:val="24"/>
        </w:rPr>
      </w:pPr>
    </w:p>
    <w:p w14:paraId="4D460A1D" w14:textId="77777777" w:rsidR="00F96EEE" w:rsidRDefault="00F96EEE">
      <w:pPr>
        <w:spacing w:before="240" w:after="240" w:line="360" w:lineRule="auto"/>
        <w:ind w:right="139"/>
        <w:jc w:val="both"/>
        <w:rPr>
          <w:rFonts w:ascii="Palatino Linotype" w:eastAsia="Palatino Linotype" w:hAnsi="Palatino Linotype" w:cs="Palatino Linotype"/>
          <w:sz w:val="24"/>
          <w:szCs w:val="24"/>
        </w:rPr>
      </w:pPr>
    </w:p>
    <w:p w14:paraId="12FEE2FD" w14:textId="77777777" w:rsidR="00F96EEE" w:rsidRDefault="00F96EEE">
      <w:pPr>
        <w:spacing w:before="240" w:after="240" w:line="360" w:lineRule="auto"/>
        <w:ind w:right="139"/>
        <w:jc w:val="both"/>
        <w:rPr>
          <w:rFonts w:ascii="Palatino Linotype" w:eastAsia="Palatino Linotype" w:hAnsi="Palatino Linotype" w:cs="Palatino Linotype"/>
          <w:sz w:val="24"/>
          <w:szCs w:val="24"/>
        </w:rPr>
      </w:pPr>
    </w:p>
    <w:p w14:paraId="5756BF54" w14:textId="77777777" w:rsidR="00F96EEE" w:rsidRDefault="00F96EEE">
      <w:pPr>
        <w:spacing w:before="240" w:after="240" w:line="360" w:lineRule="auto"/>
        <w:ind w:right="139"/>
        <w:jc w:val="both"/>
        <w:rPr>
          <w:rFonts w:ascii="Palatino Linotype" w:eastAsia="Palatino Linotype" w:hAnsi="Palatino Linotype" w:cs="Palatino Linotype"/>
          <w:sz w:val="24"/>
          <w:szCs w:val="24"/>
        </w:rPr>
      </w:pPr>
    </w:p>
    <w:p w14:paraId="35F6D4EE" w14:textId="77777777" w:rsidR="00F96EEE" w:rsidRDefault="00F96EEE">
      <w:pPr>
        <w:spacing w:before="240" w:after="240" w:line="360" w:lineRule="auto"/>
        <w:ind w:right="139"/>
        <w:jc w:val="both"/>
        <w:rPr>
          <w:rFonts w:ascii="Palatino Linotype" w:eastAsia="Palatino Linotype" w:hAnsi="Palatino Linotype" w:cs="Palatino Linotype"/>
          <w:sz w:val="24"/>
          <w:szCs w:val="24"/>
        </w:rPr>
      </w:pPr>
    </w:p>
    <w:p w14:paraId="59537903" w14:textId="77777777" w:rsidR="00F96EEE" w:rsidRDefault="00F96EEE">
      <w:pPr>
        <w:spacing w:before="240" w:after="240" w:line="360" w:lineRule="auto"/>
        <w:ind w:right="139"/>
        <w:jc w:val="both"/>
        <w:rPr>
          <w:rFonts w:ascii="Palatino Linotype" w:eastAsia="Palatino Linotype" w:hAnsi="Palatino Linotype" w:cs="Palatino Linotype"/>
          <w:sz w:val="24"/>
          <w:szCs w:val="24"/>
        </w:rPr>
      </w:pPr>
    </w:p>
    <w:sectPr w:rsidR="00F96EEE">
      <w:headerReference w:type="default" r:id="rId9"/>
      <w:footerReference w:type="default" r:id="rId10"/>
      <w:pgSz w:w="12240" w:h="15840"/>
      <w:pgMar w:top="2438" w:right="1701" w:bottom="2778" w:left="1701"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7171B" w14:textId="77777777" w:rsidR="00C21126" w:rsidRDefault="00C21126">
      <w:pPr>
        <w:spacing w:after="0" w:line="240" w:lineRule="auto"/>
      </w:pPr>
      <w:r>
        <w:separator/>
      </w:r>
    </w:p>
  </w:endnote>
  <w:endnote w:type="continuationSeparator" w:id="0">
    <w:p w14:paraId="1EA2A168" w14:textId="77777777" w:rsidR="00C21126" w:rsidRDefault="00C2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ED49F" w14:textId="77777777" w:rsidR="00F96EEE" w:rsidRDefault="00C21126">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Página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E400CB">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E400CB">
      <w:rPr>
        <w:rFonts w:ascii="Times New Roman" w:eastAsia="Times New Roman" w:hAnsi="Times New Roman" w:cs="Times New Roman"/>
        <w:b/>
        <w:noProof/>
        <w:color w:val="000000"/>
        <w:sz w:val="20"/>
        <w:szCs w:val="20"/>
      </w:rPr>
      <w:t>2</w:t>
    </w:r>
    <w:r>
      <w:rPr>
        <w:rFonts w:ascii="Times New Roman" w:eastAsia="Times New Roman" w:hAnsi="Times New Roman" w:cs="Times New Roman"/>
        <w:b/>
        <w:color w:val="000000"/>
        <w:sz w:val="20"/>
        <w:szCs w:val="20"/>
      </w:rPr>
      <w:fldChar w:fldCharType="end"/>
    </w:r>
  </w:p>
  <w:p w14:paraId="7D7FB6FE" w14:textId="77777777" w:rsidR="00F96EEE" w:rsidRDefault="00F96EEE">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D759" w14:textId="77777777" w:rsidR="00C21126" w:rsidRDefault="00C21126">
      <w:pPr>
        <w:spacing w:after="0" w:line="240" w:lineRule="auto"/>
      </w:pPr>
      <w:r>
        <w:separator/>
      </w:r>
    </w:p>
  </w:footnote>
  <w:footnote w:type="continuationSeparator" w:id="0">
    <w:p w14:paraId="2BF577CE" w14:textId="77777777" w:rsidR="00C21126" w:rsidRDefault="00C21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337A" w14:textId="77777777" w:rsidR="00F96EEE" w:rsidRDefault="00C2112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r>
      <w:rPr>
        <w:noProof/>
      </w:rPr>
      <w:drawing>
        <wp:anchor distT="0" distB="0" distL="0" distR="0" simplePos="0" relativeHeight="251658240" behindDoc="1" locked="0" layoutInCell="1" hidden="0" allowOverlap="1" wp14:anchorId="13D651F4" wp14:editId="2012A9C7">
          <wp:simplePos x="0" y="0"/>
          <wp:positionH relativeFrom="column">
            <wp:posOffset>-952499</wp:posOffset>
          </wp:positionH>
          <wp:positionV relativeFrom="paragraph">
            <wp:posOffset>-568959</wp:posOffset>
          </wp:positionV>
          <wp:extent cx="7510628" cy="9883775"/>
          <wp:effectExtent l="0" t="0" r="0" b="0"/>
          <wp:wrapNone/>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78FCB4FF" w14:textId="77777777" w:rsidR="00F96EEE" w:rsidRDefault="00C2112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RECURSOS DE REVISIÓN 04199/INFOEM/IP/RR/2022 Y</w:t>
    </w:r>
  </w:p>
  <w:p w14:paraId="11B88723" w14:textId="77777777" w:rsidR="00F96EEE" w:rsidRDefault="00C2112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04245/INFOEM/IP/RR/2022 ACUMULADOS</w:t>
    </w:r>
  </w:p>
  <w:p w14:paraId="6F24FDCA" w14:textId="77777777" w:rsidR="00F96EEE" w:rsidRDefault="00C2112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noProof/>
      </w:rPr>
      <mc:AlternateContent>
        <mc:Choice Requires="wps">
          <w:drawing>
            <wp:anchor distT="0" distB="0" distL="0" distR="0" simplePos="0" relativeHeight="251659264" behindDoc="1" locked="0" layoutInCell="1" hidden="0" allowOverlap="1" wp14:anchorId="0707EA3F" wp14:editId="55B23A24">
              <wp:simplePos x="0" y="0"/>
              <wp:positionH relativeFrom="column">
                <wp:posOffset>127000</wp:posOffset>
              </wp:positionH>
              <wp:positionV relativeFrom="paragraph">
                <wp:posOffset>647700</wp:posOffset>
              </wp:positionV>
              <wp:extent cx="5279778" cy="5568193"/>
              <wp:effectExtent l="0" t="0" r="0" b="0"/>
              <wp:wrapNone/>
              <wp:docPr id="23" name="Rectángulo 23"/>
              <wp:cNvGraphicFramePr/>
              <a:graphic xmlns:a="http://schemas.openxmlformats.org/drawingml/2006/main">
                <a:graphicData uri="http://schemas.microsoft.com/office/word/2010/wordprocessingShape">
                  <wps:wsp>
                    <wps:cNvSpPr/>
                    <wps:spPr>
                      <a:xfrm rot="-2761922">
                        <a:off x="1971017" y="3326833"/>
                        <a:ext cx="6749966" cy="906334"/>
                      </a:xfrm>
                      <a:prstGeom prst="rect">
                        <a:avLst/>
                      </a:prstGeom>
                      <a:noFill/>
                      <a:ln>
                        <a:noFill/>
                      </a:ln>
                    </wps:spPr>
                    <wps:txbx>
                      <w:txbxContent>
                        <w:p w14:paraId="316D6D51" w14:textId="77777777" w:rsidR="00F96EEE" w:rsidRDefault="00C21126">
                          <w:pPr>
                            <w:spacing w:before="240" w:after="240" w:line="360" w:lineRule="auto"/>
                            <w:jc w:val="center"/>
                            <w:textDirection w:val="btLr"/>
                          </w:pPr>
                          <w:r>
                            <w:rPr>
                              <w:rFonts w:ascii="Palatino Linotype" w:eastAsia="Palatino Linotype" w:hAnsi="Palatino Linotype" w:cs="Palatino Linotype"/>
                              <w:color w:val="AEAAAA"/>
                              <w:sz w:val="56"/>
                            </w:rPr>
                            <w:t>VOTO DISIDENTE</w:t>
                          </w:r>
                        </w:p>
                      </w:txbxContent>
                    </wps:txbx>
                    <wps:bodyPr spcFirstLastPara="1" wrap="square" lIns="91425" tIns="45700" rIns="91425" bIns="45700" anchor="ctr" anchorCtr="0">
                      <a:noAutofit/>
                    </wps:bodyPr>
                  </wps:wsp>
                </a:graphicData>
              </a:graphic>
            </wp:anchor>
          </w:drawing>
        </mc:Choice>
        <mc:Fallback>
          <w:pict>
            <v:rect w14:anchorId="0707EA3F" id="Rectángulo 23" o:spid="_x0000_s1026" style="position:absolute;left:0;text-align:left;margin-left:10pt;margin-top:51pt;width:415.75pt;height:438.45pt;rotation:-3016755fd;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" filled="f" stroked="f">
              <v:textbox inset="2.53958mm,1.2694mm,2.53958mm,1.2694mm">
                <w:txbxContent>
                  <w:p w14:paraId="316D6D51" w14:textId="77777777" w:rsidR="00F96EEE" w:rsidRDefault="00C21126">
                    <w:pPr>
                      <w:spacing w:before="240" w:after="240" w:line="360" w:lineRule="auto"/>
                      <w:jc w:val="center"/>
                      <w:textDirection w:val="btLr"/>
                    </w:pPr>
                    <w:r>
                      <w:rPr>
                        <w:rFonts w:ascii="Palatino Linotype" w:eastAsia="Palatino Linotype" w:hAnsi="Palatino Linotype" w:cs="Palatino Linotype"/>
                        <w:color w:val="AEAAAA"/>
                        <w:sz w:val="56"/>
                      </w:rPr>
                      <w:t>VOTO DISIDENTE</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34EB6"/>
    <w:multiLevelType w:val="multilevel"/>
    <w:tmpl w:val="C828488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C6D6737"/>
    <w:multiLevelType w:val="multilevel"/>
    <w:tmpl w:val="E714B06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755399551">
    <w:abstractNumId w:val="1"/>
  </w:num>
  <w:num w:numId="2" w16cid:durableId="609705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EEE"/>
    <w:rsid w:val="00C21126"/>
    <w:rsid w:val="00E400CB"/>
    <w:rsid w:val="00F96E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0C467"/>
  <w15:docId w15:val="{D30EC47A-FF86-421B-93CC-CFD3ECB9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7B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inespaciado">
    <w:name w:val="No Spacing"/>
    <w:aliases w:val="Francesa,INAI"/>
    <w:link w:val="SinespaciadoCar"/>
    <w:uiPriority w:val="1"/>
    <w:qFormat/>
    <w:rsid w:val="00F33522"/>
    <w:pPr>
      <w:spacing w:after="0" w:line="240" w:lineRule="auto"/>
    </w:pPr>
  </w:style>
  <w:style w:type="character" w:customStyle="1" w:styleId="SinespaciadoCar">
    <w:name w:val="Sin espaciado Car"/>
    <w:aliases w:val="Francesa Car,INAI Car"/>
    <w:link w:val="Sinespaciado"/>
    <w:uiPriority w:val="1"/>
    <w:locked/>
    <w:rsid w:val="00F33522"/>
  </w:style>
  <w:style w:type="table" w:customStyle="1" w:styleId="TableNormal0">
    <w:name w:val="Table Normal"/>
    <w:uiPriority w:val="2"/>
    <w:semiHidden/>
    <w:unhideWhenUsed/>
    <w:qFormat/>
    <w:rsid w:val="00B21C0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1C09"/>
    <w:pPr>
      <w:widowControl w:val="0"/>
      <w:spacing w:after="0" w:line="240" w:lineRule="auto"/>
    </w:pPr>
    <w:rPr>
      <w:lang w:val="en-US"/>
    </w:rPr>
  </w:style>
  <w:style w:type="table" w:styleId="Tablaconcuadrcula">
    <w:name w:val="Table Grid"/>
    <w:basedOn w:val="Tablanormal"/>
    <w:uiPriority w:val="39"/>
    <w:rsid w:val="00B21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feJT/H3n0af/OCoKjynOHgjk/Q==">CgMxLjAyCGguZ2pkZ3hzMgloLjFmb2I5dGUyCWguMzBqMHpsbDgAciExMUd5WHdrXzBocnlZakFIajVnc2RRZFVKdHBud0FvQjA=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2069</Words>
  <Characters>11380</Characters>
  <Application>Microsoft Office Word</Application>
  <DocSecurity>0</DocSecurity>
  <Lines>94</Lines>
  <Paragraphs>26</Paragraphs>
  <ScaleCrop>false</ScaleCrop>
  <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 Soporte</cp:lastModifiedBy>
  <cp:revision>2</cp:revision>
  <dcterms:created xsi:type="dcterms:W3CDTF">2025-05-16T23:41:00Z</dcterms:created>
  <dcterms:modified xsi:type="dcterms:W3CDTF">2025-05-16T23:41:00Z</dcterms:modified>
</cp:coreProperties>
</file>