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1D6A9" w14:textId="3F305FF8" w:rsidR="00E97758" w:rsidRDefault="00E97758" w:rsidP="00E97758">
      <w:pPr>
        <w:spacing w:after="0" w:line="360" w:lineRule="auto"/>
        <w:jc w:val="both"/>
        <w:rPr>
          <w:rFonts w:ascii="Palatino Linotype" w:hAnsi="Palatino Linotype" w:cs="Arial"/>
          <w:b/>
          <w:sz w:val="24"/>
          <w:szCs w:val="24"/>
        </w:rPr>
      </w:pPr>
      <w:r w:rsidRPr="00FB6D9A">
        <w:rPr>
          <w:rFonts w:ascii="Palatino Linotype" w:hAnsi="Palatino Linotype" w:cs="Arial"/>
          <w:b/>
          <w:sz w:val="24"/>
          <w:szCs w:val="24"/>
        </w:rPr>
        <w:t xml:space="preserve">VOTO </w:t>
      </w:r>
      <w:r>
        <w:rPr>
          <w:rFonts w:ascii="Palatino Linotype" w:hAnsi="Palatino Linotype" w:cs="Arial"/>
          <w:b/>
          <w:sz w:val="24"/>
          <w:szCs w:val="24"/>
        </w:rPr>
        <w:t>DISIDENTE</w:t>
      </w:r>
      <w:r w:rsidR="001A1ECB">
        <w:rPr>
          <w:rFonts w:ascii="Palatino Linotype" w:hAnsi="Palatino Linotype" w:cs="Arial"/>
          <w:b/>
          <w:sz w:val="24"/>
          <w:szCs w:val="24"/>
        </w:rPr>
        <w:t xml:space="preserve"> DE LA COMISIONADA</w:t>
      </w:r>
      <w:r w:rsidRPr="00FB6D9A">
        <w:rPr>
          <w:rFonts w:ascii="Palatino Linotype" w:hAnsi="Palatino Linotype" w:cs="Arial"/>
          <w:b/>
          <w:sz w:val="24"/>
          <w:szCs w:val="24"/>
        </w:rPr>
        <w:t xml:space="preserve"> </w:t>
      </w:r>
      <w:r w:rsidR="001A1ECB">
        <w:rPr>
          <w:rFonts w:ascii="Palatino Linotype" w:hAnsi="Palatino Linotype" w:cs="Arial"/>
          <w:b/>
          <w:sz w:val="24"/>
          <w:szCs w:val="24"/>
        </w:rPr>
        <w:t>MARÍA DEL ROSARIO MEJIA AYALA</w:t>
      </w:r>
      <w:r w:rsidRPr="00FB6D9A">
        <w:rPr>
          <w:rFonts w:ascii="Palatino Linotype" w:hAnsi="Palatino Linotype" w:cs="Arial"/>
          <w:b/>
          <w:sz w:val="24"/>
          <w:szCs w:val="24"/>
        </w:rPr>
        <w:t xml:space="preserve"> EN EL RECURSO DE REVISIÓN 0</w:t>
      </w:r>
      <w:r w:rsidR="001A1ECB">
        <w:rPr>
          <w:rFonts w:ascii="Palatino Linotype" w:hAnsi="Palatino Linotype" w:cs="Arial"/>
          <w:b/>
          <w:sz w:val="24"/>
          <w:szCs w:val="24"/>
        </w:rPr>
        <w:t>6518</w:t>
      </w:r>
      <w:r w:rsidRPr="00FB6D9A">
        <w:rPr>
          <w:rFonts w:ascii="Palatino Linotype" w:hAnsi="Palatino Linotype" w:cs="Arial"/>
          <w:b/>
          <w:sz w:val="24"/>
          <w:szCs w:val="24"/>
        </w:rPr>
        <w:t>/INFOEM/</w:t>
      </w:r>
      <w:r w:rsidR="0032435A">
        <w:rPr>
          <w:rFonts w:ascii="Palatino Linotype" w:hAnsi="Palatino Linotype" w:cs="Arial"/>
          <w:b/>
          <w:sz w:val="24"/>
          <w:szCs w:val="24"/>
        </w:rPr>
        <w:t>IP</w:t>
      </w:r>
      <w:r w:rsidRPr="00FB6D9A">
        <w:rPr>
          <w:rFonts w:ascii="Palatino Linotype" w:hAnsi="Palatino Linotype" w:cs="Arial"/>
          <w:b/>
          <w:sz w:val="24"/>
          <w:szCs w:val="24"/>
        </w:rPr>
        <w:t>/RR/20</w:t>
      </w:r>
      <w:r w:rsidR="001A1ECB">
        <w:rPr>
          <w:rFonts w:ascii="Palatino Linotype" w:hAnsi="Palatino Linotype" w:cs="Arial"/>
          <w:b/>
          <w:sz w:val="24"/>
          <w:szCs w:val="24"/>
        </w:rPr>
        <w:t>21</w:t>
      </w:r>
      <w:r w:rsidRPr="00FB6D9A">
        <w:rPr>
          <w:rFonts w:ascii="Palatino Linotype" w:hAnsi="Palatino Linotype" w:cs="Arial"/>
          <w:b/>
          <w:sz w:val="24"/>
          <w:szCs w:val="24"/>
        </w:rPr>
        <w:t>.</w:t>
      </w:r>
    </w:p>
    <w:p w14:paraId="2724EDEF" w14:textId="77777777" w:rsidR="00E97758" w:rsidRDefault="00E97758" w:rsidP="00E97758">
      <w:pPr>
        <w:spacing w:after="0" w:line="360" w:lineRule="auto"/>
        <w:jc w:val="both"/>
        <w:rPr>
          <w:rFonts w:ascii="Palatino Linotype" w:hAnsi="Palatino Linotype" w:cs="Arial"/>
          <w:b/>
          <w:sz w:val="24"/>
          <w:szCs w:val="24"/>
        </w:rPr>
      </w:pPr>
    </w:p>
    <w:p w14:paraId="030020FA" w14:textId="5A5E6CEB" w:rsidR="00E97758" w:rsidRPr="002A43BC" w:rsidRDefault="00E97758" w:rsidP="0027224D">
      <w:pPr>
        <w:keepNext/>
        <w:keepLines/>
        <w:pBdr>
          <w:top w:val="nil"/>
          <w:left w:val="nil"/>
          <w:bottom w:val="nil"/>
          <w:right w:val="nil"/>
          <w:between w:val="nil"/>
          <w:bar w:val="nil"/>
        </w:pBdr>
        <w:spacing w:after="0" w:line="360" w:lineRule="auto"/>
        <w:jc w:val="center"/>
        <w:outlineLvl w:val="0"/>
        <w:rPr>
          <w:rFonts w:ascii="Palatino Linotype" w:eastAsiaTheme="majorEastAsia" w:hAnsi="Palatino Linotype" w:cstheme="majorBidi"/>
          <w:b/>
          <w:sz w:val="24"/>
          <w:szCs w:val="24"/>
          <w:bdr w:val="nil"/>
        </w:rPr>
      </w:pPr>
      <w:bookmarkStart w:id="0" w:name="_Toc9873529"/>
      <w:bookmarkStart w:id="1" w:name="_Toc21366012"/>
      <w:r w:rsidRPr="002A43BC">
        <w:rPr>
          <w:rFonts w:ascii="Palatino Linotype" w:eastAsiaTheme="majorEastAsia" w:hAnsi="Palatino Linotype" w:cstheme="majorBidi"/>
          <w:b/>
          <w:sz w:val="24"/>
          <w:szCs w:val="24"/>
          <w:bdr w:val="nil"/>
        </w:rPr>
        <w:t>Consideraciones Generales.</w:t>
      </w:r>
      <w:bookmarkEnd w:id="0"/>
      <w:bookmarkEnd w:id="1"/>
    </w:p>
    <w:p w14:paraId="36FDBD56" w14:textId="3085FCB3" w:rsidR="00E97758" w:rsidRPr="00DF6B35" w:rsidRDefault="00196054" w:rsidP="00E97758">
      <w:pPr>
        <w:spacing w:after="0" w:line="360" w:lineRule="auto"/>
        <w:rPr>
          <w:b/>
          <w:bCs/>
        </w:rPr>
      </w:pPr>
      <w:r>
        <w:rPr>
          <w:b/>
          <w:bCs/>
        </w:rPr>
        <w:t xml:space="preserve"> </w:t>
      </w:r>
    </w:p>
    <w:p w14:paraId="3F554DA8" w14:textId="5916ED0E" w:rsidR="00E97758" w:rsidRPr="00213603" w:rsidRDefault="009C5F99" w:rsidP="00E97758">
      <w:pPr>
        <w:numPr>
          <w:ilvl w:val="0"/>
          <w:numId w:val="9"/>
        </w:numPr>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Arial Unicode MS" w:hAnsi="Palatino Linotype" w:cs="Arial"/>
          <w:color w:val="000000" w:themeColor="text1"/>
          <w:sz w:val="24"/>
          <w:szCs w:val="24"/>
          <w:bdr w:val="none" w:sz="0" w:space="0" w:color="auto" w:frame="1"/>
        </w:rPr>
        <w:t xml:space="preserve">En términos de lo dispuesto por el artículo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Disidente </w:t>
      </w:r>
      <w:r>
        <w:rPr>
          <w:rFonts w:ascii="Palatino Linotype" w:eastAsia="Times New Roman" w:hAnsi="Palatino Linotype" w:cs="Arial"/>
          <w:color w:val="000000" w:themeColor="text1"/>
          <w:sz w:val="24"/>
          <w:szCs w:val="24"/>
          <w:bdr w:val="none" w:sz="0" w:space="0" w:color="auto" w:frame="1"/>
          <w:lang w:val="es-ES_tradnl"/>
        </w:rPr>
        <w:t xml:space="preserve">de la presente resolución  aprobada por mayoría de votos </w:t>
      </w:r>
      <w:r>
        <w:rPr>
          <w:rFonts w:ascii="Palatino Linotype" w:eastAsia="Arial Unicode MS" w:hAnsi="Palatino Linotype" w:cs="Arial"/>
          <w:color w:val="000000" w:themeColor="text1"/>
          <w:sz w:val="24"/>
          <w:szCs w:val="24"/>
          <w:bdr w:val="none" w:sz="0" w:space="0" w:color="auto" w:frame="1"/>
        </w:rPr>
        <w:t xml:space="preserve">por el Pleno del Instituto de Transparencia, Acceso a la Información Pública y Protección de Datos Personales del Estado de México y Municipios, en su Vigésima Primera Sesión Ordinaria de fecha ocho </w:t>
      </w:r>
      <w:r>
        <w:rPr>
          <w:rFonts w:ascii="Palatino Linotype" w:eastAsia="Times New Roman" w:hAnsi="Palatino Linotype" w:cs="Arial"/>
          <w:color w:val="000000"/>
          <w:sz w:val="24"/>
          <w:szCs w:val="24"/>
          <w:bdr w:val="none" w:sz="0" w:space="0" w:color="auto" w:frame="1"/>
          <w:lang w:eastAsia="es-MX"/>
        </w:rPr>
        <w:t>(08) de junio de dos mil veintidós</w:t>
      </w:r>
      <w:r>
        <w:rPr>
          <w:rFonts w:ascii="Palatino Linotype" w:eastAsia="Arial Unicode MS" w:hAnsi="Palatino Linotype" w:cs="Arial"/>
          <w:color w:val="000000" w:themeColor="text1"/>
          <w:sz w:val="24"/>
          <w:szCs w:val="24"/>
          <w:bdr w:val="none" w:sz="0" w:space="0" w:color="auto" w:frame="1"/>
        </w:rPr>
        <w:t xml:space="preserve">, en el recurso de revisión </w:t>
      </w:r>
      <w:r>
        <w:rPr>
          <w:rFonts w:ascii="Palatino Linotype" w:eastAsia="Arial Unicode MS" w:hAnsi="Palatino Linotype" w:cs="Times New Roman"/>
          <w:sz w:val="24"/>
          <w:szCs w:val="24"/>
          <w:bdr w:val="none" w:sz="0" w:space="0" w:color="auto" w:frame="1"/>
        </w:rPr>
        <w:t xml:space="preserve">en contra de la </w:t>
      </w:r>
      <w:r>
        <w:rPr>
          <w:rFonts w:ascii="Palatino Linotype" w:eastAsia="Arial Unicode MS" w:hAnsi="Palatino Linotype" w:cs="Times New Roman"/>
          <w:b/>
          <w:sz w:val="24"/>
          <w:szCs w:val="24"/>
          <w:bdr w:val="none" w:sz="0" w:space="0" w:color="auto" w:frame="1"/>
        </w:rPr>
        <w:t>Fiscalía General de Justicia del Estado de México</w:t>
      </w:r>
      <w:r>
        <w:rPr>
          <w:rFonts w:ascii="Palatino Linotype" w:eastAsia="Arial Unicode MS" w:hAnsi="Palatino Linotype" w:cs="Times New Roman"/>
          <w:sz w:val="24"/>
          <w:szCs w:val="24"/>
          <w:bdr w:val="none" w:sz="0" w:space="0" w:color="auto" w:frame="1"/>
        </w:rPr>
        <w:t xml:space="preserve"> </w:t>
      </w:r>
      <w:r w:rsidR="00E97758" w:rsidRPr="002A43BC">
        <w:rPr>
          <w:rFonts w:ascii="Palatino Linotype" w:eastAsia="Arial Unicode MS" w:hAnsi="Palatino Linotype" w:cs="Arial"/>
          <w:color w:val="000000" w:themeColor="text1"/>
          <w:sz w:val="24"/>
          <w:szCs w:val="24"/>
          <w:bdr w:val="nil"/>
        </w:rPr>
        <w:t xml:space="preserve">procedimiento al que se le asignó el número de expediente </w:t>
      </w:r>
      <w:r w:rsidR="00E97758">
        <w:rPr>
          <w:rFonts w:ascii="Palatino Linotype" w:eastAsia="Arial Unicode MS" w:hAnsi="Palatino Linotype" w:cs="Times New Roman"/>
          <w:b/>
          <w:sz w:val="24"/>
          <w:szCs w:val="24"/>
          <w:bdr w:val="nil"/>
        </w:rPr>
        <w:t>0</w:t>
      </w:r>
      <w:r w:rsidR="001A1ECB">
        <w:rPr>
          <w:rFonts w:ascii="Palatino Linotype" w:eastAsia="Arial Unicode MS" w:hAnsi="Palatino Linotype" w:cs="Times New Roman"/>
          <w:b/>
          <w:sz w:val="24"/>
          <w:szCs w:val="24"/>
          <w:bdr w:val="nil"/>
        </w:rPr>
        <w:t>6518</w:t>
      </w:r>
      <w:r w:rsidR="0032435A">
        <w:rPr>
          <w:rFonts w:ascii="Palatino Linotype" w:eastAsia="Arial Unicode MS" w:hAnsi="Palatino Linotype" w:cs="Times New Roman"/>
          <w:b/>
          <w:sz w:val="24"/>
          <w:szCs w:val="24"/>
          <w:bdr w:val="nil"/>
        </w:rPr>
        <w:t>/INFOEM/IP</w:t>
      </w:r>
      <w:r w:rsidR="00E97758">
        <w:rPr>
          <w:rFonts w:ascii="Palatino Linotype" w:eastAsia="Arial Unicode MS" w:hAnsi="Palatino Linotype" w:cs="Times New Roman"/>
          <w:b/>
          <w:sz w:val="24"/>
          <w:szCs w:val="24"/>
          <w:bdr w:val="nil"/>
        </w:rPr>
        <w:t>/RR/20</w:t>
      </w:r>
      <w:r w:rsidR="001A1ECB">
        <w:rPr>
          <w:rFonts w:ascii="Palatino Linotype" w:eastAsia="Arial Unicode MS" w:hAnsi="Palatino Linotype" w:cs="Times New Roman"/>
          <w:b/>
          <w:sz w:val="24"/>
          <w:szCs w:val="24"/>
          <w:bdr w:val="nil"/>
        </w:rPr>
        <w:t>21</w:t>
      </w:r>
      <w:r w:rsidR="0027773D">
        <w:rPr>
          <w:rFonts w:ascii="Palatino Linotype" w:eastAsia="Arial Unicode MS" w:hAnsi="Palatino Linotype" w:cs="Times New Roman"/>
          <w:b/>
          <w:sz w:val="24"/>
          <w:szCs w:val="24"/>
          <w:bdr w:val="nil"/>
        </w:rPr>
        <w:t xml:space="preserve">. </w:t>
      </w:r>
    </w:p>
    <w:p w14:paraId="6FCFE9F9" w14:textId="77777777" w:rsidR="00213603" w:rsidRPr="00213603" w:rsidRDefault="00213603" w:rsidP="00213603">
      <w:pPr>
        <w:spacing w:after="0" w:line="360" w:lineRule="auto"/>
        <w:contextualSpacing/>
        <w:jc w:val="both"/>
        <w:rPr>
          <w:rFonts w:ascii="Palatino Linotype" w:eastAsia="Calibri" w:hAnsi="Palatino Linotype" w:cs="Arial"/>
          <w:sz w:val="24"/>
          <w:szCs w:val="24"/>
          <w:lang w:val="es-ES" w:eastAsia="es-ES"/>
        </w:rPr>
      </w:pPr>
    </w:p>
    <w:p w14:paraId="3938782A" w14:textId="10DC78C5" w:rsidR="00213603" w:rsidRPr="00E62187" w:rsidRDefault="00213603" w:rsidP="00E97758">
      <w:pPr>
        <w:numPr>
          <w:ilvl w:val="0"/>
          <w:numId w:val="9"/>
        </w:numPr>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La resolución aprobada por la mayoría del Pleno de este Órgano Garante determin</w:t>
      </w:r>
      <w:r w:rsidR="00502CAF">
        <w:rPr>
          <w:rFonts w:ascii="Palatino Linotype" w:eastAsia="Calibri" w:hAnsi="Palatino Linotype" w:cs="Arial"/>
          <w:sz w:val="24"/>
          <w:szCs w:val="24"/>
          <w:lang w:val="es-ES" w:eastAsia="es-ES"/>
        </w:rPr>
        <w:t xml:space="preserve">ó procedente </w:t>
      </w:r>
      <w:r w:rsidR="001A1ECB" w:rsidRPr="001A1ECB">
        <w:rPr>
          <w:rFonts w:ascii="Palatino Linotype" w:eastAsia="Calibri" w:hAnsi="Palatino Linotype" w:cs="Arial"/>
          <w:b/>
          <w:sz w:val="24"/>
          <w:szCs w:val="24"/>
          <w:lang w:val="es-ES" w:eastAsia="es-ES"/>
        </w:rPr>
        <w:t>CONFIRMAR</w:t>
      </w:r>
      <w:r>
        <w:rPr>
          <w:rFonts w:ascii="Palatino Linotype" w:eastAsia="Calibri" w:hAnsi="Palatino Linotype" w:cs="Arial"/>
          <w:b/>
          <w:bCs/>
          <w:sz w:val="24"/>
          <w:szCs w:val="24"/>
          <w:lang w:val="es-ES" w:eastAsia="es-ES"/>
        </w:rPr>
        <w:t xml:space="preserve"> </w:t>
      </w:r>
      <w:r>
        <w:rPr>
          <w:rFonts w:ascii="Palatino Linotype" w:eastAsia="Calibri" w:hAnsi="Palatino Linotype" w:cs="Arial"/>
          <w:sz w:val="24"/>
          <w:szCs w:val="24"/>
          <w:lang w:val="es-ES" w:eastAsia="es-ES"/>
        </w:rPr>
        <w:t xml:space="preserve">el recurso de revisión, situación que no </w:t>
      </w:r>
      <w:r w:rsidR="001A1ECB">
        <w:rPr>
          <w:rFonts w:ascii="Palatino Linotype" w:eastAsia="Calibri" w:hAnsi="Palatino Linotype" w:cs="Arial"/>
          <w:sz w:val="24"/>
          <w:szCs w:val="24"/>
          <w:lang w:val="es-ES" w:eastAsia="es-ES"/>
        </w:rPr>
        <w:t xml:space="preserve">se </w:t>
      </w:r>
      <w:r>
        <w:rPr>
          <w:rFonts w:ascii="Palatino Linotype" w:eastAsia="Calibri" w:hAnsi="Palatino Linotype" w:cs="Arial"/>
          <w:sz w:val="24"/>
          <w:szCs w:val="24"/>
          <w:lang w:val="es-ES" w:eastAsia="es-ES"/>
        </w:rPr>
        <w:t>compart</w:t>
      </w:r>
      <w:r w:rsidR="001A1ECB">
        <w:rPr>
          <w:rFonts w:ascii="Palatino Linotype" w:eastAsia="Calibri" w:hAnsi="Palatino Linotype" w:cs="Arial"/>
          <w:sz w:val="24"/>
          <w:szCs w:val="24"/>
          <w:lang w:val="es-ES" w:eastAsia="es-ES"/>
        </w:rPr>
        <w:t>e</w:t>
      </w:r>
      <w:r>
        <w:rPr>
          <w:rFonts w:ascii="Palatino Linotype" w:eastAsia="Calibri" w:hAnsi="Palatino Linotype" w:cs="Arial"/>
          <w:sz w:val="24"/>
          <w:szCs w:val="24"/>
          <w:lang w:val="es-ES" w:eastAsia="es-ES"/>
        </w:rPr>
        <w:t xml:space="preserve"> por las consideraciones que a continuación se vierten; </w:t>
      </w:r>
    </w:p>
    <w:p w14:paraId="1A88373E" w14:textId="76BBFE2B" w:rsidR="001701E1" w:rsidRDefault="001701E1" w:rsidP="001701E1">
      <w:pPr>
        <w:pBdr>
          <w:top w:val="nil"/>
          <w:left w:val="nil"/>
          <w:bottom w:val="nil"/>
          <w:right w:val="nil"/>
          <w:between w:val="nil"/>
          <w:bar w:val="nil"/>
        </w:pBdr>
        <w:spacing w:after="0" w:line="360" w:lineRule="auto"/>
        <w:rPr>
          <w:rFonts w:ascii="Palatino Linotype" w:eastAsia="Calibri" w:hAnsi="Palatino Linotype" w:cs="Arial"/>
          <w:sz w:val="24"/>
          <w:szCs w:val="24"/>
          <w:lang w:val="es-ES" w:eastAsia="es-ES"/>
        </w:rPr>
      </w:pPr>
    </w:p>
    <w:p w14:paraId="18C9EB35" w14:textId="2D80B8C2" w:rsidR="00964C1E" w:rsidRPr="002A43BC" w:rsidRDefault="00964C1E" w:rsidP="00964C1E">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sz w:val="24"/>
          <w:szCs w:val="24"/>
          <w:bdr w:val="nil"/>
        </w:rPr>
      </w:pPr>
      <w:bookmarkStart w:id="2" w:name="_Toc21366013"/>
      <w:r>
        <w:rPr>
          <w:rFonts w:ascii="Palatino Linotype" w:eastAsiaTheme="majorEastAsia" w:hAnsi="Palatino Linotype" w:cstheme="majorBidi"/>
          <w:b/>
          <w:sz w:val="24"/>
          <w:szCs w:val="24"/>
          <w:bdr w:val="nil"/>
        </w:rPr>
        <w:t>I.</w:t>
      </w:r>
      <w:bookmarkStart w:id="3" w:name="_Toc21366014"/>
      <w:bookmarkEnd w:id="2"/>
      <w:r w:rsidR="001A1ECB">
        <w:rPr>
          <w:rFonts w:ascii="Palatino Linotype" w:eastAsiaTheme="majorEastAsia" w:hAnsi="Palatino Linotype" w:cstheme="majorBidi"/>
          <w:b/>
          <w:sz w:val="24"/>
          <w:szCs w:val="24"/>
          <w:bdr w:val="nil"/>
        </w:rPr>
        <w:t xml:space="preserve"> Las </w:t>
      </w:r>
      <w:r>
        <w:rPr>
          <w:rFonts w:ascii="Palatino Linotype" w:eastAsiaTheme="majorEastAsia" w:hAnsi="Palatino Linotype" w:cstheme="majorBidi"/>
          <w:b/>
          <w:sz w:val="24"/>
          <w:szCs w:val="24"/>
          <w:bdr w:val="nil"/>
        </w:rPr>
        <w:t>restricciones del Derecho de Acceso a la Información.</w:t>
      </w:r>
      <w:bookmarkEnd w:id="3"/>
      <w:r>
        <w:rPr>
          <w:rFonts w:ascii="Palatino Linotype" w:eastAsiaTheme="majorEastAsia" w:hAnsi="Palatino Linotype" w:cstheme="majorBidi"/>
          <w:b/>
          <w:sz w:val="24"/>
          <w:szCs w:val="24"/>
          <w:bdr w:val="nil"/>
        </w:rPr>
        <w:t xml:space="preserve"> </w:t>
      </w:r>
    </w:p>
    <w:p w14:paraId="7AEB57DE" w14:textId="77777777" w:rsidR="00AA2CEC" w:rsidRPr="00964C1E" w:rsidRDefault="00AA2CEC" w:rsidP="004B4437">
      <w:pPr>
        <w:pBdr>
          <w:top w:val="nil"/>
          <w:left w:val="nil"/>
          <w:bottom w:val="nil"/>
          <w:right w:val="nil"/>
          <w:between w:val="nil"/>
          <w:bar w:val="nil"/>
        </w:pBdr>
        <w:spacing w:after="0" w:line="360" w:lineRule="auto"/>
        <w:jc w:val="both"/>
        <w:rPr>
          <w:rFonts w:ascii="Palatino Linotype" w:eastAsia="Calibri" w:hAnsi="Palatino Linotype" w:cs="Arial"/>
          <w:sz w:val="24"/>
          <w:szCs w:val="24"/>
          <w:lang w:eastAsia="es-ES"/>
        </w:rPr>
      </w:pPr>
    </w:p>
    <w:p w14:paraId="1370AF17" w14:textId="4F8930ED" w:rsidR="00C77E23" w:rsidRDefault="00F26763" w:rsidP="00C77E23">
      <w:pPr>
        <w:pStyle w:val="Prrafodelista"/>
        <w:numPr>
          <w:ilvl w:val="0"/>
          <w:numId w:val="9"/>
        </w:numPr>
        <w:pBdr>
          <w:top w:val="nil"/>
          <w:left w:val="nil"/>
          <w:bottom w:val="nil"/>
          <w:right w:val="nil"/>
          <w:between w:val="nil"/>
          <w:bar w:val="nil"/>
        </w:pBdr>
        <w:spacing w:after="0" w:line="360" w:lineRule="auto"/>
        <w:ind w:left="0" w:firstLine="0"/>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lastRenderedPageBreak/>
        <w:t xml:space="preserve">Tal y como lo establece la Suprema Corte de Justicia de la Nación, las razones que justifican entender las restricciones y suspensiones a los derechos humanos fuera del exclusivo ámbito procedimental excepcional del artículo 29 constitucional; en primer lugar, se encuentra que: </w:t>
      </w:r>
      <w:r w:rsidRPr="00F26763">
        <w:rPr>
          <w:rFonts w:ascii="Palatino Linotype" w:eastAsia="Calibri" w:hAnsi="Palatino Linotype" w:cs="Arial"/>
          <w:b/>
          <w:bCs/>
          <w:sz w:val="24"/>
          <w:szCs w:val="24"/>
          <w:lang w:val="es-ES" w:eastAsia="es-ES"/>
        </w:rPr>
        <w:t>los derechos fundamentales no son absolutos</w:t>
      </w:r>
      <w:r>
        <w:rPr>
          <w:rFonts w:ascii="Palatino Linotype" w:eastAsia="Calibri" w:hAnsi="Palatino Linotype" w:cs="Arial"/>
          <w:sz w:val="24"/>
          <w:szCs w:val="24"/>
          <w:lang w:val="es-ES" w:eastAsia="es-ES"/>
        </w:rPr>
        <w:t xml:space="preserve">, por lo que han de determinarse cuáles son los límites legítimos a su ejercicio, siendo estas limitaciones individualizadas en el contexto jurídico y fáctico de los asuntos en concreto y cuya determinación de las condiciones de aplicación de los derechos humanos, se cierran en cada categoría de casos por la exigencia de otros principios o normas jurídicas. </w:t>
      </w:r>
    </w:p>
    <w:p w14:paraId="4E3F9A93" w14:textId="77777777" w:rsidR="00F26763" w:rsidRDefault="00F26763" w:rsidP="00F26763">
      <w:pPr>
        <w:pStyle w:val="Prrafodelista"/>
        <w:pBdr>
          <w:top w:val="nil"/>
          <w:left w:val="nil"/>
          <w:bottom w:val="nil"/>
          <w:right w:val="nil"/>
          <w:between w:val="nil"/>
          <w:bar w:val="nil"/>
        </w:pBdr>
        <w:spacing w:after="0" w:line="360" w:lineRule="auto"/>
        <w:ind w:left="0"/>
        <w:jc w:val="both"/>
        <w:rPr>
          <w:rFonts w:ascii="Palatino Linotype" w:eastAsia="Calibri" w:hAnsi="Palatino Linotype" w:cs="Arial"/>
          <w:sz w:val="24"/>
          <w:szCs w:val="24"/>
          <w:lang w:val="es-ES" w:eastAsia="es-ES"/>
        </w:rPr>
      </w:pPr>
    </w:p>
    <w:p w14:paraId="76AA37A2" w14:textId="6B40F060" w:rsidR="00AA2CEC" w:rsidRPr="00C77E23" w:rsidRDefault="00AA2CEC" w:rsidP="00C77E23">
      <w:pPr>
        <w:pStyle w:val="Prrafodelista"/>
        <w:numPr>
          <w:ilvl w:val="0"/>
          <w:numId w:val="9"/>
        </w:numPr>
        <w:pBdr>
          <w:top w:val="nil"/>
          <w:left w:val="nil"/>
          <w:bottom w:val="nil"/>
          <w:right w:val="nil"/>
          <w:between w:val="nil"/>
          <w:bar w:val="nil"/>
        </w:pBdr>
        <w:spacing w:after="0" w:line="360" w:lineRule="auto"/>
        <w:ind w:left="0" w:firstLine="0"/>
        <w:jc w:val="both"/>
        <w:rPr>
          <w:rFonts w:ascii="Palatino Linotype" w:eastAsia="Calibri" w:hAnsi="Palatino Linotype" w:cs="Arial"/>
          <w:sz w:val="24"/>
          <w:szCs w:val="24"/>
          <w:lang w:val="es-ES" w:eastAsia="es-ES"/>
        </w:rPr>
      </w:pPr>
      <w:r w:rsidRPr="00C77E23">
        <w:rPr>
          <w:rFonts w:ascii="Palatino Linotype" w:eastAsia="Calibri" w:hAnsi="Palatino Linotype" w:cs="Arial"/>
          <w:sz w:val="24"/>
          <w:szCs w:val="24"/>
          <w:lang w:val="es-ES" w:eastAsia="es-ES"/>
        </w:rPr>
        <w:t>De acuerdo con el artículo 13.</w:t>
      </w:r>
      <w:r w:rsidR="00964C1E" w:rsidRPr="00C77E23">
        <w:rPr>
          <w:rFonts w:ascii="Palatino Linotype" w:eastAsia="Calibri" w:hAnsi="Palatino Linotype" w:cs="Arial"/>
          <w:sz w:val="24"/>
          <w:szCs w:val="24"/>
          <w:lang w:val="es-ES" w:eastAsia="es-ES"/>
        </w:rPr>
        <w:t>2 de la Convención</w:t>
      </w:r>
      <w:r w:rsidR="00F26763">
        <w:rPr>
          <w:rFonts w:ascii="Palatino Linotype" w:eastAsia="Calibri" w:hAnsi="Palatino Linotype" w:cs="Arial"/>
          <w:sz w:val="24"/>
          <w:szCs w:val="24"/>
          <w:lang w:val="es-ES" w:eastAsia="es-ES"/>
        </w:rPr>
        <w:t xml:space="preserve"> Americana, </w:t>
      </w:r>
      <w:r w:rsidR="00964C1E" w:rsidRPr="00C77E23">
        <w:rPr>
          <w:rFonts w:ascii="Palatino Linotype" w:eastAsia="Calibri" w:hAnsi="Palatino Linotype" w:cs="Arial"/>
          <w:sz w:val="24"/>
          <w:szCs w:val="24"/>
          <w:lang w:val="es-ES" w:eastAsia="es-ES"/>
        </w:rPr>
        <w:t xml:space="preserve">se exige el cumplimiento </w:t>
      </w:r>
      <w:r w:rsidR="008C5C3F">
        <w:rPr>
          <w:rFonts w:ascii="Palatino Linotype" w:eastAsia="Calibri" w:hAnsi="Palatino Linotype" w:cs="Arial"/>
          <w:sz w:val="24"/>
          <w:szCs w:val="24"/>
          <w:lang w:val="es-ES" w:eastAsia="es-ES"/>
        </w:rPr>
        <w:t xml:space="preserve">de un test de tres elementos que contiene </w:t>
      </w:r>
      <w:r w:rsidR="00964C1E" w:rsidRPr="00C77E23">
        <w:rPr>
          <w:rFonts w:ascii="Palatino Linotype" w:eastAsia="Calibri" w:hAnsi="Palatino Linotype" w:cs="Arial"/>
          <w:sz w:val="24"/>
          <w:szCs w:val="24"/>
          <w:lang w:val="es-ES" w:eastAsia="es-ES"/>
        </w:rPr>
        <w:t xml:space="preserve">una limitación al derecho a la libertad de expresión sea admisible; </w:t>
      </w:r>
    </w:p>
    <w:p w14:paraId="10299755" w14:textId="269F5D31" w:rsidR="00964C1E" w:rsidRPr="00FE301B" w:rsidRDefault="00964C1E" w:rsidP="004B4437">
      <w:pPr>
        <w:pBdr>
          <w:top w:val="nil"/>
          <w:left w:val="nil"/>
          <w:bottom w:val="nil"/>
          <w:right w:val="nil"/>
          <w:between w:val="nil"/>
          <w:bar w:val="nil"/>
        </w:pBdr>
        <w:spacing w:after="0" w:line="360" w:lineRule="auto"/>
        <w:jc w:val="both"/>
        <w:rPr>
          <w:rFonts w:ascii="Palatino Linotype" w:eastAsia="Calibri" w:hAnsi="Palatino Linotype" w:cs="Arial"/>
          <w:lang w:val="es-ES" w:eastAsia="es-ES"/>
        </w:rPr>
      </w:pPr>
    </w:p>
    <w:p w14:paraId="4AC6D4F3" w14:textId="309089B0" w:rsidR="00964C1E" w:rsidRPr="00FE301B" w:rsidRDefault="00964C1E" w:rsidP="00F26763">
      <w:pPr>
        <w:pStyle w:val="Prrafodelista"/>
        <w:numPr>
          <w:ilvl w:val="0"/>
          <w:numId w:val="15"/>
        </w:numPr>
        <w:pBdr>
          <w:top w:val="nil"/>
          <w:left w:val="nil"/>
          <w:bottom w:val="nil"/>
          <w:right w:val="nil"/>
          <w:between w:val="nil"/>
          <w:bar w:val="nil"/>
        </w:pBdr>
        <w:spacing w:after="0" w:line="360" w:lineRule="auto"/>
        <w:ind w:left="567" w:right="616" w:firstLine="0"/>
        <w:jc w:val="both"/>
        <w:rPr>
          <w:rFonts w:ascii="Palatino Linotype" w:eastAsia="Calibri" w:hAnsi="Palatino Linotype" w:cs="Arial"/>
          <w:lang w:val="es-ES" w:eastAsia="es-ES"/>
        </w:rPr>
      </w:pPr>
      <w:r w:rsidRPr="00FE301B">
        <w:rPr>
          <w:rFonts w:ascii="Palatino Linotype" w:eastAsia="Calibri" w:hAnsi="Palatino Linotype" w:cs="Arial"/>
          <w:lang w:val="es-ES" w:eastAsia="es-ES"/>
        </w:rPr>
        <w:t>La limitación debe haber sido definida en forma precisa clara y a través de una ley formal y material</w:t>
      </w:r>
      <w:r w:rsidR="00F26763" w:rsidRPr="00FE301B">
        <w:rPr>
          <w:rFonts w:ascii="Palatino Linotype" w:eastAsia="Calibri" w:hAnsi="Palatino Linotype" w:cs="Arial"/>
          <w:lang w:val="es-ES" w:eastAsia="es-ES"/>
        </w:rPr>
        <w:t xml:space="preserve">; </w:t>
      </w:r>
    </w:p>
    <w:p w14:paraId="637A3486" w14:textId="4A665D08" w:rsidR="00964C1E" w:rsidRPr="00FE301B" w:rsidRDefault="00964C1E" w:rsidP="00F26763">
      <w:pPr>
        <w:pStyle w:val="Prrafodelista"/>
        <w:numPr>
          <w:ilvl w:val="0"/>
          <w:numId w:val="15"/>
        </w:numPr>
        <w:pBdr>
          <w:top w:val="nil"/>
          <w:left w:val="nil"/>
          <w:bottom w:val="nil"/>
          <w:right w:val="nil"/>
          <w:between w:val="nil"/>
          <w:bar w:val="nil"/>
        </w:pBdr>
        <w:spacing w:after="0" w:line="360" w:lineRule="auto"/>
        <w:ind w:left="567" w:right="616" w:firstLine="0"/>
        <w:jc w:val="both"/>
        <w:rPr>
          <w:rFonts w:ascii="Palatino Linotype" w:eastAsia="Calibri" w:hAnsi="Palatino Linotype" w:cs="Arial"/>
          <w:lang w:val="es-ES" w:eastAsia="es-ES"/>
        </w:rPr>
      </w:pPr>
      <w:r w:rsidRPr="00FE301B">
        <w:rPr>
          <w:rFonts w:ascii="Palatino Linotype" w:eastAsia="Calibri" w:hAnsi="Palatino Linotype" w:cs="Arial"/>
          <w:lang w:val="es-ES" w:eastAsia="es-ES"/>
        </w:rPr>
        <w:t>La limitación debe estar orientada al logro de objetivos imperiosos autorizados por la Convención Americana y;</w:t>
      </w:r>
    </w:p>
    <w:p w14:paraId="3F31D3CA" w14:textId="355275A2" w:rsidR="00964C1E" w:rsidRDefault="00964C1E" w:rsidP="00964C1E">
      <w:pPr>
        <w:pStyle w:val="Prrafodelista"/>
        <w:numPr>
          <w:ilvl w:val="0"/>
          <w:numId w:val="15"/>
        </w:numPr>
        <w:pBdr>
          <w:top w:val="nil"/>
          <w:left w:val="nil"/>
          <w:bottom w:val="nil"/>
          <w:right w:val="nil"/>
          <w:between w:val="nil"/>
          <w:bar w:val="nil"/>
        </w:pBdr>
        <w:spacing w:after="0" w:line="360" w:lineRule="auto"/>
        <w:ind w:left="567" w:right="616" w:firstLine="0"/>
        <w:jc w:val="both"/>
        <w:rPr>
          <w:rFonts w:ascii="Palatino Linotype" w:eastAsia="Calibri" w:hAnsi="Palatino Linotype" w:cs="Arial"/>
          <w:lang w:val="es-ES" w:eastAsia="es-ES"/>
        </w:rPr>
      </w:pPr>
      <w:r w:rsidRPr="00FE301B">
        <w:rPr>
          <w:rFonts w:ascii="Palatino Linotype" w:eastAsia="Calibri" w:hAnsi="Palatino Linotype" w:cs="Arial"/>
          <w:lang w:val="es-ES" w:eastAsia="es-ES"/>
        </w:rPr>
        <w:t>La limitación debe ser necesaria en una sociedad democrática para el logro de los fines imperiosos que se buscan; estrictamente proporcionada a la finalidad perseguida; e idónea para lograr el objetivo imperioso que pretende lograr.</w:t>
      </w:r>
    </w:p>
    <w:p w14:paraId="37778AEA" w14:textId="77777777" w:rsidR="008C5C3F" w:rsidRPr="008A4B0D" w:rsidRDefault="008C5C3F" w:rsidP="008C5C3F">
      <w:pPr>
        <w:pBdr>
          <w:top w:val="nil"/>
          <w:left w:val="nil"/>
          <w:bottom w:val="nil"/>
          <w:right w:val="nil"/>
          <w:between w:val="nil"/>
          <w:bar w:val="nil"/>
        </w:pBdr>
        <w:spacing w:after="0" w:line="360" w:lineRule="auto"/>
        <w:ind w:left="567" w:right="616"/>
        <w:jc w:val="both"/>
        <w:rPr>
          <w:rFonts w:ascii="Palatino Linotype" w:eastAsia="Calibri" w:hAnsi="Palatino Linotype" w:cs="Arial"/>
          <w:lang w:val="es-ES" w:eastAsia="es-ES"/>
        </w:rPr>
      </w:pPr>
    </w:p>
    <w:p w14:paraId="39B29092" w14:textId="2835236B" w:rsidR="00964C1E" w:rsidRPr="002A43BC" w:rsidRDefault="00964C1E" w:rsidP="00964C1E">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sz w:val="24"/>
          <w:szCs w:val="24"/>
          <w:bdr w:val="nil"/>
        </w:rPr>
      </w:pPr>
      <w:bookmarkStart w:id="4" w:name="_Toc21366015"/>
      <w:r>
        <w:rPr>
          <w:rFonts w:ascii="Palatino Linotype" w:eastAsiaTheme="majorEastAsia" w:hAnsi="Palatino Linotype" w:cstheme="majorBidi"/>
          <w:b/>
          <w:sz w:val="24"/>
          <w:szCs w:val="24"/>
          <w:bdr w:val="nil"/>
        </w:rPr>
        <w:lastRenderedPageBreak/>
        <w:t>II. La determinación de la mayoría del Pleno.</w:t>
      </w:r>
      <w:bookmarkEnd w:id="4"/>
    </w:p>
    <w:p w14:paraId="2EC87C76" w14:textId="7C526C61" w:rsidR="00964C1E" w:rsidRDefault="00964C1E" w:rsidP="00964C1E">
      <w:pPr>
        <w:pStyle w:val="Prrafodelista"/>
        <w:pBdr>
          <w:top w:val="nil"/>
          <w:left w:val="nil"/>
          <w:bottom w:val="nil"/>
          <w:right w:val="nil"/>
          <w:between w:val="nil"/>
          <w:bar w:val="nil"/>
        </w:pBdr>
        <w:spacing w:after="0" w:line="360" w:lineRule="auto"/>
        <w:ind w:left="0"/>
        <w:jc w:val="both"/>
        <w:rPr>
          <w:rFonts w:ascii="Palatino Linotype" w:eastAsia="Calibri" w:hAnsi="Palatino Linotype" w:cs="Arial"/>
          <w:sz w:val="24"/>
          <w:szCs w:val="24"/>
          <w:lang w:val="es-ES" w:eastAsia="es-ES"/>
        </w:rPr>
      </w:pPr>
    </w:p>
    <w:p w14:paraId="57CE67C6" w14:textId="77777777" w:rsidR="001B6D73" w:rsidRPr="001B6D73" w:rsidRDefault="00964C1E" w:rsidP="00884A7D">
      <w:pPr>
        <w:pStyle w:val="Prrafodelista"/>
        <w:numPr>
          <w:ilvl w:val="0"/>
          <w:numId w:val="9"/>
        </w:numPr>
        <w:pBdr>
          <w:top w:val="nil"/>
          <w:left w:val="nil"/>
          <w:bottom w:val="nil"/>
          <w:right w:val="nil"/>
          <w:between w:val="nil"/>
          <w:bar w:val="nil"/>
        </w:pBdr>
        <w:tabs>
          <w:tab w:val="left" w:pos="0"/>
        </w:tabs>
        <w:spacing w:after="0" w:line="360" w:lineRule="auto"/>
        <w:ind w:left="0" w:firstLine="0"/>
        <w:jc w:val="both"/>
        <w:rPr>
          <w:rFonts w:ascii="Palatino Linotype" w:eastAsia="Calibri" w:hAnsi="Palatino Linotype" w:cs="Arial"/>
          <w:sz w:val="24"/>
          <w:szCs w:val="24"/>
          <w:lang w:eastAsia="es-ES"/>
        </w:rPr>
      </w:pPr>
      <w:r w:rsidRPr="001B6D73">
        <w:rPr>
          <w:rFonts w:ascii="Palatino Linotype" w:eastAsia="Calibri" w:hAnsi="Palatino Linotype" w:cs="Arial"/>
          <w:sz w:val="24"/>
          <w:szCs w:val="24"/>
          <w:lang w:val="es-ES" w:eastAsia="es-ES"/>
        </w:rPr>
        <w:t xml:space="preserve">El Pleno de este Instituto </w:t>
      </w:r>
      <w:r w:rsidR="00B14249" w:rsidRPr="001B6D73">
        <w:rPr>
          <w:rFonts w:ascii="Palatino Linotype" w:eastAsia="Calibri" w:hAnsi="Palatino Linotype" w:cs="Arial"/>
          <w:sz w:val="24"/>
          <w:szCs w:val="24"/>
          <w:lang w:val="es-ES" w:eastAsia="es-ES"/>
        </w:rPr>
        <w:t>sostuvo</w:t>
      </w:r>
      <w:r w:rsidRPr="001B6D73">
        <w:rPr>
          <w:rFonts w:ascii="Palatino Linotype" w:eastAsia="Calibri" w:hAnsi="Palatino Linotype" w:cs="Arial"/>
          <w:sz w:val="24"/>
          <w:szCs w:val="24"/>
          <w:lang w:val="es-ES" w:eastAsia="es-ES"/>
        </w:rPr>
        <w:t xml:space="preserve"> </w:t>
      </w:r>
      <w:r w:rsidR="001B2FE3" w:rsidRPr="001B6D73">
        <w:rPr>
          <w:rFonts w:ascii="Palatino Linotype" w:eastAsia="Calibri" w:hAnsi="Palatino Linotype" w:cs="Arial"/>
          <w:sz w:val="24"/>
          <w:szCs w:val="24"/>
          <w:lang w:val="es-ES" w:eastAsia="es-ES"/>
        </w:rPr>
        <w:t>que,</w:t>
      </w:r>
      <w:r w:rsidRPr="001B6D73">
        <w:rPr>
          <w:rFonts w:ascii="Palatino Linotype" w:eastAsia="Calibri" w:hAnsi="Palatino Linotype" w:cs="Arial"/>
          <w:sz w:val="24"/>
          <w:szCs w:val="24"/>
          <w:lang w:val="es-ES" w:eastAsia="es-ES"/>
        </w:rPr>
        <w:t xml:space="preserve"> si bien </w:t>
      </w:r>
      <w:r w:rsidR="008C5C3F" w:rsidRPr="001B6D73">
        <w:rPr>
          <w:rFonts w:ascii="Palatino Linotype" w:eastAsia="Calibri" w:hAnsi="Palatino Linotype" w:cs="Arial"/>
          <w:sz w:val="24"/>
          <w:szCs w:val="24"/>
          <w:lang w:val="es-ES" w:eastAsia="es-ES"/>
        </w:rPr>
        <w:t>las personas</w:t>
      </w:r>
      <w:r w:rsidRPr="001B6D73">
        <w:rPr>
          <w:rFonts w:ascii="Palatino Linotype" w:eastAsia="Calibri" w:hAnsi="Palatino Linotype" w:cs="Arial"/>
          <w:sz w:val="24"/>
          <w:szCs w:val="24"/>
          <w:lang w:val="es-ES" w:eastAsia="es-ES"/>
        </w:rPr>
        <w:t xml:space="preserve"> tiene</w:t>
      </w:r>
      <w:r w:rsidR="008C5C3F" w:rsidRPr="001B6D73">
        <w:rPr>
          <w:rFonts w:ascii="Palatino Linotype" w:eastAsia="Calibri" w:hAnsi="Palatino Linotype" w:cs="Arial"/>
          <w:sz w:val="24"/>
          <w:szCs w:val="24"/>
          <w:lang w:val="es-ES" w:eastAsia="es-ES"/>
        </w:rPr>
        <w:t>n</w:t>
      </w:r>
      <w:r w:rsidRPr="001B6D73">
        <w:rPr>
          <w:rFonts w:ascii="Palatino Linotype" w:eastAsia="Calibri" w:hAnsi="Palatino Linotype" w:cs="Arial"/>
          <w:sz w:val="24"/>
          <w:szCs w:val="24"/>
          <w:lang w:val="es-ES" w:eastAsia="es-ES"/>
        </w:rPr>
        <w:t xml:space="preserve"> derecho </w:t>
      </w:r>
      <w:r w:rsidR="00FE301B" w:rsidRPr="001B6D73">
        <w:rPr>
          <w:rFonts w:ascii="Palatino Linotype" w:eastAsia="Calibri" w:hAnsi="Palatino Linotype" w:cs="Arial"/>
          <w:sz w:val="24"/>
          <w:szCs w:val="24"/>
          <w:lang w:val="es-ES" w:eastAsia="es-ES"/>
        </w:rPr>
        <w:t xml:space="preserve">de </w:t>
      </w:r>
      <w:r w:rsidR="002B000F" w:rsidRPr="001B6D73">
        <w:rPr>
          <w:rFonts w:ascii="Palatino Linotype" w:eastAsia="Calibri" w:hAnsi="Palatino Linotype" w:cs="Arial"/>
          <w:sz w:val="24"/>
          <w:szCs w:val="24"/>
          <w:lang w:val="es-ES" w:eastAsia="es-ES"/>
        </w:rPr>
        <w:t>acceder a la información en posesión de los sujetos obligados, este derecho encuentra su limitante en la clasificación de la información, lo cual sucedió en el presente asunto, por el hecho de que al actualizar una causal de reserva por corresponder a un procedimiento en curso de naturaleza penal, por lo que se confirmó el acuerdo emitido por el Comité de Transparencia de la Fiscalía General de Justicia del Estado de México mediante el cual clasificó como información reservada los dictámenes periciales solicitados.</w:t>
      </w:r>
    </w:p>
    <w:p w14:paraId="74973132" w14:textId="77777777" w:rsidR="001B6D73" w:rsidRPr="001B6D73" w:rsidRDefault="001B6D73" w:rsidP="001B6D73">
      <w:pPr>
        <w:pStyle w:val="Prrafodelista"/>
        <w:pBdr>
          <w:top w:val="nil"/>
          <w:left w:val="nil"/>
          <w:bottom w:val="nil"/>
          <w:right w:val="nil"/>
          <w:between w:val="nil"/>
          <w:bar w:val="nil"/>
        </w:pBdr>
        <w:tabs>
          <w:tab w:val="left" w:pos="0"/>
        </w:tabs>
        <w:spacing w:after="0" w:line="360" w:lineRule="auto"/>
        <w:ind w:left="0"/>
        <w:jc w:val="both"/>
        <w:rPr>
          <w:rFonts w:ascii="Palatino Linotype" w:eastAsia="Calibri" w:hAnsi="Palatino Linotype" w:cs="Arial"/>
          <w:sz w:val="24"/>
          <w:szCs w:val="24"/>
          <w:lang w:eastAsia="es-ES"/>
        </w:rPr>
      </w:pPr>
    </w:p>
    <w:p w14:paraId="4797AC0E" w14:textId="2EABE9ED" w:rsidR="0078362A" w:rsidRPr="001B6D73" w:rsidRDefault="00551216" w:rsidP="007C3E34">
      <w:pPr>
        <w:pStyle w:val="Prrafodelista"/>
        <w:numPr>
          <w:ilvl w:val="0"/>
          <w:numId w:val="9"/>
        </w:numPr>
        <w:pBdr>
          <w:top w:val="nil"/>
          <w:left w:val="nil"/>
          <w:bottom w:val="nil"/>
          <w:right w:val="nil"/>
          <w:between w:val="nil"/>
          <w:bar w:val="nil"/>
        </w:pBdr>
        <w:tabs>
          <w:tab w:val="left" w:pos="0"/>
        </w:tabs>
        <w:spacing w:after="0" w:line="360" w:lineRule="auto"/>
        <w:ind w:left="0" w:firstLine="0"/>
        <w:jc w:val="both"/>
        <w:rPr>
          <w:rFonts w:ascii="Palatino Linotype" w:eastAsia="Calibri" w:hAnsi="Palatino Linotype" w:cs="Arial"/>
          <w:sz w:val="24"/>
          <w:szCs w:val="24"/>
          <w:lang w:val="es-ES" w:eastAsia="es-ES"/>
        </w:rPr>
      </w:pPr>
      <w:r w:rsidRPr="001B6D73">
        <w:rPr>
          <w:rFonts w:ascii="Palatino Linotype" w:eastAsia="Calibri" w:hAnsi="Palatino Linotype" w:cs="Arial"/>
          <w:sz w:val="24"/>
          <w:szCs w:val="24"/>
          <w:lang w:val="es-ES" w:eastAsia="es-ES"/>
        </w:rPr>
        <w:t xml:space="preserve">Situación que no se comparte por la Ponencia que emite el presente voto disidente, porque si bien la información forma parte de un proceso seguido en forma de juicio, lo cierto es que, los antecedentes históricos del caso permiten identificar posibles vulneraciones graves a derechos humanos, </w:t>
      </w:r>
      <w:r w:rsidR="001B6D73" w:rsidRPr="001B6D73">
        <w:rPr>
          <w:rFonts w:ascii="Palatino Linotype" w:eastAsia="Calibri" w:hAnsi="Palatino Linotype" w:cs="Arial"/>
          <w:sz w:val="24"/>
          <w:szCs w:val="24"/>
          <w:lang w:val="es-ES" w:eastAsia="es-ES"/>
        </w:rPr>
        <w:t xml:space="preserve">como es el </w:t>
      </w:r>
      <w:r w:rsidR="001B6D73" w:rsidRPr="001B6D73">
        <w:rPr>
          <w:rFonts w:ascii="Palatino Linotype" w:eastAsia="Calibri" w:hAnsi="Palatino Linotype" w:cs="Arial"/>
          <w:b/>
          <w:sz w:val="24"/>
          <w:szCs w:val="24"/>
          <w:lang w:eastAsia="es-ES"/>
        </w:rPr>
        <w:t xml:space="preserve">derecho a la vida, la integridad personal, la libertad, </w:t>
      </w:r>
      <w:r w:rsidR="001B6D73" w:rsidRPr="001B6D73">
        <w:rPr>
          <w:rFonts w:ascii="Palatino Linotype" w:eastAsia="Calibri" w:hAnsi="Palatino Linotype" w:cs="Arial"/>
          <w:b/>
          <w:bCs/>
          <w:sz w:val="24"/>
          <w:szCs w:val="24"/>
          <w:lang w:eastAsia="es-ES"/>
        </w:rPr>
        <w:t>seguridad personal y, en su caso, al derecho a no ser sometido al uso desproporcionado o indebido de la fuerza por parte de integrantes de una institución de seguridad pública como lo es la policía municipal</w:t>
      </w:r>
      <w:r w:rsidRPr="001B6D73">
        <w:rPr>
          <w:rFonts w:ascii="Palatino Linotype" w:eastAsia="Calibri" w:hAnsi="Palatino Linotype" w:cs="Arial"/>
          <w:sz w:val="24"/>
          <w:szCs w:val="24"/>
          <w:lang w:val="es-ES" w:eastAsia="es-ES"/>
        </w:rPr>
        <w:t xml:space="preserve">, lo cual </w:t>
      </w:r>
      <w:r w:rsidR="001B6D73">
        <w:rPr>
          <w:rFonts w:ascii="Palatino Linotype" w:eastAsia="Calibri" w:hAnsi="Palatino Linotype" w:cs="Arial"/>
          <w:sz w:val="24"/>
          <w:szCs w:val="24"/>
          <w:lang w:val="es-ES" w:eastAsia="es-ES"/>
        </w:rPr>
        <w:t xml:space="preserve">constituye </w:t>
      </w:r>
      <w:r w:rsidRPr="001B6D73">
        <w:rPr>
          <w:rFonts w:ascii="Palatino Linotype" w:eastAsia="Calibri" w:hAnsi="Palatino Linotype" w:cs="Arial"/>
          <w:sz w:val="24"/>
          <w:szCs w:val="24"/>
          <w:lang w:val="es-ES" w:eastAsia="es-ES"/>
        </w:rPr>
        <w:t>una excepción a la clasificación por reserva, conforme al artículo 142, f</w:t>
      </w:r>
      <w:r w:rsidR="001B6D73">
        <w:rPr>
          <w:rFonts w:ascii="Palatino Linotype" w:eastAsia="Calibri" w:hAnsi="Palatino Linotype" w:cs="Arial"/>
          <w:sz w:val="24"/>
          <w:szCs w:val="24"/>
          <w:lang w:val="es-ES" w:eastAsia="es-ES"/>
        </w:rPr>
        <w:t>racciones</w:t>
      </w:r>
      <w:r w:rsidRPr="001B6D73">
        <w:rPr>
          <w:rFonts w:ascii="Palatino Linotype" w:eastAsia="Calibri" w:hAnsi="Palatino Linotype" w:cs="Arial"/>
          <w:sz w:val="24"/>
          <w:szCs w:val="24"/>
          <w:lang w:val="es-ES" w:eastAsia="es-ES"/>
        </w:rPr>
        <w:t xml:space="preserve"> II </w:t>
      </w:r>
      <w:r w:rsidR="001B6D73">
        <w:rPr>
          <w:rFonts w:ascii="Palatino Linotype" w:eastAsia="Calibri" w:hAnsi="Palatino Linotype" w:cs="Arial"/>
          <w:sz w:val="24"/>
          <w:szCs w:val="24"/>
          <w:lang w:val="es-ES" w:eastAsia="es-ES"/>
        </w:rPr>
        <w:t xml:space="preserve">y IV </w:t>
      </w:r>
      <w:r w:rsidRPr="001B6D73">
        <w:rPr>
          <w:rFonts w:ascii="Palatino Linotype" w:eastAsia="Calibri" w:hAnsi="Palatino Linotype" w:cs="Arial"/>
          <w:sz w:val="24"/>
          <w:szCs w:val="24"/>
          <w:lang w:val="es-ES" w:eastAsia="es-ES"/>
        </w:rPr>
        <w:t>de la Ley de Transparencia y Acceso a la Información Pública del Estado de México y Municipios.</w:t>
      </w:r>
    </w:p>
    <w:p w14:paraId="562B54C7" w14:textId="77777777" w:rsidR="008C5C3F" w:rsidRPr="0078362A" w:rsidRDefault="008C5C3F" w:rsidP="0078362A">
      <w:pPr>
        <w:pStyle w:val="Prrafodelista"/>
        <w:pBdr>
          <w:top w:val="nil"/>
          <w:left w:val="nil"/>
          <w:bottom w:val="nil"/>
          <w:right w:val="nil"/>
          <w:between w:val="nil"/>
          <w:bar w:val="nil"/>
        </w:pBdr>
        <w:spacing w:after="0" w:line="360" w:lineRule="auto"/>
        <w:ind w:left="0"/>
        <w:jc w:val="both"/>
        <w:rPr>
          <w:rFonts w:ascii="Palatino Linotype" w:eastAsia="Calibri" w:hAnsi="Palatino Linotype" w:cs="Arial"/>
          <w:sz w:val="24"/>
          <w:szCs w:val="24"/>
          <w:lang w:val="es-ES" w:eastAsia="es-ES"/>
        </w:rPr>
      </w:pPr>
    </w:p>
    <w:p w14:paraId="218B8011" w14:textId="5CD3AD4B" w:rsidR="006B4F3E" w:rsidRDefault="00EC1AD4" w:rsidP="0074075A">
      <w:pPr>
        <w:pStyle w:val="Prrafodelista"/>
        <w:numPr>
          <w:ilvl w:val="0"/>
          <w:numId w:val="9"/>
        </w:numPr>
        <w:pBdr>
          <w:top w:val="nil"/>
          <w:left w:val="nil"/>
          <w:bottom w:val="nil"/>
          <w:right w:val="nil"/>
          <w:between w:val="nil"/>
          <w:bar w:val="nil"/>
        </w:pBdr>
        <w:spacing w:after="0" w:line="360" w:lineRule="auto"/>
        <w:ind w:left="0" w:firstLine="0"/>
        <w:jc w:val="both"/>
        <w:rPr>
          <w:rFonts w:ascii="Palatino Linotype" w:eastAsiaTheme="majorEastAsia" w:hAnsi="Palatino Linotype" w:cstheme="majorBidi"/>
          <w:b/>
          <w:sz w:val="24"/>
          <w:szCs w:val="24"/>
          <w:bdr w:val="nil"/>
        </w:rPr>
      </w:pPr>
      <w:r>
        <w:rPr>
          <w:rFonts w:ascii="Palatino Linotype" w:eastAsiaTheme="majorEastAsia" w:hAnsi="Palatino Linotype" w:cstheme="majorBidi"/>
          <w:bCs/>
          <w:sz w:val="24"/>
          <w:szCs w:val="24"/>
          <w:bdr w:val="nil"/>
        </w:rPr>
        <w:lastRenderedPageBreak/>
        <w:t xml:space="preserve">De tal manera que, </w:t>
      </w:r>
      <w:r w:rsidR="006B4F3E">
        <w:rPr>
          <w:rFonts w:ascii="Palatino Linotype" w:eastAsiaTheme="majorEastAsia" w:hAnsi="Palatino Linotype" w:cstheme="majorBidi"/>
          <w:bCs/>
          <w:sz w:val="24"/>
          <w:szCs w:val="24"/>
          <w:bdr w:val="nil"/>
        </w:rPr>
        <w:t xml:space="preserve">el Sujeto Obligado y la decisión de la mayoría del Pleno </w:t>
      </w:r>
      <w:r>
        <w:rPr>
          <w:rFonts w:ascii="Palatino Linotype" w:eastAsiaTheme="majorEastAsia" w:hAnsi="Palatino Linotype" w:cstheme="majorBidi"/>
          <w:bCs/>
          <w:sz w:val="24"/>
          <w:szCs w:val="24"/>
          <w:bdr w:val="nil"/>
        </w:rPr>
        <w:t>restringe</w:t>
      </w:r>
      <w:r w:rsidR="006B4F3E">
        <w:rPr>
          <w:rFonts w:ascii="Palatino Linotype" w:eastAsiaTheme="majorEastAsia" w:hAnsi="Palatino Linotype" w:cstheme="majorBidi"/>
          <w:bCs/>
          <w:sz w:val="24"/>
          <w:szCs w:val="24"/>
          <w:bdr w:val="nil"/>
        </w:rPr>
        <w:t xml:space="preserve"> el</w:t>
      </w:r>
      <w:r w:rsidR="00D87FCD" w:rsidRPr="00EC1AD4">
        <w:rPr>
          <w:rFonts w:ascii="Palatino Linotype" w:eastAsiaTheme="majorEastAsia" w:hAnsi="Palatino Linotype" w:cstheme="majorBidi"/>
          <w:bCs/>
          <w:sz w:val="24"/>
          <w:szCs w:val="24"/>
          <w:bdr w:val="nil"/>
        </w:rPr>
        <w:t xml:space="preserve"> derecho </w:t>
      </w:r>
      <w:r w:rsidR="006B4F3E">
        <w:rPr>
          <w:rFonts w:ascii="Palatino Linotype" w:eastAsiaTheme="majorEastAsia" w:hAnsi="Palatino Linotype" w:cstheme="majorBidi"/>
          <w:bCs/>
          <w:sz w:val="24"/>
          <w:szCs w:val="24"/>
          <w:bdr w:val="nil"/>
        </w:rPr>
        <w:t xml:space="preserve">de acceso </w:t>
      </w:r>
      <w:r w:rsidR="00D87FCD" w:rsidRPr="00EC1AD4">
        <w:rPr>
          <w:rFonts w:ascii="Palatino Linotype" w:eastAsiaTheme="majorEastAsia" w:hAnsi="Palatino Linotype" w:cstheme="majorBidi"/>
          <w:bCs/>
          <w:sz w:val="24"/>
          <w:szCs w:val="24"/>
          <w:bdr w:val="nil"/>
        </w:rPr>
        <w:t xml:space="preserve">a </w:t>
      </w:r>
      <w:r w:rsidR="006B4F3E">
        <w:rPr>
          <w:rFonts w:ascii="Palatino Linotype" w:eastAsiaTheme="majorEastAsia" w:hAnsi="Palatino Linotype" w:cstheme="majorBidi"/>
          <w:bCs/>
          <w:sz w:val="24"/>
          <w:szCs w:val="24"/>
          <w:bdr w:val="nil"/>
        </w:rPr>
        <w:t xml:space="preserve">la información y, </w:t>
      </w:r>
      <w:r w:rsidR="00D87FCD" w:rsidRPr="00EC1AD4">
        <w:rPr>
          <w:rFonts w:ascii="Palatino Linotype" w:eastAsiaTheme="majorEastAsia" w:hAnsi="Palatino Linotype" w:cstheme="majorBidi"/>
          <w:bCs/>
          <w:sz w:val="24"/>
          <w:szCs w:val="24"/>
          <w:bdr w:val="nil"/>
        </w:rPr>
        <w:t xml:space="preserve">precisamente lo que le impide a la </w:t>
      </w:r>
      <w:r w:rsidR="006B4F3E">
        <w:rPr>
          <w:rFonts w:ascii="Palatino Linotype" w:eastAsiaTheme="majorEastAsia" w:hAnsi="Palatino Linotype" w:cstheme="majorBidi"/>
          <w:bCs/>
          <w:sz w:val="24"/>
          <w:szCs w:val="24"/>
          <w:bdr w:val="nil"/>
        </w:rPr>
        <w:t xml:space="preserve">ciudadanía </w:t>
      </w:r>
      <w:r w:rsidR="006B4F3E">
        <w:rPr>
          <w:rFonts w:ascii="Palatino Linotype" w:eastAsiaTheme="majorEastAsia" w:hAnsi="Palatino Linotype" w:cstheme="majorBidi"/>
          <w:b/>
          <w:sz w:val="24"/>
          <w:szCs w:val="24"/>
          <w:bdr w:val="nil"/>
        </w:rPr>
        <w:t xml:space="preserve">cuestionar, </w:t>
      </w:r>
      <w:r w:rsidR="00D87FCD" w:rsidRPr="00EC1AD4">
        <w:rPr>
          <w:rFonts w:ascii="Palatino Linotype" w:eastAsiaTheme="majorEastAsia" w:hAnsi="Palatino Linotype" w:cstheme="majorBidi"/>
          <w:b/>
          <w:sz w:val="24"/>
          <w:szCs w:val="24"/>
          <w:bdr w:val="nil"/>
        </w:rPr>
        <w:t>verificar y refutar</w:t>
      </w:r>
      <w:r w:rsidR="00D87FCD" w:rsidRPr="00EC1AD4">
        <w:rPr>
          <w:rFonts w:ascii="Palatino Linotype" w:eastAsiaTheme="majorEastAsia" w:hAnsi="Palatino Linotype" w:cstheme="majorBidi"/>
          <w:bCs/>
          <w:sz w:val="24"/>
          <w:szCs w:val="24"/>
          <w:bdr w:val="nil"/>
        </w:rPr>
        <w:t xml:space="preserve"> </w:t>
      </w:r>
      <w:r w:rsidR="00D87FCD" w:rsidRPr="00EC1AD4">
        <w:rPr>
          <w:rFonts w:ascii="Palatino Linotype" w:eastAsiaTheme="majorEastAsia" w:hAnsi="Palatino Linotype" w:cstheme="majorBidi"/>
          <w:b/>
          <w:sz w:val="24"/>
          <w:szCs w:val="24"/>
          <w:bdr w:val="nil"/>
        </w:rPr>
        <w:t>l</w:t>
      </w:r>
      <w:r w:rsidR="006B4F3E">
        <w:rPr>
          <w:rFonts w:ascii="Palatino Linotype" w:eastAsiaTheme="majorEastAsia" w:hAnsi="Palatino Linotype" w:cstheme="majorBidi"/>
          <w:b/>
          <w:sz w:val="24"/>
          <w:szCs w:val="24"/>
          <w:bdr w:val="nil"/>
        </w:rPr>
        <w:t>as acciones desplegadas por la autoridad y, que hasta cierto punto resultan contradictorios en relación con los hechos que han sido de conocimiento público, frente a los pronunciamientos que las autoridades han manifestado.</w:t>
      </w:r>
    </w:p>
    <w:p w14:paraId="0B66C96C" w14:textId="77777777" w:rsidR="006B4F3E" w:rsidRPr="006B4F3E" w:rsidRDefault="006B4F3E" w:rsidP="006B4F3E">
      <w:pPr>
        <w:pStyle w:val="Prrafodelista"/>
        <w:rPr>
          <w:rFonts w:ascii="Palatino Linotype" w:eastAsiaTheme="majorEastAsia" w:hAnsi="Palatino Linotype" w:cstheme="majorBidi"/>
          <w:b/>
          <w:sz w:val="24"/>
          <w:szCs w:val="24"/>
          <w:bdr w:val="nil"/>
        </w:rPr>
      </w:pPr>
    </w:p>
    <w:p w14:paraId="3BC1221A" w14:textId="77777777" w:rsidR="007357CE" w:rsidRPr="007357CE" w:rsidRDefault="0074075A" w:rsidP="00606B0B">
      <w:pPr>
        <w:pStyle w:val="Prrafodelista"/>
        <w:numPr>
          <w:ilvl w:val="0"/>
          <w:numId w:val="9"/>
        </w:numPr>
        <w:pBdr>
          <w:top w:val="nil"/>
          <w:left w:val="nil"/>
          <w:bottom w:val="nil"/>
          <w:right w:val="nil"/>
          <w:between w:val="nil"/>
          <w:bar w:val="nil"/>
        </w:pBdr>
        <w:spacing w:before="240" w:after="240" w:line="360" w:lineRule="auto"/>
        <w:ind w:left="0" w:right="51" w:firstLine="0"/>
        <w:jc w:val="both"/>
        <w:rPr>
          <w:rFonts w:ascii="Palatino Linotype" w:hAnsi="Palatino Linotype" w:cs="Arial"/>
          <w:color w:val="000000" w:themeColor="text1"/>
        </w:rPr>
      </w:pPr>
      <w:r w:rsidRPr="007357CE">
        <w:rPr>
          <w:rFonts w:ascii="Palatino Linotype" w:eastAsiaTheme="majorEastAsia" w:hAnsi="Palatino Linotype" w:cstheme="majorBidi"/>
          <w:bCs/>
          <w:sz w:val="24"/>
          <w:szCs w:val="24"/>
          <w:bdr w:val="nil"/>
        </w:rPr>
        <w:t>E</w:t>
      </w:r>
      <w:r w:rsidR="00D87FCD" w:rsidRPr="007357CE">
        <w:rPr>
          <w:rFonts w:ascii="Palatino Linotype" w:eastAsiaTheme="majorEastAsia" w:hAnsi="Palatino Linotype" w:cstheme="majorBidi"/>
          <w:bCs/>
          <w:sz w:val="24"/>
          <w:szCs w:val="24"/>
          <w:bdr w:val="nil"/>
        </w:rPr>
        <w:t>n este caso, acceder a</w:t>
      </w:r>
      <w:r w:rsidR="00250780" w:rsidRPr="007357CE">
        <w:rPr>
          <w:rFonts w:ascii="Palatino Linotype" w:eastAsiaTheme="majorEastAsia" w:hAnsi="Palatino Linotype" w:cstheme="majorBidi"/>
          <w:bCs/>
          <w:sz w:val="24"/>
          <w:szCs w:val="24"/>
          <w:bdr w:val="nil"/>
        </w:rPr>
        <w:t xml:space="preserve"> </w:t>
      </w:r>
      <w:r w:rsidR="00D87FCD" w:rsidRPr="007357CE">
        <w:rPr>
          <w:rFonts w:ascii="Palatino Linotype" w:eastAsiaTheme="majorEastAsia" w:hAnsi="Palatino Linotype" w:cstheme="majorBidi"/>
          <w:bCs/>
          <w:sz w:val="24"/>
          <w:szCs w:val="24"/>
          <w:bdr w:val="nil"/>
        </w:rPr>
        <w:t>l</w:t>
      </w:r>
      <w:r w:rsidR="00250780" w:rsidRPr="007357CE">
        <w:rPr>
          <w:rFonts w:ascii="Palatino Linotype" w:eastAsiaTheme="majorEastAsia" w:hAnsi="Palatino Linotype" w:cstheme="majorBidi"/>
          <w:bCs/>
          <w:sz w:val="24"/>
          <w:szCs w:val="24"/>
          <w:bdr w:val="nil"/>
        </w:rPr>
        <w:t>os dictámenes periciales propiciaría que se disiparan los cuestionamientos en relación al caso y generaría una opinión informada sobre el mismo, al tiempo que brinda certeza sobre el buen ejercicio de la autoridad.</w:t>
      </w:r>
      <w:bookmarkStart w:id="5" w:name="_Toc467083028"/>
      <w:bookmarkStart w:id="6" w:name="_Hlk20391317"/>
      <w:bookmarkStart w:id="7" w:name="_Hlk21366146"/>
    </w:p>
    <w:p w14:paraId="4A1FA462" w14:textId="77777777" w:rsidR="007357CE" w:rsidRPr="007357CE" w:rsidRDefault="007357CE" w:rsidP="007357CE">
      <w:pPr>
        <w:pStyle w:val="Prrafodelista"/>
        <w:rPr>
          <w:rFonts w:ascii="Palatino Linotype" w:eastAsia="Calibri" w:hAnsi="Palatino Linotype" w:cs="Times New Roman"/>
          <w:bCs/>
          <w:sz w:val="24"/>
          <w:szCs w:val="24"/>
          <w:lang w:val="es-ES" w:eastAsia="es-ES"/>
        </w:rPr>
      </w:pPr>
    </w:p>
    <w:p w14:paraId="618BC1D8" w14:textId="77777777" w:rsidR="007357CE" w:rsidRPr="007357CE" w:rsidRDefault="00250780" w:rsidP="00E049F4">
      <w:pPr>
        <w:pStyle w:val="Prrafodelista"/>
        <w:numPr>
          <w:ilvl w:val="0"/>
          <w:numId w:val="9"/>
        </w:numPr>
        <w:pBdr>
          <w:top w:val="nil"/>
          <w:left w:val="nil"/>
          <w:bottom w:val="nil"/>
          <w:right w:val="nil"/>
          <w:between w:val="nil"/>
          <w:bar w:val="nil"/>
        </w:pBdr>
        <w:spacing w:before="240" w:after="240" w:line="360" w:lineRule="auto"/>
        <w:ind w:left="0" w:right="51" w:firstLine="0"/>
        <w:jc w:val="both"/>
        <w:rPr>
          <w:rFonts w:ascii="Palatino Linotype" w:hAnsi="Palatino Linotype" w:cs="Arial"/>
          <w:color w:val="000000" w:themeColor="text1"/>
        </w:rPr>
      </w:pPr>
      <w:r w:rsidRPr="007357CE">
        <w:rPr>
          <w:rFonts w:ascii="Palatino Linotype" w:eastAsia="Calibri" w:hAnsi="Palatino Linotype" w:cs="Times New Roman"/>
          <w:bCs/>
          <w:sz w:val="24"/>
          <w:szCs w:val="24"/>
          <w:lang w:val="es-ES" w:eastAsia="es-ES"/>
        </w:rPr>
        <w:t xml:space="preserve">Es necesario resaltar que </w:t>
      </w:r>
      <w:r w:rsidR="002E2EBD" w:rsidRPr="007357CE">
        <w:rPr>
          <w:rFonts w:ascii="Palatino Linotype" w:eastAsia="Calibri" w:hAnsi="Palatino Linotype" w:cs="Times New Roman"/>
          <w:bCs/>
          <w:sz w:val="24"/>
          <w:szCs w:val="24"/>
          <w:lang w:val="es-ES" w:eastAsia="es-ES"/>
        </w:rPr>
        <w:t>“</w:t>
      </w:r>
      <w:r w:rsidR="00CD5C84" w:rsidRPr="007357CE">
        <w:rPr>
          <w:rFonts w:ascii="Palatino Linotype" w:eastAsia="Calibri" w:hAnsi="Palatino Linotype" w:cs="Times New Roman"/>
          <w:bCs/>
          <w:i/>
          <w:iCs/>
          <w:sz w:val="24"/>
          <w:szCs w:val="24"/>
          <w:lang w:val="es-ES" w:eastAsia="es-ES"/>
        </w:rPr>
        <w:t>la cultura de transparencia y el ejercicio del derecho de acceso a la información pública son prácticas recientemente constituidas en nuestro país, cuya relevancia ha sido destacada incluso en ámbitos internacionales</w:t>
      </w:r>
      <w:r w:rsidR="002E2EBD" w:rsidRPr="007357CE">
        <w:rPr>
          <w:rFonts w:ascii="Palatino Linotype" w:eastAsia="Calibri" w:hAnsi="Palatino Linotype" w:cs="Times New Roman"/>
          <w:bCs/>
          <w:i/>
          <w:iCs/>
          <w:sz w:val="24"/>
          <w:szCs w:val="24"/>
          <w:lang w:val="es-ES" w:eastAsia="es-ES"/>
        </w:rPr>
        <w:t>”</w:t>
      </w:r>
      <w:r w:rsidR="00CD5C84" w:rsidRPr="007357CE">
        <w:rPr>
          <w:rFonts w:ascii="Palatino Linotype" w:eastAsia="Calibri" w:hAnsi="Palatino Linotype" w:cs="Times New Roman"/>
          <w:bCs/>
          <w:sz w:val="24"/>
          <w:szCs w:val="24"/>
          <w:lang w:val="es-ES" w:eastAsia="es-ES"/>
        </w:rPr>
        <w:t>, pues con la reforma de fecha siete de febrero del año dos mil catorce se  expuso la necesidad de dotar a los ciudadanos de instrumentos que permitan obtener información sobr</w:t>
      </w:r>
      <w:r w:rsidRPr="007357CE">
        <w:rPr>
          <w:rFonts w:ascii="Palatino Linotype" w:eastAsia="Calibri" w:hAnsi="Palatino Linotype" w:cs="Times New Roman"/>
          <w:bCs/>
          <w:sz w:val="24"/>
          <w:szCs w:val="24"/>
          <w:lang w:val="es-ES" w:eastAsia="es-ES"/>
        </w:rPr>
        <w:t>e las determinaciones públicas y el actuar de las autoridades.</w:t>
      </w:r>
      <w:bookmarkStart w:id="8" w:name="_Toc21366022"/>
      <w:bookmarkEnd w:id="5"/>
      <w:bookmarkEnd w:id="6"/>
      <w:bookmarkEnd w:id="7"/>
    </w:p>
    <w:p w14:paraId="7432E7B0" w14:textId="77777777" w:rsidR="007357CE" w:rsidRPr="007357CE" w:rsidRDefault="007357CE" w:rsidP="007357CE">
      <w:pPr>
        <w:pStyle w:val="Prrafodelista"/>
        <w:rPr>
          <w:rFonts w:ascii="Palatino Linotype" w:eastAsiaTheme="minorEastAsia" w:hAnsi="Palatino Linotype"/>
          <w:color w:val="000000" w:themeColor="text1"/>
        </w:rPr>
      </w:pPr>
    </w:p>
    <w:p w14:paraId="20C624B6" w14:textId="019CAF7A" w:rsidR="004240AA" w:rsidRPr="007357CE" w:rsidRDefault="005F796F" w:rsidP="00426889">
      <w:pPr>
        <w:pStyle w:val="Prrafodelista"/>
        <w:numPr>
          <w:ilvl w:val="0"/>
          <w:numId w:val="9"/>
        </w:numPr>
        <w:pBdr>
          <w:top w:val="nil"/>
          <w:left w:val="nil"/>
          <w:bottom w:val="nil"/>
          <w:right w:val="nil"/>
          <w:between w:val="nil"/>
          <w:bar w:val="nil"/>
        </w:pBdr>
        <w:spacing w:before="240" w:after="0" w:line="360" w:lineRule="auto"/>
        <w:ind w:left="0" w:right="51" w:firstLine="0"/>
        <w:contextualSpacing w:val="0"/>
        <w:jc w:val="both"/>
        <w:rPr>
          <w:rFonts w:ascii="Palatino Linotype" w:hAnsi="Palatino Linotype" w:cs="Tahoma"/>
          <w:bCs/>
          <w:color w:val="000000" w:themeColor="text1"/>
          <w:sz w:val="24"/>
        </w:rPr>
      </w:pPr>
      <w:r w:rsidRPr="001B6D73">
        <w:rPr>
          <w:rFonts w:ascii="Palatino Linotype" w:eastAsia="Calibri" w:hAnsi="Palatino Linotype" w:cs="Times New Roman"/>
          <w:bCs/>
          <w:sz w:val="24"/>
          <w:szCs w:val="24"/>
          <w:lang w:val="es-ES" w:eastAsia="es-ES"/>
        </w:rPr>
        <w:t xml:space="preserve">Precisado lo anterior, y como ha sido reiterado a lo largo del presente estudio, se advierte que el SUJETO OBLIGADO, presentó el Acuerdo de Clasificación número 88/2021 de fecha veintiséis (26) de noviembre del año 2021, emitido por el Comité de Transparencia, a través del cual se aprobó la reserva de la información requerida en la solicitud de información </w:t>
      </w:r>
      <w:r w:rsidRPr="001B6D73">
        <w:rPr>
          <w:rFonts w:ascii="Palatino Linotype" w:eastAsia="Calibri" w:hAnsi="Palatino Linotype" w:cs="Times New Roman"/>
          <w:b/>
          <w:bCs/>
          <w:sz w:val="24"/>
          <w:szCs w:val="24"/>
          <w:lang w:val="es-ES" w:eastAsia="es-ES"/>
        </w:rPr>
        <w:t>06518/INFOEM/IP/RR/2021</w:t>
      </w:r>
      <w:r w:rsidR="007357CE" w:rsidRPr="001B6D73">
        <w:rPr>
          <w:rFonts w:ascii="Palatino Linotype" w:eastAsia="Calibri" w:hAnsi="Palatino Linotype" w:cs="Times New Roman"/>
          <w:bCs/>
          <w:sz w:val="24"/>
          <w:szCs w:val="24"/>
          <w:lang w:val="es-ES" w:eastAsia="es-ES"/>
        </w:rPr>
        <w:t xml:space="preserve">, en el cual </w:t>
      </w:r>
      <w:r w:rsidR="004240AA" w:rsidRPr="001B6D73">
        <w:rPr>
          <w:rFonts w:ascii="Palatino Linotype" w:eastAsia="Calibri" w:hAnsi="Palatino Linotype" w:cs="Times New Roman"/>
          <w:bCs/>
          <w:sz w:val="24"/>
          <w:szCs w:val="24"/>
          <w:lang w:val="es-ES" w:eastAsia="es-ES"/>
        </w:rPr>
        <w:t xml:space="preserve"> se puede observar que el Sujeto Obligado incumplió con las formalidades exigidas por </w:t>
      </w:r>
      <w:r w:rsidR="004240AA" w:rsidRPr="001B6D73">
        <w:rPr>
          <w:rFonts w:ascii="Palatino Linotype" w:eastAsia="Calibri" w:hAnsi="Palatino Linotype" w:cs="Times New Roman"/>
          <w:bCs/>
          <w:sz w:val="24"/>
          <w:szCs w:val="24"/>
          <w:lang w:val="es-ES" w:eastAsia="es-ES"/>
        </w:rPr>
        <w:lastRenderedPageBreak/>
        <w:t>la normatividad</w:t>
      </w:r>
      <w:r w:rsidR="004240AA" w:rsidRPr="007357CE">
        <w:rPr>
          <w:rFonts w:ascii="Palatino Linotype" w:hAnsi="Palatino Linotype"/>
          <w:color w:val="000000" w:themeColor="text1"/>
          <w:sz w:val="24"/>
        </w:rPr>
        <w:t xml:space="preserve"> en materia de clasificación y desclasificación de la información, bajo las siguientes consideraciones:</w:t>
      </w:r>
    </w:p>
    <w:p w14:paraId="7BF947B5" w14:textId="77777777" w:rsidR="004240AA" w:rsidRDefault="004240AA" w:rsidP="004240AA">
      <w:pPr>
        <w:spacing w:after="0" w:line="360" w:lineRule="auto"/>
        <w:jc w:val="both"/>
        <w:rPr>
          <w:rFonts w:ascii="Palatino Linotype" w:hAnsi="Palatino Linotype" w:cs="Tahoma"/>
          <w:bCs/>
          <w:color w:val="000000" w:themeColor="text1"/>
          <w:sz w:val="24"/>
        </w:rPr>
      </w:pPr>
    </w:p>
    <w:p w14:paraId="420729AD" w14:textId="3CB8A820" w:rsidR="004240AA" w:rsidRPr="004240AA" w:rsidRDefault="004240AA" w:rsidP="004240AA">
      <w:pPr>
        <w:pStyle w:val="Prrafodelista"/>
        <w:numPr>
          <w:ilvl w:val="0"/>
          <w:numId w:val="36"/>
        </w:numPr>
        <w:spacing w:line="360" w:lineRule="auto"/>
        <w:ind w:left="567" w:right="616" w:hanging="283"/>
        <w:jc w:val="both"/>
        <w:rPr>
          <w:rFonts w:ascii="Palatino Linotype" w:hAnsi="Palatino Linotype"/>
          <w:b/>
          <w:sz w:val="24"/>
          <w:szCs w:val="24"/>
        </w:rPr>
      </w:pPr>
      <w:r w:rsidRPr="004240AA">
        <w:rPr>
          <w:rFonts w:ascii="Palatino Linotype" w:hAnsi="Palatino Linotype"/>
          <w:b/>
          <w:sz w:val="24"/>
          <w:szCs w:val="24"/>
        </w:rPr>
        <w:t>Fundamentan con los Lineamientos en materia de clasificación, el cual, en la fracción I, refiere que se tiene que citar la Ley General, y el Sujeto Obligado sólo se basa en la Ley Local, por lo que debió citar la ley genera</w:t>
      </w:r>
      <w:r>
        <w:rPr>
          <w:rFonts w:ascii="Palatino Linotype" w:hAnsi="Palatino Linotype"/>
          <w:b/>
          <w:sz w:val="24"/>
          <w:szCs w:val="24"/>
        </w:rPr>
        <w:t>l relacionando con la Ley Local;</w:t>
      </w:r>
    </w:p>
    <w:p w14:paraId="27D6B79A" w14:textId="1E9A1489" w:rsidR="004240AA" w:rsidRPr="004240AA" w:rsidRDefault="004240AA" w:rsidP="004240AA">
      <w:pPr>
        <w:pStyle w:val="Prrafodelista"/>
        <w:numPr>
          <w:ilvl w:val="0"/>
          <w:numId w:val="36"/>
        </w:numPr>
        <w:spacing w:line="360" w:lineRule="auto"/>
        <w:ind w:left="567" w:right="616" w:hanging="283"/>
        <w:jc w:val="both"/>
        <w:rPr>
          <w:rFonts w:ascii="Palatino Linotype" w:hAnsi="Palatino Linotype"/>
          <w:b/>
          <w:sz w:val="24"/>
          <w:szCs w:val="24"/>
        </w:rPr>
      </w:pPr>
      <w:r w:rsidRPr="004240AA">
        <w:rPr>
          <w:rFonts w:ascii="Palatino Linotype" w:hAnsi="Palatino Linotype"/>
          <w:b/>
          <w:sz w:val="24"/>
          <w:szCs w:val="24"/>
        </w:rPr>
        <w:t>El Sujeto Obligado indicó que la información requerida actualiza diversas fracciones del artículo 140 de la Ley Local; lo correspondiente es que se realice un análisis de cada fracción de manera individual y no general, especificando cómo es que la información requerida encuadra en las causales de reserva, c</w:t>
      </w:r>
      <w:r>
        <w:rPr>
          <w:rFonts w:ascii="Palatino Linotype" w:hAnsi="Palatino Linotype"/>
          <w:b/>
          <w:sz w:val="24"/>
          <w:szCs w:val="24"/>
        </w:rPr>
        <w:t>on su respectiva prueba de daño;</w:t>
      </w:r>
    </w:p>
    <w:p w14:paraId="202E0EAE" w14:textId="421A3ECC" w:rsidR="004240AA" w:rsidRPr="004240AA" w:rsidRDefault="004240AA" w:rsidP="004240AA">
      <w:pPr>
        <w:pStyle w:val="Prrafodelista"/>
        <w:numPr>
          <w:ilvl w:val="0"/>
          <w:numId w:val="36"/>
        </w:numPr>
        <w:spacing w:line="360" w:lineRule="auto"/>
        <w:ind w:left="567" w:right="616" w:hanging="283"/>
        <w:jc w:val="both"/>
        <w:rPr>
          <w:rFonts w:ascii="Palatino Linotype" w:hAnsi="Palatino Linotype"/>
          <w:b/>
          <w:sz w:val="24"/>
          <w:szCs w:val="24"/>
        </w:rPr>
      </w:pPr>
      <w:r>
        <w:rPr>
          <w:rFonts w:ascii="Palatino Linotype" w:hAnsi="Palatino Linotype"/>
          <w:b/>
          <w:sz w:val="24"/>
          <w:szCs w:val="24"/>
        </w:rPr>
        <w:t>Se</w:t>
      </w:r>
      <w:r w:rsidRPr="004240AA">
        <w:rPr>
          <w:rFonts w:ascii="Palatino Linotype" w:hAnsi="Palatino Linotype"/>
          <w:b/>
          <w:sz w:val="24"/>
          <w:szCs w:val="24"/>
        </w:rPr>
        <w:t xml:space="preserve"> fundamenta con una Ley Derogada al hacer mención del daño presente, probable y específico del artículo 21 de la anterior ley de transparencia y acceso a la información pública. Ahora, conforme al artículo 129 y 104 de la vigente ley tanto local como general respectivamente, en la prueba de daño se debe acreditar la existencia de un riesgo re</w:t>
      </w:r>
      <w:r>
        <w:rPr>
          <w:rFonts w:ascii="Palatino Linotype" w:hAnsi="Palatino Linotype"/>
          <w:b/>
          <w:sz w:val="24"/>
          <w:szCs w:val="24"/>
        </w:rPr>
        <w:t>al, demostrable e identificable; y,</w:t>
      </w:r>
    </w:p>
    <w:p w14:paraId="71900D0E" w14:textId="11923541" w:rsidR="004240AA" w:rsidRDefault="004240AA" w:rsidP="004240AA">
      <w:pPr>
        <w:pStyle w:val="Prrafodelista"/>
        <w:numPr>
          <w:ilvl w:val="0"/>
          <w:numId w:val="36"/>
        </w:numPr>
        <w:spacing w:line="360" w:lineRule="auto"/>
        <w:ind w:left="567" w:right="616" w:hanging="283"/>
        <w:jc w:val="both"/>
        <w:rPr>
          <w:rFonts w:ascii="Palatino Linotype" w:hAnsi="Palatino Linotype"/>
          <w:b/>
          <w:sz w:val="24"/>
          <w:szCs w:val="24"/>
        </w:rPr>
      </w:pPr>
      <w:r w:rsidRPr="004240AA">
        <w:rPr>
          <w:rFonts w:ascii="Palatino Linotype" w:hAnsi="Palatino Linotype"/>
          <w:b/>
          <w:sz w:val="24"/>
          <w:szCs w:val="24"/>
        </w:rPr>
        <w:t>El acuerdo no cumple con la fracción V de los lineamientos, en razón de que, el Sujeto Obligado no acredita las circunstancias de modo, tiempo y lugar del daño.</w:t>
      </w:r>
    </w:p>
    <w:p w14:paraId="3A8A25BD" w14:textId="77777777" w:rsidR="004240AA" w:rsidRPr="004240AA" w:rsidRDefault="004240AA" w:rsidP="004240AA">
      <w:pPr>
        <w:pStyle w:val="Prrafodelista"/>
        <w:spacing w:line="360" w:lineRule="auto"/>
        <w:ind w:left="567" w:right="616"/>
        <w:jc w:val="both"/>
        <w:rPr>
          <w:rFonts w:ascii="Palatino Linotype" w:hAnsi="Palatino Linotype"/>
          <w:b/>
          <w:sz w:val="24"/>
          <w:szCs w:val="24"/>
        </w:rPr>
      </w:pPr>
    </w:p>
    <w:p w14:paraId="2BA94771" w14:textId="77777777" w:rsidR="007357CE" w:rsidRPr="007357CE" w:rsidRDefault="004240AA" w:rsidP="002C1F53">
      <w:pPr>
        <w:pStyle w:val="Prrafodelista"/>
        <w:numPr>
          <w:ilvl w:val="0"/>
          <w:numId w:val="9"/>
        </w:numPr>
        <w:tabs>
          <w:tab w:val="left" w:pos="426"/>
        </w:tabs>
        <w:spacing w:before="240" w:after="240" w:line="360" w:lineRule="auto"/>
        <w:ind w:left="0" w:right="51" w:firstLine="0"/>
        <w:jc w:val="both"/>
        <w:rPr>
          <w:rFonts w:ascii="Palatino Linotype" w:eastAsiaTheme="minorEastAsia" w:hAnsi="Palatino Linotype"/>
          <w:b/>
          <w:color w:val="000000" w:themeColor="text1"/>
          <w:sz w:val="24"/>
        </w:rPr>
      </w:pPr>
      <w:r w:rsidRPr="007357CE">
        <w:rPr>
          <w:rFonts w:ascii="Palatino Linotype" w:hAnsi="Palatino Linotype"/>
          <w:sz w:val="24"/>
          <w:szCs w:val="24"/>
        </w:rPr>
        <w:lastRenderedPageBreak/>
        <w:t xml:space="preserve">Es importante mencionar que el acuerdo de clasificación debe encontrarse debidamente fundado y motivado, porque la clasificación de la información es una restricción del derecho humano y, la falta de fundamentación y motivación se refleja en una restricción ilegítima, causando una violación al derecho accionado. </w:t>
      </w:r>
    </w:p>
    <w:p w14:paraId="166418C9" w14:textId="77777777" w:rsidR="007357CE" w:rsidRPr="007357CE" w:rsidRDefault="007357CE" w:rsidP="007357CE">
      <w:pPr>
        <w:pStyle w:val="Prrafodelista"/>
        <w:tabs>
          <w:tab w:val="left" w:pos="426"/>
        </w:tabs>
        <w:spacing w:before="240" w:after="240" w:line="360" w:lineRule="auto"/>
        <w:ind w:left="0" w:right="51"/>
        <w:jc w:val="both"/>
        <w:rPr>
          <w:rFonts w:ascii="Palatino Linotype" w:eastAsiaTheme="minorEastAsia" w:hAnsi="Palatino Linotype"/>
          <w:b/>
          <w:color w:val="000000" w:themeColor="text1"/>
          <w:sz w:val="24"/>
        </w:rPr>
      </w:pPr>
    </w:p>
    <w:p w14:paraId="45968651" w14:textId="77777777" w:rsidR="007357CE" w:rsidRDefault="004240AA" w:rsidP="00A378FE">
      <w:pPr>
        <w:pStyle w:val="Prrafodelista"/>
        <w:numPr>
          <w:ilvl w:val="0"/>
          <w:numId w:val="9"/>
        </w:numPr>
        <w:tabs>
          <w:tab w:val="left" w:pos="426"/>
        </w:tabs>
        <w:spacing w:before="240" w:after="240" w:line="360" w:lineRule="auto"/>
        <w:ind w:left="0" w:right="51" w:firstLine="0"/>
        <w:jc w:val="both"/>
        <w:rPr>
          <w:rFonts w:ascii="Palatino Linotype" w:eastAsiaTheme="minorEastAsia" w:hAnsi="Palatino Linotype"/>
          <w:color w:val="000000" w:themeColor="text1"/>
          <w:sz w:val="24"/>
        </w:rPr>
      </w:pPr>
      <w:r w:rsidRPr="007357CE">
        <w:rPr>
          <w:rFonts w:ascii="Palatino Linotype" w:eastAsiaTheme="minorEastAsia" w:hAnsi="Palatino Linotype"/>
          <w:b/>
          <w:color w:val="000000" w:themeColor="text1"/>
          <w:sz w:val="24"/>
        </w:rPr>
        <w:t xml:space="preserve">Adicionalmente, </w:t>
      </w:r>
      <w:r w:rsidR="005F796F" w:rsidRPr="007357CE">
        <w:rPr>
          <w:rFonts w:ascii="Palatino Linotype" w:eastAsiaTheme="minorEastAsia" w:hAnsi="Palatino Linotype"/>
          <w:color w:val="000000" w:themeColor="text1"/>
          <w:sz w:val="24"/>
        </w:rPr>
        <w:t xml:space="preserve">es imperativo señalar </w:t>
      </w:r>
      <w:r w:rsidR="003442F0" w:rsidRPr="007357CE">
        <w:rPr>
          <w:rFonts w:ascii="Palatino Linotype" w:eastAsiaTheme="minorEastAsia" w:hAnsi="Palatino Linotype"/>
          <w:color w:val="000000" w:themeColor="text1"/>
          <w:sz w:val="24"/>
        </w:rPr>
        <w:t xml:space="preserve">que </w:t>
      </w:r>
      <w:r w:rsidR="005F796F" w:rsidRPr="007357CE">
        <w:rPr>
          <w:rFonts w:ascii="Palatino Linotype" w:eastAsiaTheme="minorEastAsia" w:hAnsi="Palatino Linotype"/>
          <w:color w:val="000000" w:themeColor="text1"/>
          <w:sz w:val="24"/>
        </w:rPr>
        <w:t xml:space="preserve">la Ley vigente de Transparencia y Acceso a la Información Pública del Estado de México y Municipios, en su artículo 5, establece que </w:t>
      </w:r>
      <w:r w:rsidR="005F796F" w:rsidRPr="007357CE">
        <w:rPr>
          <w:rFonts w:ascii="Palatino Linotype" w:eastAsiaTheme="minorEastAsia" w:hAnsi="Palatino Linotype"/>
          <w:b/>
          <w:bCs/>
          <w:color w:val="000000" w:themeColor="text1"/>
          <w:sz w:val="24"/>
        </w:rPr>
        <w:t>no podrá clasificarse como reservada aquella información que esté relacionada con violaciones graves a derechos humanos o delitos de lesa humanidad</w:t>
      </w:r>
      <w:r w:rsidR="005F796F" w:rsidRPr="007357CE">
        <w:rPr>
          <w:rFonts w:ascii="Palatino Linotype" w:eastAsiaTheme="minorEastAsia" w:hAnsi="Palatino Linotype"/>
          <w:color w:val="000000" w:themeColor="text1"/>
          <w:sz w:val="24"/>
        </w:rPr>
        <w:t>, de conformidad con el derecho nacional o los tratados internacionales de los que el Estado mexicano sea parte.</w:t>
      </w:r>
    </w:p>
    <w:p w14:paraId="668B64BC" w14:textId="77777777" w:rsidR="007357CE" w:rsidRPr="007357CE" w:rsidRDefault="007357CE" w:rsidP="007357CE">
      <w:pPr>
        <w:pStyle w:val="Prrafodelista"/>
        <w:rPr>
          <w:rFonts w:ascii="Palatino Linotype" w:eastAsiaTheme="minorEastAsia" w:hAnsi="Palatino Linotype"/>
          <w:color w:val="000000" w:themeColor="text1"/>
          <w:sz w:val="24"/>
        </w:rPr>
      </w:pPr>
    </w:p>
    <w:p w14:paraId="2B6165C4" w14:textId="3AABA951" w:rsidR="005F796F" w:rsidRPr="007357CE" w:rsidRDefault="005F796F" w:rsidP="00A378FE">
      <w:pPr>
        <w:pStyle w:val="Prrafodelista"/>
        <w:numPr>
          <w:ilvl w:val="0"/>
          <w:numId w:val="9"/>
        </w:numPr>
        <w:tabs>
          <w:tab w:val="left" w:pos="426"/>
        </w:tabs>
        <w:spacing w:before="240" w:after="240" w:line="360" w:lineRule="auto"/>
        <w:ind w:left="0" w:right="51" w:firstLine="0"/>
        <w:jc w:val="both"/>
        <w:rPr>
          <w:rFonts w:ascii="Palatino Linotype" w:eastAsiaTheme="minorEastAsia" w:hAnsi="Palatino Linotype"/>
          <w:color w:val="000000" w:themeColor="text1"/>
          <w:sz w:val="24"/>
        </w:rPr>
      </w:pPr>
      <w:r w:rsidRPr="007357CE">
        <w:rPr>
          <w:rFonts w:ascii="Palatino Linotype" w:eastAsiaTheme="minorEastAsia" w:hAnsi="Palatino Linotype"/>
          <w:color w:val="000000" w:themeColor="text1"/>
          <w:sz w:val="24"/>
        </w:rPr>
        <w:t>Correlativo lo anterior, el diverso dispositivo 142 del ordenamiento en cita, enlista los escenarios bajo los que no se podrá invocar la reserva de información, a saber:</w:t>
      </w:r>
    </w:p>
    <w:p w14:paraId="5289DF54" w14:textId="77777777" w:rsidR="005F796F" w:rsidRPr="0062467A"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0E496C2A" w14:textId="77777777" w:rsidR="005F796F" w:rsidRDefault="005F796F" w:rsidP="005F796F">
      <w:pPr>
        <w:tabs>
          <w:tab w:val="left" w:pos="426"/>
        </w:tabs>
        <w:spacing w:before="240" w:after="240" w:line="360" w:lineRule="auto"/>
        <w:ind w:left="567" w:right="567"/>
        <w:contextualSpacing/>
        <w:jc w:val="both"/>
        <w:rPr>
          <w:rFonts w:ascii="Palatino Linotype" w:eastAsiaTheme="minorEastAsia" w:hAnsi="Palatino Linotype"/>
          <w:i/>
          <w:iCs/>
        </w:rPr>
      </w:pPr>
      <w:r w:rsidRPr="0062467A">
        <w:rPr>
          <w:rFonts w:ascii="Palatino Linotype" w:eastAsiaTheme="minorEastAsia" w:hAnsi="Palatino Linotype"/>
          <w:i/>
          <w:iCs/>
        </w:rPr>
        <w:t>“</w:t>
      </w:r>
      <w:r w:rsidRPr="0062467A">
        <w:rPr>
          <w:rFonts w:ascii="Palatino Linotype" w:eastAsiaTheme="minorEastAsia" w:hAnsi="Palatino Linotype"/>
          <w:b/>
          <w:bCs/>
          <w:i/>
          <w:iCs/>
        </w:rPr>
        <w:t xml:space="preserve">Artículo 142. </w:t>
      </w:r>
      <w:r w:rsidRPr="0062467A">
        <w:rPr>
          <w:rFonts w:ascii="Palatino Linotype" w:eastAsiaTheme="minorEastAsia" w:hAnsi="Palatino Linotype"/>
          <w:i/>
          <w:iCs/>
        </w:rPr>
        <w:t xml:space="preserve">Bajo ninguna circunstancia podrá invocarse el carácter de reservado cuando: </w:t>
      </w:r>
    </w:p>
    <w:p w14:paraId="31C74826"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i/>
          <w:iCs/>
        </w:rPr>
      </w:pPr>
    </w:p>
    <w:p w14:paraId="452798D2"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i/>
          <w:iCs/>
        </w:rPr>
      </w:pPr>
      <w:r w:rsidRPr="0062467A">
        <w:rPr>
          <w:rFonts w:ascii="Palatino Linotype" w:eastAsiaTheme="minorEastAsia" w:hAnsi="Palatino Linotype"/>
          <w:b/>
          <w:bCs/>
          <w:i/>
          <w:iCs/>
        </w:rPr>
        <w:t>I.</w:t>
      </w:r>
      <w:r w:rsidRPr="0062467A">
        <w:rPr>
          <w:rFonts w:ascii="Palatino Linotype" w:eastAsiaTheme="minorEastAsia" w:hAnsi="Palatino Linotype"/>
          <w:i/>
          <w:iCs/>
        </w:rPr>
        <w:t xml:space="preserve"> Se trate de violaciones graves de derechos humanos, calificada así por autoridad competente; </w:t>
      </w:r>
    </w:p>
    <w:p w14:paraId="1B1E80EA"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b/>
          <w:bCs/>
          <w:i/>
          <w:iCs/>
        </w:rPr>
      </w:pPr>
      <w:r w:rsidRPr="0062467A">
        <w:rPr>
          <w:rFonts w:ascii="Palatino Linotype" w:eastAsiaTheme="minorEastAsia" w:hAnsi="Palatino Linotype"/>
          <w:b/>
          <w:bCs/>
          <w:i/>
          <w:iCs/>
        </w:rPr>
        <w:t xml:space="preserve">II. Se trate de la investigación de posibles violaciones graves de derechos humanos aun cuando no exista pronunciamiento previo de autoridad </w:t>
      </w:r>
      <w:r w:rsidRPr="0062467A">
        <w:rPr>
          <w:rFonts w:ascii="Palatino Linotype" w:eastAsiaTheme="minorEastAsia" w:hAnsi="Palatino Linotype"/>
          <w:b/>
          <w:bCs/>
          <w:i/>
          <w:iCs/>
        </w:rPr>
        <w:lastRenderedPageBreak/>
        <w:t xml:space="preserve">competente, cuando se determine, a partir de criterios cuantitativos y cualitativos la trascendencia social de las violaciones; </w:t>
      </w:r>
    </w:p>
    <w:p w14:paraId="7C445590"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i/>
          <w:iCs/>
        </w:rPr>
      </w:pPr>
      <w:r w:rsidRPr="0062467A">
        <w:rPr>
          <w:rFonts w:ascii="Palatino Linotype" w:eastAsiaTheme="minorEastAsia" w:hAnsi="Palatino Linotype"/>
          <w:b/>
          <w:bCs/>
          <w:i/>
          <w:iCs/>
        </w:rPr>
        <w:t>III.</w:t>
      </w:r>
      <w:r w:rsidRPr="0062467A">
        <w:rPr>
          <w:rFonts w:ascii="Palatino Linotype" w:eastAsiaTheme="minorEastAsia" w:hAnsi="Palatino Linotype"/>
          <w:i/>
          <w:iCs/>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64937D3B"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i/>
          <w:iCs/>
        </w:rPr>
      </w:pPr>
      <w:r w:rsidRPr="0062467A">
        <w:rPr>
          <w:rFonts w:ascii="Palatino Linotype" w:eastAsiaTheme="minorEastAsia" w:hAnsi="Palatino Linotype"/>
          <w:b/>
          <w:bCs/>
          <w:i/>
          <w:iCs/>
        </w:rPr>
        <w:t>IV.</w:t>
      </w:r>
      <w:r w:rsidRPr="0062467A">
        <w:rPr>
          <w:rFonts w:ascii="Palatino Linotype" w:eastAsiaTheme="minorEastAsia" w:hAnsi="Palatino Linotype"/>
          <w:i/>
          <w:iCs/>
        </w:rPr>
        <w:t xml:space="preserve"> Se trate de información relacionada con actos de corrupción de conformidad con las disposiciones jurídicas aplicables.”</w:t>
      </w:r>
    </w:p>
    <w:p w14:paraId="09382D75" w14:textId="77777777" w:rsidR="005F796F" w:rsidRPr="0062467A" w:rsidRDefault="005F796F" w:rsidP="005F796F">
      <w:pPr>
        <w:tabs>
          <w:tab w:val="left" w:pos="426"/>
        </w:tabs>
        <w:spacing w:before="240" w:after="240" w:line="360" w:lineRule="auto"/>
        <w:ind w:left="567" w:right="567"/>
        <w:contextualSpacing/>
        <w:jc w:val="both"/>
        <w:rPr>
          <w:rFonts w:ascii="Palatino Linotype" w:eastAsiaTheme="minorEastAsia" w:hAnsi="Palatino Linotype"/>
          <w:color w:val="000000" w:themeColor="text1"/>
        </w:rPr>
      </w:pPr>
      <w:r w:rsidRPr="0062467A">
        <w:rPr>
          <w:rFonts w:ascii="Palatino Linotype" w:eastAsiaTheme="minorEastAsia" w:hAnsi="Palatino Linotype"/>
        </w:rPr>
        <w:t>(Énfasis añadido)</w:t>
      </w:r>
    </w:p>
    <w:p w14:paraId="4B349FFE" w14:textId="77777777" w:rsidR="005F796F" w:rsidRPr="0062467A"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564B4A4F" w14:textId="2ED5EED7" w:rsidR="005F796F" w:rsidRPr="003442F0"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14. </w:t>
      </w:r>
      <w:r w:rsidR="005F796F" w:rsidRPr="003442F0">
        <w:rPr>
          <w:rFonts w:ascii="Palatino Linotype" w:eastAsiaTheme="minorEastAsia" w:hAnsi="Palatino Linotype"/>
          <w:color w:val="000000" w:themeColor="text1"/>
          <w:sz w:val="24"/>
        </w:rPr>
        <w:t xml:space="preserve">Robustece lo anterior, la </w:t>
      </w:r>
      <w:r w:rsidR="005F796F" w:rsidRPr="003442F0">
        <w:rPr>
          <w:rFonts w:ascii="Palatino Linotype" w:eastAsiaTheme="minorEastAsia" w:hAnsi="Palatino Linotype"/>
          <w:color w:val="000000" w:themeColor="text1"/>
          <w:sz w:val="24"/>
          <w:lang w:val="es-ES_tradnl"/>
        </w:rPr>
        <w:t>Tesis Aislada 1a. IX/2012 (10a.), de la Primera Sala de la Suprema Corte de Justicia de la Nación, cuyo rubro y texto se comparten a continuación:</w:t>
      </w:r>
    </w:p>
    <w:p w14:paraId="216E97DC" w14:textId="77777777" w:rsidR="005F796F" w:rsidRPr="0062467A" w:rsidRDefault="005F796F" w:rsidP="005F796F">
      <w:pPr>
        <w:tabs>
          <w:tab w:val="left" w:pos="426"/>
        </w:tabs>
        <w:spacing w:before="240" w:line="360" w:lineRule="auto"/>
        <w:ind w:right="51"/>
        <w:contextualSpacing/>
        <w:jc w:val="both"/>
        <w:rPr>
          <w:rFonts w:ascii="Palatino Linotype" w:eastAsiaTheme="minorEastAsia" w:hAnsi="Palatino Linotype"/>
          <w:color w:val="000000" w:themeColor="text1"/>
        </w:rPr>
      </w:pPr>
    </w:p>
    <w:p w14:paraId="2AC4A0A0" w14:textId="77777777" w:rsidR="005F796F" w:rsidRPr="0062467A" w:rsidRDefault="005F796F" w:rsidP="005F796F">
      <w:pPr>
        <w:tabs>
          <w:tab w:val="left" w:pos="7920"/>
        </w:tabs>
        <w:spacing w:line="360" w:lineRule="auto"/>
        <w:ind w:left="567" w:right="909"/>
        <w:jc w:val="both"/>
        <w:rPr>
          <w:rFonts w:ascii="Palatino Linotype" w:eastAsiaTheme="minorEastAsia" w:hAnsi="Palatino Linotype"/>
          <w:lang w:val="es-ES_tradnl"/>
        </w:rPr>
      </w:pPr>
      <w:r w:rsidRPr="0062467A">
        <w:rPr>
          <w:rFonts w:ascii="Palatino Linotype" w:eastAsiaTheme="minorEastAsia" w:hAnsi="Palatino Linotype"/>
          <w:b/>
          <w:i/>
          <w:lang w:val="es-ES_tradnl"/>
        </w:rPr>
        <w:t>DERECHO A LA INFORMACIÓN. ACCESO A LAS AVERIGUACIONES PREVIAS QUE INVESTIGUEN HECHOS QUE CONSTITUYAN GRAVES VIOLACIONES A DERECHOS HUMANOS O DELITOS DE LESA HUMANIDAD.</w:t>
      </w:r>
      <w:r w:rsidRPr="0062467A">
        <w:rPr>
          <w:rFonts w:ascii="Palatino Linotype" w:eastAsiaTheme="minorEastAsia" w:hAnsi="Palatino Linotype"/>
          <w:i/>
          <w:lang w:val="es-ES_tradnl"/>
        </w:rPr>
        <w:t xml:space="preserve"> “En materia de derecho a la información pública, la regla general en un Estado democrático de derecho debe ser el acceso y máxima publicidad de la información. Sin embargo, la regla general presenta algunas excepciones, las cuales, por mandato constitucional, deben estar previstas en leyes en sentido formal y material. Una de estas excepciones es el caso de las averiguaciones previas, cuyo contenido debe considerarse como estrictamente reservado, en términos de lo dispuesto en el artículo 16 del Código Federal de Procedimientos Penales, y de los artículos 13, fracción V, y 14, fracción III, de la Ley Federal de Transparencia y </w:t>
      </w:r>
      <w:r w:rsidRPr="0062467A">
        <w:rPr>
          <w:rFonts w:ascii="Palatino Linotype" w:eastAsiaTheme="minorEastAsia" w:hAnsi="Palatino Linotype"/>
          <w:i/>
          <w:lang w:val="es-ES_tradnl"/>
        </w:rPr>
        <w:lastRenderedPageBreak/>
        <w:t xml:space="preserve">Acceso a la Información Pública Gubernamental. Ahora bien, esta limitante tampoco puede considerarse como absoluta y presenta una excepción -de modo que estamos ante una excepción a la excepción- consistente en que, </w:t>
      </w:r>
      <w:r w:rsidRPr="0062467A">
        <w:rPr>
          <w:rFonts w:ascii="Palatino Linotype" w:eastAsiaTheme="minorEastAsia" w:hAnsi="Palatino Linotype"/>
          <w:b/>
          <w:i/>
          <w:lang w:val="es-ES_tradnl"/>
        </w:rPr>
        <w:t>de conformidad con lo dispuesto en el último párrafo del artículo 14 de la Ley Federal de Transparencia y Acceso a la Información Pública Gubernamental, no puede alegarse el carácter de reservado cuando la averiguación previa investigue hechos constitutivos de graves violaciones a derechos humanos o delitos de lesa humanidad</w:t>
      </w:r>
      <w:r w:rsidRPr="0062467A">
        <w:rPr>
          <w:rFonts w:ascii="Palatino Linotype" w:eastAsiaTheme="minorEastAsia" w:hAnsi="Palatino Linotype"/>
          <w:i/>
          <w:lang w:val="es-ES_tradnl"/>
        </w:rPr>
        <w:t xml:space="preserve">. Las averiguaciones previas se mantienen reservadas en atención a que la difusión de la información contenida en ellas podría afectar gravemente la persecución de delitos y, con ello, al sistema de impartición de justicia. A pesar de lo anterior, </w:t>
      </w:r>
      <w:r w:rsidRPr="0062467A">
        <w:rPr>
          <w:rFonts w:ascii="Palatino Linotype" w:eastAsiaTheme="minorEastAsia" w:hAnsi="Palatino Linotype"/>
          <w:b/>
          <w:i/>
          <w:lang w:val="es-ES_tradnl"/>
        </w:rPr>
        <w:t>la ley previó como excepción a la reserva de las averiguaciones previas aquellos casos extremos en los cuales</w:t>
      </w:r>
      <w:r w:rsidRPr="0062467A">
        <w:rPr>
          <w:rFonts w:ascii="Palatino Linotype" w:eastAsiaTheme="minorEastAsia" w:hAnsi="Palatino Linotype"/>
          <w:i/>
          <w:lang w:val="es-ES_tradnl"/>
        </w:rPr>
        <w:t xml:space="preserve"> </w:t>
      </w:r>
      <w:r w:rsidRPr="0062467A">
        <w:rPr>
          <w:rFonts w:ascii="Palatino Linotype" w:eastAsiaTheme="minorEastAsia" w:hAnsi="Palatino Linotype"/>
          <w:b/>
          <w:i/>
          <w:lang w:val="es-ES_tradnl"/>
        </w:rPr>
        <w:t>el delito perseguido es de tal gravedad que el interés público en mantener la averiguación previa en reserva se ve superado por el interés de la sociedad en su conjunto de conocer todas las diligencias que se estén llevando a cabo para la oportuna investigación, detención, juicio y sanción de los responsables</w:t>
      </w:r>
      <w:r w:rsidRPr="0062467A">
        <w:rPr>
          <w:rFonts w:ascii="Palatino Linotype" w:eastAsiaTheme="minorEastAsia" w:hAnsi="Palatino Linotype"/>
          <w:i/>
          <w:lang w:val="es-ES_tradnl"/>
        </w:rPr>
        <w:t>. Estos casos de excepción son las investigaciones sobre graves violaciones a derechos humanos y delitos o crímenes de lesa humanidad. Esta Primera Sala de la Suprema Corte de Justicia de la Nación recuerda que el Tribunal Pleno reconoció en la tesis jurisprudencial P</w:t>
      </w:r>
      <w:proofErr w:type="gramStart"/>
      <w:r w:rsidRPr="0062467A">
        <w:rPr>
          <w:rFonts w:ascii="Palatino Linotype" w:eastAsiaTheme="minorEastAsia" w:hAnsi="Palatino Linotype"/>
          <w:i/>
          <w:lang w:val="es-ES_tradnl"/>
        </w:rPr>
        <w:t>./</w:t>
      </w:r>
      <w:proofErr w:type="gramEnd"/>
      <w:r w:rsidRPr="0062467A">
        <w:rPr>
          <w:rFonts w:ascii="Palatino Linotype" w:eastAsiaTheme="minorEastAsia" w:hAnsi="Palatino Linotype"/>
          <w:i/>
          <w:lang w:val="es-ES_tradnl"/>
        </w:rPr>
        <w:t xml:space="preserve">J. 54/2008, el doble carácter del derecho de acceso a la información, como un derecho en sí mismo, pero también como un medio o instrumento para el ejercicio de otros derechos. En este sentido, el Tribunal Pleno destacó que el derecho de acceso a la información es la base para que los gobernados ejerzan un control respecto del funcionamiento institucional de los poderes públicos, por lo cual se perfila como un límite a la exclusividad estatal en el manejo de la </w:t>
      </w:r>
      <w:r w:rsidRPr="0062467A">
        <w:rPr>
          <w:rFonts w:ascii="Palatino Linotype" w:eastAsiaTheme="minorEastAsia" w:hAnsi="Palatino Linotype"/>
          <w:i/>
          <w:lang w:val="es-ES_tradnl"/>
        </w:rPr>
        <w:lastRenderedPageBreak/>
        <w:t xml:space="preserve">información y, por ende, como una exigencia social de todo Estado de Derecho. </w:t>
      </w:r>
      <w:r w:rsidRPr="0062467A">
        <w:rPr>
          <w:rFonts w:ascii="Palatino Linotype" w:eastAsiaTheme="minorEastAsia" w:hAnsi="Palatino Linotype"/>
          <w:b/>
          <w:i/>
          <w:lang w:val="es-ES_tradnl"/>
        </w:rPr>
        <w:t>En virtud de lo anterior, cobra una especial relevancia la necesidad de permitir el acceso a la información que conste en averiguaciones previas que investiguen hechos que constituyan graves violaciones a derechos humanos o crímenes de lesa humanidad, pues estos supuestos no sólo afectan a las víctimas y ofendidos en forma directa por los hechos antijurídicos, sino que ofenden a toda la sociedad, precisamente por su gravedad y por las repercusiones que implican</w:t>
      </w:r>
      <w:r w:rsidRPr="0062467A">
        <w:rPr>
          <w:rFonts w:ascii="Palatino Linotype" w:eastAsiaTheme="minorEastAsia" w:hAnsi="Palatino Linotype"/>
          <w:i/>
          <w:lang w:val="es-ES_tradnl"/>
        </w:rPr>
        <w:t>.”</w:t>
      </w:r>
    </w:p>
    <w:p w14:paraId="5452DB76" w14:textId="77777777" w:rsidR="005F796F" w:rsidRPr="0062467A" w:rsidRDefault="005F796F" w:rsidP="005F796F">
      <w:pPr>
        <w:tabs>
          <w:tab w:val="left" w:pos="7920"/>
        </w:tabs>
        <w:spacing w:line="360" w:lineRule="auto"/>
        <w:ind w:left="567" w:right="909"/>
        <w:jc w:val="both"/>
        <w:rPr>
          <w:rFonts w:ascii="Palatino Linotype" w:eastAsiaTheme="minorEastAsia" w:hAnsi="Palatino Linotype"/>
          <w:lang w:val="es-ES_tradnl"/>
        </w:rPr>
      </w:pPr>
      <w:r w:rsidRPr="0062467A">
        <w:rPr>
          <w:rFonts w:ascii="Palatino Linotype" w:eastAsiaTheme="minorEastAsia" w:hAnsi="Palatino Linotype"/>
          <w:lang w:val="es-ES_tradnl"/>
        </w:rPr>
        <w:t>(Énfasis añadido)</w:t>
      </w:r>
    </w:p>
    <w:p w14:paraId="09BA26B2" w14:textId="77777777" w:rsidR="005F796F" w:rsidRPr="0062467A"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456B3290" w14:textId="49193FD9" w:rsidR="005F796F" w:rsidRPr="000F1716"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15. </w:t>
      </w:r>
      <w:r w:rsidR="005F796F" w:rsidRPr="000F1716">
        <w:rPr>
          <w:rFonts w:ascii="Palatino Linotype" w:eastAsiaTheme="minorEastAsia" w:hAnsi="Palatino Linotype"/>
          <w:color w:val="000000" w:themeColor="text1"/>
          <w:sz w:val="24"/>
        </w:rPr>
        <w:t>De igual forma</w:t>
      </w:r>
      <w:r w:rsidR="009C5F99">
        <w:rPr>
          <w:rFonts w:ascii="Palatino Linotype" w:eastAsiaTheme="minorEastAsia" w:hAnsi="Palatino Linotype"/>
          <w:color w:val="000000" w:themeColor="text1"/>
          <w:sz w:val="24"/>
        </w:rPr>
        <w:t xml:space="preserve"> resulta trascendente</w:t>
      </w:r>
      <w:r w:rsidR="005F796F" w:rsidRPr="000F1716">
        <w:rPr>
          <w:rFonts w:ascii="Palatino Linotype" w:eastAsiaTheme="minorEastAsia" w:hAnsi="Palatino Linotype"/>
          <w:color w:val="000000" w:themeColor="text1"/>
          <w:sz w:val="24"/>
        </w:rPr>
        <w:t xml:space="preserve"> la Jurisprudencia Internacional en relación al tema, por cuanto hace a la </w:t>
      </w:r>
      <w:r w:rsidR="005F796F" w:rsidRPr="000F1716">
        <w:rPr>
          <w:rFonts w:ascii="Palatino Linotype" w:eastAsiaTheme="minorEastAsia" w:hAnsi="Palatino Linotype"/>
          <w:b/>
          <w:color w:val="000000" w:themeColor="text1"/>
          <w:sz w:val="24"/>
        </w:rPr>
        <w:t>Sentencia de 23</w:t>
      </w:r>
      <w:r w:rsidR="005F796F" w:rsidRPr="000F1716">
        <w:rPr>
          <w:rFonts w:ascii="Palatino Linotype" w:eastAsiaTheme="minorEastAsia" w:hAnsi="Palatino Linotype"/>
          <w:color w:val="000000" w:themeColor="text1"/>
          <w:sz w:val="24"/>
        </w:rPr>
        <w:t xml:space="preserve"> </w:t>
      </w:r>
      <w:r w:rsidR="005F796F" w:rsidRPr="000F1716">
        <w:rPr>
          <w:rFonts w:ascii="Palatino Linotype" w:eastAsiaTheme="minorEastAsia" w:hAnsi="Palatino Linotype"/>
          <w:b/>
          <w:color w:val="000000" w:themeColor="text1"/>
          <w:sz w:val="24"/>
        </w:rPr>
        <w:t>de noviembre de 2009 emitida por la Corte Interamericana de Derechos Humanos</w:t>
      </w:r>
      <w:r w:rsidR="005F796F" w:rsidRPr="000F1716">
        <w:rPr>
          <w:rFonts w:ascii="Palatino Linotype" w:eastAsiaTheme="minorEastAsia" w:hAnsi="Palatino Linotype"/>
          <w:color w:val="000000" w:themeColor="text1"/>
          <w:sz w:val="24"/>
        </w:rPr>
        <w:t xml:space="preserve"> en el caso </w:t>
      </w:r>
      <w:r w:rsidR="005F796F" w:rsidRPr="000F1716">
        <w:rPr>
          <w:rFonts w:ascii="Palatino Linotype" w:eastAsiaTheme="minorEastAsia" w:hAnsi="Palatino Linotype"/>
          <w:b/>
          <w:color w:val="000000" w:themeColor="text1"/>
          <w:sz w:val="24"/>
        </w:rPr>
        <w:t>RADILLA PACHECO VS ESTADOS UNIDOS MEXICANOS</w:t>
      </w:r>
      <w:r w:rsidR="005F796F" w:rsidRPr="000F1716">
        <w:rPr>
          <w:rStyle w:val="Refdenotaalpie"/>
          <w:rFonts w:ascii="Palatino Linotype" w:eastAsiaTheme="minorEastAsia" w:hAnsi="Palatino Linotype"/>
          <w:b/>
          <w:color w:val="000000" w:themeColor="text1"/>
          <w:sz w:val="24"/>
        </w:rPr>
        <w:footnoteReference w:id="1"/>
      </w:r>
      <w:r w:rsidR="005F796F" w:rsidRPr="000F1716">
        <w:rPr>
          <w:rFonts w:ascii="Palatino Linotype" w:eastAsiaTheme="minorEastAsia" w:hAnsi="Palatino Linotype"/>
          <w:b/>
          <w:color w:val="000000" w:themeColor="text1"/>
          <w:sz w:val="24"/>
        </w:rPr>
        <w:t xml:space="preserve">, </w:t>
      </w:r>
      <w:r w:rsidR="005F796F" w:rsidRPr="000F1716">
        <w:rPr>
          <w:rFonts w:ascii="Palatino Linotype" w:eastAsiaTheme="minorEastAsia" w:hAnsi="Palatino Linotype"/>
          <w:color w:val="000000" w:themeColor="text1"/>
          <w:sz w:val="24"/>
        </w:rPr>
        <w:t>en la que se consideró que “</w:t>
      </w:r>
      <w:r w:rsidR="005F796F" w:rsidRPr="000F1716">
        <w:rPr>
          <w:rFonts w:ascii="Palatino Linotype" w:eastAsiaTheme="minorEastAsia" w:hAnsi="Palatino Linotype"/>
          <w:b/>
          <w:i/>
          <w:color w:val="000000" w:themeColor="text1"/>
          <w:sz w:val="24"/>
        </w:rPr>
        <w:t xml:space="preserve">no podrá invocarse el carácter de reservado cuando se trate de la investigación de violaciones graves a derechos fundamentales o delitos de lesa humanidad” </w:t>
      </w:r>
      <w:r w:rsidR="005F796F" w:rsidRPr="000F1716">
        <w:rPr>
          <w:rFonts w:ascii="Palatino Linotype" w:eastAsiaTheme="minorEastAsia" w:hAnsi="Palatino Linotype"/>
          <w:color w:val="000000" w:themeColor="text1"/>
          <w:sz w:val="24"/>
        </w:rPr>
        <w:t>decretó que el Estado Mexicano violó lo establecido en el a</w:t>
      </w:r>
      <w:r w:rsidR="005F796F" w:rsidRPr="000F1716">
        <w:rPr>
          <w:rFonts w:ascii="Palatino Linotype" w:eastAsiaTheme="minorEastAsia" w:hAnsi="Palatino Linotype"/>
          <w:b/>
          <w:color w:val="000000" w:themeColor="text1"/>
          <w:sz w:val="24"/>
        </w:rPr>
        <w:t>rtículo 8.1 de la Convención Americana</w:t>
      </w:r>
      <w:r w:rsidR="005F796F" w:rsidRPr="000F1716">
        <w:rPr>
          <w:rStyle w:val="Refdenotaalpie"/>
          <w:rFonts w:ascii="Palatino Linotype" w:eastAsiaTheme="minorEastAsia" w:hAnsi="Palatino Linotype"/>
          <w:b/>
          <w:color w:val="000000" w:themeColor="text1"/>
          <w:sz w:val="24"/>
        </w:rPr>
        <w:footnoteReference w:id="2"/>
      </w:r>
      <w:r w:rsidR="005F796F" w:rsidRPr="000F1716">
        <w:rPr>
          <w:rFonts w:ascii="Palatino Linotype" w:eastAsiaTheme="minorEastAsia" w:hAnsi="Palatino Linotype"/>
          <w:color w:val="000000" w:themeColor="text1"/>
          <w:sz w:val="24"/>
        </w:rPr>
        <w:t xml:space="preserve">, como a continuación se observa: </w:t>
      </w:r>
    </w:p>
    <w:p w14:paraId="0322C2B1" w14:textId="77777777" w:rsidR="005F796F" w:rsidRPr="00C66DEC" w:rsidRDefault="005F796F" w:rsidP="005F796F">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Pr>
          <w:rFonts w:ascii="Palatino Linotype" w:eastAsiaTheme="minorEastAsia" w:hAnsi="Palatino Linotype"/>
          <w:b/>
          <w:i/>
          <w:color w:val="000000" w:themeColor="text1"/>
        </w:rPr>
        <w:t>“</w:t>
      </w:r>
      <w:r w:rsidRPr="00C66DEC">
        <w:rPr>
          <w:rFonts w:ascii="Palatino Linotype" w:eastAsiaTheme="minorEastAsia" w:hAnsi="Palatino Linotype"/>
          <w:b/>
          <w:i/>
          <w:color w:val="000000" w:themeColor="text1"/>
        </w:rPr>
        <w:t>(…)</w:t>
      </w:r>
    </w:p>
    <w:p w14:paraId="6793BE44" w14:textId="77777777" w:rsidR="005F796F" w:rsidRPr="00C66DEC" w:rsidRDefault="005F796F" w:rsidP="005F796F">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sidRPr="00C66DEC">
        <w:rPr>
          <w:rFonts w:ascii="Palatino Linotype" w:eastAsiaTheme="minorEastAsia" w:hAnsi="Palatino Linotype"/>
          <w:i/>
          <w:color w:val="000000" w:themeColor="text1"/>
        </w:rPr>
        <w:lastRenderedPageBreak/>
        <w:t xml:space="preserve">257. En todo caso, el Tribunal destaca que la Ley Federal de Transparencia y Acceso a la Información Pública Gubernamental vigente en México, efectivamente, en el artículo 14, fracción III, dispone que se considerará como información reservada “las averiguaciones previas” 262. Sin embargo, en esa misma disposición, dicha Ley también establece que “[n]o </w:t>
      </w:r>
      <w:r w:rsidRPr="00C66DEC">
        <w:rPr>
          <w:rFonts w:ascii="Palatino Linotype" w:eastAsiaTheme="minorEastAsia" w:hAnsi="Palatino Linotype"/>
          <w:b/>
          <w:i/>
          <w:color w:val="000000" w:themeColor="text1"/>
        </w:rPr>
        <w:t xml:space="preserve">podrá invocarse el carácter de reservado cuando se trate de la investigación de violaciones graves de derechos fundamentales o delitos de lesa humanidad” </w:t>
      </w:r>
    </w:p>
    <w:p w14:paraId="07819ED2" w14:textId="77777777" w:rsidR="005F796F" w:rsidRPr="00C66DEC" w:rsidRDefault="005F796F" w:rsidP="005F796F">
      <w:pPr>
        <w:tabs>
          <w:tab w:val="left" w:pos="426"/>
        </w:tabs>
        <w:spacing w:before="240" w:after="240" w:line="360" w:lineRule="auto"/>
        <w:ind w:left="720" w:right="909"/>
        <w:contextualSpacing/>
        <w:jc w:val="both"/>
        <w:rPr>
          <w:rFonts w:ascii="Palatino Linotype" w:eastAsiaTheme="minorEastAsia" w:hAnsi="Palatino Linotype"/>
          <w:b/>
          <w:i/>
          <w:color w:val="000000" w:themeColor="text1"/>
        </w:rPr>
      </w:pPr>
      <w:r w:rsidRPr="00C66DEC">
        <w:rPr>
          <w:rFonts w:ascii="Palatino Linotype" w:eastAsiaTheme="minorEastAsia" w:hAnsi="Palatino Linotype"/>
          <w:b/>
          <w:i/>
          <w:color w:val="000000" w:themeColor="text1"/>
        </w:rPr>
        <w:t>(Sic)</w:t>
      </w:r>
    </w:p>
    <w:p w14:paraId="12B68B2D" w14:textId="77777777" w:rsidR="005F796F"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0005E943" w14:textId="68B33E60" w:rsidR="005F796F" w:rsidRPr="000F1716" w:rsidRDefault="007357CE" w:rsidP="007357CE">
      <w:pPr>
        <w:tabs>
          <w:tab w:val="left" w:pos="0"/>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sz w:val="24"/>
        </w:rPr>
        <w:t xml:space="preserve">16. </w:t>
      </w:r>
      <w:r w:rsidR="005F796F" w:rsidRPr="000F1716">
        <w:rPr>
          <w:rFonts w:ascii="Palatino Linotype" w:eastAsiaTheme="minorEastAsia" w:hAnsi="Palatino Linotype"/>
          <w:sz w:val="24"/>
        </w:rPr>
        <w:t xml:space="preserve">Por su parte, la </w:t>
      </w:r>
      <w:r w:rsidR="005F796F" w:rsidRPr="000F1716">
        <w:rPr>
          <w:rFonts w:ascii="Palatino Linotype" w:eastAsiaTheme="minorEastAsia" w:hAnsi="Palatino Linotype"/>
          <w:b/>
          <w:sz w:val="24"/>
        </w:rPr>
        <w:t xml:space="preserve">Sentencia de 24 de noviembre de 2010 emitida por la Corte Interamericana de Derechos Humanos </w:t>
      </w:r>
      <w:r w:rsidR="005F796F" w:rsidRPr="000F1716">
        <w:rPr>
          <w:rFonts w:ascii="Palatino Linotype" w:eastAsiaTheme="minorEastAsia" w:hAnsi="Palatino Linotype"/>
          <w:sz w:val="24"/>
        </w:rPr>
        <w:t xml:space="preserve">en el caso </w:t>
      </w:r>
      <w:r w:rsidR="005F796F" w:rsidRPr="000F1716">
        <w:rPr>
          <w:rFonts w:ascii="Palatino Linotype" w:eastAsiaTheme="minorEastAsia" w:hAnsi="Palatino Linotype"/>
          <w:b/>
          <w:sz w:val="24"/>
        </w:rPr>
        <w:t>GOMES LUND y OTROS (“Guerrilla DO ARAGUAIA”) VS. BRASIL</w:t>
      </w:r>
      <w:r w:rsidR="005F796F" w:rsidRPr="000F1716">
        <w:rPr>
          <w:rStyle w:val="Refdenotaalpie"/>
          <w:rFonts w:ascii="Palatino Linotype" w:eastAsiaTheme="minorEastAsia" w:hAnsi="Palatino Linotype"/>
          <w:sz w:val="24"/>
        </w:rPr>
        <w:footnoteReference w:id="3"/>
      </w:r>
      <w:r w:rsidR="005F796F" w:rsidRPr="000F1716">
        <w:rPr>
          <w:rFonts w:ascii="Palatino Linotype" w:eastAsiaTheme="minorEastAsia" w:hAnsi="Palatino Linotype"/>
          <w:sz w:val="24"/>
        </w:rPr>
        <w:t xml:space="preserve">, en la que se señaló que </w:t>
      </w:r>
      <w:r w:rsidR="005F796F" w:rsidRPr="000F1716">
        <w:rPr>
          <w:rFonts w:ascii="Palatino Linotype" w:eastAsiaTheme="minorEastAsia" w:hAnsi="Palatino Linotype"/>
          <w:b/>
          <w:i/>
          <w:sz w:val="24"/>
        </w:rPr>
        <w:t>“toda persona, incluyendo los familiares de las víctimas de graves violaciones a derechos humanos, tiene el derecho a conocer la verdad</w:t>
      </w:r>
      <w:r w:rsidR="005F796F" w:rsidRPr="000F1716">
        <w:rPr>
          <w:rFonts w:ascii="Palatino Linotype" w:eastAsiaTheme="minorEastAsia" w:hAnsi="Palatino Linotype"/>
          <w:b/>
          <w:i/>
          <w:color w:val="000000" w:themeColor="text1"/>
          <w:sz w:val="24"/>
        </w:rPr>
        <w:t xml:space="preserve">”, </w:t>
      </w:r>
      <w:r w:rsidR="005F796F" w:rsidRPr="000F1716">
        <w:rPr>
          <w:rFonts w:ascii="Palatino Linotype" w:eastAsiaTheme="minorEastAsia" w:hAnsi="Palatino Linotype"/>
          <w:color w:val="000000" w:themeColor="text1"/>
          <w:sz w:val="24"/>
        </w:rPr>
        <w:t xml:space="preserve">considerando que una sociedad democrática es indispensable que las autoridades estatales se rijan por el principio de máxima publicidad, como a continuación se observa: </w:t>
      </w:r>
    </w:p>
    <w:p w14:paraId="07EFA297" w14:textId="77777777" w:rsidR="005F796F" w:rsidRDefault="005F796F" w:rsidP="005F796F">
      <w:pPr>
        <w:tabs>
          <w:tab w:val="left" w:pos="426"/>
        </w:tabs>
        <w:spacing w:before="240" w:after="240" w:line="360" w:lineRule="auto"/>
        <w:ind w:right="51"/>
        <w:contextualSpacing/>
        <w:jc w:val="both"/>
        <w:rPr>
          <w:rFonts w:ascii="Palatino Linotype" w:eastAsiaTheme="minorEastAsia" w:hAnsi="Palatino Linotype"/>
        </w:rPr>
      </w:pPr>
    </w:p>
    <w:p w14:paraId="0F3D312F" w14:textId="77777777" w:rsidR="005F796F" w:rsidRPr="003609E6" w:rsidRDefault="005F796F" w:rsidP="000F1716">
      <w:pPr>
        <w:tabs>
          <w:tab w:val="left" w:pos="426"/>
        </w:tabs>
        <w:spacing w:before="240" w:after="240" w:line="360" w:lineRule="auto"/>
        <w:ind w:left="567" w:right="909"/>
        <w:contextualSpacing/>
        <w:jc w:val="both"/>
        <w:rPr>
          <w:rFonts w:ascii="Palatino Linotype" w:hAnsi="Palatino Linotype"/>
          <w:i/>
        </w:rPr>
      </w:pPr>
      <w:r w:rsidRPr="003609E6">
        <w:rPr>
          <w:rFonts w:ascii="Palatino Linotype" w:hAnsi="Palatino Linotype"/>
          <w:i/>
        </w:rPr>
        <w:t xml:space="preserve">“199. Por otra parte, la Corte Interamericana ha determinado que en una sociedad democrática es indispensable que las autoridades estatales se rijan por el principio de máxima divulgación, el cual establece la presunción de que toda información es accesible, sujeto a un sistema restringido de excepciones. </w:t>
      </w:r>
    </w:p>
    <w:p w14:paraId="39947FA3" w14:textId="77777777" w:rsidR="005F796F" w:rsidRPr="003609E6" w:rsidRDefault="005F796F" w:rsidP="000F1716">
      <w:pPr>
        <w:tabs>
          <w:tab w:val="left" w:pos="426"/>
        </w:tabs>
        <w:spacing w:before="240" w:after="240" w:line="360" w:lineRule="auto"/>
        <w:ind w:left="567" w:right="909"/>
        <w:contextualSpacing/>
        <w:jc w:val="both"/>
        <w:rPr>
          <w:rFonts w:ascii="Palatino Linotype" w:hAnsi="Palatino Linotype"/>
          <w:i/>
        </w:rPr>
      </w:pPr>
    </w:p>
    <w:p w14:paraId="10F16676" w14:textId="77777777" w:rsidR="005F796F" w:rsidRDefault="005F796F" w:rsidP="000F1716">
      <w:pPr>
        <w:tabs>
          <w:tab w:val="left" w:pos="426"/>
        </w:tabs>
        <w:spacing w:before="240" w:after="240" w:line="360" w:lineRule="auto"/>
        <w:ind w:left="567" w:right="909"/>
        <w:contextualSpacing/>
        <w:jc w:val="both"/>
        <w:rPr>
          <w:rFonts w:ascii="Palatino Linotype" w:hAnsi="Palatino Linotype"/>
          <w:i/>
        </w:rPr>
      </w:pPr>
      <w:r w:rsidRPr="0095247D">
        <w:rPr>
          <w:rFonts w:ascii="Palatino Linotype" w:hAnsi="Palatino Linotype"/>
          <w:b/>
          <w:i/>
        </w:rPr>
        <w:lastRenderedPageBreak/>
        <w:t>200. Asimismo, este Tribunal ha determinado que toda persona, incluyendo los familiares de las víctimas de graves violaciones a derechos humanos, tiene el derecho a conocer la verdad. En consecuencia, los familiares de las víctimas, y la sociedad, deben ser informados de todo lo sucedido con relación a dichas violaciones. De igual manera, el derecho a conocer la verdad también ha sido reconocido en diversos instrumentos de Naciones Unidas y por la Asamblea General de la Organización de los Estados Americanos.</w:t>
      </w:r>
      <w:r w:rsidRPr="003609E6">
        <w:rPr>
          <w:rFonts w:ascii="Palatino Linotype" w:hAnsi="Palatino Linotype"/>
          <w:i/>
        </w:rPr>
        <w:t>” (Sic)</w:t>
      </w:r>
    </w:p>
    <w:p w14:paraId="17F472F8" w14:textId="77777777" w:rsidR="005F796F" w:rsidRDefault="005F796F" w:rsidP="000F1716">
      <w:pPr>
        <w:tabs>
          <w:tab w:val="left" w:pos="426"/>
        </w:tabs>
        <w:spacing w:before="240" w:after="240" w:line="360" w:lineRule="auto"/>
        <w:ind w:left="567" w:right="909"/>
        <w:contextualSpacing/>
        <w:jc w:val="both"/>
        <w:rPr>
          <w:rFonts w:ascii="Palatino Linotype" w:eastAsiaTheme="minorEastAsia" w:hAnsi="Palatino Linotype"/>
          <w:i/>
          <w:color w:val="000000" w:themeColor="text1"/>
        </w:rPr>
      </w:pPr>
    </w:p>
    <w:p w14:paraId="17EB4D1E" w14:textId="77777777" w:rsidR="005F796F" w:rsidRDefault="005F796F" w:rsidP="000F1716">
      <w:pPr>
        <w:tabs>
          <w:tab w:val="left" w:pos="426"/>
        </w:tabs>
        <w:spacing w:before="240" w:after="240" w:line="360" w:lineRule="auto"/>
        <w:ind w:left="567" w:right="909"/>
        <w:contextualSpacing/>
        <w:jc w:val="both"/>
        <w:rPr>
          <w:rFonts w:ascii="Palatino Linotype" w:eastAsiaTheme="minorEastAsia" w:hAnsi="Palatino Linotype"/>
          <w:i/>
          <w:color w:val="000000" w:themeColor="text1"/>
        </w:rPr>
      </w:pPr>
      <w:r>
        <w:rPr>
          <w:rFonts w:ascii="Palatino Linotype" w:eastAsiaTheme="minorEastAsia" w:hAnsi="Palatino Linotype"/>
          <w:i/>
          <w:color w:val="000000" w:themeColor="text1"/>
        </w:rPr>
        <w:t>(Énfasis añadido)</w:t>
      </w:r>
    </w:p>
    <w:p w14:paraId="0522E2C4" w14:textId="77777777" w:rsidR="009C5F99" w:rsidRPr="003609E6" w:rsidRDefault="009C5F99" w:rsidP="000F1716">
      <w:pPr>
        <w:tabs>
          <w:tab w:val="left" w:pos="426"/>
        </w:tabs>
        <w:spacing w:before="240" w:after="240" w:line="360" w:lineRule="auto"/>
        <w:ind w:left="567" w:right="909"/>
        <w:contextualSpacing/>
        <w:jc w:val="both"/>
        <w:rPr>
          <w:rFonts w:ascii="Palatino Linotype" w:eastAsiaTheme="minorEastAsia" w:hAnsi="Palatino Linotype"/>
          <w:i/>
          <w:color w:val="000000" w:themeColor="text1"/>
        </w:rPr>
      </w:pPr>
    </w:p>
    <w:p w14:paraId="02176744" w14:textId="7E568F35" w:rsidR="009C5F99" w:rsidRDefault="009C5F99" w:rsidP="009C5F99">
      <w:pPr>
        <w:tabs>
          <w:tab w:val="left" w:pos="0"/>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17.- </w:t>
      </w:r>
      <w:r w:rsidR="007357CE">
        <w:rPr>
          <w:rFonts w:ascii="Palatino Linotype" w:eastAsiaTheme="minorEastAsia" w:hAnsi="Palatino Linotype"/>
          <w:color w:val="000000" w:themeColor="text1"/>
          <w:sz w:val="24"/>
        </w:rPr>
        <w:t xml:space="preserve">En el presente asunto, ha sido </w:t>
      </w:r>
      <w:r w:rsidR="007357CE" w:rsidRPr="007357CE">
        <w:rPr>
          <w:rFonts w:ascii="Palatino Linotype" w:eastAsiaTheme="minorEastAsia" w:hAnsi="Palatino Linotype"/>
          <w:color w:val="000000" w:themeColor="text1"/>
          <w:sz w:val="24"/>
        </w:rPr>
        <w:t xml:space="preserve">la propia </w:t>
      </w:r>
      <w:r w:rsidR="007357CE">
        <w:rPr>
          <w:rFonts w:ascii="Palatino Linotype" w:eastAsiaTheme="minorEastAsia" w:hAnsi="Palatino Linotype"/>
          <w:color w:val="000000" w:themeColor="text1"/>
          <w:sz w:val="24"/>
        </w:rPr>
        <w:t>F</w:t>
      </w:r>
      <w:r w:rsidR="007357CE" w:rsidRPr="007357CE">
        <w:rPr>
          <w:rFonts w:ascii="Palatino Linotype" w:eastAsiaTheme="minorEastAsia" w:hAnsi="Palatino Linotype"/>
          <w:color w:val="000000" w:themeColor="text1"/>
          <w:sz w:val="24"/>
        </w:rPr>
        <w:t xml:space="preserve">iscalía General de </w:t>
      </w:r>
      <w:r w:rsidR="007357CE">
        <w:rPr>
          <w:rFonts w:ascii="Palatino Linotype" w:eastAsiaTheme="minorEastAsia" w:hAnsi="Palatino Linotype"/>
          <w:color w:val="000000" w:themeColor="text1"/>
          <w:sz w:val="24"/>
        </w:rPr>
        <w:t>Justicia del E</w:t>
      </w:r>
      <w:r w:rsidR="007357CE" w:rsidRPr="007357CE">
        <w:rPr>
          <w:rFonts w:ascii="Palatino Linotype" w:eastAsiaTheme="minorEastAsia" w:hAnsi="Palatino Linotype"/>
          <w:color w:val="000000" w:themeColor="text1"/>
          <w:sz w:val="24"/>
        </w:rPr>
        <w:t xml:space="preserve">stado de México, </w:t>
      </w:r>
      <w:r>
        <w:rPr>
          <w:rFonts w:ascii="Palatino Linotype" w:eastAsiaTheme="minorEastAsia" w:hAnsi="Palatino Linotype"/>
          <w:color w:val="000000" w:themeColor="text1"/>
          <w:sz w:val="24"/>
        </w:rPr>
        <w:t xml:space="preserve">quien </w:t>
      </w:r>
      <w:r w:rsidR="007357CE">
        <w:rPr>
          <w:rFonts w:ascii="Palatino Linotype" w:eastAsiaTheme="minorEastAsia" w:hAnsi="Palatino Linotype"/>
          <w:color w:val="000000" w:themeColor="text1"/>
          <w:sz w:val="24"/>
        </w:rPr>
        <w:t xml:space="preserve">mediante comunicados oficiales y tarjetas informativas ha informado públicamente </w:t>
      </w:r>
      <w:r w:rsidR="007357CE" w:rsidRPr="007357CE">
        <w:rPr>
          <w:rFonts w:ascii="Palatino Linotype" w:eastAsiaTheme="minorEastAsia" w:hAnsi="Palatino Linotype"/>
          <w:color w:val="000000" w:themeColor="text1"/>
          <w:sz w:val="24"/>
        </w:rPr>
        <w:t>respecto</w:t>
      </w:r>
      <w:r w:rsidR="007357CE">
        <w:rPr>
          <w:rFonts w:ascii="Palatino Linotype" w:eastAsiaTheme="minorEastAsia" w:hAnsi="Palatino Linotype"/>
          <w:color w:val="000000" w:themeColor="text1"/>
          <w:sz w:val="24"/>
        </w:rPr>
        <w:t xml:space="preserve"> a los hechos investigados</w:t>
      </w:r>
      <w:r w:rsidR="001B6D73">
        <w:rPr>
          <w:rFonts w:ascii="Palatino Linotype" w:eastAsiaTheme="minorEastAsia" w:hAnsi="Palatino Linotype"/>
          <w:color w:val="000000" w:themeColor="text1"/>
          <w:sz w:val="24"/>
        </w:rPr>
        <w:t xml:space="preserve">, asimismo con relación </w:t>
      </w:r>
      <w:r w:rsidR="001B6D73" w:rsidRPr="001B6D73">
        <w:rPr>
          <w:rFonts w:ascii="Palatino Linotype" w:eastAsiaTheme="minorEastAsia" w:hAnsi="Palatino Linotype"/>
          <w:b/>
          <w:color w:val="000000" w:themeColor="text1"/>
          <w:sz w:val="24"/>
        </w:rPr>
        <w:t>a la actuación de los elementos policiacos que tomaron parte en los hechos</w:t>
      </w:r>
      <w:r w:rsidR="007357CE">
        <w:rPr>
          <w:rFonts w:ascii="Palatino Linotype" w:eastAsiaTheme="minorEastAsia" w:hAnsi="Palatino Linotype"/>
          <w:color w:val="000000" w:themeColor="text1"/>
          <w:sz w:val="24"/>
        </w:rPr>
        <w:t xml:space="preserve">, lo cual se destaca como </w:t>
      </w:r>
      <w:r w:rsidR="007357CE" w:rsidRPr="007357CE">
        <w:rPr>
          <w:rFonts w:ascii="Palatino Linotype" w:eastAsiaTheme="minorEastAsia" w:hAnsi="Palatino Linotype"/>
          <w:b/>
          <w:color w:val="000000" w:themeColor="text1"/>
          <w:sz w:val="24"/>
        </w:rPr>
        <w:t>hecho notorio</w:t>
      </w:r>
      <w:r w:rsidR="007357CE">
        <w:rPr>
          <w:rFonts w:ascii="Palatino Linotype" w:eastAsiaTheme="minorEastAsia" w:hAnsi="Palatino Linotype"/>
          <w:color w:val="000000" w:themeColor="text1"/>
          <w:sz w:val="24"/>
        </w:rPr>
        <w:t>.</w:t>
      </w:r>
    </w:p>
    <w:p w14:paraId="5A84D033" w14:textId="77777777" w:rsidR="009C5F99" w:rsidRDefault="009C5F99" w:rsidP="009C5F99">
      <w:pPr>
        <w:tabs>
          <w:tab w:val="left" w:pos="0"/>
        </w:tabs>
        <w:spacing w:before="240" w:after="240" w:line="360" w:lineRule="auto"/>
        <w:ind w:right="51"/>
        <w:contextualSpacing/>
        <w:jc w:val="both"/>
        <w:rPr>
          <w:rFonts w:ascii="Palatino Linotype" w:eastAsiaTheme="minorEastAsia" w:hAnsi="Palatino Linotype"/>
          <w:color w:val="000000" w:themeColor="text1"/>
          <w:sz w:val="24"/>
        </w:rPr>
      </w:pPr>
    </w:p>
    <w:p w14:paraId="343417BC" w14:textId="77777777" w:rsidR="009C5F99"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sidRPr="007357CE">
        <w:rPr>
          <w:rFonts w:ascii="Palatino Linotype" w:eastAsiaTheme="minorEastAsia" w:hAnsi="Palatino Linotype"/>
          <w:color w:val="000000" w:themeColor="text1"/>
          <w:sz w:val="24"/>
        </w:rPr>
        <w:t xml:space="preserve">18.- Cabe precisar que por hecho notorio, se entiende desde el punto de vista jurídico, cualquier acontecimiento de dominio público conocido por casi todas las personas, de manera que no requiere ser probado, para que sea invocado por un tribunal.  Es aplicable al respecto, por similitud del caso planteado, la tesis I.3o.C.35 K (10a.), sustentada por el Tercer Tribunal Colegiado en Materia Civil del Primer Circuito, consultable en el Semanario Judicial de la Federación, bajo el registro 2004949, del siguiente contenido: </w:t>
      </w:r>
    </w:p>
    <w:p w14:paraId="27D2EF03" w14:textId="77777777" w:rsidR="009C5F99" w:rsidRDefault="009C5F99"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7D3B0497" w14:textId="77777777" w:rsidR="009C5F99" w:rsidRDefault="007357CE" w:rsidP="009C5F99">
      <w:pPr>
        <w:tabs>
          <w:tab w:val="left" w:pos="426"/>
        </w:tabs>
        <w:spacing w:before="240" w:after="240" w:line="360" w:lineRule="auto"/>
        <w:ind w:left="1560" w:right="51"/>
        <w:contextualSpacing/>
        <w:jc w:val="both"/>
        <w:rPr>
          <w:rFonts w:ascii="Palatino Linotype" w:hAnsi="Palatino Linotype"/>
          <w:i/>
        </w:rPr>
      </w:pPr>
      <w:r w:rsidRPr="007357CE">
        <w:rPr>
          <w:rFonts w:ascii="Palatino Linotype" w:hAnsi="Palatino Linotype"/>
          <w:i/>
        </w:rPr>
        <w:t>“PÁGINAS WEB O ELECTRÓNICAS. SU CONTENIDO ES UN HECHO NOTORIO Y SUSCEPTIBLE DE SER VALORADO EN UNA DECISIÓN JUDICIAL.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009C5F99">
        <w:rPr>
          <w:rFonts w:ascii="Palatino Linotype" w:hAnsi="Palatino Linotype"/>
          <w:i/>
        </w:rPr>
        <w:t xml:space="preserve"> </w:t>
      </w:r>
    </w:p>
    <w:p w14:paraId="6EBF5AB9" w14:textId="77777777" w:rsidR="009C5F99" w:rsidRDefault="009C5F99" w:rsidP="009C5F99">
      <w:pPr>
        <w:tabs>
          <w:tab w:val="left" w:pos="426"/>
        </w:tabs>
        <w:spacing w:before="240" w:after="240" w:line="360" w:lineRule="auto"/>
        <w:ind w:right="51"/>
        <w:contextualSpacing/>
        <w:jc w:val="both"/>
        <w:rPr>
          <w:rFonts w:ascii="Palatino Linotype" w:hAnsi="Palatino Linotype"/>
          <w:i/>
        </w:rPr>
      </w:pPr>
    </w:p>
    <w:p w14:paraId="3535CF3E" w14:textId="2D7303E1" w:rsidR="009C5F99"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sidRPr="009C5F99">
        <w:rPr>
          <w:rFonts w:ascii="Palatino Linotype" w:eastAsiaTheme="minorEastAsia" w:hAnsi="Palatino Linotype"/>
          <w:color w:val="000000" w:themeColor="text1"/>
          <w:sz w:val="24"/>
        </w:rPr>
        <w:lastRenderedPageBreak/>
        <w:t xml:space="preserve">19.- Asimismo, el criterio jurisprudencial </w:t>
      </w:r>
      <w:r>
        <w:rPr>
          <w:rFonts w:ascii="Palatino Linotype" w:eastAsiaTheme="minorEastAsia" w:hAnsi="Palatino Linotype"/>
          <w:color w:val="000000" w:themeColor="text1"/>
          <w:sz w:val="24"/>
        </w:rPr>
        <w:t xml:space="preserve">emitido en la </w:t>
      </w:r>
      <w:r w:rsidRPr="007357CE">
        <w:rPr>
          <w:rFonts w:ascii="Palatino Linotype" w:eastAsiaTheme="minorEastAsia" w:hAnsi="Palatino Linotype"/>
          <w:color w:val="000000" w:themeColor="text1"/>
          <w:sz w:val="24"/>
        </w:rPr>
        <w:t xml:space="preserve"> tesis </w:t>
      </w:r>
      <w:r w:rsidRPr="009C5F99">
        <w:rPr>
          <w:rFonts w:ascii="Palatino Linotype" w:eastAsiaTheme="minorEastAsia" w:hAnsi="Palatino Linotype"/>
          <w:color w:val="000000" w:themeColor="text1"/>
          <w:sz w:val="24"/>
        </w:rPr>
        <w:t>XX.2o. J/24</w:t>
      </w:r>
      <w:r>
        <w:rPr>
          <w:rFonts w:ascii="Palatino Linotype" w:eastAsiaTheme="minorEastAsia" w:hAnsi="Palatino Linotype"/>
          <w:color w:val="000000" w:themeColor="text1"/>
          <w:sz w:val="24"/>
        </w:rPr>
        <w:t xml:space="preserve">, </w:t>
      </w:r>
      <w:r w:rsidRPr="009C5F99">
        <w:rPr>
          <w:rFonts w:ascii="Palatino Linotype" w:eastAsiaTheme="minorEastAsia" w:hAnsi="Palatino Linotype"/>
          <w:color w:val="000000" w:themeColor="text1"/>
          <w:sz w:val="24"/>
        </w:rPr>
        <w:t>Instancia: Tribunales Colegiados de Circuito</w:t>
      </w:r>
      <w:r>
        <w:rPr>
          <w:rFonts w:ascii="Palatino Linotype" w:eastAsiaTheme="minorEastAsia" w:hAnsi="Palatino Linotype"/>
          <w:color w:val="000000" w:themeColor="text1"/>
          <w:sz w:val="24"/>
        </w:rPr>
        <w:t xml:space="preserve">, </w:t>
      </w:r>
      <w:r w:rsidRPr="007357CE">
        <w:rPr>
          <w:rFonts w:ascii="Palatino Linotype" w:eastAsiaTheme="minorEastAsia" w:hAnsi="Palatino Linotype"/>
          <w:color w:val="000000" w:themeColor="text1"/>
          <w:sz w:val="24"/>
        </w:rPr>
        <w:t xml:space="preserve">consultable en el Semanario Judicial de la Federación, bajo el registro  </w:t>
      </w:r>
      <w:r w:rsidR="007357CE" w:rsidRPr="009C5F99">
        <w:rPr>
          <w:rFonts w:ascii="Palatino Linotype" w:eastAsiaTheme="minorEastAsia" w:hAnsi="Palatino Linotype"/>
          <w:color w:val="000000" w:themeColor="text1"/>
          <w:sz w:val="24"/>
        </w:rPr>
        <w:t>168124</w:t>
      </w:r>
      <w:r>
        <w:rPr>
          <w:rFonts w:ascii="Palatino Linotype" w:eastAsiaTheme="minorEastAsia" w:hAnsi="Palatino Linotype"/>
          <w:color w:val="000000" w:themeColor="text1"/>
          <w:sz w:val="24"/>
        </w:rPr>
        <w:t>, que refiere</w:t>
      </w:r>
      <w:r w:rsidRPr="009C5F99">
        <w:rPr>
          <w:rFonts w:ascii="Palatino Linotype" w:eastAsiaTheme="minorEastAsia" w:hAnsi="Palatino Linotype"/>
          <w:color w:val="000000" w:themeColor="text1"/>
          <w:sz w:val="24"/>
        </w:rPr>
        <w:t xml:space="preserve">: </w:t>
      </w:r>
    </w:p>
    <w:p w14:paraId="2B15190A" w14:textId="77777777" w:rsidR="009C5F99"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31090CBB" w14:textId="6C5C46CD" w:rsidR="007357CE" w:rsidRPr="007357CE" w:rsidRDefault="007357CE" w:rsidP="009C5F99">
      <w:pPr>
        <w:tabs>
          <w:tab w:val="left" w:pos="426"/>
        </w:tabs>
        <w:spacing w:before="240" w:after="240" w:line="360" w:lineRule="auto"/>
        <w:ind w:left="1560" w:right="51"/>
        <w:contextualSpacing/>
        <w:jc w:val="both"/>
        <w:rPr>
          <w:rFonts w:ascii="Palatino Linotype" w:eastAsiaTheme="minorEastAsia" w:hAnsi="Palatino Linotype"/>
          <w:color w:val="000000" w:themeColor="text1"/>
          <w:sz w:val="24"/>
        </w:rPr>
      </w:pPr>
      <w:r w:rsidRPr="009C5F99">
        <w:rPr>
          <w:rFonts w:ascii="Palatino Linotype" w:hAnsi="Palatino Linotype"/>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009C5F99">
        <w:rPr>
          <w:rFonts w:ascii="Palatino Linotype" w:hAnsi="Palatino Linotype"/>
          <w:i/>
        </w:rPr>
        <w:t xml:space="preserve"> </w:t>
      </w:r>
      <w:r w:rsidRPr="009C5F99">
        <w:rPr>
          <w:rFonts w:ascii="Palatino Linotype" w:hAnsi="Palatino Linotype"/>
          <w:i/>
        </w:rPr>
        <w:t>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w:t>
      </w:r>
      <w:hyperlink r:id="rId8" w:history="1">
        <w:r w:rsidRPr="009C5F99">
          <w:rPr>
            <w:rFonts w:ascii="Palatino Linotype" w:hAnsi="Palatino Linotype"/>
            <w:i/>
          </w:rPr>
          <w:t>88 del Código Federal de Procedimientos Civiles</w:t>
        </w:r>
      </w:hyperlink>
      <w:r w:rsidRPr="009C5F99">
        <w:rPr>
          <w:rFonts w:ascii="Palatino Linotype" w:hAnsi="Palatino Linotype"/>
          <w:i/>
        </w:rPr>
        <w:t>,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t xml:space="preserve">  Entonces, la información que las propias dependencias deciden difundir a la sociedad, a través de sus sitios web oficiales, constituye un hecho notorio, al que puede acceder cualquier persona que lo desee. </w:t>
      </w:r>
    </w:p>
    <w:p w14:paraId="7EE798BE" w14:textId="77777777" w:rsidR="007357CE"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0E23C46B" w14:textId="15DBB26D" w:rsidR="007357CE" w:rsidRPr="007357CE"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20.</w:t>
      </w:r>
      <w:r w:rsidRPr="009C5F99">
        <w:rPr>
          <w:rFonts w:ascii="Palatino Linotype" w:eastAsiaTheme="minorEastAsia" w:hAnsi="Palatino Linotype"/>
          <w:color w:val="000000" w:themeColor="text1"/>
          <w:sz w:val="24"/>
        </w:rPr>
        <w:t xml:space="preserve"> De ahí que se estime que el contenido del documento intitulado tarjeta informativa emitido por la </w:t>
      </w:r>
      <w:r>
        <w:rPr>
          <w:rFonts w:ascii="Palatino Linotype" w:eastAsiaTheme="minorEastAsia" w:hAnsi="Palatino Linotype"/>
          <w:color w:val="000000" w:themeColor="text1"/>
          <w:sz w:val="24"/>
        </w:rPr>
        <w:t>F</w:t>
      </w:r>
      <w:r w:rsidRPr="007357CE">
        <w:rPr>
          <w:rFonts w:ascii="Palatino Linotype" w:eastAsiaTheme="minorEastAsia" w:hAnsi="Palatino Linotype"/>
          <w:color w:val="000000" w:themeColor="text1"/>
          <w:sz w:val="24"/>
        </w:rPr>
        <w:t xml:space="preserve">iscalía General de </w:t>
      </w:r>
      <w:r>
        <w:rPr>
          <w:rFonts w:ascii="Palatino Linotype" w:eastAsiaTheme="minorEastAsia" w:hAnsi="Palatino Linotype"/>
          <w:color w:val="000000" w:themeColor="text1"/>
          <w:sz w:val="24"/>
        </w:rPr>
        <w:t>Justicia del E</w:t>
      </w:r>
      <w:r w:rsidRPr="007357CE">
        <w:rPr>
          <w:rFonts w:ascii="Palatino Linotype" w:eastAsiaTheme="minorEastAsia" w:hAnsi="Palatino Linotype"/>
          <w:color w:val="000000" w:themeColor="text1"/>
          <w:sz w:val="24"/>
        </w:rPr>
        <w:t>stado de México</w:t>
      </w:r>
      <w:r w:rsidRPr="009C5F99">
        <w:rPr>
          <w:rFonts w:ascii="Palatino Linotype" w:eastAsiaTheme="minorEastAsia" w:hAnsi="Palatino Linotype"/>
          <w:color w:val="000000" w:themeColor="text1"/>
          <w:sz w:val="24"/>
        </w:rPr>
        <w:t>, constituye un hecho notorio, y por tanto, sea factible aludir a su contenido.</w:t>
      </w:r>
    </w:p>
    <w:p w14:paraId="7957942D" w14:textId="31B00DC8" w:rsidR="007357CE" w:rsidRPr="009C5F99" w:rsidRDefault="00CB3363" w:rsidP="007357CE">
      <w:pPr>
        <w:pStyle w:val="Prrafodelista"/>
        <w:rPr>
          <w:rFonts w:ascii="Palatino Linotype" w:eastAsiaTheme="minorEastAsia" w:hAnsi="Palatino Linotype"/>
          <w:color w:val="000000" w:themeColor="text1"/>
          <w:sz w:val="24"/>
        </w:rPr>
      </w:pPr>
      <w:r>
        <w:rPr>
          <w:noProof/>
          <w:lang w:eastAsia="es-MX"/>
        </w:rPr>
        <w:drawing>
          <wp:inline distT="0" distB="0" distL="0" distR="0" wp14:anchorId="4A0D82A7" wp14:editId="6448262A">
            <wp:extent cx="4542739" cy="4471913"/>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38" t="24570" r="30876" b="14023"/>
                    <a:stretch/>
                  </pic:blipFill>
                  <pic:spPr bwMode="auto">
                    <a:xfrm>
                      <a:off x="0" y="0"/>
                      <a:ext cx="4558046" cy="4486981"/>
                    </a:xfrm>
                    <a:prstGeom prst="rect">
                      <a:avLst/>
                    </a:prstGeom>
                    <a:ln>
                      <a:noFill/>
                    </a:ln>
                    <a:extLst>
                      <a:ext uri="{53640926-AAD7-44D8-BBD7-CCE9431645EC}">
                        <a14:shadowObscured xmlns:a14="http://schemas.microsoft.com/office/drawing/2010/main"/>
                      </a:ext>
                    </a:extLst>
                  </pic:spPr>
                </pic:pic>
              </a:graphicData>
            </a:graphic>
          </wp:inline>
        </w:drawing>
      </w:r>
    </w:p>
    <w:p w14:paraId="5EF8E5AA" w14:textId="385FC8F4" w:rsidR="005F796F" w:rsidRPr="007357CE"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21.- </w:t>
      </w:r>
      <w:r w:rsidRPr="007357CE">
        <w:rPr>
          <w:rFonts w:ascii="Palatino Linotype" w:eastAsiaTheme="minorEastAsia" w:hAnsi="Palatino Linotype"/>
          <w:color w:val="000000" w:themeColor="text1"/>
          <w:sz w:val="24"/>
        </w:rPr>
        <w:t xml:space="preserve">En el mismo tenor, tenemos que </w:t>
      </w:r>
      <w:r w:rsidR="005F796F" w:rsidRPr="007357CE">
        <w:rPr>
          <w:rFonts w:ascii="Palatino Linotype" w:eastAsiaTheme="minorEastAsia" w:hAnsi="Palatino Linotype"/>
          <w:color w:val="000000" w:themeColor="text1"/>
          <w:sz w:val="24"/>
        </w:rPr>
        <w:t xml:space="preserve">el treinta y uno (31) de octubre de dos mil veintiuno, la Comisión de Derechos Humanos del Estado de México, publicó una Tarjeta Informativa, mediante la cual, hizo del conocimiento de la sociedad sobre el inicio de la queja de oficio con número de expediente CODHEM/TLAL/627/2021, </w:t>
      </w:r>
      <w:r w:rsidR="005F796F" w:rsidRPr="007357CE">
        <w:rPr>
          <w:rFonts w:ascii="Palatino Linotype" w:eastAsiaTheme="minorEastAsia" w:hAnsi="Palatino Linotype"/>
          <w:color w:val="000000" w:themeColor="text1"/>
          <w:sz w:val="24"/>
        </w:rPr>
        <w:lastRenderedPageBreak/>
        <w:t xml:space="preserve">por la violación al derecho humano a la integridad y seguridad personal y, en su caso, al derecho a no ser sometido al uso desproporcionado o indebido de la fuerza, derivado de los hechos acontecidos en la autopista </w:t>
      </w:r>
      <w:proofErr w:type="spellStart"/>
      <w:r w:rsidR="005F796F" w:rsidRPr="007357CE">
        <w:rPr>
          <w:rFonts w:ascii="Palatino Linotype" w:eastAsiaTheme="minorEastAsia" w:hAnsi="Palatino Linotype"/>
          <w:color w:val="000000" w:themeColor="text1"/>
          <w:sz w:val="24"/>
        </w:rPr>
        <w:t>Chamapa</w:t>
      </w:r>
      <w:proofErr w:type="spellEnd"/>
      <w:r w:rsidR="005F796F" w:rsidRPr="007357CE">
        <w:rPr>
          <w:rFonts w:ascii="Palatino Linotype" w:eastAsiaTheme="minorEastAsia" w:hAnsi="Palatino Linotype"/>
          <w:color w:val="000000" w:themeColor="text1"/>
          <w:sz w:val="24"/>
        </w:rPr>
        <w:t xml:space="preserve">-Lechería, en los que perdió la vida el actor </w:t>
      </w:r>
      <w:r w:rsidR="00CB3363">
        <w:rPr>
          <w:rFonts w:ascii="Palatino Linotype" w:eastAsiaTheme="minorEastAsia" w:hAnsi="Palatino Linotype"/>
          <w:color w:val="000000" w:themeColor="text1"/>
          <w:sz w:val="24"/>
        </w:rPr>
        <w:t xml:space="preserve">XXXX </w:t>
      </w:r>
      <w:proofErr w:type="spellStart"/>
      <w:r w:rsidR="00CB3363">
        <w:rPr>
          <w:rFonts w:ascii="Palatino Linotype" w:eastAsiaTheme="minorEastAsia" w:hAnsi="Palatino Linotype"/>
          <w:color w:val="000000" w:themeColor="text1"/>
          <w:sz w:val="24"/>
        </w:rPr>
        <w:t>XXXX</w:t>
      </w:r>
      <w:proofErr w:type="spellEnd"/>
      <w:r w:rsidR="00CB3363">
        <w:rPr>
          <w:rFonts w:ascii="Palatino Linotype" w:eastAsiaTheme="minorEastAsia" w:hAnsi="Palatino Linotype"/>
          <w:color w:val="000000" w:themeColor="text1"/>
          <w:sz w:val="24"/>
        </w:rPr>
        <w:t xml:space="preserve"> XXXXX</w:t>
      </w:r>
      <w:r w:rsidR="005F796F" w:rsidRPr="007357CE">
        <w:rPr>
          <w:rFonts w:ascii="Palatino Linotype" w:eastAsiaTheme="minorEastAsia" w:hAnsi="Palatino Linotype"/>
          <w:color w:val="000000" w:themeColor="text1"/>
          <w:sz w:val="24"/>
        </w:rPr>
        <w:t>. Se comparte a continuación la Tarjeta publicada por el organismo:</w:t>
      </w:r>
    </w:p>
    <w:p w14:paraId="0D8FA232" w14:textId="77777777" w:rsidR="005F796F" w:rsidRPr="003271CF"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5A4E202B" w14:textId="4E676F02" w:rsidR="005F796F" w:rsidRPr="003271CF" w:rsidRDefault="00CB3363" w:rsidP="005F796F">
      <w:pPr>
        <w:tabs>
          <w:tab w:val="left" w:pos="426"/>
        </w:tabs>
        <w:spacing w:before="240" w:after="240" w:line="360" w:lineRule="auto"/>
        <w:ind w:right="51"/>
        <w:contextualSpacing/>
        <w:jc w:val="center"/>
        <w:rPr>
          <w:rFonts w:ascii="Palatino Linotype" w:eastAsiaTheme="minorEastAsia" w:hAnsi="Palatino Linotype"/>
          <w:color w:val="000000" w:themeColor="text1"/>
        </w:rPr>
      </w:pPr>
      <w:r>
        <w:rPr>
          <w:noProof/>
          <w:lang w:eastAsia="es-MX"/>
        </w:rPr>
        <w:drawing>
          <wp:inline distT="0" distB="0" distL="0" distR="0" wp14:anchorId="711A840E" wp14:editId="3BCC7816">
            <wp:extent cx="4605971" cy="3577133"/>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5" t="18541" r="32329" b="33026"/>
                    <a:stretch/>
                  </pic:blipFill>
                  <pic:spPr bwMode="auto">
                    <a:xfrm>
                      <a:off x="0" y="0"/>
                      <a:ext cx="4622221" cy="3589753"/>
                    </a:xfrm>
                    <a:prstGeom prst="rect">
                      <a:avLst/>
                    </a:prstGeom>
                    <a:ln>
                      <a:noFill/>
                    </a:ln>
                    <a:extLst>
                      <a:ext uri="{53640926-AAD7-44D8-BBD7-CCE9431645EC}">
                        <a14:shadowObscured xmlns:a14="http://schemas.microsoft.com/office/drawing/2010/main"/>
                      </a:ext>
                    </a:extLst>
                  </pic:spPr>
                </pic:pic>
              </a:graphicData>
            </a:graphic>
          </wp:inline>
        </w:drawing>
      </w:r>
    </w:p>
    <w:p w14:paraId="023500D2" w14:textId="77777777" w:rsidR="005F796F" w:rsidRPr="003271CF"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368B4793" w14:textId="6B062BF2" w:rsidR="005F796F" w:rsidRPr="000F1716" w:rsidRDefault="007357CE" w:rsidP="007357CE">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25. </w:t>
      </w:r>
      <w:r w:rsidR="005F796F" w:rsidRPr="000F1716">
        <w:rPr>
          <w:rFonts w:ascii="Palatino Linotype" w:eastAsiaTheme="minorEastAsia" w:hAnsi="Palatino Linotype"/>
          <w:color w:val="000000" w:themeColor="text1"/>
          <w:sz w:val="24"/>
        </w:rPr>
        <w:t>Así las cosas, resulta esencial</w:t>
      </w:r>
      <w:r w:rsidR="001B6D73">
        <w:rPr>
          <w:rFonts w:ascii="Palatino Linotype" w:eastAsiaTheme="minorEastAsia" w:hAnsi="Palatino Linotype"/>
          <w:color w:val="000000" w:themeColor="text1"/>
          <w:sz w:val="24"/>
        </w:rPr>
        <w:t xml:space="preserve"> destacar lo ya resuelto por la</w:t>
      </w:r>
      <w:r w:rsidR="005F796F" w:rsidRPr="000F1716">
        <w:rPr>
          <w:rFonts w:ascii="Palatino Linotype" w:eastAsiaTheme="minorEastAsia" w:hAnsi="Palatino Linotype"/>
          <w:color w:val="000000" w:themeColor="text1"/>
          <w:sz w:val="24"/>
        </w:rPr>
        <w:t xml:space="preserve"> Segunda Sala de la Suprema Corte de Justicia de la Nación en el sentido de que las autoridades requeridas tienen la capacidad para determinar de manera inicial si se está frente a una violación grave a los derechos humanos a efectos de entregar la información </w:t>
      </w:r>
      <w:r w:rsidR="005F796F" w:rsidRPr="000F1716">
        <w:rPr>
          <w:rFonts w:ascii="Palatino Linotype" w:eastAsiaTheme="minorEastAsia" w:hAnsi="Palatino Linotype"/>
          <w:color w:val="000000" w:themeColor="text1"/>
          <w:sz w:val="24"/>
        </w:rPr>
        <w:lastRenderedPageBreak/>
        <w:t>solicitada. Así se decidió en un caso donde se le requirió a la Comisión Nacional de los Derechos Humanos la entrega de información relativa a hechos que podrían constituir graves violaciones a los derechos humanos</w:t>
      </w:r>
      <w:r w:rsidR="005F796F" w:rsidRPr="000F1716">
        <w:rPr>
          <w:rFonts w:ascii="Palatino Linotype" w:eastAsiaTheme="minorEastAsia" w:hAnsi="Palatino Linotype"/>
          <w:color w:val="000000" w:themeColor="text1"/>
          <w:sz w:val="24"/>
          <w:vertAlign w:val="superscript"/>
        </w:rPr>
        <w:footnoteReference w:id="4"/>
      </w:r>
      <w:r w:rsidR="005F796F" w:rsidRPr="000F1716">
        <w:rPr>
          <w:rFonts w:ascii="Palatino Linotype" w:eastAsiaTheme="minorEastAsia" w:hAnsi="Palatino Linotype"/>
          <w:color w:val="000000" w:themeColor="text1"/>
          <w:sz w:val="24"/>
        </w:rPr>
        <w:t>.</w:t>
      </w:r>
    </w:p>
    <w:p w14:paraId="1845994A" w14:textId="77777777" w:rsidR="005F796F" w:rsidRPr="000F1716"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411658EA" w14:textId="77777777" w:rsidR="005F796F" w:rsidRDefault="005F796F" w:rsidP="005F796F">
      <w:pPr>
        <w:numPr>
          <w:ilvl w:val="0"/>
          <w:numId w:val="34"/>
        </w:numPr>
        <w:tabs>
          <w:tab w:val="left" w:pos="426"/>
        </w:tabs>
        <w:spacing w:before="240" w:after="240" w:line="360" w:lineRule="auto"/>
        <w:ind w:left="0" w:right="51" w:firstLine="0"/>
        <w:contextualSpacing/>
        <w:jc w:val="both"/>
        <w:rPr>
          <w:rFonts w:ascii="Palatino Linotype" w:eastAsiaTheme="minorEastAsia" w:hAnsi="Palatino Linotype"/>
          <w:color w:val="000000" w:themeColor="text1"/>
          <w:sz w:val="24"/>
        </w:rPr>
      </w:pPr>
      <w:r w:rsidRPr="000F1716">
        <w:rPr>
          <w:rFonts w:ascii="Palatino Linotype" w:eastAsiaTheme="minorEastAsia" w:hAnsi="Palatino Linotype"/>
          <w:color w:val="000000" w:themeColor="text1"/>
          <w:sz w:val="24"/>
        </w:rPr>
        <w:t>En ese asunto se estimó que la Comisión Nacional de Derechos Humanos puede llevar un examen preliminar –</w:t>
      </w:r>
      <w:r w:rsidRPr="000F1716">
        <w:rPr>
          <w:rFonts w:ascii="Palatino Linotype" w:eastAsiaTheme="minorEastAsia" w:hAnsi="Palatino Linotype"/>
          <w:i/>
          <w:iCs/>
          <w:color w:val="000000" w:themeColor="text1"/>
          <w:sz w:val="24"/>
        </w:rPr>
        <w:t>prima facie</w:t>
      </w:r>
      <w:r w:rsidRPr="000F1716">
        <w:rPr>
          <w:rFonts w:ascii="Palatino Linotype" w:eastAsiaTheme="minorEastAsia" w:hAnsi="Palatino Linotype"/>
          <w:color w:val="000000" w:themeColor="text1"/>
          <w:sz w:val="24"/>
        </w:rPr>
        <w:t xml:space="preserve">- de los hechos consignados en los expedientes respectivos, </w:t>
      </w:r>
      <w:r w:rsidRPr="000F1716">
        <w:rPr>
          <w:rFonts w:ascii="Palatino Linotype" w:eastAsiaTheme="minorEastAsia" w:hAnsi="Palatino Linotype"/>
          <w:b/>
          <w:bCs/>
          <w:color w:val="000000" w:themeColor="text1"/>
          <w:sz w:val="24"/>
        </w:rPr>
        <w:t>únicamente para dilucidar si guardan o no relación con graves violaciones a los derechos humanos y, por ende, si resulta asequible publicitar la información respectiva</w:t>
      </w:r>
      <w:r w:rsidRPr="000F1716">
        <w:rPr>
          <w:rFonts w:ascii="Palatino Linotype" w:eastAsiaTheme="minorEastAsia" w:hAnsi="Palatino Linotype"/>
          <w:color w:val="000000" w:themeColor="text1"/>
          <w:sz w:val="24"/>
        </w:rPr>
        <w:t xml:space="preserve"> en atención al interés superlativo que tiene la sociedad en su conjunto, de conocer la misma, precisamente por su gravedad y por las repercusiones que implica en el orden jurídico nacional</w:t>
      </w:r>
      <w:r w:rsidRPr="000F1716">
        <w:rPr>
          <w:rFonts w:ascii="Palatino Linotype" w:eastAsiaTheme="minorEastAsia" w:hAnsi="Palatino Linotype"/>
          <w:color w:val="000000" w:themeColor="text1"/>
          <w:sz w:val="24"/>
          <w:vertAlign w:val="superscript"/>
        </w:rPr>
        <w:footnoteReference w:id="5"/>
      </w:r>
      <w:r w:rsidRPr="000F1716">
        <w:rPr>
          <w:rFonts w:ascii="Palatino Linotype" w:eastAsiaTheme="minorEastAsia" w:hAnsi="Palatino Linotype"/>
          <w:color w:val="000000" w:themeColor="text1"/>
          <w:sz w:val="24"/>
        </w:rPr>
        <w:t xml:space="preserve">. </w:t>
      </w:r>
    </w:p>
    <w:p w14:paraId="0602D078" w14:textId="77777777" w:rsidR="000F1716" w:rsidRPr="000F1716" w:rsidRDefault="000F1716" w:rsidP="000F1716">
      <w:pPr>
        <w:rPr>
          <w:rFonts w:ascii="Palatino Linotype" w:eastAsiaTheme="minorEastAsia" w:hAnsi="Palatino Linotype"/>
          <w:color w:val="000000" w:themeColor="text1"/>
          <w:sz w:val="24"/>
        </w:rPr>
      </w:pPr>
    </w:p>
    <w:p w14:paraId="5AC8C583" w14:textId="77777777" w:rsidR="005F796F" w:rsidRPr="000F1716" w:rsidRDefault="005F796F" w:rsidP="005F796F">
      <w:pPr>
        <w:numPr>
          <w:ilvl w:val="0"/>
          <w:numId w:val="34"/>
        </w:numPr>
        <w:tabs>
          <w:tab w:val="left" w:pos="426"/>
        </w:tabs>
        <w:spacing w:before="240" w:after="240" w:line="360" w:lineRule="auto"/>
        <w:ind w:left="0" w:right="51" w:firstLine="0"/>
        <w:contextualSpacing/>
        <w:jc w:val="both"/>
        <w:rPr>
          <w:rFonts w:ascii="Palatino Linotype" w:eastAsiaTheme="minorEastAsia" w:hAnsi="Palatino Linotype"/>
          <w:color w:val="000000" w:themeColor="text1"/>
          <w:sz w:val="24"/>
        </w:rPr>
      </w:pPr>
      <w:r w:rsidRPr="000F1716">
        <w:rPr>
          <w:rFonts w:ascii="Palatino Linotype" w:eastAsiaTheme="minorEastAsia" w:hAnsi="Palatino Linotype"/>
          <w:color w:val="000000" w:themeColor="text1"/>
          <w:sz w:val="24"/>
        </w:rPr>
        <w:t>Sirve de sustento lo establecido por la Suprema Corte de Justicia de la Nación, la cual, a través de la siguiente tesis aislada nos indica que:</w:t>
      </w:r>
    </w:p>
    <w:p w14:paraId="634E06F5" w14:textId="77777777" w:rsidR="005F796F" w:rsidRDefault="005F796F" w:rsidP="005F796F">
      <w:pPr>
        <w:pStyle w:val="Prrafodelista"/>
        <w:rPr>
          <w:rFonts w:ascii="Palatino Linotype" w:eastAsiaTheme="minorEastAsia" w:hAnsi="Palatino Linotype"/>
          <w:color w:val="000000" w:themeColor="text1"/>
        </w:rPr>
      </w:pPr>
    </w:p>
    <w:p w14:paraId="436DD313" w14:textId="77777777" w:rsidR="005F796F" w:rsidRPr="00502CAF" w:rsidRDefault="005F796F" w:rsidP="005F796F">
      <w:pPr>
        <w:pStyle w:val="Prrafodelista"/>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8A4B0D">
        <w:rPr>
          <w:rFonts w:ascii="Palatino Linotype" w:eastAsia="Calibri" w:hAnsi="Palatino Linotype" w:cs="Arial"/>
          <w:b/>
          <w:bCs/>
          <w:i/>
          <w:iCs/>
        </w:rPr>
        <w:t>DERECHOS FUNDAMENTALES. SUS LÍMITES INTERNOS Y EXTERNOS</w:t>
      </w:r>
      <w:r w:rsidRPr="00502CAF">
        <w:rPr>
          <w:rFonts w:ascii="Palatino Linotype" w:eastAsia="Calibri" w:hAnsi="Palatino Linotype" w:cs="Arial"/>
          <w:i/>
          <w:iCs/>
        </w:rPr>
        <w:t xml:space="preserve">. La teoría del contenido esencial de los derechos fundamentales establece que contienen un núcleo fijo e inmutable, de manera que cualquier afectación a éste resulta ilícita, y sólo en su periferia pueden establecerse las limitaciones y restricciones necesarias y </w:t>
      </w:r>
      <w:r w:rsidRPr="00502CAF">
        <w:rPr>
          <w:rFonts w:ascii="Palatino Linotype" w:eastAsia="Calibri" w:hAnsi="Palatino Linotype" w:cs="Arial"/>
          <w:i/>
          <w:iCs/>
        </w:rPr>
        <w:lastRenderedPageBreak/>
        <w:t>justificadas, así como expandirse las condiciones de su ejercicio, partiendo de la base de que estos derechos no son absolutos y su ejercicio 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es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p>
    <w:p w14:paraId="67475338" w14:textId="77777777" w:rsidR="005F796F" w:rsidRPr="00502CAF" w:rsidRDefault="005F796F" w:rsidP="005F796F">
      <w:pPr>
        <w:pBdr>
          <w:top w:val="nil"/>
          <w:left w:val="nil"/>
          <w:bottom w:val="nil"/>
          <w:right w:val="nil"/>
          <w:between w:val="nil"/>
          <w:bar w:val="nil"/>
        </w:pBdr>
        <w:spacing w:line="360" w:lineRule="auto"/>
        <w:ind w:left="567" w:right="616"/>
        <w:jc w:val="both"/>
        <w:rPr>
          <w:rFonts w:ascii="Palatino Linotype" w:eastAsia="Calibri" w:hAnsi="Palatino Linotype" w:cs="Arial"/>
          <w:i/>
          <w:iCs/>
        </w:rPr>
      </w:pPr>
    </w:p>
    <w:p w14:paraId="36508AF3" w14:textId="77777777" w:rsidR="005F796F" w:rsidRDefault="005F796F" w:rsidP="005F796F">
      <w:pPr>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502CAF">
        <w:rPr>
          <w:rFonts w:ascii="Palatino Linotype" w:eastAsia="Calibri" w:hAnsi="Palatino Linotype" w:cs="Arial"/>
          <w:i/>
          <w:iCs/>
        </w:rPr>
        <w:t xml:space="preserve">CUARTO TRIBUNAL COLEGIADO EN MATERIA ADMINISTRATIVA DEL PRIMER CIRCUITO. Amparo en revisión 257/2012. Ruth Corona Muñoz. 6 de diciembre de 2012. Unanimidad de votos. Ponente: Jean Claude </w:t>
      </w:r>
      <w:proofErr w:type="spellStart"/>
      <w:r w:rsidRPr="00502CAF">
        <w:rPr>
          <w:rFonts w:ascii="Palatino Linotype" w:eastAsia="Calibri" w:hAnsi="Palatino Linotype" w:cs="Arial"/>
          <w:i/>
          <w:iCs/>
        </w:rPr>
        <w:t>Tron</w:t>
      </w:r>
      <w:proofErr w:type="spellEnd"/>
      <w:r w:rsidRPr="00502CAF">
        <w:rPr>
          <w:rFonts w:ascii="Palatino Linotype" w:eastAsia="Calibri" w:hAnsi="Palatino Linotype" w:cs="Arial"/>
          <w:i/>
          <w:iCs/>
        </w:rPr>
        <w:t xml:space="preserve"> </w:t>
      </w:r>
      <w:proofErr w:type="spellStart"/>
      <w:r w:rsidRPr="00502CAF">
        <w:rPr>
          <w:rFonts w:ascii="Palatino Linotype" w:eastAsia="Calibri" w:hAnsi="Palatino Linotype" w:cs="Arial"/>
          <w:i/>
          <w:iCs/>
        </w:rPr>
        <w:t>Petit</w:t>
      </w:r>
      <w:proofErr w:type="spellEnd"/>
      <w:r w:rsidRPr="00502CAF">
        <w:rPr>
          <w:rFonts w:ascii="Palatino Linotype" w:eastAsia="Calibri" w:hAnsi="Palatino Linotype" w:cs="Arial"/>
          <w:i/>
          <w:iCs/>
        </w:rPr>
        <w:t>. Secretaria: Mayra Susana Martínez López.</w:t>
      </w:r>
    </w:p>
    <w:p w14:paraId="4AEF4C91" w14:textId="77777777" w:rsidR="005F796F" w:rsidRPr="00502CAF" w:rsidRDefault="005F796F" w:rsidP="005F796F">
      <w:pPr>
        <w:pBdr>
          <w:top w:val="nil"/>
          <w:left w:val="nil"/>
          <w:bottom w:val="nil"/>
          <w:right w:val="nil"/>
          <w:between w:val="nil"/>
          <w:bar w:val="nil"/>
        </w:pBdr>
        <w:spacing w:line="360" w:lineRule="auto"/>
        <w:ind w:right="616"/>
        <w:jc w:val="both"/>
        <w:rPr>
          <w:rFonts w:ascii="Palatino Linotype" w:eastAsia="Calibri" w:hAnsi="Palatino Linotype" w:cs="Arial"/>
          <w:i/>
          <w:iCs/>
        </w:rPr>
      </w:pPr>
    </w:p>
    <w:p w14:paraId="59592AAB" w14:textId="5C114677" w:rsidR="005F796F" w:rsidRPr="009C5F99" w:rsidRDefault="009C5F99" w:rsidP="009C5F99">
      <w:pPr>
        <w:pBdr>
          <w:top w:val="nil"/>
          <w:left w:val="nil"/>
          <w:bottom w:val="nil"/>
          <w:right w:val="nil"/>
          <w:between w:val="nil"/>
          <w:bar w:val="nil"/>
        </w:pBdr>
        <w:spacing w:after="0" w:line="360" w:lineRule="auto"/>
        <w:jc w:val="both"/>
        <w:rPr>
          <w:rFonts w:ascii="Palatino Linotype" w:eastAsia="Calibri" w:hAnsi="Palatino Linotype" w:cs="Arial"/>
          <w:sz w:val="24"/>
        </w:rPr>
      </w:pPr>
      <w:r>
        <w:rPr>
          <w:rFonts w:ascii="Palatino Linotype" w:eastAsia="Calibri" w:hAnsi="Palatino Linotype" w:cs="Arial"/>
          <w:sz w:val="24"/>
        </w:rPr>
        <w:t xml:space="preserve">22.- </w:t>
      </w:r>
      <w:r w:rsidR="005F796F" w:rsidRPr="009C5F99">
        <w:rPr>
          <w:rFonts w:ascii="Palatino Linotype" w:eastAsia="Calibri" w:hAnsi="Palatino Linotype" w:cs="Arial"/>
          <w:sz w:val="24"/>
        </w:rPr>
        <w:t xml:space="preserve">Por su parte, la Convención Americana Sobre Derechos Humanos en su artículo 1° establece que; </w:t>
      </w:r>
    </w:p>
    <w:p w14:paraId="4CC6D3B6" w14:textId="77777777" w:rsidR="005F796F" w:rsidRDefault="005F796F" w:rsidP="005F796F">
      <w:pPr>
        <w:pStyle w:val="Prrafodelista"/>
        <w:pBdr>
          <w:top w:val="nil"/>
          <w:left w:val="nil"/>
          <w:bottom w:val="nil"/>
          <w:right w:val="nil"/>
          <w:between w:val="nil"/>
          <w:bar w:val="nil"/>
        </w:pBdr>
        <w:spacing w:line="360" w:lineRule="auto"/>
        <w:ind w:left="0"/>
        <w:jc w:val="both"/>
        <w:rPr>
          <w:rFonts w:ascii="Palatino Linotype" w:eastAsia="Calibri" w:hAnsi="Palatino Linotype" w:cs="Arial"/>
        </w:rPr>
      </w:pPr>
    </w:p>
    <w:p w14:paraId="02B4D50C" w14:textId="77777777" w:rsidR="005F796F" w:rsidRPr="00502CAF" w:rsidRDefault="005F796F" w:rsidP="005F796F">
      <w:pPr>
        <w:pStyle w:val="Prrafodelista"/>
        <w:pBdr>
          <w:top w:val="nil"/>
          <w:left w:val="nil"/>
          <w:bottom w:val="nil"/>
          <w:right w:val="nil"/>
          <w:between w:val="nil"/>
          <w:bar w:val="nil"/>
        </w:pBdr>
        <w:spacing w:line="360" w:lineRule="auto"/>
        <w:ind w:left="567" w:right="616"/>
        <w:jc w:val="center"/>
        <w:rPr>
          <w:rFonts w:ascii="Palatino Linotype" w:eastAsia="Calibri" w:hAnsi="Palatino Linotype" w:cs="Arial"/>
          <w:i/>
          <w:iCs/>
        </w:rPr>
      </w:pPr>
      <w:r w:rsidRPr="00502CAF">
        <w:rPr>
          <w:rFonts w:ascii="Palatino Linotype" w:hAnsi="Palatino Linotype" w:cs="Tahoma"/>
          <w:i/>
          <w:iCs/>
          <w:color w:val="000000"/>
        </w:rPr>
        <w:t>“</w:t>
      </w:r>
      <w:r w:rsidRPr="00502CAF">
        <w:rPr>
          <w:rFonts w:ascii="Palatino Linotype" w:hAnsi="Palatino Linotype" w:cs="Tahoma"/>
          <w:b/>
          <w:bCs/>
          <w:i/>
          <w:iCs/>
          <w:color w:val="000000"/>
        </w:rPr>
        <w:t>CONVENCION AMERICANA SOBRE DERECHOS HUMANOS</w:t>
      </w:r>
    </w:p>
    <w:p w14:paraId="6E5DDE5C" w14:textId="77777777" w:rsidR="005F796F" w:rsidRPr="00502CAF" w:rsidRDefault="005F796F" w:rsidP="005F796F">
      <w:pPr>
        <w:pStyle w:val="Prrafodelista"/>
        <w:pBdr>
          <w:top w:val="nil"/>
          <w:left w:val="nil"/>
          <w:bottom w:val="nil"/>
          <w:right w:val="nil"/>
          <w:between w:val="nil"/>
          <w:bar w:val="nil"/>
        </w:pBdr>
        <w:spacing w:line="360" w:lineRule="auto"/>
        <w:ind w:left="567" w:right="616"/>
        <w:jc w:val="center"/>
        <w:rPr>
          <w:rFonts w:ascii="Palatino Linotype" w:hAnsi="Palatino Linotype" w:cs="Tahoma"/>
          <w:b/>
          <w:bCs/>
          <w:i/>
          <w:iCs/>
          <w:color w:val="000000"/>
        </w:rPr>
      </w:pPr>
      <w:r w:rsidRPr="00502CAF">
        <w:rPr>
          <w:rFonts w:ascii="Palatino Linotype" w:hAnsi="Palatino Linotype" w:cs="Tahoma"/>
          <w:b/>
          <w:bCs/>
          <w:i/>
          <w:iCs/>
          <w:color w:val="000000"/>
        </w:rPr>
        <w:t>Artículo 1.  Obligación de Respetar los Derechos</w:t>
      </w:r>
    </w:p>
    <w:p w14:paraId="222867B0" w14:textId="77777777" w:rsidR="005F796F" w:rsidRPr="008A4B0D" w:rsidRDefault="005F796F" w:rsidP="005F796F">
      <w:pPr>
        <w:pStyle w:val="Prrafodelista"/>
        <w:pBdr>
          <w:top w:val="nil"/>
          <w:left w:val="nil"/>
          <w:bottom w:val="nil"/>
          <w:right w:val="nil"/>
          <w:between w:val="nil"/>
          <w:bar w:val="nil"/>
        </w:pBdr>
        <w:spacing w:line="360" w:lineRule="auto"/>
        <w:ind w:left="567" w:right="616"/>
        <w:jc w:val="center"/>
        <w:rPr>
          <w:rFonts w:ascii="Palatino Linotype" w:eastAsia="Calibri" w:hAnsi="Palatino Linotype" w:cs="Arial"/>
          <w:i/>
          <w:iCs/>
          <w:sz w:val="10"/>
          <w:szCs w:val="10"/>
        </w:rPr>
      </w:pPr>
    </w:p>
    <w:p w14:paraId="031E8383" w14:textId="77777777" w:rsidR="005F796F" w:rsidRPr="00502CAF" w:rsidRDefault="005F796F" w:rsidP="005F796F">
      <w:pPr>
        <w:pStyle w:val="Prrafodelista"/>
        <w:pBdr>
          <w:top w:val="nil"/>
          <w:left w:val="nil"/>
          <w:bottom w:val="nil"/>
          <w:right w:val="nil"/>
          <w:between w:val="nil"/>
          <w:bar w:val="nil"/>
        </w:pBdr>
        <w:spacing w:line="360" w:lineRule="auto"/>
        <w:ind w:left="567" w:right="616"/>
        <w:jc w:val="both"/>
        <w:rPr>
          <w:rFonts w:ascii="Palatino Linotype" w:eastAsia="Calibri" w:hAnsi="Palatino Linotype" w:cs="Arial"/>
          <w:i/>
          <w:iCs/>
        </w:rPr>
      </w:pPr>
      <w:r w:rsidRPr="00502CAF">
        <w:rPr>
          <w:rFonts w:ascii="Palatino Linotype" w:eastAsia="Calibri" w:hAnsi="Palatino Linotype" w:cs="Arial"/>
          <w:i/>
          <w:iCs/>
        </w:rPr>
        <w:t xml:space="preserve">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14:paraId="2981D6B4" w14:textId="77777777" w:rsidR="005F796F" w:rsidRDefault="005F796F" w:rsidP="005F796F">
      <w:pPr>
        <w:pStyle w:val="Prrafodelista"/>
        <w:rPr>
          <w:rFonts w:ascii="Palatino Linotype" w:eastAsiaTheme="minorEastAsia" w:hAnsi="Palatino Linotype"/>
          <w:color w:val="000000" w:themeColor="text1"/>
        </w:rPr>
      </w:pPr>
    </w:p>
    <w:p w14:paraId="75167714" w14:textId="62C107D3" w:rsidR="005F796F"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23.- </w:t>
      </w:r>
      <w:r w:rsidR="005F796F" w:rsidRPr="000F1716">
        <w:rPr>
          <w:rFonts w:ascii="Palatino Linotype" w:eastAsiaTheme="minorEastAsia" w:hAnsi="Palatino Linotype"/>
          <w:color w:val="000000" w:themeColor="text1"/>
          <w:sz w:val="24"/>
        </w:rPr>
        <w:t>Así, el derecho a la verdad tiene, como el derecho a la libertad de expresión, una dimensión individual y otra colectiva. La Corte Interamericana ha sostenido que la sociedad como un todo debe ser informada de todo lo sucedido con en relación a las violaciones graves a derechos humanos. Asimismo, la Comisión Interamericana ha señalado “</w:t>
      </w:r>
      <w:r w:rsidR="005F796F" w:rsidRPr="000F1716">
        <w:rPr>
          <w:rFonts w:ascii="Palatino Linotype" w:eastAsiaTheme="minorEastAsia" w:hAnsi="Palatino Linotype"/>
          <w:i/>
          <w:iCs/>
          <w:color w:val="000000" w:themeColor="text1"/>
          <w:sz w:val="24"/>
        </w:rPr>
        <w:t>que toda la sociedad tiene el irrenunciable derecho de conocer la verdad de lo ocurrido, así como las razones y circunstancias en las que aberrantes delitos llegaron a cometerse, a fin de evitar que esos hechos vuelvan a ocurrir en el futuro”</w:t>
      </w:r>
      <w:r w:rsidR="005F796F" w:rsidRPr="000F1716">
        <w:rPr>
          <w:rFonts w:ascii="Palatino Linotype" w:eastAsiaTheme="minorEastAsia" w:hAnsi="Palatino Linotype"/>
          <w:i/>
          <w:iCs/>
          <w:color w:val="000000" w:themeColor="text1"/>
          <w:sz w:val="24"/>
          <w:vertAlign w:val="superscript"/>
        </w:rPr>
        <w:footnoteReference w:id="6"/>
      </w:r>
      <w:r w:rsidR="005F796F" w:rsidRPr="000F1716">
        <w:rPr>
          <w:rFonts w:ascii="Palatino Linotype" w:eastAsiaTheme="minorEastAsia" w:hAnsi="Palatino Linotype"/>
          <w:color w:val="000000" w:themeColor="text1"/>
          <w:sz w:val="24"/>
        </w:rPr>
        <w:t>.</w:t>
      </w:r>
    </w:p>
    <w:p w14:paraId="6563FE16" w14:textId="77777777" w:rsidR="001B6D73" w:rsidRPr="000F1716" w:rsidRDefault="001B6D73"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19CBC76F" w14:textId="22561494" w:rsidR="005F796F" w:rsidRPr="000F1716"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24.- </w:t>
      </w:r>
      <w:r w:rsidR="005F796F" w:rsidRPr="000F1716">
        <w:rPr>
          <w:rFonts w:ascii="Palatino Linotype" w:eastAsiaTheme="minorEastAsia" w:hAnsi="Palatino Linotype"/>
          <w:color w:val="000000" w:themeColor="text1"/>
          <w:sz w:val="24"/>
        </w:rPr>
        <w:t xml:space="preserve">Sin embargo, existen diversas sentencias en materia de Amparo en las que los Jueces han reconocido que </w:t>
      </w:r>
      <w:r w:rsidR="005F796F" w:rsidRPr="000F1716">
        <w:rPr>
          <w:rFonts w:ascii="Palatino Linotype" w:eastAsiaTheme="minorEastAsia" w:hAnsi="Palatino Linotype"/>
          <w:b/>
          <w:bCs/>
          <w:color w:val="000000" w:themeColor="text1"/>
          <w:sz w:val="24"/>
        </w:rPr>
        <w:t xml:space="preserve">no es necesario un pronunciamiento previo de </w:t>
      </w:r>
      <w:r w:rsidR="005F796F" w:rsidRPr="000F1716">
        <w:rPr>
          <w:rFonts w:ascii="Palatino Linotype" w:eastAsiaTheme="minorEastAsia" w:hAnsi="Palatino Linotype"/>
          <w:b/>
          <w:bCs/>
          <w:color w:val="000000" w:themeColor="text1"/>
          <w:sz w:val="24"/>
        </w:rPr>
        <w:lastRenderedPageBreak/>
        <w:t>autoridad competente que determine la existencia de violaciones graves a los derechos humanos o delitos de lesa humanidad</w:t>
      </w:r>
      <w:r w:rsidR="005F796F" w:rsidRPr="000F1716">
        <w:rPr>
          <w:rFonts w:ascii="Palatino Linotype" w:eastAsiaTheme="minorEastAsia" w:hAnsi="Palatino Linotype"/>
          <w:color w:val="000000" w:themeColor="text1"/>
          <w:sz w:val="24"/>
        </w:rPr>
        <w:t>, pues el órgano garante cuenta con las facultades para pronunciarse al respecto:</w:t>
      </w:r>
    </w:p>
    <w:p w14:paraId="39AEB2EF" w14:textId="77777777" w:rsidR="005F796F" w:rsidRDefault="005F796F" w:rsidP="005F796F">
      <w:pPr>
        <w:pStyle w:val="Prrafodelista"/>
        <w:rPr>
          <w:rFonts w:ascii="Palatino Linotype" w:eastAsiaTheme="minorEastAsia" w:hAnsi="Palatino Linotype"/>
          <w:color w:val="000000" w:themeColor="text1"/>
        </w:rPr>
      </w:pPr>
    </w:p>
    <w:p w14:paraId="452B405F" w14:textId="77777777" w:rsidR="005F796F" w:rsidRPr="000F1716" w:rsidRDefault="005F796F" w:rsidP="005F796F">
      <w:pPr>
        <w:pStyle w:val="Prrafodelista"/>
        <w:numPr>
          <w:ilvl w:val="0"/>
          <w:numId w:val="31"/>
        </w:numPr>
        <w:tabs>
          <w:tab w:val="left" w:pos="426"/>
        </w:tabs>
        <w:spacing w:before="240" w:after="240" w:line="360" w:lineRule="auto"/>
        <w:ind w:left="720" w:right="909" w:firstLine="0"/>
        <w:jc w:val="both"/>
        <w:rPr>
          <w:rFonts w:ascii="Palatino Linotype" w:eastAsiaTheme="minorEastAsia" w:hAnsi="Palatino Linotype"/>
          <w:color w:val="000000" w:themeColor="text1"/>
        </w:rPr>
      </w:pPr>
      <w:r w:rsidRPr="000F1716">
        <w:rPr>
          <w:rFonts w:ascii="Palatino Linotype" w:eastAsiaTheme="minorEastAsia" w:hAnsi="Palatino Linotype"/>
          <w:color w:val="000000" w:themeColor="text1"/>
        </w:rPr>
        <w:t>Juicio de Amparo 1371/2013, resuelto por el Juzgado Octavo de Distrito en Materia Administrativa en el entonces Distrito Federal, en cuya sentencia se señala:</w:t>
      </w:r>
      <w:r w:rsidRPr="000F1716">
        <w:rPr>
          <w:rFonts w:ascii="Palatino Linotype" w:eastAsiaTheme="minorEastAsia" w:hAnsi="Palatino Linotype"/>
          <w:i/>
          <w:color w:val="000000" w:themeColor="text1"/>
        </w:rPr>
        <w:t xml:space="preserve"> “Contrario a lo asentado por el IFAI, dicho Instituto sí cuenta con facultades para pronunciarse prima facie sobre las violaciones graves de derechos humanos únicamente para efectos de asumir y ejercer sus propias competencias en materia de acceso a la información de las averiguaciones previas”</w:t>
      </w:r>
      <w:r w:rsidRPr="000F1716">
        <w:rPr>
          <w:rFonts w:ascii="Palatino Linotype" w:eastAsiaTheme="minorEastAsia" w:hAnsi="Palatino Linotype"/>
          <w:iCs/>
          <w:vertAlign w:val="superscript"/>
        </w:rPr>
        <w:footnoteReference w:id="7"/>
      </w:r>
    </w:p>
    <w:p w14:paraId="275158C0" w14:textId="77777777" w:rsidR="005F796F" w:rsidRPr="000F1716" w:rsidRDefault="005F796F" w:rsidP="005F796F">
      <w:pPr>
        <w:pStyle w:val="Prrafodelista"/>
        <w:tabs>
          <w:tab w:val="left" w:pos="426"/>
        </w:tabs>
        <w:spacing w:before="240" w:after="240" w:line="360" w:lineRule="auto"/>
        <w:ind w:right="909"/>
        <w:jc w:val="both"/>
        <w:rPr>
          <w:rFonts w:ascii="Palatino Linotype" w:eastAsiaTheme="minorEastAsia" w:hAnsi="Palatino Linotype"/>
          <w:color w:val="000000" w:themeColor="text1"/>
        </w:rPr>
      </w:pPr>
    </w:p>
    <w:p w14:paraId="76C6883A" w14:textId="77777777" w:rsidR="005F796F" w:rsidRPr="000F1716" w:rsidRDefault="005F796F" w:rsidP="005F796F">
      <w:pPr>
        <w:pStyle w:val="Prrafodelista"/>
        <w:numPr>
          <w:ilvl w:val="0"/>
          <w:numId w:val="31"/>
        </w:numPr>
        <w:tabs>
          <w:tab w:val="left" w:pos="426"/>
        </w:tabs>
        <w:spacing w:before="240" w:after="240" w:line="360" w:lineRule="auto"/>
        <w:ind w:left="720" w:right="909" w:firstLine="0"/>
        <w:jc w:val="both"/>
        <w:rPr>
          <w:rFonts w:ascii="Palatino Linotype" w:eastAsiaTheme="minorEastAsia" w:hAnsi="Palatino Linotype"/>
          <w:color w:val="000000" w:themeColor="text1"/>
        </w:rPr>
      </w:pPr>
      <w:r w:rsidRPr="000F1716">
        <w:rPr>
          <w:rFonts w:ascii="Palatino Linotype" w:eastAsiaTheme="minorEastAsia" w:hAnsi="Palatino Linotype"/>
          <w:iCs/>
          <w:color w:val="000000" w:themeColor="text1"/>
        </w:rPr>
        <w:t>Juicio de Amparo 1189/2013 resuelto por el Juzgado Sexto de Distrito en Materia Administrativa en el entonces Distrito Federal:</w:t>
      </w:r>
      <w:r w:rsidRPr="000F1716">
        <w:rPr>
          <w:rFonts w:ascii="Palatino Linotype" w:eastAsiaTheme="minorEastAsia" w:hAnsi="Palatino Linotype"/>
          <w:i/>
          <w:iCs/>
          <w:color w:val="000000" w:themeColor="text1"/>
        </w:rPr>
        <w:t xml:space="preserve"> “En este contexto, de los razonamientos anteriores, se concluye que el Instituto Federal de Acceso a la Información, en términos del artículo 37 de la Ley Federal de Transparencia y Acceso a la Información Pública Gubernamental, sí cuenta con facultades para interpretar si en el caso específico, opera la excepción de reserva prevista en el artículo 14, último párrafo, respecto de la averiguación previa (…)”</w:t>
      </w:r>
      <w:r w:rsidRPr="000F1716">
        <w:rPr>
          <w:rFonts w:ascii="Palatino Linotype" w:eastAsiaTheme="minorEastAsia" w:hAnsi="Palatino Linotype"/>
          <w:vertAlign w:val="superscript"/>
        </w:rPr>
        <w:footnoteReference w:id="8"/>
      </w:r>
      <w:r w:rsidRPr="000F1716">
        <w:rPr>
          <w:rFonts w:ascii="Palatino Linotype" w:eastAsiaTheme="minorEastAsia" w:hAnsi="Palatino Linotype"/>
          <w:color w:val="000000" w:themeColor="text1"/>
        </w:rPr>
        <w:t>.</w:t>
      </w:r>
    </w:p>
    <w:p w14:paraId="3965080A" w14:textId="77777777" w:rsidR="005F796F" w:rsidRPr="003271CF"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rPr>
      </w:pPr>
    </w:p>
    <w:p w14:paraId="31419777" w14:textId="77777777"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p>
    <w:p w14:paraId="3C5C6B80" w14:textId="509E17BF" w:rsidR="009C5F99" w:rsidRDefault="009C5F99" w:rsidP="009C5F99">
      <w:pPr>
        <w:tabs>
          <w:tab w:val="left" w:pos="426"/>
        </w:tabs>
        <w:spacing w:after="0" w:line="360" w:lineRule="auto"/>
        <w:contextualSpacing/>
        <w:jc w:val="both"/>
        <w:rPr>
          <w:rFonts w:ascii="Palatino Linotype" w:eastAsia="Calibri" w:hAnsi="Palatino Linotype" w:cs="Arial"/>
          <w:sz w:val="24"/>
          <w:szCs w:val="24"/>
          <w:vertAlign w:val="superscript"/>
          <w:lang w:eastAsia="es-ES"/>
        </w:rPr>
      </w:pPr>
      <w:r>
        <w:rPr>
          <w:rFonts w:ascii="Palatino Linotype" w:eastAsia="Calibri" w:hAnsi="Palatino Linotype" w:cs="Arial"/>
          <w:sz w:val="24"/>
          <w:szCs w:val="24"/>
          <w:lang w:eastAsia="es-ES"/>
        </w:rPr>
        <w:lastRenderedPageBreak/>
        <w:t>25.- Así tenemos que, el derecho a la vida de todos los seres humanos es el derecho supremo respecto del cual no se autoriza suspensión alguna, ni siquiera en situaciones de conflicto armado y otras emergencias públicas. El derecho a la vida tiene una importancia decisiva tanto para las personas como para el conjunto de la sociedad. Constituye en sí mismo el valor más preciado, en cuanto derecho inherente a todo ser humano, pero también es un derecho fundamental, cuya protección efectiva es requisito indispensable para el disfrute de todos los demás derechos humanos</w:t>
      </w:r>
      <w:r>
        <w:rPr>
          <w:rFonts w:ascii="Palatino Linotype" w:eastAsia="Calibri" w:hAnsi="Palatino Linotype" w:cs="Arial"/>
          <w:sz w:val="24"/>
          <w:szCs w:val="24"/>
          <w:vertAlign w:val="superscript"/>
          <w:lang w:eastAsia="es-ES"/>
        </w:rPr>
        <w:t>.</w:t>
      </w:r>
      <w:r>
        <w:rPr>
          <w:rFonts w:ascii="Palatino Linotype" w:eastAsia="Calibri" w:hAnsi="Palatino Linotype" w:cs="Arial"/>
          <w:sz w:val="24"/>
          <w:szCs w:val="24"/>
          <w:vertAlign w:val="superscript"/>
          <w:lang w:eastAsia="es-ES"/>
        </w:rPr>
        <w:footnoteReference w:id="9"/>
      </w:r>
    </w:p>
    <w:p w14:paraId="4094DAFA" w14:textId="77777777"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p>
    <w:p w14:paraId="29A17B9E" w14:textId="5C01E2FC"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26.- Los artículos 3° de la Declaración Universal de Derechos Humanos; 1° de la Declaración Americana de Derechos y Deberes del Hombre; 6° del Pacto Internacional de Derechos Civiles y Políticos; y, 4° de la Convención Americana de Derechos Humanos, vinculantes para el Estado Mexicano, de manera general establecen tres elementos comunes: </w:t>
      </w:r>
    </w:p>
    <w:p w14:paraId="33102B39" w14:textId="77777777" w:rsidR="009C5F99" w:rsidRDefault="009C5F99" w:rsidP="009C5F99">
      <w:pPr>
        <w:pStyle w:val="Prrafodelista"/>
        <w:rPr>
          <w:rFonts w:ascii="Palatino Linotype" w:eastAsia="Calibri" w:hAnsi="Palatino Linotype" w:cs="Arial"/>
          <w:sz w:val="24"/>
          <w:szCs w:val="24"/>
          <w:lang w:eastAsia="es-ES"/>
        </w:rPr>
      </w:pPr>
    </w:p>
    <w:p w14:paraId="0E5706D9" w14:textId="77777777" w:rsidR="009C5F99" w:rsidRDefault="009C5F99" w:rsidP="009C5F99">
      <w:pPr>
        <w:tabs>
          <w:tab w:val="left" w:pos="426"/>
        </w:tabs>
        <w:spacing w:after="0" w:line="360" w:lineRule="auto"/>
        <w:ind w:left="1701"/>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 La universalidad del derecho a la vida. </w:t>
      </w:r>
    </w:p>
    <w:p w14:paraId="3BAE5DD7" w14:textId="77777777" w:rsidR="009C5F99" w:rsidRDefault="009C5F99" w:rsidP="009C5F99">
      <w:pPr>
        <w:tabs>
          <w:tab w:val="left" w:pos="426"/>
        </w:tabs>
        <w:spacing w:after="0" w:line="360" w:lineRule="auto"/>
        <w:ind w:left="1701"/>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 La obligación de protección legal del derecho a la vida. </w:t>
      </w:r>
    </w:p>
    <w:p w14:paraId="2B52E4FD" w14:textId="77777777" w:rsidR="009C5F99" w:rsidRDefault="009C5F99" w:rsidP="009C5F99">
      <w:pPr>
        <w:tabs>
          <w:tab w:val="left" w:pos="426"/>
        </w:tabs>
        <w:spacing w:after="0" w:line="360" w:lineRule="auto"/>
        <w:ind w:left="1701"/>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 La prohibición de privación arbitraria del derecho a la vida.  </w:t>
      </w:r>
    </w:p>
    <w:p w14:paraId="26277642" w14:textId="77777777"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p>
    <w:p w14:paraId="71408D7F" w14:textId="1B60EEAB"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27.- De </w:t>
      </w:r>
      <w:r w:rsidR="00240D99">
        <w:rPr>
          <w:rFonts w:ascii="Palatino Linotype" w:eastAsia="Calibri" w:hAnsi="Palatino Linotype" w:cs="Arial"/>
          <w:sz w:val="24"/>
          <w:szCs w:val="24"/>
          <w:lang w:eastAsia="es-ES"/>
        </w:rPr>
        <w:t xml:space="preserve">acuerdo a los preceptos antes invocados, la obligación de garantizar el derecho a la vida no solo implica que ninguna persona sea privada de su vida </w:t>
      </w:r>
      <w:r w:rsidR="00240D99">
        <w:rPr>
          <w:rFonts w:ascii="Palatino Linotype" w:eastAsia="Calibri" w:hAnsi="Palatino Linotype" w:cs="Arial"/>
          <w:sz w:val="24"/>
          <w:szCs w:val="24"/>
          <w:lang w:eastAsia="es-ES"/>
        </w:rPr>
        <w:lastRenderedPageBreak/>
        <w:t>arbitrariamente, sino además garantizar el pleno ejercicio de todos los derechos humanos, de adoptar todas las medidas necesarias para proteger y preservar el derecho a la vida de quienes se encuentren bajo su jurisdicción, lo que involucra a todas sus instituciones.</w:t>
      </w:r>
    </w:p>
    <w:p w14:paraId="70B0DEE0" w14:textId="77777777" w:rsidR="00240D99" w:rsidRDefault="00240D99" w:rsidP="009C5F99">
      <w:pPr>
        <w:tabs>
          <w:tab w:val="left" w:pos="426"/>
        </w:tabs>
        <w:spacing w:after="0" w:line="360" w:lineRule="auto"/>
        <w:contextualSpacing/>
        <w:jc w:val="both"/>
        <w:rPr>
          <w:rFonts w:ascii="Palatino Linotype" w:eastAsia="Calibri" w:hAnsi="Palatino Linotype" w:cs="Arial"/>
          <w:sz w:val="24"/>
          <w:szCs w:val="24"/>
          <w:lang w:eastAsia="es-ES"/>
        </w:rPr>
      </w:pPr>
    </w:p>
    <w:p w14:paraId="548127B6" w14:textId="42687CE0" w:rsidR="009C5F99" w:rsidRDefault="009C5F99" w:rsidP="009C5F99">
      <w:pPr>
        <w:tabs>
          <w:tab w:val="left" w:pos="426"/>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28.- Siguiendo los lineamientos sentados por la Suprema Corte de Justicia de la Nación, la gravedad de las violaciones a derechos humanos se acreditará mediante dos operaciones distintas: (i) prueba de la existencia de violaciones a derechos fundamentales; y (ii) la calificación de esas violaciones como graves. </w:t>
      </w:r>
    </w:p>
    <w:p w14:paraId="79DD6494" w14:textId="77777777" w:rsidR="009C5F99" w:rsidRDefault="009C5F99" w:rsidP="009C5F99">
      <w:pPr>
        <w:pStyle w:val="Prrafodelista"/>
        <w:rPr>
          <w:rFonts w:ascii="Palatino Linotype" w:eastAsia="Calibri" w:hAnsi="Palatino Linotype" w:cs="Arial"/>
          <w:sz w:val="24"/>
          <w:szCs w:val="24"/>
          <w:lang w:eastAsia="es-ES"/>
        </w:rPr>
      </w:pPr>
    </w:p>
    <w:p w14:paraId="3D687E72" w14:textId="3D8B68AE"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29.- La prueba de la existencia de las violaciones no representa mayor problema, mientras que para demostrar que las violaciones a derechos fundamentales son “graves” se requiere de juicios de valor, reconducibles al terreno probatorio dotándolos de contenido descriptivo. Así pues, para acreditar este elemento la Suprema Corte ha exigido que se compruebe la trascendencia social de las violaciones, lo cual se podrá determinar con base en criterios cuantitativos o cualitativos.</w:t>
      </w:r>
    </w:p>
    <w:p w14:paraId="6CC7BED7" w14:textId="77777777" w:rsidR="009C5F99" w:rsidRDefault="009C5F99" w:rsidP="009C5F99">
      <w:pPr>
        <w:pStyle w:val="Prrafodelista"/>
        <w:rPr>
          <w:rFonts w:ascii="Palatino Linotype" w:eastAsia="Calibri" w:hAnsi="Palatino Linotype" w:cs="Arial"/>
          <w:sz w:val="24"/>
          <w:szCs w:val="24"/>
          <w:lang w:eastAsia="es-ES"/>
        </w:rPr>
      </w:pPr>
    </w:p>
    <w:p w14:paraId="45F13FBB" w14:textId="283BA3BE"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30.- 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 Es lógico que el criterio anterior no haya  podido aplicarse a todos </w:t>
      </w:r>
      <w:r>
        <w:rPr>
          <w:rFonts w:ascii="Palatino Linotype" w:eastAsia="Calibri" w:hAnsi="Palatino Linotype" w:cs="Arial"/>
          <w:sz w:val="24"/>
          <w:szCs w:val="24"/>
          <w:lang w:eastAsia="es-ES"/>
        </w:rPr>
        <w:lastRenderedPageBreak/>
        <w:t xml:space="preserve">los casos, razón por la cual la Suprema Corte de Justicia de la Nación también ha entendido que en algunos supuestos la trascendencia social de las violaciones se puede demostrar mediante un criterio cualitativo, determinando si éstas presentan alguna característica o cualidad que les dé una dimensión específica. </w:t>
      </w:r>
    </w:p>
    <w:p w14:paraId="5326CC10" w14:textId="77777777" w:rsidR="009C5F99" w:rsidRDefault="009C5F99" w:rsidP="009C5F99">
      <w:pPr>
        <w:pStyle w:val="Prrafodelista"/>
        <w:rPr>
          <w:rFonts w:ascii="Palatino Linotype" w:eastAsia="Calibri" w:hAnsi="Palatino Linotype" w:cs="Arial"/>
          <w:sz w:val="24"/>
          <w:szCs w:val="24"/>
          <w:lang w:eastAsia="es-ES"/>
        </w:rPr>
      </w:pPr>
    </w:p>
    <w:p w14:paraId="126F6791" w14:textId="13058346"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31.- Respecto al criterio cualitativo, la Suprema Corte de Justicia de la Nación ha determinado en forma casuística algunos supuestos en los cuales se ha actualizado: </w:t>
      </w:r>
    </w:p>
    <w:p w14:paraId="56E4F2C7" w14:textId="77777777" w:rsidR="009C5F99" w:rsidRDefault="009C5F99" w:rsidP="009C5F99">
      <w:pPr>
        <w:pStyle w:val="Prrafodelista"/>
        <w:rPr>
          <w:rFonts w:ascii="Palatino Linotype" w:eastAsia="Calibri" w:hAnsi="Palatino Linotype" w:cs="Arial"/>
          <w:sz w:val="24"/>
          <w:szCs w:val="24"/>
          <w:lang w:eastAsia="es-ES"/>
        </w:rPr>
      </w:pPr>
    </w:p>
    <w:p w14:paraId="2842929D" w14:textId="77777777" w:rsidR="009C5F99" w:rsidRDefault="009C5F99" w:rsidP="009C5F99">
      <w:pPr>
        <w:pStyle w:val="Prrafodelista"/>
        <w:numPr>
          <w:ilvl w:val="0"/>
          <w:numId w:val="38"/>
        </w:numPr>
        <w:tabs>
          <w:tab w:val="left" w:pos="0"/>
        </w:tabs>
        <w:spacing w:after="0" w:line="360" w:lineRule="auto"/>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concierto de autoridades de dos o más poderes federales o locales para afectar deliberadamente los derechos de una persona, desconociendo el sistema de distribución de competencias establecido en la Constitución o el principio de división de poderes; y</w:t>
      </w:r>
    </w:p>
    <w:p w14:paraId="1CFF4E1B" w14:textId="77777777" w:rsidR="009C5F99" w:rsidRDefault="009C5F99" w:rsidP="009C5F99">
      <w:pPr>
        <w:pStyle w:val="Prrafodelista"/>
        <w:numPr>
          <w:ilvl w:val="0"/>
          <w:numId w:val="38"/>
        </w:numPr>
        <w:tabs>
          <w:tab w:val="left" w:pos="0"/>
        </w:tabs>
        <w:spacing w:after="0" w:line="360" w:lineRule="auto"/>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entrega a la comunidad de información manipulada, incompleta o el simple impedimento de conocer la verdad, afectando con ello la formación de la voluntad general y generando una cultura del engaño.</w:t>
      </w:r>
    </w:p>
    <w:p w14:paraId="096416B6" w14:textId="77777777" w:rsidR="009C5F99" w:rsidRDefault="009C5F99" w:rsidP="009C5F99">
      <w:pPr>
        <w:pStyle w:val="Prrafodelista"/>
        <w:ind w:left="0"/>
        <w:rPr>
          <w:rFonts w:ascii="Palatino Linotype" w:eastAsia="Calibri" w:hAnsi="Palatino Linotype" w:cs="Arial"/>
          <w:sz w:val="24"/>
          <w:szCs w:val="24"/>
          <w:lang w:eastAsia="es-ES"/>
        </w:rPr>
      </w:pPr>
    </w:p>
    <w:p w14:paraId="5FC800BC" w14:textId="63E90312"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32.- Adicionalmente, según se desprende de las determinaciones adoptadas por  el Pleno de la Suprema Corte de Justicia de la Nación al resolver el expediente Varios 912/2010, la totalidad de los criterios interpretativos de la Corte Interamericana de Derechos Humanos contenidos en sentencias condenatorias para el Estado mexicano resultan de observancia obligatoria para </w:t>
      </w:r>
      <w:proofErr w:type="gramStart"/>
      <w:r>
        <w:rPr>
          <w:rFonts w:ascii="Palatino Linotype" w:eastAsia="Calibri" w:hAnsi="Palatino Linotype" w:cs="Arial"/>
          <w:sz w:val="24"/>
          <w:szCs w:val="24"/>
          <w:lang w:eastAsia="es-ES"/>
        </w:rPr>
        <w:t>México .</w:t>
      </w:r>
      <w:proofErr w:type="gramEnd"/>
    </w:p>
    <w:p w14:paraId="16D1041E" w14:textId="77777777"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p>
    <w:p w14:paraId="6B97A1E0" w14:textId="7D27BEA6"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lastRenderedPageBreak/>
        <w:t>33.- Así pues, la Corte Interamericana de Derechos Humanos ha desarrollado, al igual que el Máximo Tribunal, criterios sobre qué debe entenderse por violaciones graves a derechos humanos, tal y como se observa en el párrafo 139 del Caso Radilla Pacheco Vs. México:</w:t>
      </w:r>
    </w:p>
    <w:p w14:paraId="332A0A4F" w14:textId="77777777" w:rsidR="009C5F99" w:rsidRDefault="009C5F99" w:rsidP="009C5F99">
      <w:pPr>
        <w:pStyle w:val="Prrafodelista"/>
        <w:rPr>
          <w:rFonts w:ascii="Palatino Linotype" w:eastAsia="Calibri" w:hAnsi="Palatino Linotype" w:cs="Arial"/>
          <w:sz w:val="24"/>
          <w:szCs w:val="24"/>
          <w:lang w:eastAsia="es-ES"/>
        </w:rPr>
      </w:pPr>
    </w:p>
    <w:p w14:paraId="6EDA3CF5" w14:textId="77777777" w:rsidR="009C5F99" w:rsidRPr="001B6D73" w:rsidRDefault="009C5F99" w:rsidP="009C5F99">
      <w:pPr>
        <w:spacing w:after="0" w:line="360" w:lineRule="auto"/>
        <w:ind w:left="1134"/>
        <w:contextualSpacing/>
        <w:jc w:val="both"/>
        <w:rPr>
          <w:rFonts w:ascii="Palatino Linotype" w:eastAsiaTheme="minorEastAsia" w:hAnsi="Palatino Linotype"/>
          <w:i/>
          <w:color w:val="000000" w:themeColor="text1"/>
        </w:rPr>
      </w:pPr>
      <w:r w:rsidRPr="001B6D73">
        <w:rPr>
          <w:rFonts w:ascii="Palatino Linotype" w:eastAsiaTheme="minorEastAsia" w:hAnsi="Palatino Linotype"/>
          <w:i/>
          <w:color w:val="000000" w:themeColor="text1"/>
        </w:rPr>
        <w:t xml:space="preserve">139. En el derecho internacional la jurisprudencia de este Tribunal ha sido precursora de la consolidación de una perspectiva comprensiva de la gravedad y el carácter continuado o permanente y autónomo de la figura de la desaparición forzada de personas. La Corte ha reiterado que ésta constituye una violación múltiple de varios derechos protegidos por la Convención Americana que coloca a la víctima en un estado de completa indefensión, acarreando otras vulneraciones conexas, siendo particularmente grave cuando forma parte de un patrón sistemático o práctica aplicada o tolerada por el Estado. La desaparición forzada implica un craso abandono de los principios esenciales en que se fundamenta el Sistema Interamericano, y su prohibición ha alcanzado carácter de </w:t>
      </w:r>
      <w:proofErr w:type="spellStart"/>
      <w:r w:rsidRPr="001B6D73">
        <w:rPr>
          <w:rFonts w:ascii="Palatino Linotype" w:eastAsiaTheme="minorEastAsia" w:hAnsi="Palatino Linotype"/>
          <w:i/>
          <w:color w:val="000000" w:themeColor="text1"/>
        </w:rPr>
        <w:t>jus</w:t>
      </w:r>
      <w:proofErr w:type="spellEnd"/>
      <w:r w:rsidRPr="001B6D73">
        <w:rPr>
          <w:rFonts w:ascii="Palatino Linotype" w:eastAsiaTheme="minorEastAsia" w:hAnsi="Palatino Linotype"/>
          <w:i/>
          <w:color w:val="000000" w:themeColor="text1"/>
        </w:rPr>
        <w:t xml:space="preserve"> </w:t>
      </w:r>
      <w:proofErr w:type="spellStart"/>
      <w:r w:rsidRPr="001B6D73">
        <w:rPr>
          <w:rFonts w:ascii="Palatino Linotype" w:eastAsiaTheme="minorEastAsia" w:hAnsi="Palatino Linotype"/>
          <w:i/>
          <w:color w:val="000000" w:themeColor="text1"/>
        </w:rPr>
        <w:t>cogens</w:t>
      </w:r>
      <w:proofErr w:type="spellEnd"/>
      <w:r w:rsidRPr="001B6D73">
        <w:rPr>
          <w:rFonts w:ascii="Palatino Linotype" w:eastAsiaTheme="minorEastAsia" w:hAnsi="Palatino Linotype"/>
          <w:i/>
          <w:color w:val="000000" w:themeColor="text1"/>
        </w:rPr>
        <w:t xml:space="preserve">. </w:t>
      </w:r>
    </w:p>
    <w:p w14:paraId="45616F0D" w14:textId="77777777" w:rsidR="009C5F99" w:rsidRDefault="009C5F99" w:rsidP="009C5F99">
      <w:pPr>
        <w:spacing w:after="0" w:line="360" w:lineRule="auto"/>
        <w:ind w:left="1134"/>
        <w:contextualSpacing/>
        <w:jc w:val="both"/>
        <w:rPr>
          <w:rFonts w:ascii="Palatino Linotype" w:eastAsia="Calibri" w:hAnsi="Palatino Linotype" w:cs="Arial"/>
          <w:sz w:val="24"/>
          <w:szCs w:val="24"/>
          <w:lang w:eastAsia="es-ES"/>
        </w:rPr>
      </w:pPr>
    </w:p>
    <w:p w14:paraId="45EE1CDD" w14:textId="78C9E2D5" w:rsidR="009C5F99" w:rsidRPr="001B6D73" w:rsidRDefault="009C5F99" w:rsidP="009C5F99">
      <w:pPr>
        <w:tabs>
          <w:tab w:val="left" w:pos="0"/>
        </w:tabs>
        <w:spacing w:after="0" w:line="360" w:lineRule="auto"/>
        <w:contextualSpacing/>
        <w:jc w:val="both"/>
        <w:rPr>
          <w:rFonts w:ascii="Palatino Linotype" w:eastAsia="Calibri" w:hAnsi="Palatino Linotype" w:cs="Arial"/>
          <w:b/>
          <w:sz w:val="24"/>
          <w:szCs w:val="24"/>
          <w:lang w:eastAsia="es-ES"/>
        </w:rPr>
      </w:pPr>
      <w:r>
        <w:rPr>
          <w:rFonts w:ascii="Palatino Linotype" w:eastAsia="Calibri" w:hAnsi="Palatino Linotype" w:cs="Arial"/>
          <w:sz w:val="24"/>
          <w:szCs w:val="24"/>
          <w:lang w:eastAsia="es-ES"/>
        </w:rPr>
        <w:t xml:space="preserve">34.- Ahora bien, del análisis de las consideraciones de la Corte Interamericana de Derechos Humanos se desprende que la clasificación de violaciones a derechos humanos como “graves” atiende más a criterios cualitativos que cuantitativos. Aún y cuando en muchos casos dichas violaciones sí se presentan en contextos generalizados de violencia, se considera que la “gravedad” radica, esencialmente en que se presenten las siguientes características: </w:t>
      </w:r>
      <w:r w:rsidRPr="001B6D73">
        <w:rPr>
          <w:rFonts w:ascii="Palatino Linotype" w:eastAsia="Calibri" w:hAnsi="Palatino Linotype" w:cs="Arial"/>
          <w:b/>
          <w:sz w:val="24"/>
          <w:szCs w:val="24"/>
          <w:lang w:eastAsia="es-ES"/>
        </w:rPr>
        <w:t xml:space="preserve">(i) multiplicidad de violaciones comprendidas dentro del fenómeno delictivo; (ii) especial magnitud de las violaciones en relación a la naturaleza de los derechos afectados; y (iii) una </w:t>
      </w:r>
      <w:r w:rsidRPr="001B6D73">
        <w:rPr>
          <w:rFonts w:ascii="Palatino Linotype" w:eastAsia="Calibri" w:hAnsi="Palatino Linotype" w:cs="Arial"/>
          <w:b/>
          <w:sz w:val="24"/>
          <w:szCs w:val="24"/>
          <w:lang w:eastAsia="es-ES"/>
        </w:rPr>
        <w:lastRenderedPageBreak/>
        <w:t>participación importante del Estado (al ser los actos cometidos por agentes estatales o con la aquiescencia, tolerancia o apoyo del Estado).</w:t>
      </w:r>
    </w:p>
    <w:p w14:paraId="5AD62DA4" w14:textId="77777777"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p>
    <w:p w14:paraId="65A1C0DF" w14:textId="74100162" w:rsidR="009C5F99" w:rsidRDefault="009C5F99" w:rsidP="009C5F99">
      <w:pPr>
        <w:tabs>
          <w:tab w:val="left" w:pos="0"/>
        </w:tabs>
        <w:spacing w:after="0" w:line="360" w:lineRule="auto"/>
        <w:contextualSpacing/>
        <w:jc w:val="both"/>
        <w:rPr>
          <w:rFonts w:ascii="Palatino Linotype" w:eastAsia="Calibri" w:hAnsi="Palatino Linotype" w:cs="Arial"/>
          <w:sz w:val="24"/>
          <w:szCs w:val="24"/>
          <w:lang w:eastAsia="es-ES"/>
        </w:rPr>
      </w:pPr>
      <w:r>
        <w:rPr>
          <w:rFonts w:ascii="Palatino Linotype" w:eastAsia="Calibri" w:hAnsi="Palatino Linotype" w:cs="Arial"/>
          <w:sz w:val="24"/>
          <w:szCs w:val="24"/>
          <w:lang w:eastAsia="es-ES"/>
        </w:rPr>
        <w:t xml:space="preserve">35.- Sobre el asunto que aquí se trata tenemos que presuntamente existe una participación importante del Estado (ámbito municipal) e implicó la violación intensa a los </w:t>
      </w:r>
      <w:r>
        <w:rPr>
          <w:rFonts w:ascii="Palatino Linotype" w:eastAsia="Calibri" w:hAnsi="Palatino Linotype" w:cs="Arial"/>
          <w:b/>
          <w:sz w:val="24"/>
          <w:szCs w:val="24"/>
          <w:lang w:eastAsia="es-ES"/>
        </w:rPr>
        <w:t xml:space="preserve">derechos a la vida, la integridad personal, la libertad, </w:t>
      </w:r>
      <w:r>
        <w:rPr>
          <w:rFonts w:ascii="Palatino Linotype" w:eastAsia="Calibri" w:hAnsi="Palatino Linotype" w:cs="Arial"/>
          <w:b/>
          <w:bCs/>
          <w:sz w:val="24"/>
          <w:szCs w:val="24"/>
          <w:lang w:eastAsia="es-ES"/>
        </w:rPr>
        <w:t>seguridad personal y, en su caso, al derecho a no ser sometido al uso desproporcionado o indebido de la fuerza por parte de integrantes de una institución de seguridad pública como lo es la policía municipal</w:t>
      </w:r>
      <w:r>
        <w:rPr>
          <w:rFonts w:ascii="Palatino Linotype" w:eastAsia="Calibri" w:hAnsi="Palatino Linotype" w:cs="Arial"/>
          <w:sz w:val="24"/>
          <w:szCs w:val="24"/>
          <w:lang w:eastAsia="es-ES"/>
        </w:rPr>
        <w:t>.</w:t>
      </w:r>
    </w:p>
    <w:p w14:paraId="0971121E" w14:textId="77777777" w:rsidR="009C5F99" w:rsidRDefault="009C5F99" w:rsidP="009C5F99">
      <w:pPr>
        <w:pStyle w:val="Prrafodelista"/>
        <w:rPr>
          <w:rFonts w:ascii="Palatino Linotype" w:eastAsia="Calibri" w:hAnsi="Palatino Linotype" w:cs="Arial"/>
          <w:sz w:val="24"/>
          <w:szCs w:val="24"/>
          <w:lang w:eastAsia="es-ES"/>
        </w:rPr>
      </w:pPr>
    </w:p>
    <w:p w14:paraId="054DC53A" w14:textId="28F73DE1" w:rsidR="005F796F" w:rsidRPr="000F1716"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37.- </w:t>
      </w:r>
      <w:r w:rsidR="005F796F" w:rsidRPr="000F1716">
        <w:rPr>
          <w:rFonts w:ascii="Palatino Linotype" w:eastAsiaTheme="minorEastAsia" w:hAnsi="Palatino Linotype"/>
          <w:color w:val="000000" w:themeColor="text1"/>
          <w:sz w:val="24"/>
        </w:rPr>
        <w:t>Luego entonces, es concluyente que en el presente asunto se actualiza el supuesto contenido en la</w:t>
      </w:r>
      <w:r>
        <w:rPr>
          <w:rFonts w:ascii="Palatino Linotype" w:eastAsiaTheme="minorEastAsia" w:hAnsi="Palatino Linotype"/>
          <w:color w:val="000000" w:themeColor="text1"/>
          <w:sz w:val="24"/>
        </w:rPr>
        <w:t xml:space="preserve">s fracciones </w:t>
      </w:r>
      <w:r w:rsidR="005F796F" w:rsidRPr="000F1716">
        <w:rPr>
          <w:rFonts w:ascii="Palatino Linotype" w:eastAsiaTheme="minorEastAsia" w:hAnsi="Palatino Linotype"/>
          <w:color w:val="000000" w:themeColor="text1"/>
          <w:sz w:val="24"/>
        </w:rPr>
        <w:t xml:space="preserve">II </w:t>
      </w:r>
      <w:r>
        <w:rPr>
          <w:rFonts w:ascii="Palatino Linotype" w:eastAsiaTheme="minorEastAsia" w:hAnsi="Palatino Linotype"/>
          <w:color w:val="000000" w:themeColor="text1"/>
          <w:sz w:val="24"/>
        </w:rPr>
        <w:t xml:space="preserve">y IV </w:t>
      </w:r>
      <w:r w:rsidR="005F796F" w:rsidRPr="000F1716">
        <w:rPr>
          <w:rFonts w:ascii="Palatino Linotype" w:eastAsiaTheme="minorEastAsia" w:hAnsi="Palatino Linotype"/>
          <w:color w:val="000000" w:themeColor="text1"/>
          <w:sz w:val="24"/>
        </w:rPr>
        <w:t xml:space="preserve">del artículo 142 de la Ley de Transparencia y Acceso a la Información Pública del Estado de México y Municipios, al existir suficientes criterios para determinar que, durante el proceso de persecución y detención del vehículo donde perdiera la vida el actor Octavio Augusto Pérez Ocaña, se pudieron desplegar acciones por parte de </w:t>
      </w:r>
      <w:r w:rsidR="007357CE" w:rsidRPr="007357CE">
        <w:rPr>
          <w:rFonts w:ascii="Palatino Linotype" w:eastAsiaTheme="minorEastAsia" w:hAnsi="Palatino Linotype"/>
          <w:b/>
          <w:color w:val="000000" w:themeColor="text1"/>
          <w:sz w:val="24"/>
        </w:rPr>
        <w:t xml:space="preserve">instituciones de seguridad pública (policía municipal) </w:t>
      </w:r>
      <w:r w:rsidR="005F796F" w:rsidRPr="007357CE">
        <w:rPr>
          <w:rFonts w:ascii="Palatino Linotype" w:eastAsiaTheme="minorEastAsia" w:hAnsi="Palatino Linotype"/>
          <w:b/>
          <w:color w:val="000000" w:themeColor="text1"/>
          <w:sz w:val="24"/>
        </w:rPr>
        <w:t xml:space="preserve"> </w:t>
      </w:r>
      <w:r w:rsidR="005F796F" w:rsidRPr="000F1716">
        <w:rPr>
          <w:rFonts w:ascii="Palatino Linotype" w:eastAsiaTheme="minorEastAsia" w:hAnsi="Palatino Linotype"/>
          <w:color w:val="000000" w:themeColor="text1"/>
          <w:sz w:val="24"/>
        </w:rPr>
        <w:t>que condujeron a</w:t>
      </w:r>
      <w:r w:rsidR="007357CE">
        <w:rPr>
          <w:rFonts w:ascii="Palatino Linotype" w:eastAsiaTheme="minorEastAsia" w:hAnsi="Palatino Linotype"/>
          <w:color w:val="000000" w:themeColor="text1"/>
          <w:sz w:val="24"/>
        </w:rPr>
        <w:t xml:space="preserve"> </w:t>
      </w:r>
      <w:r w:rsidR="007357CE" w:rsidRPr="007357CE">
        <w:rPr>
          <w:rFonts w:ascii="Palatino Linotype" w:eastAsiaTheme="minorEastAsia" w:hAnsi="Palatino Linotype"/>
          <w:b/>
          <w:color w:val="000000" w:themeColor="text1"/>
          <w:sz w:val="24"/>
        </w:rPr>
        <w:t xml:space="preserve">posibles </w:t>
      </w:r>
      <w:r w:rsidR="005F796F" w:rsidRPr="007357CE">
        <w:rPr>
          <w:rFonts w:ascii="Palatino Linotype" w:eastAsiaTheme="minorEastAsia" w:hAnsi="Palatino Linotype"/>
          <w:b/>
          <w:color w:val="000000" w:themeColor="text1"/>
          <w:sz w:val="24"/>
        </w:rPr>
        <w:t xml:space="preserve"> violaciones graves a derechos humanos</w:t>
      </w:r>
      <w:r w:rsidR="005F796F" w:rsidRPr="000F1716">
        <w:rPr>
          <w:rFonts w:ascii="Palatino Linotype" w:eastAsiaTheme="minorEastAsia" w:hAnsi="Palatino Linotype"/>
          <w:color w:val="000000" w:themeColor="text1"/>
          <w:sz w:val="24"/>
        </w:rPr>
        <w:t>, no solo del occiso, sino también de sus acompañantes.</w:t>
      </w:r>
    </w:p>
    <w:p w14:paraId="1393EC2F" w14:textId="77777777" w:rsidR="005F796F" w:rsidRPr="000F1716"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2CD87DB3" w14:textId="1A0944F4" w:rsidR="005F796F" w:rsidRPr="000F1716"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38.- </w:t>
      </w:r>
      <w:r w:rsidR="005F796F" w:rsidRPr="000F1716">
        <w:rPr>
          <w:rFonts w:ascii="Palatino Linotype" w:eastAsiaTheme="minorEastAsia" w:hAnsi="Palatino Linotype"/>
          <w:color w:val="000000" w:themeColor="text1"/>
          <w:sz w:val="24"/>
        </w:rPr>
        <w:t xml:space="preserve">Razón de lo anterior, se debe señalar que, en casos relacionados con violaciones a derechos humanos, el principio de máxima publicidad abarca un espectro mayor sobre información que pudiera actualizar el carácter de reserva o confidencialidad, permitiendo inclusive difundir el nombre de la o las víctimas, pues su publicidad </w:t>
      </w:r>
      <w:r w:rsidR="005F796F" w:rsidRPr="000F1716">
        <w:rPr>
          <w:rFonts w:ascii="Palatino Linotype" w:eastAsiaTheme="minorEastAsia" w:hAnsi="Palatino Linotype"/>
          <w:color w:val="000000" w:themeColor="text1"/>
          <w:sz w:val="24"/>
        </w:rPr>
        <w:lastRenderedPageBreak/>
        <w:t>se relaciona con el deber de despertar la conciencia, tanto de la autoridad como de la ciudadanía, buscando evitar la repetición de hechos lesivos como los que derivaron en la muerte del actor y, conservar viva su memoria.</w:t>
      </w:r>
    </w:p>
    <w:p w14:paraId="085AFF77" w14:textId="77777777" w:rsidR="005F796F" w:rsidRPr="000F1716" w:rsidRDefault="005F796F" w:rsidP="005F796F">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26073DFE" w14:textId="70A6F26B" w:rsidR="005F796F" w:rsidRDefault="009C5F99"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r>
        <w:rPr>
          <w:rFonts w:ascii="Palatino Linotype" w:eastAsiaTheme="minorEastAsia" w:hAnsi="Palatino Linotype"/>
          <w:color w:val="000000" w:themeColor="text1"/>
          <w:sz w:val="24"/>
        </w:rPr>
        <w:t xml:space="preserve">39.- </w:t>
      </w:r>
      <w:r w:rsidR="005F796F" w:rsidRPr="000F1716">
        <w:rPr>
          <w:rFonts w:ascii="Palatino Linotype" w:eastAsiaTheme="minorEastAsia" w:hAnsi="Palatino Linotype"/>
          <w:color w:val="000000" w:themeColor="text1"/>
          <w:sz w:val="24"/>
        </w:rPr>
        <w:t>Sustenta lo anterior la Tesis 2a. LIII/2017 (10a.), emitida por el Máximo Tribunal de la Nación, cuyo rubro y texto establecen lo siguiente:</w:t>
      </w:r>
    </w:p>
    <w:p w14:paraId="045FD7F6" w14:textId="77777777" w:rsidR="001B6D73" w:rsidRPr="000F1716" w:rsidRDefault="001B6D73" w:rsidP="009C5F99">
      <w:pPr>
        <w:tabs>
          <w:tab w:val="left" w:pos="426"/>
        </w:tabs>
        <w:spacing w:before="240" w:after="240" w:line="360" w:lineRule="auto"/>
        <w:ind w:right="51"/>
        <w:contextualSpacing/>
        <w:jc w:val="both"/>
        <w:rPr>
          <w:rFonts w:ascii="Palatino Linotype" w:eastAsiaTheme="minorEastAsia" w:hAnsi="Palatino Linotype"/>
          <w:color w:val="000000" w:themeColor="text1"/>
          <w:sz w:val="24"/>
        </w:rPr>
      </w:pPr>
    </w:p>
    <w:p w14:paraId="2934F660" w14:textId="0E05D4EE" w:rsidR="005F796F" w:rsidRDefault="005F796F" w:rsidP="005F796F">
      <w:pPr>
        <w:tabs>
          <w:tab w:val="left" w:pos="426"/>
        </w:tabs>
        <w:spacing w:before="240" w:line="360" w:lineRule="auto"/>
        <w:ind w:left="567" w:right="567"/>
        <w:contextualSpacing/>
        <w:jc w:val="both"/>
        <w:rPr>
          <w:rFonts w:ascii="Palatino Linotype" w:eastAsiaTheme="minorEastAsia" w:hAnsi="Palatino Linotype"/>
          <w:i/>
          <w:iCs/>
          <w:color w:val="000000" w:themeColor="text1"/>
        </w:rPr>
      </w:pPr>
      <w:r w:rsidRPr="003271CF">
        <w:rPr>
          <w:rFonts w:ascii="Palatino Linotype" w:eastAsiaTheme="minorEastAsia" w:hAnsi="Palatino Linotype"/>
          <w:b/>
          <w:bCs/>
          <w:i/>
          <w:iCs/>
          <w:color w:val="000000" w:themeColor="text1"/>
        </w:rPr>
        <w:t>VIOLACIONES GRAVES DE DERECHOS FUNDAMENTALES. POR REGLA GENERAL EL PRINCIPIO DE MÁXIMA PUBLICIDAD DE LAS INVESTIGACIONES RELACIONADAS CON AQUÉLLAS, ABARCA EL NOMBRE DE LAS VÍCTIMAS.</w:t>
      </w:r>
      <w:r w:rsidRPr="003271CF">
        <w:rPr>
          <w:rFonts w:ascii="Palatino Linotype" w:eastAsiaTheme="minorEastAsia" w:hAnsi="Palatino Linotype"/>
          <w:i/>
          <w:iCs/>
          <w:color w:val="000000" w:themeColor="text1"/>
        </w:rPr>
        <w:t xml:space="preserve"> “Del artículo 14, párrafo último, de la Ley Federal de Transparencia y Acceso a la Información Pública Gubernamental, vigente hasta el 9 de mayo de 2016, se advierte que, </w:t>
      </w:r>
      <w:r w:rsidRPr="003271CF">
        <w:rPr>
          <w:rFonts w:ascii="Palatino Linotype" w:eastAsiaTheme="minorEastAsia" w:hAnsi="Palatino Linotype"/>
          <w:b/>
          <w:bCs/>
          <w:i/>
          <w:iCs/>
          <w:color w:val="000000" w:themeColor="text1"/>
        </w:rPr>
        <w:t>por regla general, no podrá invocarse el carácter de información reservada cuando se trate de la investigación  de violaciones graves de derechos fundamentales o delitos contra la humanidad, sin hacer distinciones o excepciones respecto al nombre de las víctimas</w:t>
      </w:r>
      <w:r w:rsidRPr="003271CF">
        <w:rPr>
          <w:rFonts w:ascii="Palatino Linotype" w:eastAsiaTheme="minorEastAsia" w:hAnsi="Palatino Linotype"/>
          <w:i/>
          <w:iCs/>
          <w:color w:val="000000" w:themeColor="text1"/>
        </w:rPr>
        <w:t xml:space="preserve">, sino que presenta una directriz clara e indubitable del acceso a la publicidad de esa información, ante la entidad de las violaciones o delitos implicados que generan un interés de la sociedad para conocer la conducta estatal respecto a la debida investigación de tales actos, protegiendo en cualquier caso el honor de las víctimas. En ese sentido, la función social derivada de la publicidad de los nombres de las víctimas en esos casos radica en despertar la conciencia, tanto de la autoridad como de las personas en general, sobre la necesidad de evitar la repetición de hechos lesivos como los ocurridos en esos casos y conservar viva la memoria de la víctima; así, </w:t>
      </w:r>
      <w:r w:rsidRPr="003271CF">
        <w:rPr>
          <w:rFonts w:ascii="Palatino Linotype" w:eastAsiaTheme="minorEastAsia" w:hAnsi="Palatino Linotype"/>
          <w:b/>
          <w:bCs/>
          <w:i/>
          <w:iCs/>
          <w:color w:val="000000" w:themeColor="text1"/>
        </w:rPr>
        <w:t xml:space="preserve">trasladar una mera cifra estadística o número de expediente por un "nombre o rostro" implica adquirir verdadera conciencia del </w:t>
      </w:r>
      <w:r w:rsidRPr="003271CF">
        <w:rPr>
          <w:rFonts w:ascii="Palatino Linotype" w:eastAsiaTheme="minorEastAsia" w:hAnsi="Palatino Linotype"/>
          <w:b/>
          <w:bCs/>
          <w:i/>
          <w:iCs/>
          <w:color w:val="000000" w:themeColor="text1"/>
        </w:rPr>
        <w:lastRenderedPageBreak/>
        <w:t>problema en cuestión y dignifica al ser humano, dando un lugar decoroso a la memoria de quienes fueron lesionados por conductas especialmente gravosas y permite que la sociedad interpele ante el Estado para conocer la verdad de los hechos acontecidos, y vigile que las autoridades cumplan su deber de investigar, juzgar y, en su caso, sancionar y reparar las violaciones graves de derechos fundamentales</w:t>
      </w:r>
      <w:r w:rsidRPr="003271CF">
        <w:rPr>
          <w:rFonts w:ascii="Palatino Linotype" w:eastAsiaTheme="minorEastAsia" w:hAnsi="Palatino Linotype"/>
          <w:i/>
          <w:iCs/>
          <w:color w:val="000000" w:themeColor="text1"/>
        </w:rPr>
        <w:t>.”</w:t>
      </w:r>
    </w:p>
    <w:p w14:paraId="7A25D2CF" w14:textId="77777777" w:rsidR="005F796F" w:rsidRDefault="005F796F" w:rsidP="005F796F">
      <w:pPr>
        <w:tabs>
          <w:tab w:val="left" w:pos="426"/>
        </w:tabs>
        <w:spacing w:before="240" w:line="360" w:lineRule="auto"/>
        <w:ind w:left="567" w:right="567"/>
        <w:contextualSpacing/>
        <w:jc w:val="both"/>
        <w:rPr>
          <w:rFonts w:ascii="Palatino Linotype" w:eastAsiaTheme="minorEastAsia" w:hAnsi="Palatino Linotype"/>
          <w:color w:val="000000" w:themeColor="text1"/>
        </w:rPr>
      </w:pPr>
      <w:r w:rsidRPr="003271CF">
        <w:rPr>
          <w:rFonts w:ascii="Palatino Linotype" w:eastAsiaTheme="minorEastAsia" w:hAnsi="Palatino Linotype"/>
          <w:color w:val="000000" w:themeColor="text1"/>
        </w:rPr>
        <w:t>(Énfasis añadido)</w:t>
      </w:r>
    </w:p>
    <w:p w14:paraId="363E4CB8" w14:textId="77777777" w:rsidR="007357CE" w:rsidRPr="007357CE" w:rsidRDefault="007357CE" w:rsidP="007357CE">
      <w:pPr>
        <w:pStyle w:val="Prrafodelista"/>
        <w:pBdr>
          <w:top w:val="nil"/>
          <w:left w:val="nil"/>
          <w:bottom w:val="nil"/>
          <w:right w:val="nil"/>
          <w:between w:val="nil"/>
          <w:bar w:val="nil"/>
        </w:pBdr>
        <w:tabs>
          <w:tab w:val="left" w:pos="426"/>
        </w:tabs>
        <w:spacing w:after="0" w:line="360" w:lineRule="auto"/>
        <w:ind w:left="0"/>
        <w:jc w:val="both"/>
        <w:rPr>
          <w:rFonts w:ascii="Palatino Linotype" w:eastAsia="Calibri" w:hAnsi="Palatino Linotype" w:cs="Arial"/>
          <w:sz w:val="24"/>
          <w:szCs w:val="24"/>
          <w:lang w:val="es-ES" w:eastAsia="es-ES"/>
        </w:rPr>
      </w:pPr>
    </w:p>
    <w:p w14:paraId="3B39CFE5" w14:textId="3121C563" w:rsidR="007357CE" w:rsidRPr="001B6D73" w:rsidRDefault="001B6D73" w:rsidP="001B6D73">
      <w:pPr>
        <w:pBdr>
          <w:top w:val="nil"/>
          <w:left w:val="nil"/>
          <w:bottom w:val="nil"/>
          <w:right w:val="nil"/>
          <w:between w:val="nil"/>
          <w:bar w:val="nil"/>
        </w:pBdr>
        <w:tabs>
          <w:tab w:val="left" w:pos="426"/>
        </w:tabs>
        <w:spacing w:after="0" w:line="360" w:lineRule="auto"/>
        <w:ind w:left="360"/>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40. </w:t>
      </w:r>
      <w:r w:rsidR="007357CE" w:rsidRPr="001B6D73">
        <w:rPr>
          <w:rFonts w:ascii="Palatino Linotype" w:eastAsia="Calibri" w:hAnsi="Palatino Linotype" w:cs="Arial"/>
          <w:sz w:val="24"/>
          <w:szCs w:val="24"/>
          <w:lang w:val="es-ES" w:eastAsia="es-ES"/>
        </w:rPr>
        <w:t xml:space="preserve">Cabe señalar que Amnistía Internacional publicó, en octubre de dos mil veintiuno, el informe titulado </w:t>
      </w:r>
      <w:r w:rsidR="007357CE" w:rsidRPr="001B6D73">
        <w:rPr>
          <w:rFonts w:ascii="Palatino Linotype" w:eastAsia="Calibri" w:hAnsi="Palatino Linotype" w:cs="Arial"/>
          <w:i/>
          <w:iCs/>
          <w:sz w:val="24"/>
          <w:szCs w:val="24"/>
          <w:lang w:val="es-ES" w:eastAsia="es-ES"/>
        </w:rPr>
        <w:t>‘Policías Bajo la Lupa. Cinco Claves para la Supervisión y la Rendición de Cuentas de la Policía en las Américas’</w:t>
      </w:r>
      <w:r w:rsidR="007357CE" w:rsidRPr="001B6D73">
        <w:rPr>
          <w:rFonts w:ascii="Palatino Linotype" w:eastAsia="Calibri" w:hAnsi="Palatino Linotype" w:cs="Arial"/>
          <w:sz w:val="24"/>
          <w:szCs w:val="24"/>
          <w:lang w:val="es-ES" w:eastAsia="es-ES"/>
        </w:rPr>
        <w:t xml:space="preserve">, el cual presenta cinco recomendaciones </w:t>
      </w:r>
      <w:r w:rsidR="007357CE" w:rsidRPr="001B6D73">
        <w:rPr>
          <w:rFonts w:ascii="Palatino Linotype" w:eastAsia="Calibri" w:hAnsi="Palatino Linotype" w:cs="Arial"/>
          <w:sz w:val="24"/>
          <w:szCs w:val="24"/>
          <w:lang w:eastAsia="es-ES"/>
        </w:rPr>
        <w:t xml:space="preserve">clave para que los Estados aborden las violaciones de los derechos humanos cometidas por la policía en toda la región: introducir mecanismos independientes y eficaces para la supervisión y la rendición de cuentas de la policía; </w:t>
      </w:r>
      <w:r w:rsidR="007357CE" w:rsidRPr="001B6D73">
        <w:rPr>
          <w:rFonts w:ascii="Palatino Linotype" w:eastAsia="Calibri" w:hAnsi="Palatino Linotype" w:cs="Arial"/>
          <w:b/>
          <w:bCs/>
          <w:sz w:val="24"/>
          <w:szCs w:val="24"/>
          <w:lang w:eastAsia="es-ES"/>
        </w:rPr>
        <w:t>reconocer y reforzar el papel crucial de las organizaciones de la sociedad civil y los grupos de víctimas en los sistemas de supervisión y rendición de cuentas de la policía</w:t>
      </w:r>
      <w:r w:rsidR="007357CE" w:rsidRPr="001B6D73">
        <w:rPr>
          <w:rFonts w:ascii="Palatino Linotype" w:eastAsia="Calibri" w:hAnsi="Palatino Linotype" w:cs="Arial"/>
          <w:sz w:val="24"/>
          <w:szCs w:val="24"/>
          <w:lang w:eastAsia="es-ES"/>
        </w:rPr>
        <w:t>; garantizar que las investigaciones sobre posibles muertes ilegítimas a manos de la policía se lleven a cabo de conformidad con el Protocolo de Minnesota; abordar la violencia policial ilegítima como una cuestión estructural; y establecer claramente en las leyes y los reglamentos la responsabilidad de los mandos y otros superiores por la violencia policial ilegítima</w:t>
      </w:r>
      <w:r w:rsidR="007357CE">
        <w:rPr>
          <w:rStyle w:val="Refdenotaalpie"/>
          <w:rFonts w:ascii="Palatino Linotype" w:eastAsia="Calibri" w:hAnsi="Palatino Linotype" w:cs="Arial"/>
          <w:sz w:val="24"/>
          <w:szCs w:val="24"/>
          <w:lang w:eastAsia="es-ES"/>
        </w:rPr>
        <w:footnoteReference w:id="10"/>
      </w:r>
    </w:p>
    <w:p w14:paraId="1700762A" w14:textId="77777777" w:rsidR="007357CE" w:rsidRPr="007357CE" w:rsidRDefault="007357CE" w:rsidP="007357CE">
      <w:pPr>
        <w:pStyle w:val="Prrafodelista"/>
        <w:ind w:left="0"/>
        <w:rPr>
          <w:rFonts w:ascii="Palatino Linotype" w:eastAsia="Calibri" w:hAnsi="Palatino Linotype" w:cs="Arial"/>
          <w:sz w:val="24"/>
          <w:szCs w:val="24"/>
          <w:lang w:val="es-ES" w:eastAsia="es-ES"/>
        </w:rPr>
      </w:pPr>
    </w:p>
    <w:p w14:paraId="08BBDBB3" w14:textId="42425A3E" w:rsidR="007357CE" w:rsidRPr="001B6D73" w:rsidRDefault="001B6D73" w:rsidP="001B6D73">
      <w:pPr>
        <w:pBdr>
          <w:top w:val="nil"/>
          <w:left w:val="nil"/>
          <w:bottom w:val="nil"/>
          <w:right w:val="nil"/>
          <w:between w:val="nil"/>
          <w:bar w:val="nil"/>
        </w:pBdr>
        <w:tabs>
          <w:tab w:val="left" w:pos="426"/>
        </w:tabs>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41. </w:t>
      </w:r>
      <w:r w:rsidR="007357CE" w:rsidRPr="001B6D73">
        <w:rPr>
          <w:rFonts w:ascii="Palatino Linotype" w:eastAsia="Calibri" w:hAnsi="Palatino Linotype" w:cs="Arial"/>
          <w:sz w:val="24"/>
          <w:szCs w:val="24"/>
          <w:lang w:val="es-ES" w:eastAsia="es-ES"/>
        </w:rPr>
        <w:t xml:space="preserve">Dentro de la segunda clave sugerida por la obra, se señala la importancia de la participación de la sociedad civil y </w:t>
      </w:r>
      <w:proofErr w:type="gramStart"/>
      <w:r w:rsidR="007357CE" w:rsidRPr="001B6D73">
        <w:rPr>
          <w:rFonts w:ascii="Palatino Linotype" w:eastAsia="Calibri" w:hAnsi="Palatino Linotype" w:cs="Arial"/>
          <w:sz w:val="24"/>
          <w:szCs w:val="24"/>
          <w:lang w:val="es-ES" w:eastAsia="es-ES"/>
        </w:rPr>
        <w:t>las organización</w:t>
      </w:r>
      <w:proofErr w:type="gramEnd"/>
      <w:r w:rsidR="007357CE" w:rsidRPr="001B6D73">
        <w:rPr>
          <w:rFonts w:ascii="Palatino Linotype" w:eastAsia="Calibri" w:hAnsi="Palatino Linotype" w:cs="Arial"/>
          <w:sz w:val="24"/>
          <w:szCs w:val="24"/>
          <w:lang w:val="es-ES" w:eastAsia="es-ES"/>
        </w:rPr>
        <w:t xml:space="preserve"> de víctimas en la supervisión de la policía y la </w:t>
      </w:r>
      <w:r w:rsidR="007357CE" w:rsidRPr="001B6D73">
        <w:rPr>
          <w:rFonts w:ascii="Palatino Linotype" w:eastAsia="Calibri" w:hAnsi="Palatino Linotype" w:cs="Arial"/>
          <w:b/>
          <w:bCs/>
          <w:sz w:val="24"/>
          <w:szCs w:val="24"/>
          <w:lang w:val="es-ES" w:eastAsia="es-ES"/>
        </w:rPr>
        <w:t>búsqueda de justicia</w:t>
      </w:r>
      <w:r w:rsidR="007357CE" w:rsidRPr="001B6D73">
        <w:rPr>
          <w:rFonts w:ascii="Palatino Linotype" w:eastAsia="Calibri" w:hAnsi="Palatino Linotype" w:cs="Arial"/>
          <w:sz w:val="24"/>
          <w:szCs w:val="24"/>
          <w:lang w:val="es-ES" w:eastAsia="es-ES"/>
        </w:rPr>
        <w:t xml:space="preserve">. </w:t>
      </w:r>
      <w:r w:rsidR="007357CE" w:rsidRPr="001B6D73">
        <w:rPr>
          <w:rFonts w:ascii="Palatino Linotype" w:eastAsia="Calibri" w:hAnsi="Palatino Linotype" w:cs="Arial"/>
          <w:sz w:val="24"/>
          <w:szCs w:val="24"/>
          <w:lang w:eastAsia="es-ES"/>
        </w:rPr>
        <w:t>Junto con los mecanismos formales e institucionalizados de supervisión y rendición de cuentas, también se vuelve crucial el control que ejerce la sociedad civil respecto de las fuerzas policiales. En la región, la sociedad civil posee amplia experiencia exigiendo que la labor policial se apegue a la ley y a los estándares internacionales de derechos humanos</w:t>
      </w:r>
      <w:r w:rsidR="007357CE">
        <w:rPr>
          <w:rStyle w:val="Refdenotaalpie"/>
          <w:rFonts w:ascii="Palatino Linotype" w:eastAsia="Calibri" w:hAnsi="Palatino Linotype" w:cs="Arial"/>
          <w:sz w:val="24"/>
          <w:szCs w:val="24"/>
          <w:lang w:eastAsia="es-ES"/>
        </w:rPr>
        <w:footnoteReference w:id="11"/>
      </w:r>
      <w:r w:rsidR="007357CE" w:rsidRPr="001B6D73">
        <w:rPr>
          <w:rFonts w:ascii="Palatino Linotype" w:eastAsia="Calibri" w:hAnsi="Palatino Linotype" w:cs="Arial"/>
          <w:sz w:val="24"/>
          <w:szCs w:val="24"/>
          <w:lang w:eastAsia="es-ES"/>
        </w:rPr>
        <w:t xml:space="preserve">. </w:t>
      </w:r>
    </w:p>
    <w:p w14:paraId="29E8119C" w14:textId="77777777" w:rsidR="007357CE" w:rsidRPr="009E2B9E" w:rsidRDefault="007357CE" w:rsidP="007357CE">
      <w:pPr>
        <w:tabs>
          <w:tab w:val="left" w:pos="426"/>
        </w:tabs>
        <w:spacing w:after="0" w:line="360" w:lineRule="auto"/>
        <w:contextualSpacing/>
        <w:jc w:val="both"/>
        <w:rPr>
          <w:rFonts w:ascii="Palatino Linotype" w:eastAsia="Calibri" w:hAnsi="Palatino Linotype" w:cs="Arial"/>
          <w:sz w:val="24"/>
          <w:szCs w:val="24"/>
          <w:lang w:val="es-ES" w:eastAsia="es-ES"/>
        </w:rPr>
      </w:pPr>
    </w:p>
    <w:p w14:paraId="46F84E43" w14:textId="38D75CBA" w:rsidR="007357CE" w:rsidRPr="009E2B9E" w:rsidRDefault="001B6D73" w:rsidP="001B6D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eastAsia="es-ES"/>
        </w:rPr>
        <w:t xml:space="preserve">42.- </w:t>
      </w:r>
      <w:r w:rsidR="007357CE">
        <w:rPr>
          <w:rFonts w:ascii="Palatino Linotype" w:eastAsia="Calibri" w:hAnsi="Palatino Linotype" w:cs="Arial"/>
          <w:sz w:val="24"/>
          <w:szCs w:val="24"/>
          <w:lang w:eastAsia="es-ES"/>
        </w:rPr>
        <w:t xml:space="preserve">Del corolario anterior, el libro en comento comparte </w:t>
      </w:r>
      <w:r w:rsidR="007357CE" w:rsidRPr="009E2B9E">
        <w:rPr>
          <w:rFonts w:ascii="Palatino Linotype" w:eastAsia="Calibri" w:hAnsi="Palatino Linotype" w:cs="Arial"/>
          <w:sz w:val="24"/>
          <w:szCs w:val="24"/>
          <w:lang w:eastAsia="es-ES"/>
        </w:rPr>
        <w:t>cinco</w:t>
      </w:r>
      <w:r w:rsidR="007357CE">
        <w:rPr>
          <w:rFonts w:ascii="Palatino Linotype" w:eastAsia="Calibri" w:hAnsi="Palatino Linotype" w:cs="Arial"/>
          <w:sz w:val="24"/>
          <w:szCs w:val="24"/>
          <w:lang w:eastAsia="es-ES"/>
        </w:rPr>
        <w:t xml:space="preserve"> </w:t>
      </w:r>
      <w:r w:rsidR="007357CE" w:rsidRPr="009E2B9E">
        <w:rPr>
          <w:rFonts w:ascii="Palatino Linotype" w:eastAsia="Calibri" w:hAnsi="Palatino Linotype" w:cs="Arial"/>
          <w:sz w:val="24"/>
          <w:szCs w:val="24"/>
          <w:lang w:eastAsia="es-ES"/>
        </w:rPr>
        <w:t>estrategias</w:t>
      </w:r>
      <w:r w:rsidR="007357CE">
        <w:rPr>
          <w:rStyle w:val="Refdenotaalpie"/>
          <w:rFonts w:ascii="Palatino Linotype" w:eastAsia="Calibri" w:hAnsi="Palatino Linotype" w:cs="Arial"/>
          <w:sz w:val="24"/>
          <w:szCs w:val="24"/>
          <w:lang w:eastAsia="es-ES"/>
        </w:rPr>
        <w:footnoteReference w:id="12"/>
      </w:r>
      <w:r w:rsidR="007357CE">
        <w:rPr>
          <w:rFonts w:ascii="Palatino Linotype" w:eastAsia="Calibri" w:hAnsi="Palatino Linotype" w:cs="Arial"/>
          <w:sz w:val="24"/>
          <w:szCs w:val="24"/>
          <w:lang w:eastAsia="es-ES"/>
        </w:rPr>
        <w:t>, dentro de las que destaca la necesidad de empujar procesos de incidencia política y cambio de narrativas. Al respecto, se expone lo siguiente:</w:t>
      </w:r>
    </w:p>
    <w:p w14:paraId="3EDF29D8" w14:textId="77777777" w:rsidR="007357CE" w:rsidRDefault="007357CE" w:rsidP="007357CE">
      <w:pPr>
        <w:tabs>
          <w:tab w:val="left" w:pos="426"/>
        </w:tabs>
        <w:spacing w:after="0" w:line="360" w:lineRule="auto"/>
        <w:contextualSpacing/>
        <w:jc w:val="both"/>
        <w:rPr>
          <w:rFonts w:ascii="Palatino Linotype" w:eastAsia="Calibri" w:hAnsi="Palatino Linotype" w:cs="Arial"/>
          <w:sz w:val="24"/>
          <w:szCs w:val="24"/>
          <w:lang w:val="es-ES" w:eastAsia="es-ES"/>
        </w:rPr>
      </w:pPr>
    </w:p>
    <w:p w14:paraId="12552494" w14:textId="77777777" w:rsidR="007357CE" w:rsidRPr="00CB2DEB" w:rsidRDefault="007357CE" w:rsidP="007357CE">
      <w:pPr>
        <w:tabs>
          <w:tab w:val="left" w:pos="426"/>
        </w:tabs>
        <w:spacing w:after="0" w:line="276" w:lineRule="auto"/>
        <w:ind w:left="567" w:right="567"/>
        <w:contextualSpacing/>
        <w:jc w:val="both"/>
        <w:rPr>
          <w:rFonts w:ascii="Palatino Linotype" w:eastAsia="Calibri" w:hAnsi="Palatino Linotype" w:cs="Arial"/>
          <w:i/>
          <w:iCs/>
          <w:lang w:val="es-ES" w:eastAsia="es-ES"/>
        </w:rPr>
      </w:pPr>
      <w:r w:rsidRPr="00CB2DEB">
        <w:rPr>
          <w:rFonts w:ascii="Palatino Linotype" w:eastAsia="Calibri" w:hAnsi="Palatino Linotype" w:cs="Arial"/>
          <w:i/>
          <w:iCs/>
          <w:lang w:val="es-ES" w:eastAsia="es-ES"/>
        </w:rPr>
        <w:t>“</w:t>
      </w:r>
      <w:r w:rsidRPr="00CB2DEB">
        <w:rPr>
          <w:rFonts w:ascii="Palatino Linotype" w:eastAsia="Calibri" w:hAnsi="Palatino Linotype" w:cs="Arial"/>
          <w:b/>
          <w:bCs/>
          <w:i/>
          <w:iCs/>
          <w:lang w:val="es-ES" w:eastAsia="es-ES"/>
        </w:rPr>
        <w:t xml:space="preserve">El </w:t>
      </w:r>
      <w:r w:rsidRPr="00CB2DEB">
        <w:rPr>
          <w:rFonts w:ascii="Palatino Linotype" w:eastAsia="Calibri" w:hAnsi="Palatino Linotype" w:cs="Arial"/>
          <w:b/>
          <w:bCs/>
          <w:i/>
          <w:iCs/>
          <w:lang w:eastAsia="es-ES"/>
        </w:rPr>
        <w:t>cambio en las prácticas policiales y la sujeción de las fuerzas de seguridad a mecanismos de supervisión y rendición de cuentas también requiere de una sociedad civil capaz de incidir políticamente y de empujar un cambio de narrativa en la discusión pública.</w:t>
      </w:r>
      <w:r w:rsidRPr="00CB2DEB">
        <w:rPr>
          <w:rFonts w:ascii="Palatino Linotype" w:eastAsia="Calibri" w:hAnsi="Palatino Linotype" w:cs="Arial"/>
          <w:i/>
          <w:iCs/>
          <w:lang w:eastAsia="es-ES"/>
        </w:rPr>
        <w:t xml:space="preserve"> Aquí caben distintas estrategias, como participar en procesos de reforma legal, potenciar el activismo cibernético, </w:t>
      </w:r>
      <w:r w:rsidRPr="00CB2DEB">
        <w:rPr>
          <w:rFonts w:ascii="Palatino Linotype" w:eastAsia="Calibri" w:hAnsi="Palatino Linotype" w:cs="Arial"/>
          <w:b/>
          <w:bCs/>
          <w:i/>
          <w:iCs/>
          <w:lang w:eastAsia="es-ES"/>
        </w:rPr>
        <w:t>trabajar en la construcción de memoria respecto a violaciones de derechos humanos</w:t>
      </w:r>
      <w:r w:rsidRPr="00CB2DEB">
        <w:rPr>
          <w:rFonts w:ascii="Palatino Linotype" w:eastAsia="Calibri" w:hAnsi="Palatino Linotype" w:cs="Arial"/>
          <w:i/>
          <w:iCs/>
          <w:lang w:eastAsia="es-ES"/>
        </w:rPr>
        <w:t xml:space="preserve"> y desarrollar acciones de sensibilización encaminadas a disminuir prejuicios raciales, de género, de clase y de otro tipo que contribuyen al ejercicio discriminatorio y estigmatizador de la función policial.”</w:t>
      </w:r>
    </w:p>
    <w:p w14:paraId="676904D3" w14:textId="77777777" w:rsidR="007357CE" w:rsidRDefault="007357CE" w:rsidP="007357CE">
      <w:pPr>
        <w:tabs>
          <w:tab w:val="left" w:pos="426"/>
        </w:tabs>
        <w:spacing w:after="0" w:line="360" w:lineRule="auto"/>
        <w:contextualSpacing/>
        <w:jc w:val="both"/>
        <w:rPr>
          <w:rFonts w:ascii="Palatino Linotype" w:eastAsia="Calibri" w:hAnsi="Palatino Linotype" w:cs="Arial"/>
          <w:sz w:val="24"/>
          <w:szCs w:val="24"/>
          <w:lang w:val="es-ES" w:eastAsia="es-ES"/>
        </w:rPr>
      </w:pPr>
    </w:p>
    <w:p w14:paraId="42EB024C" w14:textId="390D2F13" w:rsidR="007357CE" w:rsidRDefault="001B6D73" w:rsidP="001B6D73">
      <w:pPr>
        <w:tabs>
          <w:tab w:val="left" w:pos="426"/>
        </w:tabs>
        <w:spacing w:after="0" w:line="360" w:lineRule="auto"/>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lastRenderedPageBreak/>
        <w:t xml:space="preserve">43.- </w:t>
      </w:r>
      <w:r w:rsidR="007357CE">
        <w:rPr>
          <w:rFonts w:ascii="Palatino Linotype" w:eastAsia="Calibri" w:hAnsi="Palatino Linotype" w:cs="Arial"/>
          <w:sz w:val="24"/>
          <w:szCs w:val="24"/>
          <w:lang w:val="es-ES" w:eastAsia="es-ES"/>
        </w:rPr>
        <w:t xml:space="preserve">Del recopilatorio anterior se menciona de forma abierta la importancia de la participación de la sociedad en el mejoramiento de los mecanismos y conductas policiales, a través de ejercicios de incidencia política, como la </w:t>
      </w:r>
      <w:r w:rsidR="007357CE">
        <w:rPr>
          <w:rFonts w:ascii="Palatino Linotype" w:eastAsia="Calibri" w:hAnsi="Palatino Linotype" w:cs="Arial"/>
          <w:b/>
          <w:bCs/>
          <w:sz w:val="24"/>
          <w:szCs w:val="24"/>
          <w:lang w:val="es-ES" w:eastAsia="es-ES"/>
        </w:rPr>
        <w:t>construcción de memoria respecto a violaciones de derechos humanos</w:t>
      </w:r>
      <w:r w:rsidR="007357CE">
        <w:rPr>
          <w:rFonts w:ascii="Palatino Linotype" w:eastAsia="Calibri" w:hAnsi="Palatino Linotype" w:cs="Arial"/>
          <w:sz w:val="24"/>
          <w:szCs w:val="24"/>
          <w:lang w:val="es-ES" w:eastAsia="es-ES"/>
        </w:rPr>
        <w:t>; como por ejemplo, el conceder el acceso a las carpetas de investigación de delitos donde se acrediten violaciones a derechos humanos. Lo anterior debe entenderse bajo la óptica de que no solamente se reconocen como ofendidos a los familiares de una víctima a quien se le violentaron sus derechos humanos, sino también a la sociedad en general, de ahí la importancia de su difusión.</w:t>
      </w:r>
    </w:p>
    <w:p w14:paraId="1F2B37A0" w14:textId="77777777" w:rsidR="000F1716" w:rsidRPr="000F1716" w:rsidRDefault="000F1716" w:rsidP="000F1716">
      <w:pPr>
        <w:pStyle w:val="Prrafodelista"/>
        <w:pBdr>
          <w:top w:val="nil"/>
          <w:left w:val="nil"/>
          <w:bottom w:val="nil"/>
          <w:right w:val="nil"/>
          <w:between w:val="nil"/>
          <w:bar w:val="nil"/>
        </w:pBdr>
        <w:spacing w:after="0" w:line="360" w:lineRule="auto"/>
        <w:ind w:left="0"/>
        <w:jc w:val="both"/>
        <w:rPr>
          <w:rFonts w:ascii="Palatino Linotype" w:eastAsiaTheme="majorEastAsia" w:hAnsi="Palatino Linotype" w:cstheme="majorBidi"/>
          <w:b/>
          <w:sz w:val="24"/>
          <w:szCs w:val="24"/>
          <w:bdr w:val="nil"/>
        </w:rPr>
      </w:pPr>
    </w:p>
    <w:p w14:paraId="260D1637" w14:textId="4B3A4DFB" w:rsidR="001C4337" w:rsidRPr="002A43BC" w:rsidRDefault="0027224D" w:rsidP="001C4337">
      <w:pPr>
        <w:keepNext/>
        <w:keepLines/>
        <w:pBdr>
          <w:top w:val="nil"/>
          <w:left w:val="nil"/>
          <w:bottom w:val="nil"/>
          <w:right w:val="nil"/>
          <w:between w:val="nil"/>
          <w:bar w:val="nil"/>
        </w:pBdr>
        <w:spacing w:after="0" w:line="360" w:lineRule="auto"/>
        <w:outlineLvl w:val="0"/>
        <w:rPr>
          <w:rFonts w:ascii="Palatino Linotype" w:eastAsiaTheme="majorEastAsia" w:hAnsi="Palatino Linotype" w:cstheme="majorBidi"/>
          <w:b/>
          <w:sz w:val="24"/>
          <w:szCs w:val="24"/>
          <w:bdr w:val="nil"/>
        </w:rPr>
      </w:pPr>
      <w:r>
        <w:rPr>
          <w:rFonts w:ascii="Palatino Linotype" w:eastAsiaTheme="majorEastAsia" w:hAnsi="Palatino Linotype" w:cstheme="majorBidi"/>
          <w:b/>
          <w:sz w:val="24"/>
          <w:szCs w:val="24"/>
          <w:bdr w:val="nil"/>
        </w:rPr>
        <w:t>VI</w:t>
      </w:r>
      <w:r w:rsidR="00250780">
        <w:rPr>
          <w:rFonts w:ascii="Palatino Linotype" w:eastAsiaTheme="majorEastAsia" w:hAnsi="Palatino Linotype" w:cstheme="majorBidi"/>
          <w:b/>
          <w:sz w:val="24"/>
          <w:szCs w:val="24"/>
          <w:bdr w:val="nil"/>
        </w:rPr>
        <w:t xml:space="preserve">. </w:t>
      </w:r>
      <w:r w:rsidR="001C4337">
        <w:rPr>
          <w:rFonts w:ascii="Palatino Linotype" w:eastAsiaTheme="majorEastAsia" w:hAnsi="Palatino Linotype" w:cstheme="majorBidi"/>
          <w:b/>
          <w:sz w:val="24"/>
          <w:szCs w:val="24"/>
          <w:bdr w:val="nil"/>
        </w:rPr>
        <w:t>Conclusión.</w:t>
      </w:r>
      <w:bookmarkEnd w:id="8"/>
      <w:r w:rsidR="001C4337">
        <w:rPr>
          <w:rFonts w:ascii="Palatino Linotype" w:eastAsiaTheme="majorEastAsia" w:hAnsi="Palatino Linotype" w:cstheme="majorBidi"/>
          <w:b/>
          <w:sz w:val="24"/>
          <w:szCs w:val="24"/>
          <w:bdr w:val="nil"/>
        </w:rPr>
        <w:t xml:space="preserve"> </w:t>
      </w:r>
    </w:p>
    <w:p w14:paraId="40266B43" w14:textId="77777777" w:rsidR="00CD5C84" w:rsidRDefault="00CD5C84" w:rsidP="00CD5C84"/>
    <w:p w14:paraId="57B0B340" w14:textId="6EF5C919" w:rsidR="00E6742A" w:rsidRPr="009C5F99" w:rsidRDefault="001B6D73" w:rsidP="001B6D73">
      <w:pPr>
        <w:pStyle w:val="Prrafodelista"/>
        <w:pBdr>
          <w:top w:val="nil"/>
          <w:left w:val="nil"/>
          <w:bottom w:val="nil"/>
          <w:right w:val="nil"/>
          <w:between w:val="nil"/>
          <w:bar w:val="nil"/>
        </w:pBdr>
        <w:spacing w:after="0" w:line="360" w:lineRule="auto"/>
        <w:ind w:left="0"/>
        <w:jc w:val="both"/>
        <w:rPr>
          <w:rFonts w:ascii="Palatino Linotype" w:eastAsiaTheme="majorEastAsia" w:hAnsi="Palatino Linotype" w:cstheme="majorBidi"/>
          <w:b/>
          <w:sz w:val="24"/>
          <w:szCs w:val="24"/>
          <w:bdr w:val="nil"/>
        </w:rPr>
      </w:pPr>
      <w:bookmarkStart w:id="9" w:name="_Hlk21365612"/>
      <w:r>
        <w:rPr>
          <w:rFonts w:ascii="Palatino Linotype" w:eastAsiaTheme="majorEastAsia" w:hAnsi="Palatino Linotype" w:cstheme="majorBidi"/>
          <w:bCs/>
          <w:sz w:val="24"/>
          <w:szCs w:val="24"/>
          <w:bdr w:val="nil"/>
        </w:rPr>
        <w:t xml:space="preserve">44.- </w:t>
      </w:r>
      <w:r w:rsidR="00E6742A" w:rsidRPr="009C5F99">
        <w:rPr>
          <w:rFonts w:ascii="Palatino Linotype" w:eastAsiaTheme="majorEastAsia" w:hAnsi="Palatino Linotype" w:cstheme="majorBidi"/>
          <w:bCs/>
          <w:sz w:val="24"/>
          <w:szCs w:val="24"/>
          <w:bdr w:val="nil"/>
        </w:rPr>
        <w:t>En el presente asunto en particular no es procedente la clasificación de la información como reservada de los dictámenes periciales. Primeramente porque el acuerdo de clasificación que emitió el Sujeto Obligado no reúne las formalidades mínimas establecidas por la legislación de la materia, asimismo, de la revisión exhaustiva de los elementos fácticos del caso de que se trata, se advierte</w:t>
      </w:r>
      <w:r w:rsidR="009C5F99" w:rsidRPr="009C5F99">
        <w:rPr>
          <w:rFonts w:ascii="Palatino Linotype" w:eastAsiaTheme="majorEastAsia" w:hAnsi="Palatino Linotype" w:cstheme="majorBidi"/>
          <w:bCs/>
          <w:sz w:val="24"/>
          <w:szCs w:val="24"/>
          <w:bdr w:val="nil"/>
        </w:rPr>
        <w:t xml:space="preserve"> que se trata </w:t>
      </w:r>
      <w:r w:rsidR="009C5F99" w:rsidRPr="009C5F99">
        <w:rPr>
          <w:rFonts w:ascii="Palatino Linotype" w:eastAsia="Calibri" w:hAnsi="Palatino Linotype" w:cs="Arial"/>
          <w:b/>
          <w:sz w:val="24"/>
          <w:szCs w:val="24"/>
          <w:lang w:val="es-ES" w:eastAsia="es-ES"/>
        </w:rPr>
        <w:t>de la investigación de posibles violaciones graves de derechos humanos aun cuando no exista pronunciamiento previo de autoridad competente, cuando se determine, a partir de criterios cuantitativos y cualitativos la trascendencia social de las violaciones; e información relacionada con actos de corrupción de conformidad con las disposiciones jurídicas aplicables</w:t>
      </w:r>
      <w:r w:rsidR="009C5F99" w:rsidRPr="009C5F99">
        <w:rPr>
          <w:rFonts w:ascii="Palatino Linotype" w:eastAsiaTheme="majorEastAsia" w:hAnsi="Palatino Linotype" w:cstheme="majorBidi"/>
          <w:bCs/>
          <w:i/>
          <w:iCs/>
          <w:sz w:val="24"/>
          <w:szCs w:val="24"/>
          <w:bdr w:val="nil"/>
        </w:rPr>
        <w:t xml:space="preserve">, </w:t>
      </w:r>
      <w:r w:rsidR="009C5F99" w:rsidRPr="009C5F99">
        <w:rPr>
          <w:rFonts w:ascii="Palatino Linotype" w:eastAsiaTheme="majorEastAsia" w:hAnsi="Palatino Linotype" w:cstheme="majorBidi"/>
          <w:bCs/>
          <w:sz w:val="24"/>
          <w:szCs w:val="24"/>
          <w:bdr w:val="nil"/>
        </w:rPr>
        <w:t>elementos</w:t>
      </w:r>
      <w:r w:rsidR="00E6742A" w:rsidRPr="009C5F99">
        <w:rPr>
          <w:rFonts w:ascii="Palatino Linotype" w:eastAsiaTheme="majorEastAsia" w:hAnsi="Palatino Linotype" w:cstheme="majorBidi"/>
          <w:bCs/>
          <w:sz w:val="24"/>
          <w:szCs w:val="24"/>
          <w:bdr w:val="nil"/>
        </w:rPr>
        <w:t xml:space="preserve"> que </w:t>
      </w:r>
      <w:r w:rsidR="009C5F99">
        <w:rPr>
          <w:rFonts w:ascii="Palatino Linotype" w:eastAsiaTheme="majorEastAsia" w:hAnsi="Palatino Linotype" w:cstheme="majorBidi"/>
          <w:bCs/>
          <w:sz w:val="24"/>
          <w:szCs w:val="24"/>
          <w:bdr w:val="nil"/>
        </w:rPr>
        <w:t xml:space="preserve">el criterio mayoritario </w:t>
      </w:r>
      <w:r w:rsidR="00E6742A" w:rsidRPr="009C5F99">
        <w:rPr>
          <w:rFonts w:ascii="Palatino Linotype" w:eastAsiaTheme="majorEastAsia" w:hAnsi="Palatino Linotype" w:cstheme="majorBidi"/>
          <w:bCs/>
          <w:sz w:val="24"/>
          <w:szCs w:val="24"/>
          <w:bdr w:val="nil"/>
        </w:rPr>
        <w:t xml:space="preserve">no observó y se limitó a restringir de manera arbitraria el derecho de </w:t>
      </w:r>
      <w:r w:rsidR="00E6742A" w:rsidRPr="009C5F99">
        <w:rPr>
          <w:rFonts w:ascii="Palatino Linotype" w:eastAsiaTheme="majorEastAsia" w:hAnsi="Palatino Linotype" w:cstheme="majorBidi"/>
          <w:bCs/>
          <w:sz w:val="24"/>
          <w:szCs w:val="24"/>
          <w:bdr w:val="nil"/>
        </w:rPr>
        <w:lastRenderedPageBreak/>
        <w:t>acceso a la información inobservando el artículo primero constitucional, toda vez que la resoluci</w:t>
      </w:r>
      <w:r w:rsidR="00AC21D4" w:rsidRPr="009C5F99">
        <w:rPr>
          <w:rFonts w:ascii="Palatino Linotype" w:eastAsiaTheme="majorEastAsia" w:hAnsi="Palatino Linotype" w:cstheme="majorBidi"/>
          <w:bCs/>
          <w:sz w:val="24"/>
          <w:szCs w:val="24"/>
          <w:bdr w:val="nil"/>
        </w:rPr>
        <w:t>ón emitida no promueve, respeta, protege ni garantiza el derecho ejercido por el particular, en r</w:t>
      </w:r>
      <w:r>
        <w:rPr>
          <w:rFonts w:ascii="Palatino Linotype" w:eastAsiaTheme="majorEastAsia" w:hAnsi="Palatino Linotype" w:cstheme="majorBidi"/>
          <w:bCs/>
          <w:sz w:val="24"/>
          <w:szCs w:val="24"/>
          <w:bdr w:val="nil"/>
        </w:rPr>
        <w:t>elación al artículo 142, fraccio</w:t>
      </w:r>
      <w:r w:rsidR="00AC21D4" w:rsidRPr="009C5F99">
        <w:rPr>
          <w:rFonts w:ascii="Palatino Linotype" w:eastAsiaTheme="majorEastAsia" w:hAnsi="Palatino Linotype" w:cstheme="majorBidi"/>
          <w:bCs/>
          <w:sz w:val="24"/>
          <w:szCs w:val="24"/>
          <w:bdr w:val="nil"/>
        </w:rPr>
        <w:t>n</w:t>
      </w:r>
      <w:r>
        <w:rPr>
          <w:rFonts w:ascii="Palatino Linotype" w:eastAsiaTheme="majorEastAsia" w:hAnsi="Palatino Linotype" w:cstheme="majorBidi"/>
          <w:bCs/>
          <w:sz w:val="24"/>
          <w:szCs w:val="24"/>
          <w:bdr w:val="nil"/>
        </w:rPr>
        <w:t>es</w:t>
      </w:r>
      <w:r w:rsidR="00AC21D4" w:rsidRPr="009C5F99">
        <w:rPr>
          <w:rFonts w:ascii="Palatino Linotype" w:eastAsiaTheme="majorEastAsia" w:hAnsi="Palatino Linotype" w:cstheme="majorBidi"/>
          <w:bCs/>
          <w:sz w:val="24"/>
          <w:szCs w:val="24"/>
          <w:bdr w:val="nil"/>
        </w:rPr>
        <w:t xml:space="preserve"> II </w:t>
      </w:r>
      <w:r>
        <w:rPr>
          <w:rFonts w:ascii="Palatino Linotype" w:eastAsiaTheme="majorEastAsia" w:hAnsi="Palatino Linotype" w:cstheme="majorBidi"/>
          <w:bCs/>
          <w:sz w:val="24"/>
          <w:szCs w:val="24"/>
          <w:bdr w:val="nil"/>
        </w:rPr>
        <w:t xml:space="preserve"> y IV </w:t>
      </w:r>
      <w:r w:rsidR="00AC21D4" w:rsidRPr="009C5F99">
        <w:rPr>
          <w:rFonts w:ascii="Palatino Linotype" w:eastAsiaTheme="majorEastAsia" w:hAnsi="Palatino Linotype" w:cstheme="majorBidi"/>
          <w:bCs/>
          <w:sz w:val="24"/>
          <w:szCs w:val="24"/>
          <w:bdr w:val="nil"/>
        </w:rPr>
        <w:t xml:space="preserve">de la Ley de Transparencia y Acceso a la Información Pública del Estado de México y Municipios.  </w:t>
      </w:r>
    </w:p>
    <w:p w14:paraId="0F0B4CD6" w14:textId="77777777" w:rsidR="00E6742A" w:rsidRPr="00DB7F8E" w:rsidRDefault="00E6742A" w:rsidP="00E6742A">
      <w:pPr>
        <w:pBdr>
          <w:top w:val="nil"/>
          <w:left w:val="nil"/>
          <w:bottom w:val="nil"/>
          <w:right w:val="nil"/>
          <w:between w:val="nil"/>
          <w:bar w:val="nil"/>
        </w:pBdr>
        <w:spacing w:after="0" w:line="360" w:lineRule="auto"/>
        <w:jc w:val="both"/>
        <w:rPr>
          <w:rFonts w:ascii="Palatino Linotype" w:eastAsiaTheme="majorEastAsia" w:hAnsi="Palatino Linotype" w:cstheme="majorBidi"/>
          <w:b/>
          <w:sz w:val="24"/>
          <w:szCs w:val="24"/>
          <w:bdr w:val="nil"/>
        </w:rPr>
      </w:pPr>
    </w:p>
    <w:p w14:paraId="571BA314" w14:textId="77777777" w:rsidR="00E6742A" w:rsidRPr="00DB7F8E" w:rsidRDefault="00E6742A" w:rsidP="00E6742A">
      <w:pPr>
        <w:pBdr>
          <w:top w:val="nil"/>
          <w:left w:val="nil"/>
          <w:bottom w:val="nil"/>
          <w:right w:val="nil"/>
          <w:between w:val="nil"/>
          <w:bar w:val="nil"/>
        </w:pBdr>
        <w:spacing w:after="0" w:line="360" w:lineRule="auto"/>
        <w:jc w:val="both"/>
        <w:rPr>
          <w:rFonts w:ascii="Palatino Linotype" w:eastAsiaTheme="majorEastAsia" w:hAnsi="Palatino Linotype" w:cstheme="majorBidi"/>
          <w:b/>
          <w:sz w:val="24"/>
          <w:szCs w:val="24"/>
          <w:bdr w:val="nil"/>
        </w:rPr>
      </w:pPr>
    </w:p>
    <w:bookmarkEnd w:id="9"/>
    <w:p w14:paraId="097E3E6A" w14:textId="77777777" w:rsidR="0027224D" w:rsidRPr="008A4B0D" w:rsidRDefault="0027224D" w:rsidP="008A4B0D">
      <w:pPr>
        <w:pStyle w:val="Prrafodelista"/>
        <w:pBdr>
          <w:top w:val="nil"/>
          <w:left w:val="nil"/>
          <w:bottom w:val="nil"/>
          <w:right w:val="nil"/>
          <w:between w:val="nil"/>
          <w:bar w:val="nil"/>
        </w:pBdr>
        <w:spacing w:after="0" w:line="360" w:lineRule="auto"/>
        <w:ind w:left="0"/>
        <w:jc w:val="both"/>
        <w:rPr>
          <w:rFonts w:ascii="Palatino Linotype" w:eastAsiaTheme="majorEastAsia" w:hAnsi="Palatino Linotype" w:cstheme="majorBidi"/>
          <w:b/>
          <w:sz w:val="24"/>
          <w:szCs w:val="24"/>
          <w:bdr w:val="nil"/>
        </w:rPr>
      </w:pPr>
    </w:p>
    <w:p w14:paraId="71A4A47B" w14:textId="4C3CE389" w:rsidR="009F0BC5" w:rsidRPr="002A43BC" w:rsidRDefault="00B142A9" w:rsidP="009F0BC5">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r>
        <w:rPr>
          <w:rFonts w:ascii="Palatino Linotype" w:eastAsia="Arial" w:hAnsi="Palatino Linotype" w:cs="Arial"/>
          <w:b/>
          <w:color w:val="000000" w:themeColor="text1"/>
          <w:sz w:val="24"/>
          <w:szCs w:val="24"/>
          <w:bdr w:val="nil"/>
          <w:lang w:eastAsia="es-MX"/>
        </w:rPr>
        <w:t>MARÍA DEL ROSARIO MEJÍA AYALA</w:t>
      </w:r>
    </w:p>
    <w:p w14:paraId="5446F8D8" w14:textId="2A0CCD76" w:rsidR="009F0BC5" w:rsidRDefault="009F0BC5" w:rsidP="009F0BC5">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r w:rsidRPr="002A43BC">
        <w:rPr>
          <w:rFonts w:ascii="Palatino Linotype" w:eastAsia="Arial" w:hAnsi="Palatino Linotype" w:cs="Arial"/>
          <w:b/>
          <w:color w:val="000000" w:themeColor="text1"/>
          <w:sz w:val="24"/>
          <w:szCs w:val="24"/>
          <w:bdr w:val="nil"/>
          <w:lang w:eastAsia="es-MX"/>
        </w:rPr>
        <w:t>COMISIONADO</w:t>
      </w:r>
    </w:p>
    <w:p w14:paraId="2521936F" w14:textId="16CE757F" w:rsidR="009F0BC5" w:rsidRDefault="009F0BC5"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4B2D219A"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1D6EFA86"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458D9788"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63FB26BA"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3509A41C"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4DE98749"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12F7CF71" w14:textId="77777777" w:rsidR="0027224D" w:rsidRDefault="0027224D" w:rsidP="008A4B0D">
      <w:pPr>
        <w:pBdr>
          <w:top w:val="nil"/>
          <w:left w:val="nil"/>
          <w:bottom w:val="nil"/>
          <w:right w:val="nil"/>
          <w:between w:val="nil"/>
          <w:bar w:val="nil"/>
        </w:pBdr>
        <w:spacing w:after="0" w:line="360" w:lineRule="auto"/>
        <w:jc w:val="center"/>
        <w:rPr>
          <w:rFonts w:ascii="Palatino Linotype" w:eastAsia="Arial" w:hAnsi="Palatino Linotype" w:cs="Arial"/>
          <w:b/>
          <w:color w:val="000000" w:themeColor="text1"/>
          <w:sz w:val="24"/>
          <w:szCs w:val="24"/>
          <w:bdr w:val="nil"/>
          <w:lang w:eastAsia="es-MX"/>
        </w:rPr>
      </w:pPr>
    </w:p>
    <w:p w14:paraId="26D950BF" w14:textId="444468FF" w:rsidR="0027224D" w:rsidRPr="008A4B0D" w:rsidRDefault="0027224D" w:rsidP="0027224D">
      <w:pPr>
        <w:pBdr>
          <w:top w:val="nil"/>
          <w:left w:val="nil"/>
          <w:bottom w:val="nil"/>
          <w:right w:val="nil"/>
          <w:between w:val="nil"/>
          <w:bar w:val="nil"/>
        </w:pBdr>
        <w:spacing w:after="0" w:line="360" w:lineRule="auto"/>
        <w:rPr>
          <w:rFonts w:ascii="Palatino Linotype" w:eastAsia="Arial" w:hAnsi="Palatino Linotype" w:cs="Arial"/>
          <w:b/>
          <w:color w:val="000000" w:themeColor="text1"/>
          <w:sz w:val="24"/>
          <w:szCs w:val="24"/>
          <w:bdr w:val="nil"/>
          <w:lang w:eastAsia="es-MX"/>
        </w:rPr>
      </w:pPr>
      <w:r>
        <w:rPr>
          <w:rFonts w:ascii="Palatino Linotype" w:eastAsia="Arial" w:hAnsi="Palatino Linotype" w:cs="Arial"/>
          <w:b/>
          <w:color w:val="000000" w:themeColor="text1"/>
          <w:sz w:val="24"/>
          <w:szCs w:val="24"/>
          <w:bdr w:val="nil"/>
          <w:lang w:eastAsia="es-MX"/>
        </w:rPr>
        <w:t>MPBR/</w:t>
      </w:r>
      <w:bookmarkStart w:id="10" w:name="_GoBack"/>
      <w:r>
        <w:rPr>
          <w:rFonts w:ascii="Palatino Linotype" w:eastAsia="Arial" w:hAnsi="Palatino Linotype" w:cs="Arial"/>
          <w:b/>
          <w:color w:val="000000" w:themeColor="text1"/>
          <w:sz w:val="24"/>
          <w:szCs w:val="24"/>
          <w:bdr w:val="nil"/>
          <w:lang w:eastAsia="es-MX"/>
        </w:rPr>
        <w:t>A</w:t>
      </w:r>
      <w:bookmarkEnd w:id="10"/>
      <w:r>
        <w:rPr>
          <w:rFonts w:ascii="Palatino Linotype" w:eastAsia="Arial" w:hAnsi="Palatino Linotype" w:cs="Arial"/>
          <w:b/>
          <w:color w:val="000000" w:themeColor="text1"/>
          <w:sz w:val="24"/>
          <w:szCs w:val="24"/>
          <w:bdr w:val="nil"/>
          <w:lang w:eastAsia="es-MX"/>
        </w:rPr>
        <w:t>DM/MRMA.</w:t>
      </w:r>
    </w:p>
    <w:sectPr w:rsidR="0027224D" w:rsidRPr="008A4B0D" w:rsidSect="002A43BC">
      <w:headerReference w:type="even" r:id="rId11"/>
      <w:headerReference w:type="default" r:id="rId12"/>
      <w:footerReference w:type="default" r:id="rId13"/>
      <w:headerReference w:type="first" r:id="rId14"/>
      <w:pgSz w:w="12240" w:h="15840" w:code="1"/>
      <w:pgMar w:top="2268" w:right="1701" w:bottom="226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BCCF8" w14:textId="77777777" w:rsidR="009E5370" w:rsidRDefault="009E5370" w:rsidP="002C0425">
      <w:pPr>
        <w:spacing w:after="0" w:line="240" w:lineRule="auto"/>
      </w:pPr>
      <w:r>
        <w:separator/>
      </w:r>
    </w:p>
  </w:endnote>
  <w:endnote w:type="continuationSeparator" w:id="0">
    <w:p w14:paraId="6C9F1753" w14:textId="77777777" w:rsidR="009E5370" w:rsidRDefault="009E5370" w:rsidP="002C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585527"/>
      <w:docPartObj>
        <w:docPartGallery w:val="Page Numbers (Bottom of Page)"/>
        <w:docPartUnique/>
      </w:docPartObj>
    </w:sdtPr>
    <w:sdtEndPr/>
    <w:sdtContent>
      <w:sdt>
        <w:sdtPr>
          <w:id w:val="-1769616900"/>
          <w:docPartObj>
            <w:docPartGallery w:val="Page Numbers (Top of Page)"/>
            <w:docPartUnique/>
          </w:docPartObj>
        </w:sdtPr>
        <w:sdtEndPr/>
        <w:sdtContent>
          <w:p w14:paraId="545B0F92" w14:textId="77777777" w:rsidR="0032435A" w:rsidRDefault="0032435A">
            <w:pPr>
              <w:pStyle w:val="Piedepgina"/>
              <w:jc w:val="right"/>
            </w:pPr>
            <w:r w:rsidRPr="0052203D">
              <w:rPr>
                <w:rFonts w:ascii="Palatino Linotype" w:hAnsi="Palatino Linotype"/>
                <w:sz w:val="20"/>
                <w:szCs w:val="20"/>
                <w:lang w:val="es-ES"/>
              </w:rPr>
              <w:t xml:space="preserve">Página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PAGE</w:instrText>
            </w:r>
            <w:r w:rsidRPr="0052203D">
              <w:rPr>
                <w:rFonts w:ascii="Palatino Linotype" w:hAnsi="Palatino Linotype"/>
                <w:b/>
                <w:bCs/>
                <w:sz w:val="20"/>
                <w:szCs w:val="20"/>
              </w:rPr>
              <w:fldChar w:fldCharType="separate"/>
            </w:r>
            <w:r w:rsidR="00CB3363">
              <w:rPr>
                <w:rFonts w:ascii="Palatino Linotype" w:hAnsi="Palatino Linotype"/>
                <w:b/>
                <w:bCs/>
                <w:noProof/>
                <w:sz w:val="20"/>
                <w:szCs w:val="20"/>
              </w:rPr>
              <w:t>14</w:t>
            </w:r>
            <w:r w:rsidRPr="0052203D">
              <w:rPr>
                <w:rFonts w:ascii="Palatino Linotype" w:hAnsi="Palatino Linotype"/>
                <w:b/>
                <w:bCs/>
                <w:sz w:val="20"/>
                <w:szCs w:val="20"/>
              </w:rPr>
              <w:fldChar w:fldCharType="end"/>
            </w:r>
            <w:r w:rsidRPr="0052203D">
              <w:rPr>
                <w:rFonts w:ascii="Palatino Linotype" w:hAnsi="Palatino Linotype"/>
                <w:sz w:val="20"/>
                <w:szCs w:val="20"/>
                <w:lang w:val="es-ES"/>
              </w:rPr>
              <w:t xml:space="preserve"> de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NUMPAGES</w:instrText>
            </w:r>
            <w:r w:rsidRPr="0052203D">
              <w:rPr>
                <w:rFonts w:ascii="Palatino Linotype" w:hAnsi="Palatino Linotype"/>
                <w:b/>
                <w:bCs/>
                <w:sz w:val="20"/>
                <w:szCs w:val="20"/>
              </w:rPr>
              <w:fldChar w:fldCharType="separate"/>
            </w:r>
            <w:r w:rsidR="00CB3363">
              <w:rPr>
                <w:rFonts w:ascii="Palatino Linotype" w:hAnsi="Palatino Linotype"/>
                <w:b/>
                <w:bCs/>
                <w:noProof/>
                <w:sz w:val="20"/>
                <w:szCs w:val="20"/>
              </w:rPr>
              <w:t>29</w:t>
            </w:r>
            <w:r w:rsidRPr="0052203D">
              <w:rPr>
                <w:rFonts w:ascii="Palatino Linotype" w:hAnsi="Palatino Linotype"/>
                <w:b/>
                <w:bCs/>
                <w:sz w:val="20"/>
                <w:szCs w:val="20"/>
              </w:rPr>
              <w:fldChar w:fldCharType="end"/>
            </w:r>
          </w:p>
        </w:sdtContent>
      </w:sdt>
    </w:sdtContent>
  </w:sdt>
  <w:p w14:paraId="447141E2" w14:textId="77777777" w:rsidR="0032435A" w:rsidRDefault="003243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48328" w14:textId="77777777" w:rsidR="009E5370" w:rsidRDefault="009E5370" w:rsidP="002C0425">
      <w:pPr>
        <w:spacing w:after="0" w:line="240" w:lineRule="auto"/>
      </w:pPr>
      <w:r>
        <w:separator/>
      </w:r>
    </w:p>
  </w:footnote>
  <w:footnote w:type="continuationSeparator" w:id="0">
    <w:p w14:paraId="3EAE57D1" w14:textId="77777777" w:rsidR="009E5370" w:rsidRDefault="009E5370" w:rsidP="002C0425">
      <w:pPr>
        <w:spacing w:after="0" w:line="240" w:lineRule="auto"/>
      </w:pPr>
      <w:r>
        <w:continuationSeparator/>
      </w:r>
    </w:p>
  </w:footnote>
  <w:footnote w:id="1">
    <w:p w14:paraId="4FD216BE" w14:textId="77777777" w:rsidR="0032435A" w:rsidRDefault="0032435A" w:rsidP="005F796F">
      <w:pPr>
        <w:pStyle w:val="Textonotapie"/>
      </w:pPr>
      <w:r>
        <w:rPr>
          <w:rStyle w:val="Refdenotaalpie"/>
        </w:rPr>
        <w:footnoteRef/>
      </w:r>
      <w:hyperlink r:id="rId1" w:history="1">
        <w:r w:rsidRPr="00F962A3">
          <w:rPr>
            <w:rStyle w:val="Hipervnculo"/>
          </w:rPr>
          <w:t>https://www.cndh.org.mx/documento/caso-radilla-pacheco-vs-mexico</w:t>
        </w:r>
      </w:hyperlink>
      <w:r>
        <w:t xml:space="preserve">  </w:t>
      </w:r>
    </w:p>
  </w:footnote>
  <w:footnote w:id="2">
    <w:p w14:paraId="49BF4626" w14:textId="77777777" w:rsidR="0032435A" w:rsidRPr="00C66DEC" w:rsidRDefault="0032435A" w:rsidP="005F796F">
      <w:pPr>
        <w:pStyle w:val="Textonotapie"/>
        <w:jc w:val="both"/>
        <w:rPr>
          <w:rFonts w:ascii="Palatino Linotype" w:hAnsi="Palatino Linotype"/>
        </w:rPr>
      </w:pPr>
      <w:r>
        <w:rPr>
          <w:rStyle w:val="Refdenotaalpie"/>
        </w:rPr>
        <w:footnoteRef/>
      </w:r>
      <w:r>
        <w:t xml:space="preserve"> </w:t>
      </w:r>
      <w:r w:rsidRPr="00C66DEC">
        <w:rPr>
          <w:rFonts w:ascii="Palatino Linotype" w:hAnsi="Palatino Linotype"/>
        </w:rPr>
        <w:t>ARTÍCULO 8. Garantías Judiciales</w:t>
      </w:r>
    </w:p>
    <w:p w14:paraId="49F2F273" w14:textId="77777777" w:rsidR="0032435A" w:rsidRPr="00C66DEC" w:rsidRDefault="0032435A" w:rsidP="005F796F">
      <w:pPr>
        <w:pStyle w:val="Textonotapie"/>
        <w:jc w:val="both"/>
        <w:rPr>
          <w:rFonts w:ascii="Palatino Linotype" w:hAnsi="Palatino Linotype"/>
        </w:rPr>
      </w:pPr>
      <w:r w:rsidRPr="00C66DEC">
        <w:rPr>
          <w:rFonts w:ascii="Palatino Linotype" w:hAnsi="Palatino Linotype"/>
        </w:rPr>
        <w:t>1. Toda persona tiene derecho a ser oída, con la</w:t>
      </w:r>
      <w:r>
        <w:rPr>
          <w:rFonts w:ascii="Palatino Linotype" w:hAnsi="Palatino Linotype"/>
        </w:rPr>
        <w:t xml:space="preserve">s debidas garantías y dentro de </w:t>
      </w:r>
      <w:r w:rsidRPr="00C66DEC">
        <w:rPr>
          <w:rFonts w:ascii="Palatino Linotype" w:hAnsi="Palatino Linotype"/>
        </w:rPr>
        <w:t>un plazo razonable, por un juez o tribunal compete</w:t>
      </w:r>
      <w:r>
        <w:rPr>
          <w:rFonts w:ascii="Palatino Linotype" w:hAnsi="Palatino Linotype"/>
        </w:rPr>
        <w:t xml:space="preserve">nte, independiente e imparcial, </w:t>
      </w:r>
      <w:r w:rsidRPr="00C66DEC">
        <w:rPr>
          <w:rFonts w:ascii="Palatino Linotype" w:hAnsi="Palatino Linotype"/>
        </w:rPr>
        <w:t>establecido con anterioridad por la ley, en la sustanciaci</w:t>
      </w:r>
      <w:r>
        <w:rPr>
          <w:rFonts w:ascii="Palatino Linotype" w:hAnsi="Palatino Linotype"/>
        </w:rPr>
        <w:t xml:space="preserve">ón de cualquier </w:t>
      </w:r>
      <w:r w:rsidRPr="00C66DEC">
        <w:rPr>
          <w:rFonts w:ascii="Palatino Linotype" w:hAnsi="Palatino Linotype"/>
        </w:rPr>
        <w:t>acusación penal formulada contra ella, o para l</w:t>
      </w:r>
      <w:r>
        <w:rPr>
          <w:rFonts w:ascii="Palatino Linotype" w:hAnsi="Palatino Linotype"/>
        </w:rPr>
        <w:t xml:space="preserve">a determinación de sus derechos </w:t>
      </w:r>
      <w:r w:rsidRPr="00C66DEC">
        <w:rPr>
          <w:rFonts w:ascii="Palatino Linotype" w:hAnsi="Palatino Linotype"/>
        </w:rPr>
        <w:t>y obligaciones de orden civil, laboral, fiscal o de cualquier otro carácter.</w:t>
      </w:r>
    </w:p>
  </w:footnote>
  <w:footnote w:id="3">
    <w:p w14:paraId="084C0D08" w14:textId="77777777" w:rsidR="0032435A" w:rsidRDefault="0032435A" w:rsidP="005F796F">
      <w:pPr>
        <w:pStyle w:val="Textonotapie"/>
      </w:pPr>
      <w:r>
        <w:rPr>
          <w:rStyle w:val="Refdenotaalpie"/>
        </w:rPr>
        <w:footnoteRef/>
      </w:r>
      <w:r>
        <w:t xml:space="preserve"> </w:t>
      </w:r>
      <w:hyperlink r:id="rId2" w:history="1">
        <w:r w:rsidRPr="00F962A3">
          <w:rPr>
            <w:rStyle w:val="Hipervnculo"/>
          </w:rPr>
          <w:t>https://www.corteidh.or.cr/docs/casos/articulos/seriec_219_esp.pdf</w:t>
        </w:r>
      </w:hyperlink>
      <w:r>
        <w:t xml:space="preserve"> </w:t>
      </w:r>
    </w:p>
  </w:footnote>
  <w:footnote w:id="4">
    <w:p w14:paraId="44F2BDFB" w14:textId="77777777" w:rsidR="0032435A" w:rsidRDefault="0032435A" w:rsidP="005F796F">
      <w:pPr>
        <w:pStyle w:val="Textonotapie"/>
        <w:jc w:val="both"/>
      </w:pPr>
      <w:r>
        <w:rPr>
          <w:rStyle w:val="Refdenotaalpie"/>
        </w:rPr>
        <w:footnoteRef/>
      </w:r>
      <w:r>
        <w:t xml:space="preserve"> Cfr. Amparo en revisión 38/2017. Fundación para la Justicia y el Estado Democrático de Derecho, A.C. 24 de mayo de 2017. Unanimidad de cuatro votos de los Ministros Alberto Pérez </w:t>
      </w:r>
      <w:proofErr w:type="spellStart"/>
      <w:r>
        <w:t>Dayán</w:t>
      </w:r>
      <w:proofErr w:type="spellEnd"/>
      <w:r>
        <w:t xml:space="preserve">, Javier </w:t>
      </w:r>
      <w:proofErr w:type="spellStart"/>
      <w:r>
        <w:t>Laynez</w:t>
      </w:r>
      <w:proofErr w:type="spellEnd"/>
      <w:r>
        <w:t xml:space="preserve"> </w:t>
      </w:r>
      <w:proofErr w:type="spellStart"/>
      <w:r>
        <w:t>Potisek</w:t>
      </w:r>
      <w:proofErr w:type="spellEnd"/>
      <w:r>
        <w:t xml:space="preserve">, José Fernando Franco González Salas y Eduardo Medina Mora I. Ausente: Margarita Beatriz Luna Ramos. Ponente: Alberto Pérez </w:t>
      </w:r>
      <w:proofErr w:type="spellStart"/>
      <w:r>
        <w:t>Dayán</w:t>
      </w:r>
      <w:proofErr w:type="spellEnd"/>
      <w:r>
        <w:t>. Secretario: Isidro Emmanuel Muñoz Acevedo.</w:t>
      </w:r>
    </w:p>
  </w:footnote>
  <w:footnote w:id="5">
    <w:p w14:paraId="2F6F27BE" w14:textId="77777777" w:rsidR="0032435A" w:rsidRDefault="0032435A" w:rsidP="005F796F">
      <w:pPr>
        <w:pStyle w:val="Textonotapie"/>
        <w:jc w:val="both"/>
      </w:pPr>
      <w:r>
        <w:rPr>
          <w:rStyle w:val="Refdenotaalpie"/>
        </w:rPr>
        <w:footnoteRef/>
      </w:r>
      <w:r>
        <w:t xml:space="preserve"> Amparo en revisión 38/2017. Fundación para la Justicia y el Estado Democrático de Derecho, A.C. 24 de mayo de 2017. Unanimidad de cuatro votos de los Ministros Alberto Pérez </w:t>
      </w:r>
      <w:proofErr w:type="spellStart"/>
      <w:r>
        <w:t>Dayán</w:t>
      </w:r>
      <w:proofErr w:type="spellEnd"/>
      <w:r>
        <w:t xml:space="preserve">, Javier </w:t>
      </w:r>
      <w:proofErr w:type="spellStart"/>
      <w:r>
        <w:t>Laynez</w:t>
      </w:r>
      <w:proofErr w:type="spellEnd"/>
      <w:r>
        <w:t xml:space="preserve"> </w:t>
      </w:r>
      <w:proofErr w:type="spellStart"/>
      <w:r>
        <w:t>Potisek</w:t>
      </w:r>
      <w:proofErr w:type="spellEnd"/>
      <w:r>
        <w:t xml:space="preserve">, José Fernando Franco González Salas y Eduardo Medina Mora I. Ausente: Margarita Beatriz Luna Ramos. Ponente: Alberto Pérez </w:t>
      </w:r>
      <w:proofErr w:type="spellStart"/>
      <w:r>
        <w:t>Dayán</w:t>
      </w:r>
      <w:proofErr w:type="spellEnd"/>
      <w:r>
        <w:t xml:space="preserve">. Secretario: Isidro Emmanuel Muñoz Acevedo. Página 25. </w:t>
      </w:r>
    </w:p>
  </w:footnote>
  <w:footnote w:id="6">
    <w:p w14:paraId="56546A88" w14:textId="77777777" w:rsidR="0032435A" w:rsidRDefault="0032435A" w:rsidP="005F796F">
      <w:pPr>
        <w:pStyle w:val="Textonotapie"/>
        <w:jc w:val="both"/>
      </w:pPr>
      <w:r>
        <w:rPr>
          <w:rStyle w:val="Refdenotaalpie"/>
        </w:rPr>
        <w:footnoteRef/>
      </w:r>
      <w:r>
        <w:t xml:space="preserve"> Ver: Corte IDH. Caso Myrna </w:t>
      </w:r>
      <w:proofErr w:type="spellStart"/>
      <w:r>
        <w:t>Mack</w:t>
      </w:r>
      <w:proofErr w:type="spellEnd"/>
      <w:r>
        <w:t xml:space="preserve"> Chang Vs. Guatemala. Fondo, Reparaciones y Costas. Sentencia de 25 de noviembre de 2003. Serie C No. 101. </w:t>
      </w:r>
    </w:p>
    <w:p w14:paraId="7F87BA52" w14:textId="77777777" w:rsidR="0032435A" w:rsidRDefault="0032435A" w:rsidP="005F796F">
      <w:pPr>
        <w:pStyle w:val="Textonotapie"/>
        <w:jc w:val="both"/>
      </w:pPr>
      <w:r>
        <w:t xml:space="preserve">Corte IDH. Caso de la Comunidad </w:t>
      </w:r>
      <w:proofErr w:type="spellStart"/>
      <w:r>
        <w:t>Moiwana</w:t>
      </w:r>
      <w:proofErr w:type="spellEnd"/>
      <w:r>
        <w:t xml:space="preserve"> Vs. Surinam. Excepciones Preliminares, Fondo, Reparaciones y Costas. Sentencia 15 de junio de 2005. Serie C No. 124. </w:t>
      </w:r>
    </w:p>
    <w:p w14:paraId="1503D09B" w14:textId="77777777" w:rsidR="0032435A" w:rsidRDefault="0032435A" w:rsidP="005F796F">
      <w:pPr>
        <w:pStyle w:val="Textonotapie"/>
        <w:jc w:val="both"/>
      </w:pPr>
      <w:r>
        <w:t>CIDH Informe Anual 1985 -1986, OEA/</w:t>
      </w:r>
      <w:proofErr w:type="spellStart"/>
      <w:r>
        <w:t>Ser.L</w:t>
      </w:r>
      <w:proofErr w:type="spellEnd"/>
      <w:r>
        <w:t xml:space="preserve">/V/II.68, Doc. 8 </w:t>
      </w:r>
      <w:proofErr w:type="spellStart"/>
      <w:r>
        <w:t>rev.</w:t>
      </w:r>
      <w:proofErr w:type="spellEnd"/>
      <w:r>
        <w:t xml:space="preserve"> 1, 26 de septiembre 1986, Capítulo V, citado en CIDH, “</w:t>
      </w:r>
      <w:r w:rsidRPr="00961B36">
        <w:rPr>
          <w:i/>
          <w:iCs/>
        </w:rPr>
        <w:t>El derecho a la verdad en América</w:t>
      </w:r>
      <w:r>
        <w:t>”</w:t>
      </w:r>
    </w:p>
  </w:footnote>
  <w:footnote w:id="7">
    <w:p w14:paraId="4E6684AD" w14:textId="77777777" w:rsidR="0032435A" w:rsidRPr="006E0BD9" w:rsidRDefault="0032435A" w:rsidP="005F796F">
      <w:pPr>
        <w:pStyle w:val="Textonotapie"/>
        <w:jc w:val="both"/>
        <w:rPr>
          <w:lang w:val="es-ES"/>
        </w:rPr>
      </w:pPr>
      <w:r>
        <w:rPr>
          <w:rStyle w:val="Refdenotaalpie"/>
        </w:rPr>
        <w:footnoteRef/>
      </w:r>
      <w:r>
        <w:t xml:space="preserve"> </w:t>
      </w:r>
      <w:r>
        <w:rPr>
          <w:lang w:val="es-ES"/>
        </w:rPr>
        <w:t>Juzgado Octavo de Distrito en Materia Administrativa en el D.F. Sentencia de 11 de abril de 2014. Pág. 46</w:t>
      </w:r>
    </w:p>
  </w:footnote>
  <w:footnote w:id="8">
    <w:p w14:paraId="4DFCCDCB" w14:textId="77777777" w:rsidR="0032435A" w:rsidRPr="006E0BD9" w:rsidRDefault="0032435A" w:rsidP="005F796F">
      <w:pPr>
        <w:pStyle w:val="Textonotapie"/>
        <w:rPr>
          <w:lang w:val="es-ES"/>
        </w:rPr>
      </w:pPr>
      <w:r>
        <w:rPr>
          <w:rStyle w:val="Refdenotaalpie"/>
        </w:rPr>
        <w:footnoteRef/>
      </w:r>
      <w:r>
        <w:t xml:space="preserve"> </w:t>
      </w:r>
      <w:r>
        <w:rPr>
          <w:lang w:val="es-ES"/>
        </w:rPr>
        <w:t xml:space="preserve">Oficio No. IFAI-0A/XPM/081/2015 disponible en </w:t>
      </w:r>
      <w:r w:rsidRPr="00961B36">
        <w:t>http://www.senado.gob.mx/comisiones/anticorrupcion/docs/transparencia/</w:t>
      </w:r>
      <w:proofErr w:type="gramStart"/>
      <w:r w:rsidRPr="00961B36">
        <w:t>IFAI1.pdf</w:t>
      </w:r>
      <w:r>
        <w:t xml:space="preserve"> ,</w:t>
      </w:r>
      <w:proofErr w:type="gramEnd"/>
      <w:r>
        <w:t xml:space="preserve"> por no encontrarse disponible la versión pública de la sentencia según página del Consejo de la Judicatura Federal.</w:t>
      </w:r>
    </w:p>
  </w:footnote>
  <w:footnote w:id="9">
    <w:p w14:paraId="4F7B84AF" w14:textId="77777777" w:rsidR="009C5F99" w:rsidRDefault="009C5F99" w:rsidP="009C5F99">
      <w:pPr>
        <w:pStyle w:val="Textonotapie"/>
        <w:jc w:val="both"/>
      </w:pPr>
      <w:r>
        <w:rPr>
          <w:rStyle w:val="Refdenotaalpie"/>
        </w:rPr>
        <w:footnoteRef/>
      </w:r>
      <w:r>
        <w:t xml:space="preserve"> Observación General N° 36 sobre el artículo 6 del Pacto Internacional de Derechos Civiles y Políticos, relativos al derecho a la vida, párrafo 2.</w:t>
      </w:r>
    </w:p>
  </w:footnote>
  <w:footnote w:id="10">
    <w:p w14:paraId="4CC3E9D0" w14:textId="77777777" w:rsidR="007357CE" w:rsidRPr="0017492B" w:rsidRDefault="007357CE" w:rsidP="007357CE">
      <w:pPr>
        <w:pStyle w:val="Textonotapie"/>
      </w:pPr>
      <w:r>
        <w:rPr>
          <w:rStyle w:val="Refdenotaalpie"/>
        </w:rPr>
        <w:footnoteRef/>
      </w:r>
      <w:r>
        <w:t xml:space="preserve"> Amnistía Internacional, </w:t>
      </w:r>
      <w:r>
        <w:rPr>
          <w:i/>
          <w:iCs/>
        </w:rPr>
        <w:t>Policías Bajo la Lupa. Cinco Claves para la Supervisión y la Rendición de Cuentas de la Policía en las Américas</w:t>
      </w:r>
      <w:r>
        <w:t>, Octubre de 2021.</w:t>
      </w:r>
    </w:p>
  </w:footnote>
  <w:footnote w:id="11">
    <w:p w14:paraId="12ED9FFD" w14:textId="77777777" w:rsidR="007357CE" w:rsidRDefault="007357CE" w:rsidP="007357CE">
      <w:pPr>
        <w:pStyle w:val="Textonotapie"/>
      </w:pPr>
      <w:r>
        <w:rPr>
          <w:rStyle w:val="Refdenotaalpie"/>
        </w:rPr>
        <w:footnoteRef/>
      </w:r>
      <w:r>
        <w:t xml:space="preserve"> Amnistía Internacional, </w:t>
      </w:r>
      <w:r>
        <w:rPr>
          <w:i/>
          <w:iCs/>
        </w:rPr>
        <w:t>Policías Bajo la Lupa. Cinco Claves para la Supervisión y la Rendición de Cuentas de la Policía en las Américas</w:t>
      </w:r>
      <w:r>
        <w:t>, p. 08, Octubre de 2021.</w:t>
      </w:r>
    </w:p>
  </w:footnote>
  <w:footnote w:id="12">
    <w:p w14:paraId="411F7511" w14:textId="77777777" w:rsidR="007357CE" w:rsidRDefault="007357CE" w:rsidP="007357CE">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8ACF4" w14:textId="77777777" w:rsidR="0032435A" w:rsidRDefault="009E5370">
    <w:pPr>
      <w:pStyle w:val="Encabezado"/>
    </w:pPr>
    <w:r>
      <w:rPr>
        <w:noProof/>
        <w:lang w:val="en-US"/>
      </w:rPr>
      <w:pict w14:anchorId="273AB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4" o:spid="_x0000_s2050" type="#_x0000_t136" style="position:absolute;margin-left:0;margin-top:0;width:538.05pt;height:84.95pt;rotation:315;z-index:-251656192;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67C83" w14:textId="76C4384C" w:rsidR="0032435A" w:rsidRDefault="0027224D">
    <w:pPr>
      <w:pStyle w:val="Encabezado"/>
    </w:pPr>
    <w:r>
      <w:rPr>
        <w:noProof/>
        <w:lang w:eastAsia="es-MX"/>
      </w:rPr>
      <w:drawing>
        <wp:anchor distT="0" distB="0" distL="114300" distR="114300" simplePos="0" relativeHeight="251662336" behindDoc="1" locked="0" layoutInCell="1" allowOverlap="1" wp14:anchorId="1FE8B2BA" wp14:editId="67544DAF">
          <wp:simplePos x="0" y="0"/>
          <wp:positionH relativeFrom="column">
            <wp:posOffset>-557473</wp:posOffset>
          </wp:positionH>
          <wp:positionV relativeFrom="paragraph">
            <wp:posOffset>-81981</wp:posOffset>
          </wp:positionV>
          <wp:extent cx="1591293" cy="935647"/>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970" t="33724" r="60240" b="53952"/>
                  <a:stretch/>
                </pic:blipFill>
                <pic:spPr bwMode="auto">
                  <a:xfrm>
                    <a:off x="0" y="0"/>
                    <a:ext cx="1591293" cy="935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370">
      <w:rPr>
        <w:noProof/>
        <w:lang w:val="en-US"/>
      </w:rPr>
      <w:pict w14:anchorId="130B2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5" o:spid="_x0000_s2051" type="#_x0000_t136" style="position:absolute;margin-left:0;margin-top:0;width:538.05pt;height:84.95pt;rotation:315;z-index:-251655168;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p w14:paraId="4CD3675C" w14:textId="77777777" w:rsidR="0032435A" w:rsidRDefault="0032435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02057" w14:textId="77777777" w:rsidR="0032435A" w:rsidRDefault="009E5370">
    <w:pPr>
      <w:pStyle w:val="Encabezado"/>
    </w:pPr>
    <w:r>
      <w:rPr>
        <w:noProof/>
        <w:lang w:val="en-US"/>
      </w:rPr>
      <w:pict w14:anchorId="2D489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16953" o:spid="_x0000_s2049" type="#_x0000_t136" style="position:absolute;margin-left:0;margin-top:0;width:538.05pt;height:84.95pt;rotation:315;z-index:-251657216;mso-position-horizontal:center;mso-position-horizontal-relative:margin;mso-position-vertical:center;mso-position-vertical-relative:margin" o:allowincell="f" fillcolor="gray [1629]" stroked="f">
          <v:fill opacity=".5"/>
          <v:textpath style="font-family:&quot;Palatino Linotype&quot;;font-size:1pt" string="VOTO DISIDE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5DFB"/>
    <w:multiLevelType w:val="hybridMultilevel"/>
    <w:tmpl w:val="5C2EE6B6"/>
    <w:lvl w:ilvl="0" w:tplc="679EA47A">
      <w:start w:val="1"/>
      <w:numFmt w:val="lowerLetter"/>
      <w:lvlText w:val="%1)"/>
      <w:lvlJc w:val="left"/>
      <w:pPr>
        <w:ind w:left="927" w:hanging="36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956DB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4B1A73"/>
    <w:multiLevelType w:val="hybridMultilevel"/>
    <w:tmpl w:val="6E8084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85D08D2"/>
    <w:multiLevelType w:val="hybridMultilevel"/>
    <w:tmpl w:val="6EF2AE00"/>
    <w:lvl w:ilvl="0" w:tplc="6616D4C6">
      <w:start w:val="1"/>
      <w:numFmt w:val="lowerLetter"/>
      <w:lvlText w:val="%1)"/>
      <w:lvlJc w:val="left"/>
      <w:pPr>
        <w:ind w:left="720" w:hanging="360"/>
      </w:pPr>
      <w:rPr>
        <w:rFonts w:eastAsia="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C81620"/>
    <w:multiLevelType w:val="hybridMultilevel"/>
    <w:tmpl w:val="62F6F100"/>
    <w:lvl w:ilvl="0" w:tplc="257C80E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722D3"/>
    <w:multiLevelType w:val="hybridMultilevel"/>
    <w:tmpl w:val="785A8D0E"/>
    <w:lvl w:ilvl="0" w:tplc="F8E4E530">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084F3C"/>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7D0697"/>
    <w:multiLevelType w:val="hybridMultilevel"/>
    <w:tmpl w:val="ABB48A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5E2F0D"/>
    <w:multiLevelType w:val="hybridMultilevel"/>
    <w:tmpl w:val="F214B2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C640A2"/>
    <w:multiLevelType w:val="hybridMultilevel"/>
    <w:tmpl w:val="A4200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927D1D"/>
    <w:multiLevelType w:val="hybridMultilevel"/>
    <w:tmpl w:val="1624CFD4"/>
    <w:lvl w:ilvl="0" w:tplc="7C0A19C8">
      <w:start w:val="10"/>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345634BA"/>
    <w:lvl w:ilvl="0" w:tplc="50A2BCFA">
      <w:start w:val="1"/>
      <w:numFmt w:val="decimal"/>
      <w:lvlText w:val="%1."/>
      <w:lvlJc w:val="left"/>
      <w:pPr>
        <w:ind w:left="5039"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3DC64492">
      <w:start w:val="5"/>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866BDB"/>
    <w:multiLevelType w:val="hybridMultilevel"/>
    <w:tmpl w:val="EE84DF4E"/>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5">
    <w:nsid w:val="382533DB"/>
    <w:multiLevelType w:val="hybridMultilevel"/>
    <w:tmpl w:val="345648DA"/>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1066BC"/>
    <w:multiLevelType w:val="hybridMultilevel"/>
    <w:tmpl w:val="0B288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4D01F0"/>
    <w:multiLevelType w:val="hybridMultilevel"/>
    <w:tmpl w:val="20A010AE"/>
    <w:lvl w:ilvl="0" w:tplc="47F8579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48C61492"/>
    <w:multiLevelType w:val="hybridMultilevel"/>
    <w:tmpl w:val="CAD01DB2"/>
    <w:lvl w:ilvl="0" w:tplc="B726CFF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85231C"/>
    <w:multiLevelType w:val="hybridMultilevel"/>
    <w:tmpl w:val="2AA8E96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4BCC06D5"/>
    <w:multiLevelType w:val="hybridMultilevel"/>
    <w:tmpl w:val="908CB0D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D35B30"/>
    <w:multiLevelType w:val="hybridMultilevel"/>
    <w:tmpl w:val="7646CFA6"/>
    <w:lvl w:ilvl="0" w:tplc="8DDCC7AA">
      <w:start w:val="43"/>
      <w:numFmt w:val="decimal"/>
      <w:lvlText w:val="%1."/>
      <w:lvlJc w:val="left"/>
      <w:pPr>
        <w:ind w:left="720" w:hanging="360"/>
      </w:pPr>
      <w:rPr>
        <w:rFonts w:hint="default"/>
        <w:b/>
      </w:rPr>
    </w:lvl>
    <w:lvl w:ilvl="1" w:tplc="04090019">
      <w:start w:val="1"/>
      <w:numFmt w:val="lowerLetter"/>
      <w:lvlText w:val="%2."/>
      <w:lvlJc w:val="left"/>
      <w:pPr>
        <w:ind w:left="2487"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44432D"/>
    <w:multiLevelType w:val="hybridMultilevel"/>
    <w:tmpl w:val="8EC6E7A6"/>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7202FA"/>
    <w:multiLevelType w:val="hybridMultilevel"/>
    <w:tmpl w:val="5DF84F14"/>
    <w:lvl w:ilvl="0" w:tplc="314C95F2">
      <w:start w:val="1"/>
      <w:numFmt w:val="decimal"/>
      <w:lvlText w:val="%1."/>
      <w:lvlJc w:val="left"/>
      <w:pPr>
        <w:ind w:left="36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CF6A33"/>
    <w:multiLevelType w:val="multilevel"/>
    <w:tmpl w:val="EAA44480"/>
    <w:lvl w:ilvl="0">
      <w:start w:val="5"/>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5F4779B8"/>
    <w:multiLevelType w:val="hybridMultilevel"/>
    <w:tmpl w:val="D3CE1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3102028"/>
    <w:multiLevelType w:val="hybridMultilevel"/>
    <w:tmpl w:val="F41680FE"/>
    <w:lvl w:ilvl="0" w:tplc="25CEB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0A1793"/>
    <w:multiLevelType w:val="hybridMultilevel"/>
    <w:tmpl w:val="9920C8D2"/>
    <w:lvl w:ilvl="0" w:tplc="C666EAAC">
      <w:start w:val="4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D5512"/>
    <w:multiLevelType w:val="hybridMultilevel"/>
    <w:tmpl w:val="51C43D86"/>
    <w:lvl w:ilvl="0" w:tplc="E958599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78D4FB1"/>
    <w:multiLevelType w:val="hybridMultilevel"/>
    <w:tmpl w:val="0A0CCE9C"/>
    <w:lvl w:ilvl="0" w:tplc="50A2BCFA">
      <w:start w:val="1"/>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B25E4A"/>
    <w:multiLevelType w:val="hybridMultilevel"/>
    <w:tmpl w:val="AC220B64"/>
    <w:lvl w:ilvl="0" w:tplc="6256DB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2E249B"/>
    <w:multiLevelType w:val="hybridMultilevel"/>
    <w:tmpl w:val="B7E2DC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E82A9B"/>
    <w:multiLevelType w:val="hybridMultilevel"/>
    <w:tmpl w:val="D5363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4"/>
  </w:num>
  <w:num w:numId="3">
    <w:abstractNumId w:val="0"/>
  </w:num>
  <w:num w:numId="4">
    <w:abstractNumId w:val="10"/>
  </w:num>
  <w:num w:numId="5">
    <w:abstractNumId w:val="25"/>
  </w:num>
  <w:num w:numId="6">
    <w:abstractNumId w:val="20"/>
  </w:num>
  <w:num w:numId="7">
    <w:abstractNumId w:val="17"/>
  </w:num>
  <w:num w:numId="8">
    <w:abstractNumId w:val="1"/>
  </w:num>
  <w:num w:numId="9">
    <w:abstractNumId w:val="13"/>
  </w:num>
  <w:num w:numId="10">
    <w:abstractNumId w:val="8"/>
  </w:num>
  <w:num w:numId="11">
    <w:abstractNumId w:val="27"/>
  </w:num>
  <w:num w:numId="12">
    <w:abstractNumId w:val="5"/>
  </w:num>
  <w:num w:numId="13">
    <w:abstractNumId w:val="18"/>
  </w:num>
  <w:num w:numId="14">
    <w:abstractNumId w:val="14"/>
  </w:num>
  <w:num w:numId="15">
    <w:abstractNumId w:val="35"/>
  </w:num>
  <w:num w:numId="16">
    <w:abstractNumId w:val="7"/>
  </w:num>
  <w:num w:numId="17">
    <w:abstractNumId w:val="9"/>
  </w:num>
  <w:num w:numId="18">
    <w:abstractNumId w:val="36"/>
  </w:num>
  <w:num w:numId="19">
    <w:abstractNumId w:val="32"/>
  </w:num>
  <w:num w:numId="20">
    <w:abstractNumId w:val="28"/>
  </w:num>
  <w:num w:numId="21">
    <w:abstractNumId w:val="11"/>
  </w:num>
  <w:num w:numId="22">
    <w:abstractNumId w:val="15"/>
  </w:num>
  <w:num w:numId="23">
    <w:abstractNumId w:val="26"/>
  </w:num>
  <w:num w:numId="24">
    <w:abstractNumId w:val="19"/>
  </w:num>
  <w:num w:numId="25">
    <w:abstractNumId w:val="31"/>
  </w:num>
  <w:num w:numId="26">
    <w:abstractNumId w:val="23"/>
  </w:num>
  <w:num w:numId="27">
    <w:abstractNumId w:val="3"/>
  </w:num>
  <w:num w:numId="28">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6"/>
  </w:num>
  <w:num w:numId="31">
    <w:abstractNumId w:val="2"/>
  </w:num>
  <w:num w:numId="32">
    <w:abstractNumId w:val="33"/>
  </w:num>
  <w:num w:numId="33">
    <w:abstractNumId w:val="29"/>
  </w:num>
  <w:num w:numId="34">
    <w:abstractNumId w:val="22"/>
  </w:num>
  <w:num w:numId="35">
    <w:abstractNumId w:val="16"/>
  </w:num>
  <w:num w:numId="36">
    <w:abstractNumId w:val="21"/>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25"/>
    <w:rsid w:val="000150BA"/>
    <w:rsid w:val="00032496"/>
    <w:rsid w:val="00036132"/>
    <w:rsid w:val="0007183B"/>
    <w:rsid w:val="00091FA7"/>
    <w:rsid w:val="000A29FD"/>
    <w:rsid w:val="000B2316"/>
    <w:rsid w:val="000C3F66"/>
    <w:rsid w:val="000D2CB7"/>
    <w:rsid w:val="000D3249"/>
    <w:rsid w:val="000F1716"/>
    <w:rsid w:val="00100221"/>
    <w:rsid w:val="001132CB"/>
    <w:rsid w:val="00117A12"/>
    <w:rsid w:val="00122EB1"/>
    <w:rsid w:val="00141B6E"/>
    <w:rsid w:val="00147149"/>
    <w:rsid w:val="00152DB2"/>
    <w:rsid w:val="001701E1"/>
    <w:rsid w:val="00180BFE"/>
    <w:rsid w:val="00196054"/>
    <w:rsid w:val="001A1ECB"/>
    <w:rsid w:val="001B2FE3"/>
    <w:rsid w:val="001B6D73"/>
    <w:rsid w:val="001C4337"/>
    <w:rsid w:val="001E1ABF"/>
    <w:rsid w:val="00207CD1"/>
    <w:rsid w:val="00213603"/>
    <w:rsid w:val="00215DCF"/>
    <w:rsid w:val="00230453"/>
    <w:rsid w:val="002307C0"/>
    <w:rsid w:val="0023130B"/>
    <w:rsid w:val="0023170E"/>
    <w:rsid w:val="00240D99"/>
    <w:rsid w:val="00250780"/>
    <w:rsid w:val="00253D8C"/>
    <w:rsid w:val="00262FC1"/>
    <w:rsid w:val="0026420F"/>
    <w:rsid w:val="00265603"/>
    <w:rsid w:val="00265760"/>
    <w:rsid w:val="0027224D"/>
    <w:rsid w:val="0027773D"/>
    <w:rsid w:val="00277FA3"/>
    <w:rsid w:val="0029152A"/>
    <w:rsid w:val="002A30A3"/>
    <w:rsid w:val="002A43BC"/>
    <w:rsid w:val="002B000F"/>
    <w:rsid w:val="002B2DB8"/>
    <w:rsid w:val="002C0425"/>
    <w:rsid w:val="002E2EBD"/>
    <w:rsid w:val="00311B32"/>
    <w:rsid w:val="0032435A"/>
    <w:rsid w:val="00325F46"/>
    <w:rsid w:val="00337AD2"/>
    <w:rsid w:val="003442F0"/>
    <w:rsid w:val="0034598D"/>
    <w:rsid w:val="003603BF"/>
    <w:rsid w:val="0039183C"/>
    <w:rsid w:val="00392B10"/>
    <w:rsid w:val="0039495E"/>
    <w:rsid w:val="003B34A8"/>
    <w:rsid w:val="003C6C75"/>
    <w:rsid w:val="003F100C"/>
    <w:rsid w:val="003F5F80"/>
    <w:rsid w:val="00401D61"/>
    <w:rsid w:val="00406B19"/>
    <w:rsid w:val="004240AA"/>
    <w:rsid w:val="0042787B"/>
    <w:rsid w:val="0043259F"/>
    <w:rsid w:val="0044193D"/>
    <w:rsid w:val="00465268"/>
    <w:rsid w:val="00466E0E"/>
    <w:rsid w:val="00490E5C"/>
    <w:rsid w:val="00494A1F"/>
    <w:rsid w:val="004971E6"/>
    <w:rsid w:val="004B4437"/>
    <w:rsid w:val="004B46C5"/>
    <w:rsid w:val="004E6086"/>
    <w:rsid w:val="004E63BF"/>
    <w:rsid w:val="004F39B9"/>
    <w:rsid w:val="004F7A40"/>
    <w:rsid w:val="005001CF"/>
    <w:rsid w:val="005002AA"/>
    <w:rsid w:val="00502CAF"/>
    <w:rsid w:val="00512D09"/>
    <w:rsid w:val="005224AF"/>
    <w:rsid w:val="00551216"/>
    <w:rsid w:val="005644FF"/>
    <w:rsid w:val="00587D1C"/>
    <w:rsid w:val="00593CC1"/>
    <w:rsid w:val="005B0502"/>
    <w:rsid w:val="005C6624"/>
    <w:rsid w:val="005C7AE6"/>
    <w:rsid w:val="005F796F"/>
    <w:rsid w:val="0060449E"/>
    <w:rsid w:val="0061369A"/>
    <w:rsid w:val="00621A70"/>
    <w:rsid w:val="00623067"/>
    <w:rsid w:val="00623C8D"/>
    <w:rsid w:val="00624117"/>
    <w:rsid w:val="006A4123"/>
    <w:rsid w:val="006A5D29"/>
    <w:rsid w:val="006B4F3E"/>
    <w:rsid w:val="006C7FD3"/>
    <w:rsid w:val="006E10FC"/>
    <w:rsid w:val="006E6998"/>
    <w:rsid w:val="006F47DC"/>
    <w:rsid w:val="00703237"/>
    <w:rsid w:val="00731C1B"/>
    <w:rsid w:val="007357CE"/>
    <w:rsid w:val="0074075A"/>
    <w:rsid w:val="00742484"/>
    <w:rsid w:val="00760EFD"/>
    <w:rsid w:val="00773410"/>
    <w:rsid w:val="007813AE"/>
    <w:rsid w:val="00781609"/>
    <w:rsid w:val="0078362A"/>
    <w:rsid w:val="007846D2"/>
    <w:rsid w:val="00792890"/>
    <w:rsid w:val="007B5DDB"/>
    <w:rsid w:val="007B7418"/>
    <w:rsid w:val="007F2468"/>
    <w:rsid w:val="007F4F75"/>
    <w:rsid w:val="007F7136"/>
    <w:rsid w:val="00802AAE"/>
    <w:rsid w:val="0082021B"/>
    <w:rsid w:val="008317DA"/>
    <w:rsid w:val="0083752B"/>
    <w:rsid w:val="008421EE"/>
    <w:rsid w:val="00860F51"/>
    <w:rsid w:val="0087228E"/>
    <w:rsid w:val="0088136D"/>
    <w:rsid w:val="00881525"/>
    <w:rsid w:val="00883783"/>
    <w:rsid w:val="008855B5"/>
    <w:rsid w:val="008957BF"/>
    <w:rsid w:val="00895986"/>
    <w:rsid w:val="008A4B0D"/>
    <w:rsid w:val="008B5ABE"/>
    <w:rsid w:val="008C5C3F"/>
    <w:rsid w:val="008D0A77"/>
    <w:rsid w:val="008D7542"/>
    <w:rsid w:val="0090113F"/>
    <w:rsid w:val="0090379C"/>
    <w:rsid w:val="00910ECF"/>
    <w:rsid w:val="0091171B"/>
    <w:rsid w:val="0091259D"/>
    <w:rsid w:val="00930D24"/>
    <w:rsid w:val="00935E48"/>
    <w:rsid w:val="00941C31"/>
    <w:rsid w:val="00942EE7"/>
    <w:rsid w:val="00956804"/>
    <w:rsid w:val="00956E2E"/>
    <w:rsid w:val="00957415"/>
    <w:rsid w:val="00964C1E"/>
    <w:rsid w:val="009655F8"/>
    <w:rsid w:val="00971074"/>
    <w:rsid w:val="009773F9"/>
    <w:rsid w:val="00986004"/>
    <w:rsid w:val="009956CF"/>
    <w:rsid w:val="0099743B"/>
    <w:rsid w:val="009B57E6"/>
    <w:rsid w:val="009C3593"/>
    <w:rsid w:val="009C5F99"/>
    <w:rsid w:val="009E5370"/>
    <w:rsid w:val="009F0A19"/>
    <w:rsid w:val="009F0BC5"/>
    <w:rsid w:val="00A00825"/>
    <w:rsid w:val="00A045DD"/>
    <w:rsid w:val="00A3574A"/>
    <w:rsid w:val="00A472F8"/>
    <w:rsid w:val="00AA2CEC"/>
    <w:rsid w:val="00AC21D4"/>
    <w:rsid w:val="00AD1A27"/>
    <w:rsid w:val="00AF53C4"/>
    <w:rsid w:val="00B00D57"/>
    <w:rsid w:val="00B0746B"/>
    <w:rsid w:val="00B14249"/>
    <w:rsid w:val="00B142A9"/>
    <w:rsid w:val="00B623D1"/>
    <w:rsid w:val="00B706FA"/>
    <w:rsid w:val="00B90ADC"/>
    <w:rsid w:val="00BA2B5D"/>
    <w:rsid w:val="00BA448C"/>
    <w:rsid w:val="00BB518F"/>
    <w:rsid w:val="00BC08D2"/>
    <w:rsid w:val="00BC4265"/>
    <w:rsid w:val="00BC78C8"/>
    <w:rsid w:val="00C2473C"/>
    <w:rsid w:val="00C451F4"/>
    <w:rsid w:val="00C62100"/>
    <w:rsid w:val="00C70C3A"/>
    <w:rsid w:val="00C72F11"/>
    <w:rsid w:val="00C77E23"/>
    <w:rsid w:val="00C849E8"/>
    <w:rsid w:val="00C86B5D"/>
    <w:rsid w:val="00C92C05"/>
    <w:rsid w:val="00C93048"/>
    <w:rsid w:val="00CA6E2D"/>
    <w:rsid w:val="00CB2960"/>
    <w:rsid w:val="00CB3363"/>
    <w:rsid w:val="00CC2672"/>
    <w:rsid w:val="00CD2100"/>
    <w:rsid w:val="00CD5C84"/>
    <w:rsid w:val="00CF197B"/>
    <w:rsid w:val="00D05906"/>
    <w:rsid w:val="00D12B23"/>
    <w:rsid w:val="00D2011B"/>
    <w:rsid w:val="00D205C5"/>
    <w:rsid w:val="00D55CB7"/>
    <w:rsid w:val="00D573A8"/>
    <w:rsid w:val="00D61A44"/>
    <w:rsid w:val="00D835C9"/>
    <w:rsid w:val="00D87FCD"/>
    <w:rsid w:val="00D97982"/>
    <w:rsid w:val="00DB7F8E"/>
    <w:rsid w:val="00E1200C"/>
    <w:rsid w:val="00E427C6"/>
    <w:rsid w:val="00E42F7C"/>
    <w:rsid w:val="00E42F9C"/>
    <w:rsid w:val="00E5597A"/>
    <w:rsid w:val="00E579FB"/>
    <w:rsid w:val="00E62187"/>
    <w:rsid w:val="00E65FC8"/>
    <w:rsid w:val="00E6742A"/>
    <w:rsid w:val="00E97758"/>
    <w:rsid w:val="00EC1AD4"/>
    <w:rsid w:val="00ED65F6"/>
    <w:rsid w:val="00EE19CA"/>
    <w:rsid w:val="00EE29A1"/>
    <w:rsid w:val="00EE639D"/>
    <w:rsid w:val="00F173E3"/>
    <w:rsid w:val="00F26763"/>
    <w:rsid w:val="00F46F66"/>
    <w:rsid w:val="00F579CF"/>
    <w:rsid w:val="00F644D1"/>
    <w:rsid w:val="00F74857"/>
    <w:rsid w:val="00F819D6"/>
    <w:rsid w:val="00FA7EDC"/>
    <w:rsid w:val="00FB13AE"/>
    <w:rsid w:val="00FB5CBE"/>
    <w:rsid w:val="00FC740C"/>
    <w:rsid w:val="00FE301B"/>
    <w:rsid w:val="00FF02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E8A795"/>
  <w15:chartTrackingRefBased/>
  <w15:docId w15:val="{477FA421-1A48-4403-84D1-BA7738AF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99"/>
  </w:style>
  <w:style w:type="paragraph" w:styleId="Ttulo1">
    <w:name w:val="heading 1"/>
    <w:basedOn w:val="Normal"/>
    <w:next w:val="Normal"/>
    <w:link w:val="Ttulo1Car"/>
    <w:uiPriority w:val="9"/>
    <w:qFormat/>
    <w:rsid w:val="00CD5C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C042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C0425"/>
    <w:rPr>
      <w:rFonts w:ascii="Times New Roman" w:eastAsia="Arial Unicode MS" w:hAnsi="Times New Roman" w:cs="Times New Roman"/>
      <w:sz w:val="20"/>
      <w:szCs w:val="20"/>
      <w:bdr w:val="ni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f,Ref,de nota al pie,註腳內容"/>
    <w:basedOn w:val="Fuentedeprrafopredeter"/>
    <w:unhideWhenUsed/>
    <w:qFormat/>
    <w:rsid w:val="002C0425"/>
    <w:rPr>
      <w:vertAlign w:val="superscript"/>
    </w:rPr>
  </w:style>
  <w:style w:type="paragraph" w:styleId="Piedepgina">
    <w:name w:val="footer"/>
    <w:basedOn w:val="Normal"/>
    <w:link w:val="Piedepgina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PiedepginaCar">
    <w:name w:val="Pie de página Car"/>
    <w:basedOn w:val="Fuentedeprrafopredeter"/>
    <w:link w:val="Piedepgina"/>
    <w:uiPriority w:val="99"/>
    <w:rsid w:val="002C0425"/>
    <w:rPr>
      <w:rFonts w:ascii="Times New Roman" w:eastAsia="Arial Unicode MS" w:hAnsi="Times New Roman" w:cs="Times New Roman"/>
      <w:sz w:val="24"/>
      <w:szCs w:val="24"/>
      <w:bdr w:val="nil"/>
    </w:rPr>
  </w:style>
  <w:style w:type="paragraph" w:styleId="Encabezado">
    <w:name w:val="header"/>
    <w:basedOn w:val="Normal"/>
    <w:link w:val="EncabezadoCar"/>
    <w:uiPriority w:val="99"/>
    <w:unhideWhenUsed/>
    <w:rsid w:val="002C0425"/>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EncabezadoCar">
    <w:name w:val="Encabezado Car"/>
    <w:basedOn w:val="Fuentedeprrafopredeter"/>
    <w:link w:val="Encabezado"/>
    <w:uiPriority w:val="99"/>
    <w:rsid w:val="002C0425"/>
    <w:rPr>
      <w:rFonts w:ascii="Times New Roman" w:eastAsia="Arial Unicode MS" w:hAnsi="Times New Roman" w:cs="Times New Roman"/>
      <w:sz w:val="24"/>
      <w:szCs w:val="24"/>
      <w:bdr w:val="ni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2496"/>
    <w:pPr>
      <w:ind w:left="720"/>
      <w:contextualSpacing/>
    </w:pPr>
  </w:style>
  <w:style w:type="paragraph" w:styleId="TDC1">
    <w:name w:val="toc 1"/>
    <w:basedOn w:val="Normal"/>
    <w:next w:val="Normal"/>
    <w:autoRedefine/>
    <w:uiPriority w:val="39"/>
    <w:unhideWhenUsed/>
    <w:rsid w:val="0034598D"/>
    <w:pPr>
      <w:tabs>
        <w:tab w:val="left" w:pos="440"/>
        <w:tab w:val="right" w:leader="dot" w:pos="8828"/>
      </w:tabs>
      <w:spacing w:after="0" w:line="360" w:lineRule="auto"/>
    </w:pPr>
  </w:style>
  <w:style w:type="paragraph" w:styleId="TDC2">
    <w:name w:val="toc 2"/>
    <w:basedOn w:val="Normal"/>
    <w:next w:val="Normal"/>
    <w:autoRedefine/>
    <w:uiPriority w:val="39"/>
    <w:unhideWhenUsed/>
    <w:rsid w:val="006E10FC"/>
    <w:pPr>
      <w:tabs>
        <w:tab w:val="left" w:pos="567"/>
        <w:tab w:val="right" w:leader="dot" w:pos="8828"/>
      </w:tabs>
      <w:spacing w:after="100"/>
    </w:pPr>
  </w:style>
  <w:style w:type="paragraph" w:styleId="TDC3">
    <w:name w:val="toc 3"/>
    <w:basedOn w:val="Normal"/>
    <w:next w:val="Normal"/>
    <w:autoRedefine/>
    <w:uiPriority w:val="39"/>
    <w:unhideWhenUsed/>
    <w:rsid w:val="00311B32"/>
    <w:pPr>
      <w:spacing w:after="100"/>
      <w:ind w:left="440"/>
    </w:pPr>
  </w:style>
  <w:style w:type="character" w:styleId="Hipervnculo">
    <w:name w:val="Hyperlink"/>
    <w:aliases w:val="Hipervínculo1,Hipervínculo11,Hipervínculo12,Hipervínculo13,Hipervínculo14,Hipervínculo15"/>
    <w:basedOn w:val="Fuentedeprrafopredeter"/>
    <w:uiPriority w:val="99"/>
    <w:unhideWhenUsed/>
    <w:rsid w:val="00311B3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3170E"/>
  </w:style>
  <w:style w:type="paragraph" w:styleId="Sinespaciado">
    <w:name w:val="No Spacing"/>
    <w:uiPriority w:val="1"/>
    <w:qFormat/>
    <w:rsid w:val="000150BA"/>
    <w:pPr>
      <w:spacing w:after="0" w:line="240" w:lineRule="auto"/>
    </w:pPr>
  </w:style>
  <w:style w:type="paragraph" w:styleId="Textodeglobo">
    <w:name w:val="Balloon Text"/>
    <w:basedOn w:val="Normal"/>
    <w:link w:val="TextodegloboCar"/>
    <w:uiPriority w:val="99"/>
    <w:semiHidden/>
    <w:unhideWhenUsed/>
    <w:rsid w:val="000150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50BA"/>
    <w:rPr>
      <w:rFonts w:ascii="Segoe UI" w:hAnsi="Segoe UI" w:cs="Segoe UI"/>
      <w:sz w:val="18"/>
      <w:szCs w:val="18"/>
    </w:rPr>
  </w:style>
  <w:style w:type="paragraph" w:styleId="NormalWeb">
    <w:name w:val="Normal (Web)"/>
    <w:basedOn w:val="Normal"/>
    <w:uiPriority w:val="99"/>
    <w:unhideWhenUsed/>
    <w:rsid w:val="00E977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CD5C84"/>
    <w:rPr>
      <w:rFonts w:asciiTheme="majorHAnsi" w:eastAsiaTheme="majorEastAsia" w:hAnsiTheme="majorHAnsi" w:cstheme="majorBidi"/>
      <w:color w:val="2E74B5" w:themeColor="accent1" w:themeShade="BF"/>
      <w:sz w:val="32"/>
      <w:szCs w:val="32"/>
    </w:rPr>
  </w:style>
  <w:style w:type="table" w:styleId="Tabladecuadrcula6concolores-nfasis3">
    <w:name w:val="Grid Table 6 Colorful Accent 3"/>
    <w:basedOn w:val="Tablanormal"/>
    <w:uiPriority w:val="51"/>
    <w:rsid w:val="00CD5C84"/>
    <w:pPr>
      <w:spacing w:after="0" w:line="240" w:lineRule="auto"/>
    </w:pPr>
    <w:rPr>
      <w:color w:val="7B7B7B" w:themeColor="accent3" w:themeShade="BF"/>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731C1B"/>
    <w:rPr>
      <w:color w:val="605E5C"/>
      <w:shd w:val="clear" w:color="auto" w:fill="E1DFDD"/>
    </w:rPr>
  </w:style>
  <w:style w:type="table" w:customStyle="1" w:styleId="Tablaconcuadrcula1">
    <w:name w:val="Tabla con cuadrícula1"/>
    <w:basedOn w:val="Tablanormal"/>
    <w:next w:val="Tablaconcuadrcula"/>
    <w:uiPriority w:val="59"/>
    <w:rsid w:val="005F796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5F7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7357C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7357CE"/>
  </w:style>
  <w:style w:type="character" w:customStyle="1" w:styleId="ng-star-inserted">
    <w:name w:val="ng-star-inserted"/>
    <w:basedOn w:val="Fuentedeprrafopredeter"/>
    <w:rsid w:val="00735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3113">
      <w:bodyDiv w:val="1"/>
      <w:marLeft w:val="0"/>
      <w:marRight w:val="0"/>
      <w:marTop w:val="0"/>
      <w:marBottom w:val="0"/>
      <w:divBdr>
        <w:top w:val="none" w:sz="0" w:space="0" w:color="auto"/>
        <w:left w:val="none" w:sz="0" w:space="0" w:color="auto"/>
        <w:bottom w:val="none" w:sz="0" w:space="0" w:color="auto"/>
        <w:right w:val="none" w:sz="0" w:space="0" w:color="auto"/>
      </w:divBdr>
    </w:div>
    <w:div w:id="1088113790">
      <w:bodyDiv w:val="1"/>
      <w:marLeft w:val="0"/>
      <w:marRight w:val="0"/>
      <w:marTop w:val="0"/>
      <w:marBottom w:val="0"/>
      <w:divBdr>
        <w:top w:val="none" w:sz="0" w:space="0" w:color="auto"/>
        <w:left w:val="none" w:sz="0" w:space="0" w:color="auto"/>
        <w:bottom w:val="none" w:sz="0" w:space="0" w:color="auto"/>
        <w:right w:val="none" w:sz="0" w:space="0" w:color="auto"/>
      </w:divBdr>
      <w:divsChild>
        <w:div w:id="1426994066">
          <w:marLeft w:val="0"/>
          <w:marRight w:val="0"/>
          <w:marTop w:val="0"/>
          <w:marBottom w:val="0"/>
          <w:divBdr>
            <w:top w:val="none" w:sz="0" w:space="0" w:color="auto"/>
            <w:left w:val="none" w:sz="0" w:space="0" w:color="auto"/>
            <w:bottom w:val="none" w:sz="0" w:space="0" w:color="auto"/>
            <w:right w:val="none" w:sz="0" w:space="0" w:color="auto"/>
          </w:divBdr>
          <w:divsChild>
            <w:div w:id="1379738288">
              <w:marLeft w:val="0"/>
              <w:marRight w:val="0"/>
              <w:marTop w:val="0"/>
              <w:marBottom w:val="0"/>
              <w:divBdr>
                <w:top w:val="none" w:sz="0" w:space="0" w:color="auto"/>
                <w:left w:val="none" w:sz="0" w:space="0" w:color="auto"/>
                <w:bottom w:val="none" w:sz="0" w:space="0" w:color="auto"/>
                <w:right w:val="none" w:sz="0" w:space="0" w:color="auto"/>
              </w:divBdr>
            </w:div>
          </w:divsChild>
        </w:div>
        <w:div w:id="1984113984">
          <w:marLeft w:val="0"/>
          <w:marRight w:val="0"/>
          <w:marTop w:val="0"/>
          <w:marBottom w:val="0"/>
          <w:divBdr>
            <w:top w:val="none" w:sz="0" w:space="0" w:color="auto"/>
            <w:left w:val="none" w:sz="0" w:space="0" w:color="auto"/>
            <w:bottom w:val="none" w:sz="0" w:space="0" w:color="auto"/>
            <w:right w:val="none" w:sz="0" w:space="0" w:color="auto"/>
          </w:divBdr>
          <w:divsChild>
            <w:div w:id="149450128">
              <w:marLeft w:val="0"/>
              <w:marRight w:val="0"/>
              <w:marTop w:val="0"/>
              <w:marBottom w:val="0"/>
              <w:divBdr>
                <w:top w:val="none" w:sz="0" w:space="0" w:color="auto"/>
                <w:left w:val="none" w:sz="0" w:space="0" w:color="auto"/>
                <w:bottom w:val="none" w:sz="0" w:space="0" w:color="auto"/>
                <w:right w:val="none" w:sz="0" w:space="0" w:color="auto"/>
              </w:divBdr>
            </w:div>
            <w:div w:id="1140537895">
              <w:marLeft w:val="0"/>
              <w:marRight w:val="0"/>
              <w:marTop w:val="0"/>
              <w:marBottom w:val="0"/>
              <w:divBdr>
                <w:top w:val="none" w:sz="0" w:space="0" w:color="auto"/>
                <w:left w:val="none" w:sz="0" w:space="0" w:color="auto"/>
                <w:bottom w:val="none" w:sz="0" w:space="0" w:color="auto"/>
                <w:right w:val="none" w:sz="0" w:space="0" w:color="auto"/>
              </w:divBdr>
            </w:div>
            <w:div w:id="86924888">
              <w:marLeft w:val="0"/>
              <w:marRight w:val="0"/>
              <w:marTop w:val="0"/>
              <w:marBottom w:val="0"/>
              <w:divBdr>
                <w:top w:val="none" w:sz="0" w:space="0" w:color="auto"/>
                <w:left w:val="none" w:sz="0" w:space="0" w:color="auto"/>
                <w:bottom w:val="none" w:sz="0" w:space="0" w:color="auto"/>
                <w:right w:val="none" w:sz="0" w:space="0" w:color="auto"/>
              </w:divBdr>
            </w:div>
          </w:divsChild>
        </w:div>
        <w:div w:id="1602028652">
          <w:marLeft w:val="0"/>
          <w:marRight w:val="0"/>
          <w:marTop w:val="0"/>
          <w:marBottom w:val="0"/>
          <w:divBdr>
            <w:top w:val="none" w:sz="0" w:space="0" w:color="auto"/>
            <w:left w:val="none" w:sz="0" w:space="0" w:color="auto"/>
            <w:bottom w:val="none" w:sz="0" w:space="0" w:color="auto"/>
            <w:right w:val="none" w:sz="0" w:space="0" w:color="auto"/>
          </w:divBdr>
          <w:divsChild>
            <w:div w:id="233898998">
              <w:marLeft w:val="0"/>
              <w:marRight w:val="0"/>
              <w:marTop w:val="0"/>
              <w:marBottom w:val="0"/>
              <w:divBdr>
                <w:top w:val="none" w:sz="0" w:space="0" w:color="auto"/>
                <w:left w:val="none" w:sz="0" w:space="0" w:color="auto"/>
                <w:bottom w:val="none" w:sz="0" w:space="0" w:color="auto"/>
                <w:right w:val="none" w:sz="0" w:space="0" w:color="auto"/>
              </w:divBdr>
            </w:div>
            <w:div w:id="1932470717">
              <w:marLeft w:val="0"/>
              <w:marRight w:val="0"/>
              <w:marTop w:val="0"/>
              <w:marBottom w:val="0"/>
              <w:divBdr>
                <w:top w:val="none" w:sz="0" w:space="0" w:color="auto"/>
                <w:left w:val="none" w:sz="0" w:space="0" w:color="auto"/>
                <w:bottom w:val="none" w:sz="0" w:space="0" w:color="auto"/>
                <w:right w:val="none" w:sz="0" w:space="0" w:color="auto"/>
              </w:divBdr>
            </w:div>
            <w:div w:id="988633347">
              <w:marLeft w:val="0"/>
              <w:marRight w:val="0"/>
              <w:marTop w:val="0"/>
              <w:marBottom w:val="0"/>
              <w:divBdr>
                <w:top w:val="none" w:sz="0" w:space="0" w:color="auto"/>
                <w:left w:val="none" w:sz="0" w:space="0" w:color="auto"/>
                <w:bottom w:val="none" w:sz="0" w:space="0" w:color="auto"/>
                <w:right w:val="none" w:sz="0" w:space="0" w:color="auto"/>
              </w:divBdr>
            </w:div>
          </w:divsChild>
        </w:div>
        <w:div w:id="874847146">
          <w:marLeft w:val="0"/>
          <w:marRight w:val="0"/>
          <w:marTop w:val="0"/>
          <w:marBottom w:val="0"/>
          <w:divBdr>
            <w:top w:val="none" w:sz="0" w:space="0" w:color="auto"/>
            <w:left w:val="none" w:sz="0" w:space="0" w:color="auto"/>
            <w:bottom w:val="none" w:sz="0" w:space="0" w:color="auto"/>
            <w:right w:val="none" w:sz="0" w:space="0" w:color="auto"/>
          </w:divBdr>
        </w:div>
        <w:div w:id="1368221191">
          <w:marLeft w:val="0"/>
          <w:marRight w:val="0"/>
          <w:marTop w:val="0"/>
          <w:marBottom w:val="0"/>
          <w:divBdr>
            <w:top w:val="none" w:sz="0" w:space="0" w:color="auto"/>
            <w:left w:val="none" w:sz="0" w:space="0" w:color="auto"/>
            <w:bottom w:val="none" w:sz="0" w:space="0" w:color="auto"/>
            <w:right w:val="none" w:sz="0" w:space="0" w:color="auto"/>
          </w:divBdr>
        </w:div>
        <w:div w:id="855116295">
          <w:marLeft w:val="0"/>
          <w:marRight w:val="0"/>
          <w:marTop w:val="0"/>
          <w:marBottom w:val="0"/>
          <w:divBdr>
            <w:top w:val="none" w:sz="0" w:space="0" w:color="auto"/>
            <w:left w:val="none" w:sz="0" w:space="0" w:color="auto"/>
            <w:bottom w:val="none" w:sz="0" w:space="0" w:color="auto"/>
            <w:right w:val="none" w:sz="0" w:space="0" w:color="auto"/>
          </w:divBdr>
        </w:div>
      </w:divsChild>
    </w:div>
    <w:div w:id="1224831947">
      <w:bodyDiv w:val="1"/>
      <w:marLeft w:val="0"/>
      <w:marRight w:val="0"/>
      <w:marTop w:val="0"/>
      <w:marBottom w:val="0"/>
      <w:divBdr>
        <w:top w:val="none" w:sz="0" w:space="0" w:color="auto"/>
        <w:left w:val="none" w:sz="0" w:space="0" w:color="auto"/>
        <w:bottom w:val="none" w:sz="0" w:space="0" w:color="auto"/>
        <w:right w:val="none" w:sz="0" w:space="0" w:color="auto"/>
      </w:divBdr>
      <w:divsChild>
        <w:div w:id="220486352">
          <w:marLeft w:val="0"/>
          <w:marRight w:val="0"/>
          <w:marTop w:val="0"/>
          <w:marBottom w:val="0"/>
          <w:divBdr>
            <w:top w:val="none" w:sz="0" w:space="0" w:color="auto"/>
            <w:left w:val="none" w:sz="0" w:space="0" w:color="auto"/>
            <w:bottom w:val="none" w:sz="0" w:space="0" w:color="auto"/>
            <w:right w:val="none" w:sz="0" w:space="0" w:color="auto"/>
          </w:divBdr>
        </w:div>
        <w:div w:id="1625429602">
          <w:marLeft w:val="0"/>
          <w:marRight w:val="0"/>
          <w:marTop w:val="0"/>
          <w:marBottom w:val="0"/>
          <w:divBdr>
            <w:top w:val="none" w:sz="0" w:space="0" w:color="auto"/>
            <w:left w:val="none" w:sz="0" w:space="0" w:color="auto"/>
            <w:bottom w:val="none" w:sz="0" w:space="0" w:color="auto"/>
            <w:right w:val="none" w:sz="0" w:space="0" w:color="auto"/>
          </w:divBdr>
          <w:divsChild>
            <w:div w:id="1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6257">
      <w:bodyDiv w:val="1"/>
      <w:marLeft w:val="0"/>
      <w:marRight w:val="0"/>
      <w:marTop w:val="0"/>
      <w:marBottom w:val="0"/>
      <w:divBdr>
        <w:top w:val="none" w:sz="0" w:space="0" w:color="auto"/>
        <w:left w:val="none" w:sz="0" w:space="0" w:color="auto"/>
        <w:bottom w:val="none" w:sz="0" w:space="0" w:color="auto"/>
        <w:right w:val="none" w:sz="0" w:space="0" w:color="auto"/>
      </w:divBdr>
    </w:div>
    <w:div w:id="1371998695">
      <w:bodyDiv w:val="1"/>
      <w:marLeft w:val="0"/>
      <w:marRight w:val="0"/>
      <w:marTop w:val="0"/>
      <w:marBottom w:val="0"/>
      <w:divBdr>
        <w:top w:val="none" w:sz="0" w:space="0" w:color="auto"/>
        <w:left w:val="none" w:sz="0" w:space="0" w:color="auto"/>
        <w:bottom w:val="none" w:sz="0" w:space="0" w:color="auto"/>
        <w:right w:val="none" w:sz="0" w:space="0" w:color="auto"/>
      </w:divBdr>
    </w:div>
    <w:div w:id="163567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corteidh.or.cr/docs/casos/articulos/seriec_219_esp.pdf" TargetMode="External"/><Relationship Id="rId1" Type="http://schemas.openxmlformats.org/officeDocument/2006/relationships/hyperlink" Target="https://www.cndh.org.mx/documento/caso-radilla-pacheco-vs-mex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B6603-AA05-4697-9EBB-80EE5291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6079</Words>
  <Characters>33436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2022-06-13T23:04:00Z</cp:lastPrinted>
  <dcterms:created xsi:type="dcterms:W3CDTF">2022-06-13T22:00:00Z</dcterms:created>
  <dcterms:modified xsi:type="dcterms:W3CDTF">2022-06-23T17:07:00Z</dcterms:modified>
</cp:coreProperties>
</file>