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1DB78FC5"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w:t>
      </w:r>
      <w:r w:rsidR="006C3C0E" w:rsidRPr="00610B05">
        <w:rPr>
          <w:rFonts w:ascii="Palatino Linotype" w:hAnsi="Palatino Linotype" w:cs="Arial"/>
          <w:b/>
          <w:sz w:val="22"/>
          <w:szCs w:val="22"/>
        </w:rPr>
        <w:t xml:space="preserve">LA </w:t>
      </w:r>
      <w:r w:rsidR="006C3C0E">
        <w:rPr>
          <w:rFonts w:ascii="Palatino Linotype" w:hAnsi="Palatino Linotype" w:cs="Arial"/>
          <w:b/>
          <w:sz w:val="22"/>
          <w:szCs w:val="22"/>
        </w:rPr>
        <w:t xml:space="preserve">TRIGÉSIMA TERCERA </w:t>
      </w:r>
      <w:r w:rsidR="00FC4426" w:rsidRPr="00610B05">
        <w:rPr>
          <w:rFonts w:ascii="Palatino Linotype" w:hAnsi="Palatino Linotype" w:cs="Arial"/>
          <w:b/>
          <w:sz w:val="22"/>
          <w:szCs w:val="22"/>
        </w:rPr>
        <w:t xml:space="preserve">SESIÓN ORDINARIA CELEBRADA EL </w:t>
      </w:r>
      <w:r w:rsidR="006C3C0E">
        <w:rPr>
          <w:rFonts w:ascii="Palatino Linotype" w:hAnsi="Palatino Linotype" w:cs="Arial"/>
          <w:b/>
          <w:sz w:val="22"/>
          <w:szCs w:val="22"/>
        </w:rPr>
        <w:t xml:space="preserve">CATORCE </w:t>
      </w:r>
      <w:r w:rsidR="00610B05" w:rsidRPr="00610B05">
        <w:rPr>
          <w:rFonts w:ascii="Palatino Linotype" w:hAnsi="Palatino Linotype" w:cs="Arial"/>
          <w:b/>
          <w:sz w:val="22"/>
          <w:szCs w:val="22"/>
        </w:rPr>
        <w:t xml:space="preserve">DE </w:t>
      </w:r>
      <w:r w:rsidR="006C3C0E">
        <w:rPr>
          <w:rFonts w:ascii="Palatino Linotype" w:hAnsi="Palatino Linotype" w:cs="Arial"/>
          <w:b/>
          <w:sz w:val="22"/>
          <w:szCs w:val="22"/>
        </w:rPr>
        <w:t>SEPTIEMBRE D</w:t>
      </w:r>
      <w:r w:rsidR="00333436" w:rsidRPr="00610B05">
        <w:rPr>
          <w:rFonts w:ascii="Palatino Linotype" w:hAnsi="Palatino Linotype" w:cs="Arial"/>
          <w:b/>
          <w:sz w:val="22"/>
          <w:szCs w:val="22"/>
        </w:rPr>
        <w:t xml:space="preserve">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6C3C0E">
        <w:rPr>
          <w:rFonts w:ascii="Palatino Linotype" w:hAnsi="Palatino Linotype" w:cs="Arial"/>
          <w:b/>
          <w:sz w:val="22"/>
          <w:szCs w:val="22"/>
        </w:rPr>
        <w:t>06917</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r w:rsidR="009433A5">
        <w:rPr>
          <w:rFonts w:ascii="Palatino Linotype" w:hAnsi="Palatino Linotype"/>
          <w:b/>
          <w:bCs/>
          <w:color w:val="000000" w:themeColor="text1"/>
          <w:sz w:val="22"/>
          <w:szCs w:val="22"/>
        </w:rPr>
        <w:t xml:space="preserve"> Y ACUMULADO</w:t>
      </w:r>
      <w:r w:rsidR="006C3C0E">
        <w:rPr>
          <w:rFonts w:ascii="Palatino Linotype" w:hAnsi="Palatino Linotype"/>
          <w:b/>
          <w:bCs/>
          <w:color w:val="000000" w:themeColor="text1"/>
          <w:sz w:val="22"/>
          <w:szCs w:val="22"/>
        </w:rPr>
        <w:t>S</w:t>
      </w:r>
      <w:r w:rsidR="00B737A0" w:rsidRPr="00610B05">
        <w:rPr>
          <w:rFonts w:ascii="Palatino Linotype" w:hAnsi="Palatino Linotype"/>
          <w:b/>
          <w:bCs/>
          <w:color w:val="000000" w:themeColor="text1"/>
          <w:sz w:val="22"/>
          <w:szCs w:val="22"/>
        </w:rPr>
        <w:t>.</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1369645E"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 en </w:t>
      </w:r>
      <w:r w:rsidR="006C3C0E">
        <w:rPr>
          <w:rFonts w:ascii="Palatino Linotype" w:hAnsi="Palatino Linotype" w:cs="Arial"/>
          <w:sz w:val="22"/>
          <w:szCs w:val="22"/>
        </w:rPr>
        <w:t>los</w:t>
      </w:r>
      <w:r w:rsidRPr="00610B05">
        <w:rPr>
          <w:rFonts w:ascii="Palatino Linotype" w:hAnsi="Palatino Linotype" w:cs="Arial"/>
          <w:sz w:val="22"/>
          <w:szCs w:val="22"/>
        </w:rPr>
        <w:t xml:space="preserve"> Recurso</w:t>
      </w:r>
      <w:r w:rsidR="006C3C0E">
        <w:rPr>
          <w:rFonts w:ascii="Palatino Linotype" w:hAnsi="Palatino Linotype" w:cs="Arial"/>
          <w:sz w:val="22"/>
          <w:szCs w:val="22"/>
        </w:rPr>
        <w:t>s</w:t>
      </w:r>
      <w:r w:rsidRPr="00610B05">
        <w:rPr>
          <w:rFonts w:ascii="Palatino Linotype" w:hAnsi="Palatino Linotype" w:cs="Arial"/>
          <w:sz w:val="22"/>
          <w:szCs w:val="22"/>
        </w:rPr>
        <w:t xml:space="preserve"> de Revisión </w:t>
      </w:r>
      <w:r w:rsidR="00B304FE" w:rsidRPr="006C3C0E">
        <w:rPr>
          <w:rFonts w:ascii="Palatino Linotype" w:hAnsi="Palatino Linotype" w:cs="Arial"/>
          <w:b/>
          <w:sz w:val="22"/>
          <w:szCs w:val="22"/>
        </w:rPr>
        <w:t>06917/INFOEM/IP/RR/2022</w:t>
      </w:r>
      <w:r w:rsidR="00B304FE">
        <w:rPr>
          <w:rFonts w:ascii="Palatino Linotype" w:hAnsi="Palatino Linotype" w:cs="Arial"/>
          <w:b/>
          <w:sz w:val="22"/>
          <w:szCs w:val="22"/>
        </w:rPr>
        <w:t xml:space="preserve"> </w:t>
      </w:r>
      <w:r w:rsidR="00B304FE">
        <w:rPr>
          <w:rFonts w:ascii="Palatino Linotype" w:hAnsi="Palatino Linotype" w:cs="Arial"/>
          <w:sz w:val="22"/>
          <w:szCs w:val="22"/>
        </w:rPr>
        <w:t xml:space="preserve">y </w:t>
      </w:r>
      <w:r w:rsidR="006C3C0E" w:rsidRPr="006C3C0E">
        <w:rPr>
          <w:rFonts w:ascii="Palatino Linotype" w:hAnsi="Palatino Linotype" w:cs="Arial"/>
          <w:b/>
          <w:sz w:val="22"/>
          <w:szCs w:val="22"/>
        </w:rPr>
        <w:t>06918/INFOEM/IP/RR/2022</w:t>
      </w:r>
      <w:r w:rsidRPr="00610B05">
        <w:rPr>
          <w:rFonts w:ascii="Palatino Linotype" w:hAnsi="Palatino Linotype" w:cs="Arial"/>
          <w:sz w:val="22"/>
          <w:szCs w:val="22"/>
        </w:rPr>
        <w:t xml:space="preserve">, pronunciada por el Pleno de este Instituto ante el proyecto presentado por engrose </w:t>
      </w:r>
      <w:r w:rsidR="00023956">
        <w:rPr>
          <w:rFonts w:ascii="Palatino Linotype" w:hAnsi="Palatino Linotype" w:cs="Arial"/>
          <w:sz w:val="22"/>
          <w:szCs w:val="22"/>
        </w:rPr>
        <w:t xml:space="preserve">de </w:t>
      </w:r>
      <w:r w:rsidRPr="00610B05">
        <w:rPr>
          <w:rFonts w:ascii="Palatino Linotype" w:hAnsi="Palatino Linotype" w:cs="Arial"/>
          <w:sz w:val="22"/>
          <w:szCs w:val="22"/>
        </w:rPr>
        <w:t xml:space="preserve">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489B1A4B" w14:textId="77777777" w:rsidR="00B304FE" w:rsidRDefault="00B304FE" w:rsidP="003868B5">
      <w:pPr>
        <w:spacing w:line="360" w:lineRule="auto"/>
        <w:contextualSpacing/>
        <w:jc w:val="both"/>
        <w:rPr>
          <w:rFonts w:ascii="Palatino Linotype" w:hAnsi="Palatino Linotype"/>
          <w:sz w:val="22"/>
          <w:szCs w:val="22"/>
        </w:rPr>
      </w:pPr>
    </w:p>
    <w:p w14:paraId="5FB20FBF" w14:textId="6739BAD6" w:rsidR="00C36C10" w:rsidRDefault="00C36C10"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Tal y como quedó asentado en la resolución materia del presente voto, el particular requirió del </w:t>
      </w:r>
      <w:r w:rsidRPr="00610B05">
        <w:rPr>
          <w:rFonts w:ascii="Palatino Linotype" w:hAnsi="Palatino Linotype"/>
          <w:b/>
          <w:sz w:val="22"/>
          <w:szCs w:val="22"/>
        </w:rPr>
        <w:t>SUJETO OBLIGADO</w:t>
      </w:r>
      <w:r>
        <w:rPr>
          <w:rFonts w:ascii="Palatino Linotype" w:hAnsi="Palatino Linotype"/>
          <w:b/>
          <w:sz w:val="22"/>
          <w:szCs w:val="22"/>
        </w:rPr>
        <w:t xml:space="preserve"> </w:t>
      </w:r>
      <w:r>
        <w:rPr>
          <w:rFonts w:ascii="Palatino Linotype" w:hAnsi="Palatino Linotype"/>
          <w:sz w:val="22"/>
          <w:szCs w:val="22"/>
        </w:rPr>
        <w:t xml:space="preserve">lo siguiente: </w:t>
      </w:r>
    </w:p>
    <w:p w14:paraId="192CD024" w14:textId="77777777" w:rsidR="00C36C10" w:rsidRPr="00C36C10" w:rsidRDefault="00C36C10" w:rsidP="003868B5">
      <w:pPr>
        <w:spacing w:line="360" w:lineRule="auto"/>
        <w:contextualSpacing/>
        <w:jc w:val="both"/>
        <w:rPr>
          <w:rFonts w:ascii="Palatino Linotype" w:hAnsi="Palatino Linotype"/>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6804"/>
      </w:tblGrid>
      <w:tr w:rsidR="00B304FE" w:rsidRPr="00B304FE" w14:paraId="0BCF5DEE" w14:textId="77777777" w:rsidTr="00B304FE">
        <w:trPr>
          <w:trHeight w:val="336"/>
          <w:tblHeader/>
        </w:trPr>
        <w:tc>
          <w:tcPr>
            <w:tcW w:w="3256" w:type="dxa"/>
            <w:shd w:val="clear" w:color="000000" w:fill="D9D9D9"/>
            <w:noWrap/>
            <w:vAlign w:val="center"/>
            <w:hideMark/>
          </w:tcPr>
          <w:p w14:paraId="6F4AB829"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Número de solicitud/</w:t>
            </w:r>
          </w:p>
          <w:p w14:paraId="2087EA38"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 xml:space="preserve">Número de Recurso  </w:t>
            </w:r>
          </w:p>
        </w:tc>
        <w:tc>
          <w:tcPr>
            <w:tcW w:w="6804" w:type="dxa"/>
            <w:shd w:val="clear" w:color="000000" w:fill="D9D9D9"/>
            <w:noWrap/>
            <w:vAlign w:val="center"/>
            <w:hideMark/>
          </w:tcPr>
          <w:p w14:paraId="19311A6C"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 xml:space="preserve">Contenido de la solicitud </w:t>
            </w:r>
          </w:p>
        </w:tc>
      </w:tr>
      <w:tr w:rsidR="00B304FE" w:rsidRPr="00B304FE" w14:paraId="60B52BBE" w14:textId="77777777" w:rsidTr="00B304FE">
        <w:trPr>
          <w:trHeight w:val="840"/>
        </w:trPr>
        <w:tc>
          <w:tcPr>
            <w:tcW w:w="3256" w:type="dxa"/>
            <w:shd w:val="clear" w:color="auto" w:fill="auto"/>
            <w:noWrap/>
            <w:vAlign w:val="center"/>
            <w:hideMark/>
          </w:tcPr>
          <w:p w14:paraId="2D532BE2"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00344/TENANCIN/IP/2022</w:t>
            </w:r>
          </w:p>
          <w:p w14:paraId="6AC74E52"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06917/INFOEM/IP/RR/2022</w:t>
            </w:r>
          </w:p>
        </w:tc>
        <w:tc>
          <w:tcPr>
            <w:tcW w:w="6804" w:type="dxa"/>
            <w:shd w:val="clear" w:color="auto" w:fill="auto"/>
            <w:vAlign w:val="center"/>
            <w:hideMark/>
          </w:tcPr>
          <w:p w14:paraId="7B149C18" w14:textId="77777777" w:rsidR="00B304FE" w:rsidRPr="00B304FE" w:rsidRDefault="00B304FE" w:rsidP="004A137D">
            <w:pPr>
              <w:jc w:val="both"/>
              <w:rPr>
                <w:rFonts w:ascii="Palatino Linotype" w:hAnsi="Palatino Linotype" w:cs="Andalus"/>
                <w:i/>
                <w:color w:val="000000"/>
                <w:sz w:val="22"/>
                <w:szCs w:val="22"/>
                <w:lang w:eastAsia="es-MX"/>
              </w:rPr>
            </w:pPr>
            <w:r w:rsidRPr="00B304FE">
              <w:rPr>
                <w:rFonts w:ascii="Palatino Linotype" w:hAnsi="Palatino Linotype" w:cs="Andalus"/>
                <w:i/>
                <w:color w:val="000000"/>
                <w:sz w:val="22"/>
                <w:szCs w:val="22"/>
                <w:lang w:eastAsia="es-MX"/>
              </w:rPr>
              <w:t>“Solicito el Curriculum Vitae, gafete, nombramiento y recibo de nomina en version publica del empleado 1440” (sic)</w:t>
            </w:r>
          </w:p>
        </w:tc>
      </w:tr>
      <w:tr w:rsidR="00B304FE" w:rsidRPr="00B304FE" w14:paraId="06BE2B98" w14:textId="77777777" w:rsidTr="00B304FE">
        <w:trPr>
          <w:trHeight w:val="924"/>
        </w:trPr>
        <w:tc>
          <w:tcPr>
            <w:tcW w:w="3256" w:type="dxa"/>
            <w:shd w:val="clear" w:color="auto" w:fill="auto"/>
            <w:noWrap/>
            <w:vAlign w:val="center"/>
            <w:hideMark/>
          </w:tcPr>
          <w:p w14:paraId="215C0EF0"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00347/TENANCIN/IP/2022</w:t>
            </w:r>
          </w:p>
          <w:p w14:paraId="63B5CAC7"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06918/INFOEM/IP/RR/2022</w:t>
            </w:r>
          </w:p>
        </w:tc>
        <w:tc>
          <w:tcPr>
            <w:tcW w:w="6804" w:type="dxa"/>
            <w:shd w:val="clear" w:color="auto" w:fill="auto"/>
            <w:vAlign w:val="center"/>
            <w:hideMark/>
          </w:tcPr>
          <w:p w14:paraId="503119F8" w14:textId="77777777" w:rsidR="00B304FE" w:rsidRPr="00B304FE" w:rsidRDefault="00B304FE" w:rsidP="004A137D">
            <w:pPr>
              <w:jc w:val="both"/>
              <w:rPr>
                <w:rFonts w:ascii="Palatino Linotype" w:hAnsi="Palatino Linotype" w:cs="Andalus"/>
                <w:i/>
                <w:color w:val="000000"/>
                <w:sz w:val="22"/>
                <w:szCs w:val="22"/>
                <w:lang w:eastAsia="es-MX"/>
              </w:rPr>
            </w:pPr>
            <w:r w:rsidRPr="00B304FE">
              <w:rPr>
                <w:rFonts w:ascii="Palatino Linotype" w:hAnsi="Palatino Linotype" w:cs="Andalus"/>
                <w:i/>
                <w:color w:val="000000"/>
                <w:sz w:val="22"/>
                <w:szCs w:val="22"/>
                <w:lang w:eastAsia="es-MX"/>
              </w:rPr>
              <w:t xml:space="preserve">“Solicito el curriculum vitae, gafete, nombramiento y recibo de nomina en versión publica de la primera quincea de marzo 2022 del empleado 1443” (sic) </w:t>
            </w:r>
          </w:p>
        </w:tc>
      </w:tr>
    </w:tbl>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46A9F8F3" w14:textId="77777777" w:rsidR="00B304FE" w:rsidRDefault="00725E1F" w:rsidP="005850E3">
      <w:pPr>
        <w:spacing w:line="360" w:lineRule="auto"/>
        <w:jc w:val="both"/>
        <w:rPr>
          <w:rFonts w:ascii="Palatino Linotype" w:hAnsi="Palatino Linotype"/>
          <w:color w:val="000000" w:themeColor="text1"/>
          <w:sz w:val="22"/>
          <w:szCs w:val="22"/>
        </w:rPr>
      </w:pPr>
      <w:r w:rsidRPr="005850E3">
        <w:rPr>
          <w:rFonts w:ascii="Palatino Linotype" w:hAnsi="Palatino Linotype" w:cs="Arial"/>
          <w:sz w:val="22"/>
          <w:szCs w:val="22"/>
        </w:rPr>
        <w:lastRenderedPageBreak/>
        <w:t>En</w:t>
      </w:r>
      <w:r w:rsidR="00E81438" w:rsidRPr="005850E3">
        <w:rPr>
          <w:rFonts w:ascii="Palatino Linotype" w:hAnsi="Palatino Linotype" w:cs="Arial"/>
          <w:sz w:val="22"/>
          <w:szCs w:val="22"/>
        </w:rPr>
        <w:t xml:space="preserve"> respuesta, </w:t>
      </w:r>
      <w:r w:rsidR="00E81438" w:rsidRPr="005850E3">
        <w:rPr>
          <w:rFonts w:ascii="Palatino Linotype" w:hAnsi="Palatino Linotype" w:cs="Arial"/>
          <w:b/>
          <w:sz w:val="22"/>
          <w:szCs w:val="22"/>
        </w:rPr>
        <w:t>EL SUJETO OBLIGADO</w:t>
      </w:r>
      <w:r w:rsidR="007B2D3C" w:rsidRPr="005850E3">
        <w:rPr>
          <w:rFonts w:ascii="Palatino Linotype" w:hAnsi="Palatino Linotype" w:cs="Arial"/>
          <w:sz w:val="22"/>
          <w:szCs w:val="22"/>
        </w:rPr>
        <w:t xml:space="preserve">, </w:t>
      </w:r>
      <w:r w:rsidR="00E462CD" w:rsidRPr="005850E3">
        <w:rPr>
          <w:rFonts w:ascii="Palatino Linotype" w:hAnsi="Palatino Linotype" w:cs="Arial"/>
          <w:sz w:val="22"/>
          <w:szCs w:val="22"/>
        </w:rPr>
        <w:t>adjuntó</w:t>
      </w:r>
      <w:r w:rsidR="005A2D5B" w:rsidRPr="005850E3">
        <w:rPr>
          <w:rFonts w:ascii="Palatino Linotype" w:hAnsi="Palatino Linotype"/>
          <w:color w:val="000000" w:themeColor="text1"/>
          <w:sz w:val="22"/>
          <w:szCs w:val="22"/>
        </w:rPr>
        <w:t xml:space="preserve"> </w:t>
      </w:r>
      <w:r w:rsidR="00B304FE">
        <w:rPr>
          <w:rFonts w:ascii="Palatino Linotype" w:hAnsi="Palatino Linotype"/>
          <w:color w:val="000000" w:themeColor="text1"/>
          <w:sz w:val="22"/>
          <w:szCs w:val="22"/>
        </w:rPr>
        <w:t xml:space="preserve">los archivos electrónicos siguientes: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7088"/>
      </w:tblGrid>
      <w:tr w:rsidR="00B304FE" w:rsidRPr="00B304FE" w14:paraId="28DB9DFC" w14:textId="77777777" w:rsidTr="00B304FE">
        <w:trPr>
          <w:trHeight w:val="336"/>
          <w:tblHeader/>
        </w:trPr>
        <w:tc>
          <w:tcPr>
            <w:tcW w:w="2972" w:type="dxa"/>
            <w:shd w:val="clear" w:color="000000" w:fill="D9D9D9"/>
            <w:noWrap/>
            <w:vAlign w:val="center"/>
            <w:hideMark/>
          </w:tcPr>
          <w:p w14:paraId="3B42A950"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Número de solicitud/</w:t>
            </w:r>
          </w:p>
          <w:p w14:paraId="07662786"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 xml:space="preserve">Número de Recurso  </w:t>
            </w:r>
          </w:p>
        </w:tc>
        <w:tc>
          <w:tcPr>
            <w:tcW w:w="7088" w:type="dxa"/>
            <w:shd w:val="clear" w:color="000000" w:fill="D9D9D9"/>
            <w:noWrap/>
            <w:vAlign w:val="center"/>
            <w:hideMark/>
          </w:tcPr>
          <w:p w14:paraId="750701C3" w14:textId="77777777" w:rsidR="00B304FE" w:rsidRPr="00B304FE" w:rsidRDefault="00B304FE" w:rsidP="004A137D">
            <w:pPr>
              <w:jc w:val="center"/>
              <w:rPr>
                <w:rFonts w:ascii="Palatino Linotype" w:hAnsi="Palatino Linotype" w:cs="Andalus"/>
                <w:b/>
                <w:bCs/>
                <w:color w:val="000000"/>
                <w:sz w:val="22"/>
                <w:szCs w:val="22"/>
                <w:lang w:eastAsia="es-MX"/>
              </w:rPr>
            </w:pPr>
            <w:r w:rsidRPr="00B304FE">
              <w:rPr>
                <w:rFonts w:ascii="Palatino Linotype" w:hAnsi="Palatino Linotype" w:cs="Andalus"/>
                <w:b/>
                <w:bCs/>
                <w:color w:val="000000"/>
                <w:sz w:val="22"/>
                <w:szCs w:val="22"/>
                <w:lang w:eastAsia="es-MX"/>
              </w:rPr>
              <w:t xml:space="preserve">Contenido de la solicitud </w:t>
            </w:r>
          </w:p>
        </w:tc>
      </w:tr>
      <w:tr w:rsidR="00B304FE" w:rsidRPr="00B304FE" w14:paraId="65BDB7FE" w14:textId="77777777" w:rsidTr="00B304FE">
        <w:trPr>
          <w:trHeight w:val="840"/>
        </w:trPr>
        <w:tc>
          <w:tcPr>
            <w:tcW w:w="2972" w:type="dxa"/>
            <w:shd w:val="clear" w:color="auto" w:fill="auto"/>
            <w:noWrap/>
            <w:vAlign w:val="center"/>
            <w:hideMark/>
          </w:tcPr>
          <w:p w14:paraId="0C48A80A"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00344/TENANCIN/IP/2022</w:t>
            </w:r>
          </w:p>
          <w:p w14:paraId="5A6332CA"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06917/INFOEM/IP/RR/2022</w:t>
            </w:r>
          </w:p>
        </w:tc>
        <w:tc>
          <w:tcPr>
            <w:tcW w:w="7088" w:type="dxa"/>
            <w:shd w:val="clear" w:color="auto" w:fill="auto"/>
            <w:vAlign w:val="center"/>
          </w:tcPr>
          <w:p w14:paraId="2AA06133" w14:textId="77777777" w:rsidR="00B304FE" w:rsidRPr="00B304FE" w:rsidRDefault="00B304FE" w:rsidP="00B304FE">
            <w:pPr>
              <w:pStyle w:val="Prrafodelista"/>
              <w:numPr>
                <w:ilvl w:val="0"/>
                <w:numId w:val="10"/>
              </w:numPr>
              <w:ind w:left="497" w:hanging="425"/>
              <w:contextualSpacing w:val="0"/>
              <w:jc w:val="both"/>
              <w:rPr>
                <w:rFonts w:ascii="Palatino Linotype" w:hAnsi="Palatino Linotype" w:cs="Andalus"/>
                <w:i/>
                <w:color w:val="000000"/>
                <w:sz w:val="22"/>
                <w:szCs w:val="22"/>
                <w:lang w:eastAsia="es-MX"/>
              </w:rPr>
            </w:pPr>
            <w:r w:rsidRPr="00B304FE">
              <w:rPr>
                <w:rFonts w:ascii="Palatino Linotype" w:hAnsi="Palatino Linotype" w:cs="Arial"/>
                <w:b/>
                <w:bCs/>
                <w:sz w:val="22"/>
                <w:szCs w:val="22"/>
              </w:rPr>
              <w:t>344-RESP-RH.pdf</w:t>
            </w:r>
            <w:r w:rsidRPr="00B304FE">
              <w:rPr>
                <w:rFonts w:ascii="Palatino Linotype" w:hAnsi="Palatino Linotype"/>
                <w:sz w:val="22"/>
                <w:szCs w:val="22"/>
              </w:rPr>
              <w:t xml:space="preserve">, el cual contiene el oficio número MTM058/DAE00RH/01180/2022 de fecha treinta y uno de marzo de dos mil veintidós, por medio del cual el Coordinador de Recursos Humanos refiere que no es posible proporcionar la información solicitada de manera electrónica por la extensión es imposible cargarla a la plataforma del sistema, por lo que a efecto de que la solicitante pueda consultarla o en su caso obtenerla de forma impresa, deberá acudir a la oficina de la Coordinación de Recursos Humanos. </w:t>
            </w:r>
          </w:p>
        </w:tc>
      </w:tr>
      <w:tr w:rsidR="00B304FE" w:rsidRPr="00B304FE" w14:paraId="60C6ED79" w14:textId="77777777" w:rsidTr="00B304FE">
        <w:trPr>
          <w:trHeight w:val="924"/>
        </w:trPr>
        <w:tc>
          <w:tcPr>
            <w:tcW w:w="2972" w:type="dxa"/>
            <w:shd w:val="clear" w:color="auto" w:fill="auto"/>
            <w:noWrap/>
            <w:vAlign w:val="center"/>
            <w:hideMark/>
          </w:tcPr>
          <w:p w14:paraId="3A487CA4"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00347/TENANCIN/IP/2022</w:t>
            </w:r>
          </w:p>
          <w:p w14:paraId="09E2729A" w14:textId="77777777" w:rsidR="00B304FE" w:rsidRPr="00B304FE" w:rsidRDefault="00B304FE" w:rsidP="004A137D">
            <w:pPr>
              <w:jc w:val="center"/>
              <w:rPr>
                <w:rFonts w:ascii="Palatino Linotype" w:hAnsi="Palatino Linotype" w:cs="Andalus"/>
                <w:color w:val="000000"/>
                <w:sz w:val="22"/>
                <w:szCs w:val="22"/>
                <w:lang w:eastAsia="es-MX"/>
              </w:rPr>
            </w:pPr>
            <w:r w:rsidRPr="00B304FE">
              <w:rPr>
                <w:rFonts w:ascii="Palatino Linotype" w:hAnsi="Palatino Linotype" w:cs="Andalus"/>
                <w:color w:val="000000"/>
                <w:sz w:val="22"/>
                <w:szCs w:val="22"/>
                <w:lang w:eastAsia="es-MX"/>
              </w:rPr>
              <w:t>06918/INFOEM/IP/RR/2022</w:t>
            </w:r>
          </w:p>
        </w:tc>
        <w:tc>
          <w:tcPr>
            <w:tcW w:w="7088" w:type="dxa"/>
            <w:shd w:val="clear" w:color="auto" w:fill="auto"/>
            <w:vAlign w:val="center"/>
          </w:tcPr>
          <w:p w14:paraId="4F533B50" w14:textId="77777777" w:rsidR="00B304FE" w:rsidRPr="00B304FE" w:rsidRDefault="00B304FE" w:rsidP="00B304FE">
            <w:pPr>
              <w:pStyle w:val="Prrafodelista"/>
              <w:numPr>
                <w:ilvl w:val="0"/>
                <w:numId w:val="10"/>
              </w:numPr>
              <w:ind w:left="497" w:hanging="425"/>
              <w:contextualSpacing w:val="0"/>
              <w:jc w:val="both"/>
              <w:rPr>
                <w:rFonts w:ascii="Palatino Linotype" w:hAnsi="Palatino Linotype" w:cs="Arial"/>
                <w:bCs/>
                <w:sz w:val="22"/>
                <w:szCs w:val="22"/>
              </w:rPr>
            </w:pPr>
            <w:r w:rsidRPr="00B304FE">
              <w:rPr>
                <w:rFonts w:ascii="Palatino Linotype" w:hAnsi="Palatino Linotype" w:cs="Arial"/>
                <w:b/>
                <w:bCs/>
                <w:sz w:val="22"/>
                <w:szCs w:val="22"/>
              </w:rPr>
              <w:t xml:space="preserve">347A-RESP-TESO.pdf, </w:t>
            </w:r>
            <w:r w:rsidRPr="00B304FE">
              <w:rPr>
                <w:rFonts w:ascii="Palatino Linotype" w:hAnsi="Palatino Linotype" w:cs="Arial"/>
                <w:bCs/>
                <w:sz w:val="22"/>
                <w:szCs w:val="22"/>
              </w:rPr>
              <w:t xml:space="preserve">el cual contiene el oficio número PTM058/ST/CT/SI/00250/2022 de fecha dieciocho de abril de dos mil veintidós, por medio del cual el Tesorero Municipal refiere la imposibilidad de entregar al solicitante en la modalidad que éste señala, por lo que realiza el cambio de modalidad a </w:t>
            </w:r>
            <w:r w:rsidRPr="00B304FE">
              <w:rPr>
                <w:rFonts w:ascii="Palatino Linotype" w:hAnsi="Palatino Linotype" w:cs="Arial"/>
                <w:b/>
                <w:bCs/>
                <w:sz w:val="22"/>
                <w:szCs w:val="22"/>
              </w:rPr>
              <w:t xml:space="preserve">consulta directa. </w:t>
            </w:r>
          </w:p>
          <w:p w14:paraId="47173CD6" w14:textId="77777777" w:rsidR="00B304FE" w:rsidRPr="00B304FE" w:rsidRDefault="00B304FE" w:rsidP="004A137D">
            <w:pPr>
              <w:pStyle w:val="Prrafodelista"/>
              <w:ind w:left="497"/>
              <w:jc w:val="both"/>
              <w:rPr>
                <w:rFonts w:ascii="Palatino Linotype" w:hAnsi="Palatino Linotype" w:cs="Arial"/>
                <w:bCs/>
                <w:sz w:val="22"/>
                <w:szCs w:val="22"/>
              </w:rPr>
            </w:pPr>
          </w:p>
          <w:p w14:paraId="6185B03D" w14:textId="77777777" w:rsidR="00B304FE" w:rsidRPr="00B304FE" w:rsidRDefault="00B304FE" w:rsidP="00B304FE">
            <w:pPr>
              <w:pStyle w:val="Prrafodelista"/>
              <w:numPr>
                <w:ilvl w:val="0"/>
                <w:numId w:val="10"/>
              </w:numPr>
              <w:ind w:left="497" w:hanging="425"/>
              <w:contextualSpacing w:val="0"/>
              <w:jc w:val="both"/>
              <w:rPr>
                <w:rFonts w:ascii="Palatino Linotype" w:hAnsi="Palatino Linotype" w:cs="Andalus"/>
                <w:i/>
                <w:color w:val="000000"/>
                <w:sz w:val="22"/>
                <w:szCs w:val="22"/>
                <w:lang w:eastAsia="es-MX"/>
              </w:rPr>
            </w:pPr>
            <w:r w:rsidRPr="00B304FE">
              <w:rPr>
                <w:rFonts w:ascii="Palatino Linotype" w:hAnsi="Palatino Linotype" w:cs="Arial"/>
                <w:b/>
                <w:bCs/>
                <w:sz w:val="22"/>
                <w:szCs w:val="22"/>
              </w:rPr>
              <w:t xml:space="preserve">347-RESP-RH.pdf, </w:t>
            </w:r>
            <w:r w:rsidRPr="00B304FE">
              <w:rPr>
                <w:rFonts w:ascii="Palatino Linotype" w:hAnsi="Palatino Linotype"/>
                <w:sz w:val="22"/>
                <w:szCs w:val="22"/>
              </w:rPr>
              <w:t xml:space="preserve">el cual contiene el oficio número MTM058/DAE00RH/01183/2022 de fecha treinta y uno de marzo de dos mil veintidós, por medio del cual el Coordinador de Recursos Humanos refiere que no es posible proporcionar la información solicitada de manera electrónica por la extensión es imposible cargarla a la plataforma del sistema, por lo que a efecto de que la solicitante pueda consultarla o en su caso obtenerla de forma impresa, </w:t>
            </w:r>
            <w:r w:rsidRPr="00B304FE">
              <w:rPr>
                <w:rFonts w:ascii="Palatino Linotype" w:hAnsi="Palatino Linotype" w:cs="Arial"/>
                <w:bCs/>
                <w:sz w:val="22"/>
                <w:szCs w:val="22"/>
              </w:rPr>
              <w:t>deberá</w:t>
            </w:r>
            <w:r w:rsidRPr="00B304FE">
              <w:rPr>
                <w:rFonts w:ascii="Palatino Linotype" w:hAnsi="Palatino Linotype"/>
                <w:sz w:val="22"/>
                <w:szCs w:val="22"/>
              </w:rPr>
              <w:t xml:space="preserve"> acudir a la oficina de la Coordinación de Recursos Humanos.</w:t>
            </w:r>
          </w:p>
        </w:tc>
      </w:tr>
    </w:tbl>
    <w:p w14:paraId="4CF3AD0D" w14:textId="77777777" w:rsidR="00B304FE" w:rsidRDefault="00B304FE" w:rsidP="005850E3">
      <w:pPr>
        <w:spacing w:line="360" w:lineRule="auto"/>
        <w:jc w:val="both"/>
        <w:rPr>
          <w:rFonts w:ascii="Palatino Linotype" w:hAnsi="Palatino Linotype"/>
          <w:color w:val="000000" w:themeColor="text1"/>
          <w:sz w:val="22"/>
          <w:szCs w:val="22"/>
        </w:rPr>
      </w:pPr>
    </w:p>
    <w:p w14:paraId="0D6CFA7F" w14:textId="7BB4DBDF"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 xml:space="preserve">Inconforme con la respuesta, EL RECURRENTE interpuso el presente medio de defensa, señalando </w:t>
      </w:r>
      <w:r w:rsidR="00B304FE">
        <w:rPr>
          <w:rFonts w:ascii="Palatino Linotype" w:hAnsi="Palatino Linotype" w:cs="Arial"/>
          <w:sz w:val="22"/>
          <w:szCs w:val="22"/>
          <w:lang w:val="es-MX"/>
        </w:rPr>
        <w:t xml:space="preserve">lo  siguiente: </w:t>
      </w:r>
    </w:p>
    <w:p w14:paraId="38F4BD23" w14:textId="77777777" w:rsidR="00E462CD" w:rsidRDefault="00E462CD" w:rsidP="00E462CD">
      <w:pPr>
        <w:spacing w:line="360" w:lineRule="auto"/>
        <w:jc w:val="both"/>
        <w:rPr>
          <w:rFonts w:ascii="Palatino Linotype" w:hAnsi="Palatino Linotype" w:cs="Arial"/>
          <w:sz w:val="22"/>
          <w:szCs w:val="22"/>
        </w:rPr>
      </w:pPr>
    </w:p>
    <w:p w14:paraId="441DA30E" w14:textId="77777777" w:rsidR="00B304FE" w:rsidRPr="00B8106B" w:rsidRDefault="00B304FE" w:rsidP="00B304FE">
      <w:pPr>
        <w:spacing w:line="360" w:lineRule="auto"/>
        <w:jc w:val="both"/>
        <w:rPr>
          <w:rFonts w:ascii="Palatino Linotype" w:hAnsi="Palatino Linotype" w:cs="Arial"/>
          <w:color w:val="000000" w:themeColor="text1"/>
        </w:rPr>
      </w:pPr>
      <w:r w:rsidRPr="00B8106B">
        <w:rPr>
          <w:rFonts w:ascii="Palatino Linotype" w:hAnsi="Palatino Linotype" w:cs="Arial"/>
          <w:b/>
          <w:color w:val="000000" w:themeColor="text1"/>
        </w:rPr>
        <w:t xml:space="preserve">Acto impugnado: </w:t>
      </w:r>
    </w:p>
    <w:p w14:paraId="40052D26" w14:textId="77777777" w:rsidR="00B304FE" w:rsidRPr="00B8106B" w:rsidRDefault="00B304FE" w:rsidP="00B304FE">
      <w:pPr>
        <w:tabs>
          <w:tab w:val="left" w:pos="1371"/>
        </w:tabs>
        <w:ind w:right="1134"/>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ab/>
      </w:r>
    </w:p>
    <w:p w14:paraId="21A1D536" w14:textId="77777777" w:rsidR="00B304FE" w:rsidRPr="00B8106B" w:rsidRDefault="00B304FE" w:rsidP="00B304FE">
      <w:pPr>
        <w:tabs>
          <w:tab w:val="left" w:pos="851"/>
        </w:tabs>
        <w:ind w:right="1134"/>
        <w:jc w:val="both"/>
        <w:rPr>
          <w:rFonts w:ascii="Palatino Linotype" w:hAnsi="Palatino Linotype"/>
          <w:b/>
          <w:color w:val="000000" w:themeColor="text1"/>
        </w:rPr>
      </w:pPr>
      <w:r w:rsidRPr="00B8106B">
        <w:rPr>
          <w:rFonts w:ascii="Palatino Linotype" w:hAnsi="Palatino Linotype"/>
          <w:b/>
          <w:color w:val="000000" w:themeColor="text1"/>
        </w:rPr>
        <w:lastRenderedPageBreak/>
        <w:t>06917/INFOEM/IP/RR/2022</w:t>
      </w:r>
    </w:p>
    <w:p w14:paraId="587D3A41"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5730ADF2"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r w:rsidRPr="00B8106B">
        <w:rPr>
          <w:rFonts w:ascii="Palatino Linotype" w:hAnsi="Palatino Linotype" w:cs="Arial"/>
          <w:i/>
          <w:color w:val="000000" w:themeColor="text1"/>
          <w:sz w:val="22"/>
          <w:szCs w:val="22"/>
        </w:rPr>
        <w:t xml:space="preserve">“el sujeto obligado se niega a dar la información, haciendo cambiode modalidad a consulta directa” (sic) </w:t>
      </w:r>
    </w:p>
    <w:p w14:paraId="018E110F"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p>
    <w:p w14:paraId="42310E64" w14:textId="77777777" w:rsidR="00B304FE" w:rsidRPr="00B8106B" w:rsidRDefault="00B304FE" w:rsidP="00B304FE">
      <w:pPr>
        <w:tabs>
          <w:tab w:val="left" w:pos="851"/>
        </w:tabs>
        <w:ind w:right="1134"/>
        <w:jc w:val="both"/>
        <w:rPr>
          <w:rFonts w:ascii="Palatino Linotype" w:hAnsi="Palatino Linotype"/>
          <w:b/>
          <w:color w:val="000000" w:themeColor="text1"/>
        </w:rPr>
      </w:pPr>
      <w:r w:rsidRPr="00B8106B">
        <w:rPr>
          <w:rFonts w:ascii="Palatino Linotype" w:hAnsi="Palatino Linotype"/>
          <w:b/>
          <w:color w:val="000000" w:themeColor="text1"/>
        </w:rPr>
        <w:t>06918/INFOEM/IP/RR/2022</w:t>
      </w:r>
    </w:p>
    <w:p w14:paraId="6F01F708"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396ED801"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r w:rsidRPr="00B8106B">
        <w:rPr>
          <w:rFonts w:ascii="Palatino Linotype" w:hAnsi="Palatino Linotype" w:cs="Arial"/>
          <w:i/>
          <w:color w:val="000000" w:themeColor="text1"/>
          <w:sz w:val="22"/>
          <w:szCs w:val="22"/>
        </w:rPr>
        <w:t xml:space="preserve">"el sujeto obligado hace cambio de modalidad " consulta directa" (sic) </w:t>
      </w:r>
    </w:p>
    <w:p w14:paraId="6C617FFE"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0DA0A5DD" w14:textId="77777777" w:rsidR="00B304FE" w:rsidRPr="00B8106B" w:rsidRDefault="00B304FE" w:rsidP="00B304FE">
      <w:pPr>
        <w:spacing w:line="360" w:lineRule="auto"/>
        <w:jc w:val="both"/>
        <w:rPr>
          <w:rFonts w:ascii="Palatino Linotype" w:hAnsi="Palatino Linotype"/>
          <w:b/>
          <w:color w:val="000000" w:themeColor="text1"/>
        </w:rPr>
      </w:pPr>
      <w:r w:rsidRPr="00B8106B">
        <w:rPr>
          <w:rFonts w:ascii="Palatino Linotype" w:hAnsi="Palatino Linotype" w:cs="Arial"/>
          <w:b/>
          <w:color w:val="000000" w:themeColor="text1"/>
        </w:rPr>
        <w:t>Así como, razones o motivos de inconformidad</w:t>
      </w:r>
      <w:r w:rsidRPr="00B8106B">
        <w:rPr>
          <w:rFonts w:ascii="Palatino Linotype" w:hAnsi="Palatino Linotype"/>
          <w:b/>
          <w:color w:val="000000" w:themeColor="text1"/>
        </w:rPr>
        <w:t>:</w:t>
      </w:r>
    </w:p>
    <w:p w14:paraId="6707D411" w14:textId="77777777" w:rsidR="00B304FE" w:rsidRPr="00B8106B" w:rsidRDefault="00B304FE" w:rsidP="00B304FE">
      <w:pPr>
        <w:tabs>
          <w:tab w:val="left" w:pos="851"/>
        </w:tabs>
        <w:ind w:right="1134"/>
        <w:jc w:val="both"/>
        <w:rPr>
          <w:rFonts w:ascii="Palatino Linotype" w:hAnsi="Palatino Linotype"/>
          <w:b/>
          <w:color w:val="000000" w:themeColor="text1"/>
        </w:rPr>
      </w:pPr>
    </w:p>
    <w:p w14:paraId="325F86A3" w14:textId="77777777" w:rsidR="00B304FE" w:rsidRPr="00B8106B" w:rsidRDefault="00B304FE" w:rsidP="00B304FE">
      <w:pPr>
        <w:tabs>
          <w:tab w:val="left" w:pos="851"/>
        </w:tabs>
        <w:ind w:right="1134"/>
        <w:jc w:val="both"/>
        <w:rPr>
          <w:rFonts w:ascii="Palatino Linotype" w:hAnsi="Palatino Linotype"/>
          <w:b/>
          <w:color w:val="000000" w:themeColor="text1"/>
        </w:rPr>
      </w:pPr>
      <w:r w:rsidRPr="00B8106B">
        <w:rPr>
          <w:rFonts w:ascii="Palatino Linotype" w:hAnsi="Palatino Linotype"/>
          <w:b/>
          <w:color w:val="000000" w:themeColor="text1"/>
        </w:rPr>
        <w:t>06917/INFOEM/IP/RR/2022</w:t>
      </w:r>
    </w:p>
    <w:p w14:paraId="15BCFBBA"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0E11C040"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r w:rsidRPr="00B8106B">
        <w:rPr>
          <w:rFonts w:ascii="Palatino Linotype" w:hAnsi="Palatino Linotype" w:cs="Arial"/>
          <w:i/>
          <w:color w:val="000000" w:themeColor="text1"/>
          <w:sz w:val="22"/>
          <w:szCs w:val="22"/>
        </w:rPr>
        <w:t xml:space="preserve">“hacen cambios de modalidad” (sic) </w:t>
      </w:r>
    </w:p>
    <w:p w14:paraId="5A091B22"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p>
    <w:p w14:paraId="2A62D6EC" w14:textId="77777777" w:rsidR="00B304FE" w:rsidRPr="00B8106B" w:rsidRDefault="00B304FE" w:rsidP="00B304FE">
      <w:pPr>
        <w:tabs>
          <w:tab w:val="left" w:pos="851"/>
        </w:tabs>
        <w:ind w:right="1134"/>
        <w:jc w:val="both"/>
        <w:rPr>
          <w:rFonts w:ascii="Palatino Linotype" w:hAnsi="Palatino Linotype"/>
          <w:b/>
          <w:color w:val="000000" w:themeColor="text1"/>
        </w:rPr>
      </w:pPr>
      <w:r w:rsidRPr="00B8106B">
        <w:rPr>
          <w:rFonts w:ascii="Palatino Linotype" w:hAnsi="Palatino Linotype"/>
          <w:b/>
          <w:color w:val="000000" w:themeColor="text1"/>
        </w:rPr>
        <w:t>06918/INFOEM/IP/RR/2022</w:t>
      </w:r>
    </w:p>
    <w:p w14:paraId="2CDBE0F8"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0A525DA4" w14:textId="77777777" w:rsidR="00B304FE" w:rsidRPr="00B8106B" w:rsidRDefault="00B304FE" w:rsidP="00B304FE">
      <w:pPr>
        <w:tabs>
          <w:tab w:val="left" w:pos="851"/>
        </w:tabs>
        <w:ind w:left="851" w:right="1134"/>
        <w:jc w:val="both"/>
        <w:rPr>
          <w:rFonts w:ascii="Palatino Linotype" w:hAnsi="Palatino Linotype" w:cs="Arial"/>
          <w:i/>
          <w:color w:val="000000" w:themeColor="text1"/>
          <w:sz w:val="22"/>
          <w:szCs w:val="22"/>
        </w:rPr>
      </w:pPr>
      <w:r w:rsidRPr="00B8106B">
        <w:rPr>
          <w:rFonts w:ascii="Palatino Linotype" w:hAnsi="Palatino Linotype" w:cs="Arial"/>
          <w:i/>
          <w:color w:val="000000" w:themeColor="text1"/>
          <w:sz w:val="22"/>
          <w:szCs w:val="22"/>
        </w:rPr>
        <w:t xml:space="preserve">"se niega a dar la información solicitada, y hace cambio de modalidad a consulta directa" (sic) </w:t>
      </w:r>
    </w:p>
    <w:p w14:paraId="14DF245D" w14:textId="77777777" w:rsidR="00B304FE" w:rsidRPr="00B8106B" w:rsidRDefault="00B304FE" w:rsidP="00B304FE">
      <w:pPr>
        <w:tabs>
          <w:tab w:val="left" w:pos="851"/>
        </w:tabs>
        <w:ind w:right="1134"/>
        <w:jc w:val="both"/>
        <w:rPr>
          <w:rFonts w:ascii="Palatino Linotype" w:hAnsi="Palatino Linotype" w:cs="Arial"/>
          <w:i/>
          <w:color w:val="000000" w:themeColor="text1"/>
          <w:sz w:val="22"/>
          <w:szCs w:val="22"/>
        </w:rPr>
      </w:pPr>
    </w:p>
    <w:p w14:paraId="646D5121" w14:textId="37AF22E9" w:rsidR="00E37759"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t xml:space="preserve">Es así que, la Ponencia Resolutora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w:t>
      </w:r>
      <w:r w:rsidR="00D701B4">
        <w:rPr>
          <w:rFonts w:ascii="Palatino Linotype" w:hAnsi="Palatino Linotype" w:cs="Arial"/>
          <w:sz w:val="22"/>
          <w:szCs w:val="22"/>
        </w:rPr>
        <w:t>VII</w:t>
      </w:r>
      <w:r w:rsidRPr="004E2338">
        <w:rPr>
          <w:rFonts w:ascii="Palatino Linotype" w:hAnsi="Palatino Linotype" w:cs="Arial"/>
          <w:sz w:val="22"/>
          <w:szCs w:val="22"/>
        </w:rPr>
        <w:t>I, del artículo 179 de la Ley de Transparencia y Acceso a la Información Pública del Estado de México y</w:t>
      </w:r>
      <w:r w:rsidR="00E37759">
        <w:rPr>
          <w:rFonts w:ascii="Palatino Linotype" w:hAnsi="Palatino Linotype" w:cs="Arial"/>
          <w:sz w:val="22"/>
          <w:szCs w:val="22"/>
        </w:rPr>
        <w:t xml:space="preserve"> sus Municipios, que establecen la</w:t>
      </w:r>
      <w:r w:rsidR="00E37759" w:rsidRPr="00E37759">
        <w:rPr>
          <w:rFonts w:ascii="Palatino Linotype" w:hAnsi="Palatino Linotype" w:cs="Arial"/>
          <w:sz w:val="22"/>
          <w:szCs w:val="22"/>
        </w:rPr>
        <w:t xml:space="preserve"> notificación, entrega o puesta a disposición de información en una modalidad o</w:t>
      </w:r>
      <w:r w:rsidR="00E37759">
        <w:rPr>
          <w:rFonts w:ascii="Palatino Linotype" w:hAnsi="Palatino Linotype" w:cs="Arial"/>
          <w:sz w:val="22"/>
          <w:szCs w:val="22"/>
        </w:rPr>
        <w:t xml:space="preserve"> formato distinto al solicitado. </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03C01217"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00175F94">
        <w:rPr>
          <w:rFonts w:ascii="Palatino Linotype" w:hAnsi="Palatino Linotype"/>
          <w:color w:val="000000"/>
          <w:sz w:val="22"/>
          <w:szCs w:val="20"/>
        </w:rPr>
        <w:t xml:space="preserve"> el presente Recurso se proyectó con engrose</w:t>
      </w:r>
      <w:r w:rsidR="0048747F">
        <w:rPr>
          <w:rFonts w:ascii="Palatino Linotype" w:hAnsi="Palatino Linotype"/>
          <w:color w:val="000000"/>
          <w:sz w:val="22"/>
          <w:szCs w:val="20"/>
        </w:rPr>
        <w:t xml:space="preserve"> con el Criterio Mayoritario del Pleno</w:t>
      </w:r>
      <w:r w:rsidR="00175F94">
        <w:rPr>
          <w:rFonts w:ascii="Palatino Linotype" w:hAnsi="Palatino Linotype"/>
          <w:color w:val="000000"/>
          <w:sz w:val="22"/>
          <w:szCs w:val="20"/>
        </w:rPr>
        <w:t xml:space="preserve">, 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(IFAI), </w:t>
      </w:r>
      <w:r w:rsidRPr="004E2338">
        <w:rPr>
          <w:rFonts w:ascii="Palatino Linotype" w:hAnsi="Palatino Linotype"/>
          <w:color w:val="000000"/>
          <w:sz w:val="22"/>
          <w:szCs w:val="20"/>
        </w:rPr>
        <w:lastRenderedPageBreak/>
        <w:t>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6A1328BD"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w:t>
      </w:r>
      <w:r w:rsidR="0048747F">
        <w:rPr>
          <w:rFonts w:ascii="Palatino Linotype" w:hAnsi="Palatino Linotype" w:cs="Arial"/>
          <w:sz w:val="22"/>
          <w:szCs w:val="22"/>
        </w:rPr>
        <w:t>esta Ponencia</w:t>
      </w:r>
      <w:r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realizó engrose con </w:t>
      </w:r>
      <w:r w:rsidR="0048747F">
        <w:rPr>
          <w:rFonts w:ascii="Palatino Linotype" w:hAnsi="Palatino Linotype" w:cs="Arial"/>
          <w:sz w:val="22"/>
          <w:szCs w:val="22"/>
        </w:rPr>
        <w:t xml:space="preserve">el </w:t>
      </w:r>
      <w:r w:rsidR="00175F94">
        <w:rPr>
          <w:rFonts w:ascii="Palatino Linotype" w:hAnsi="Palatino Linotype" w:cs="Arial"/>
          <w:sz w:val="22"/>
          <w:szCs w:val="22"/>
        </w:rPr>
        <w:t xml:space="preserve">criterio mayoritario del Pleno y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175F94">
        <w:rPr>
          <w:rFonts w:ascii="Palatino Linotype" w:hAnsi="Palatino Linotype" w:cs="Arial"/>
          <w:sz w:val="22"/>
          <w:szCs w:val="22"/>
        </w:rPr>
        <w:t>operativos de Seguridad P</w:t>
      </w:r>
      <w:r w:rsidR="00D27FB7" w:rsidRPr="004E2338">
        <w:rPr>
          <w:rFonts w:ascii="Palatino Linotype" w:hAnsi="Palatino Linotype" w:cs="Arial"/>
          <w:sz w:val="22"/>
          <w:szCs w:val="22"/>
        </w:rPr>
        <w:t>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087D3B">
        <w:rPr>
          <w:rFonts w:ascii="Palatino Linotype" w:hAnsi="Palatino Linotype" w:cs="Arial"/>
          <w:sz w:val="22"/>
          <w:szCs w:val="22"/>
        </w:rPr>
        <w:t>Tenancingo</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C0EBB04"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realizado, </w:t>
      </w:r>
      <w:r w:rsidR="00492D79" w:rsidRPr="004E2338">
        <w:rPr>
          <w:rFonts w:ascii="Palatino Linotype" w:hAnsi="Palatino Linotype" w:cs="Arial"/>
          <w:sz w:val="22"/>
          <w:szCs w:val="22"/>
        </w:rPr>
        <w:t xml:space="preserve">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w:t>
      </w:r>
      <w:r w:rsidR="000173AF">
        <w:rPr>
          <w:rFonts w:ascii="Palatino Linotype" w:hAnsi="Palatino Linotype"/>
          <w:color w:val="000000"/>
          <w:sz w:val="22"/>
          <w:szCs w:val="22"/>
        </w:rPr>
        <w:t>Seguridad P</w:t>
      </w:r>
      <w:r w:rsidR="00A07096">
        <w:rPr>
          <w:rFonts w:ascii="Palatino Linotype" w:hAnsi="Palatino Linotype"/>
          <w:color w:val="000000"/>
          <w:sz w:val="22"/>
          <w:szCs w:val="22"/>
        </w:rPr>
        <w:t xml:space="preserve">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25DDC62B"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w:t>
      </w:r>
      <w:r w:rsidR="00A84394" w:rsidRPr="00760712">
        <w:rPr>
          <w:rFonts w:ascii="Palatino Linotype" w:hAnsi="Palatino Linotype" w:cs="Arial"/>
          <w:b/>
          <w:bCs/>
          <w:sz w:val="22"/>
          <w:szCs w:val="22"/>
        </w:rPr>
        <w:t>325/2019</w:t>
      </w:r>
      <w:r w:rsidR="00A84394"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servidores públicos que realizan funciones sustantivas</w:t>
      </w:r>
      <w:r w:rsidR="00760712">
        <w:rPr>
          <w:rFonts w:ascii="Palatino Linotype" w:hAnsi="Palatino Linotype" w:cs="Arial"/>
          <w:sz w:val="22"/>
          <w:szCs w:val="22"/>
        </w:rPr>
        <w:t>, de investigación y persecución de delitos</w:t>
      </w:r>
      <w:r w:rsidR="006D5765" w:rsidRPr="004E2338">
        <w:rPr>
          <w:rFonts w:ascii="Palatino Linotype" w:hAnsi="Palatino Linotype" w:cs="Arial"/>
          <w:sz w:val="22"/>
          <w:szCs w:val="22"/>
        </w:rPr>
        <w:t xml:space="preserve">,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r w:rsidR="00E601D1" w:rsidRPr="00E601D1">
        <w:rPr>
          <w:rFonts w:ascii="Palatino Linotype" w:hAnsi="Palatino Linotype" w:cs="Arial"/>
          <w:sz w:val="22"/>
          <w:szCs w:val="22"/>
        </w:rPr>
        <w:t xml:space="preserve">Twitter, Facebook, Instagram y LinkedIn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399637A7" w14:textId="050AA5FE" w:rsidR="008D2E26" w:rsidRPr="004E2338" w:rsidRDefault="006D5765" w:rsidP="00AA41D2">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w:t>
      </w:r>
      <w:r w:rsidR="00087D3B">
        <w:rPr>
          <w:rFonts w:ascii="Palatino Linotype" w:hAnsi="Palatino Linotype" w:cs="Arial"/>
          <w:sz w:val="22"/>
          <w:szCs w:val="22"/>
        </w:rPr>
        <w:t>Tenancingo</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w:t>
      </w:r>
      <w:r w:rsidR="00FC77C5">
        <w:rPr>
          <w:rFonts w:ascii="Palatino Linotype" w:hAnsi="Palatino Linotype"/>
          <w:color w:val="000000"/>
          <w:sz w:val="22"/>
          <w:szCs w:val="22"/>
        </w:rPr>
        <w:t xml:space="preserve">el </w:t>
      </w:r>
      <w:r w:rsidR="00087D3B">
        <w:rPr>
          <w:rFonts w:ascii="Palatino Linotype" w:hAnsi="Palatino Linotype"/>
          <w:i/>
          <w:color w:val="000000"/>
          <w:sz w:val="22"/>
          <w:szCs w:val="22"/>
        </w:rPr>
        <w:t>gafete, nombramiento y recibo de nómina de servidores públicos que posiblemente se encuentren adscritos al área de Seguridad Pública</w:t>
      </w:r>
      <w:r w:rsidR="00FC77C5">
        <w:rPr>
          <w:rFonts w:ascii="Palatino Linotype" w:hAnsi="Palatino Linotype"/>
          <w:color w:val="000000"/>
          <w:sz w:val="22"/>
          <w:szCs w:val="22"/>
        </w:rPr>
        <w:t>,</w:t>
      </w:r>
      <w:r w:rsidR="00FD7CEE">
        <w:rPr>
          <w:rFonts w:ascii="Palatino Linotype" w:hAnsi="Palatino Linotype"/>
          <w:color w:val="000000"/>
          <w:sz w:val="22"/>
          <w:szCs w:val="22"/>
        </w:rPr>
        <w:t xml:space="preserve"> en ese sentido al </w:t>
      </w:r>
      <w:r w:rsidR="008D2E26" w:rsidRPr="004E2338">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41978EC2"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integridad</w:t>
      </w:r>
      <w:r w:rsidR="00760712">
        <w:rPr>
          <w:rFonts w:ascii="Palatino Linotype" w:hAnsi="Palatino Linotype"/>
          <w:color w:val="000000"/>
          <w:sz w:val="22"/>
          <w:szCs w:val="22"/>
        </w:rPr>
        <w:t xml:space="preserve"> física</w:t>
      </w:r>
      <w:r w:rsidR="00927E8E">
        <w:rPr>
          <w:rFonts w:ascii="Palatino Linotype" w:hAnsi="Palatino Linotype"/>
          <w:color w:val="000000"/>
          <w:sz w:val="22"/>
          <w:szCs w:val="22"/>
        </w:rPr>
        <w:t xml:space="preserve">,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extorsionar</w:t>
      </w:r>
      <w:r w:rsidR="00760712">
        <w:rPr>
          <w:rFonts w:ascii="Palatino Linotype" w:hAnsi="Palatino Linotype"/>
          <w:color w:val="000000"/>
          <w:sz w:val="22"/>
          <w:szCs w:val="22"/>
        </w:rPr>
        <w:t xml:space="preserve"> y afectar </w:t>
      </w:r>
      <w:r w:rsidR="00760712" w:rsidRPr="004E2338">
        <w:rPr>
          <w:rFonts w:ascii="Palatino Linotype" w:hAnsi="Palatino Linotype"/>
          <w:color w:val="000000"/>
          <w:sz w:val="22"/>
          <w:szCs w:val="22"/>
        </w:rPr>
        <w:t>las</w:t>
      </w:r>
      <w:r w:rsidR="008D2E26" w:rsidRPr="004E2338">
        <w:rPr>
          <w:rFonts w:ascii="Palatino Linotype" w:hAnsi="Palatino Linotype"/>
          <w:color w:val="000000"/>
          <w:sz w:val="22"/>
          <w:szCs w:val="22"/>
        </w:rPr>
        <w:t xml:space="preserve">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56FEBC6F"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087D3B">
        <w:rPr>
          <w:rFonts w:ascii="Palatino Linotype" w:hAnsi="Palatino Linotype" w:cs="Arial"/>
          <w:sz w:val="22"/>
          <w:szCs w:val="22"/>
        </w:rPr>
        <w:t>Tenancingo</w:t>
      </w:r>
      <w:r w:rsidR="009D0C85">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760712">
        <w:rPr>
          <w:rFonts w:ascii="Palatino Linotype" w:hAnsi="Palatino Linotype"/>
          <w:iCs/>
          <w:color w:val="000000"/>
          <w:sz w:val="22"/>
          <w:szCs w:val="20"/>
        </w:rPr>
        <w:t>el</w:t>
      </w:r>
      <w:r w:rsidR="005A2D5B">
        <w:rPr>
          <w:rFonts w:ascii="Palatino Linotype" w:hAnsi="Palatino Linotype"/>
          <w:iCs/>
          <w:color w:val="000000"/>
          <w:sz w:val="22"/>
          <w:szCs w:val="20"/>
        </w:rPr>
        <w:t xml:space="preserve"> puesto y adscripción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4D5FBC">
      <w:pPr>
        <w:ind w:left="1134" w:right="900"/>
        <w:jc w:val="both"/>
        <w:rPr>
          <w:rFonts w:ascii="Palatino Linotype" w:hAnsi="Palatino Linotype"/>
          <w:b/>
          <w:i/>
          <w:iCs/>
          <w:color w:val="000000"/>
          <w:sz w:val="20"/>
          <w:szCs w:val="20"/>
        </w:rPr>
      </w:pPr>
    </w:p>
    <w:p w14:paraId="027B6A3A" w14:textId="77777777" w:rsidR="008D2E26" w:rsidRPr="004E2338" w:rsidRDefault="008D2E26" w:rsidP="004D5FBC">
      <w:pPr>
        <w:ind w:left="1417" w:right="900"/>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4D5FBC">
      <w:pPr>
        <w:ind w:left="1417" w:right="900"/>
        <w:jc w:val="both"/>
        <w:rPr>
          <w:rFonts w:ascii="Palatino Linotype" w:hAnsi="Palatino Linotype"/>
          <w:i/>
          <w:iCs/>
          <w:color w:val="000000"/>
          <w:sz w:val="20"/>
          <w:szCs w:val="20"/>
        </w:rPr>
      </w:pPr>
    </w:p>
    <w:p w14:paraId="42551826" w14:textId="77777777" w:rsidR="008D2E26" w:rsidRPr="004E2338" w:rsidRDefault="008D2E26" w:rsidP="004D5FBC">
      <w:pPr>
        <w:ind w:left="1417" w:right="900"/>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4D5FBC">
      <w:pPr>
        <w:ind w:left="1134" w:right="900"/>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4D5FBC">
      <w:pPr>
        <w:jc w:val="both"/>
        <w:rPr>
          <w:rFonts w:ascii="Palatino Linotype" w:hAnsi="Palatino Linotype"/>
          <w:color w:val="000000"/>
          <w:sz w:val="10"/>
          <w:szCs w:val="22"/>
        </w:rPr>
      </w:pPr>
    </w:p>
    <w:p w14:paraId="5060894A"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4D5FBC">
      <w:pPr>
        <w:ind w:left="1417" w:right="900"/>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4D5FBC">
      <w:pPr>
        <w:ind w:left="1417" w:right="900"/>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4D5FBC">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4D5FBC">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1BF3CFA6"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w:t>
      </w:r>
      <w:r w:rsidR="000A200B">
        <w:rPr>
          <w:rFonts w:ascii="Palatino Linotype" w:hAnsi="Palatino Linotype"/>
          <w:color w:val="000000"/>
          <w:sz w:val="22"/>
          <w:szCs w:val="22"/>
        </w:rPr>
        <w:t>disidentes</w:t>
      </w:r>
      <w:r w:rsidR="00494A1D">
        <w:rPr>
          <w:rFonts w:ascii="Palatino Linotype" w:hAnsi="Palatino Linotype"/>
          <w:color w:val="000000"/>
          <w:sz w:val="22"/>
          <w:szCs w:val="22"/>
        </w:rPr>
        <w:t xml:space="preserve">, así como lo que prevé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w:t>
      </w:r>
      <w:r w:rsidR="00494A1D">
        <w:rPr>
          <w:rFonts w:ascii="Palatino Linotype" w:hAnsi="Palatino Linotype"/>
          <w:color w:val="000000"/>
          <w:sz w:val="22"/>
          <w:szCs w:val="22"/>
        </w:rPr>
        <w:t xml:space="preserve">que es </w:t>
      </w:r>
      <w:r w:rsidRPr="004E2338">
        <w:rPr>
          <w:rFonts w:ascii="Palatino Linotype" w:hAnsi="Palatino Linotype"/>
          <w:color w:val="000000"/>
          <w:sz w:val="22"/>
          <w:szCs w:val="22"/>
        </w:rPr>
        <w:t xml:space="preserve">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lastRenderedPageBreak/>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2"/>
          <w:szCs w:val="22"/>
        </w:rPr>
      </w:pPr>
    </w:p>
    <w:p w14:paraId="474C02BF" w14:textId="77777777" w:rsidR="008D2E26" w:rsidRPr="004E2338" w:rsidRDefault="008D2E26" w:rsidP="004D5FBC">
      <w:pPr>
        <w:autoSpaceDE w:val="0"/>
        <w:autoSpaceDN w:val="0"/>
        <w:adjustRightInd w:val="0"/>
        <w:ind w:left="1417" w:right="900"/>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4D5FBC">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4D5FBC">
      <w:pPr>
        <w:autoSpaceDE w:val="0"/>
        <w:autoSpaceDN w:val="0"/>
        <w:adjustRightInd w:val="0"/>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lastRenderedPageBreak/>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w:t>
      </w:r>
      <w:r w:rsidRPr="00494A1D">
        <w:rPr>
          <w:rFonts w:ascii="Palatino Linotype" w:hAnsi="Palatino Linotype" w:cs="Arial"/>
          <w:b/>
          <w:bCs/>
          <w:sz w:val="22"/>
          <w:szCs w:val="22"/>
        </w:rPr>
        <w:t>325/2019</w:t>
      </w:r>
      <w:r w:rsidRPr="004E2338">
        <w:rPr>
          <w:rFonts w:ascii="Palatino Linotype" w:hAnsi="Palatino Linotype" w:cs="Arial"/>
          <w:sz w:val="22"/>
          <w:szCs w:val="22"/>
        </w:rPr>
        <w:t xml:space="preserve">.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4AD956FB"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087D3B">
        <w:rPr>
          <w:rFonts w:ascii="Palatino Linotype" w:hAnsi="Palatino Linotype" w:cs="Arial"/>
          <w:sz w:val="22"/>
          <w:szCs w:val="22"/>
        </w:rPr>
        <w:t>Tenancingo</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2C4AD90F"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087D3B">
        <w:rPr>
          <w:rFonts w:ascii="Palatino Linotype" w:hAnsi="Palatino Linotype" w:cs="Arial"/>
          <w:sz w:val="22"/>
          <w:szCs w:val="22"/>
        </w:rPr>
        <w:t>Tenancingo</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8AEC573" w:rsidR="002E0E33" w:rsidRDefault="002E0E33">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63D9CD21"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1523" w:rsidRDefault="00954431" w:rsidP="008D2E26">
      <w:pPr>
        <w:spacing w:line="360" w:lineRule="auto"/>
        <w:contextualSpacing/>
        <w:jc w:val="both"/>
        <w:rPr>
          <w:rFonts w:ascii="Palatino Linotype" w:eastAsia="Calibri" w:hAnsi="Palatino Linotype" w:cs="Arial"/>
          <w:color w:val="000000" w:themeColor="text1"/>
          <w:sz w:val="20"/>
          <w:szCs w:val="20"/>
          <w:lang w:val="es-MX"/>
        </w:rPr>
      </w:pPr>
    </w:p>
    <w:sectPr w:rsidR="00847315" w:rsidRPr="00A9152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B664F" w14:textId="77777777" w:rsidR="00E6597C" w:rsidRDefault="00E6597C" w:rsidP="00E81438">
      <w:r>
        <w:separator/>
      </w:r>
    </w:p>
  </w:endnote>
  <w:endnote w:type="continuationSeparator" w:id="0">
    <w:p w14:paraId="2E1B234B" w14:textId="77777777" w:rsidR="00E6597C" w:rsidRDefault="00E6597C"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954431"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954431"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954431"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954431"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5443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5443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95443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2198B" w14:textId="77777777" w:rsidR="00E6597C" w:rsidRDefault="00E6597C" w:rsidP="00E81438">
      <w:r>
        <w:separator/>
      </w:r>
    </w:p>
  </w:footnote>
  <w:footnote w:type="continuationSeparator" w:id="0">
    <w:p w14:paraId="4D71C2BF" w14:textId="77777777" w:rsidR="00E6597C" w:rsidRDefault="00E6597C"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95443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1027"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95443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1026"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6C3C0E" w:rsidRDefault="0082275B" w:rsidP="0034309A">
    <w:pPr>
      <w:pStyle w:val="Encabezado"/>
      <w:tabs>
        <w:tab w:val="clear" w:pos="4252"/>
        <w:tab w:val="clear" w:pos="8504"/>
        <w:tab w:val="left" w:pos="2326"/>
      </w:tabs>
      <w:jc w:val="right"/>
      <w:rPr>
        <w:rFonts w:ascii="Palatino Linotype" w:hAnsi="Palatino Linotype"/>
        <w:b/>
        <w:bCs/>
        <w:color w:val="000000" w:themeColor="text1"/>
        <w:sz w:val="22"/>
        <w:szCs w:val="22"/>
      </w:rPr>
    </w:pPr>
    <w:r w:rsidRPr="006C3C0E">
      <w:rPr>
        <w:rFonts w:ascii="Palatino Linotype" w:hAnsi="Palatino Linotype"/>
        <w:b/>
        <w:bCs/>
        <w:color w:val="000000" w:themeColor="text1"/>
        <w:sz w:val="22"/>
        <w:szCs w:val="22"/>
      </w:rPr>
      <w:t xml:space="preserve">VOTO </w:t>
    </w:r>
    <w:r w:rsidR="00406D8C" w:rsidRPr="006C3C0E">
      <w:rPr>
        <w:rFonts w:ascii="Palatino Linotype" w:hAnsi="Palatino Linotype"/>
        <w:b/>
        <w:bCs/>
        <w:color w:val="000000" w:themeColor="text1"/>
        <w:sz w:val="22"/>
        <w:szCs w:val="22"/>
      </w:rPr>
      <w:t>DISIDENTE</w:t>
    </w:r>
  </w:p>
  <w:p w14:paraId="21A7A5A0" w14:textId="18DDB74B" w:rsidR="00634485" w:rsidRPr="006C3C0E" w:rsidRDefault="00791445" w:rsidP="0034309A">
    <w:pPr>
      <w:pStyle w:val="Encabezado"/>
      <w:tabs>
        <w:tab w:val="clear" w:pos="4252"/>
        <w:tab w:val="clear" w:pos="8504"/>
        <w:tab w:val="left" w:pos="2326"/>
      </w:tabs>
      <w:jc w:val="right"/>
      <w:rPr>
        <w:rFonts w:ascii="Palatino Linotype" w:hAnsi="Palatino Linotype"/>
        <w:b/>
        <w:bCs/>
        <w:color w:val="000000" w:themeColor="text1"/>
        <w:sz w:val="22"/>
        <w:szCs w:val="22"/>
      </w:rPr>
    </w:pPr>
    <w:r w:rsidRPr="006C3C0E">
      <w:rPr>
        <w:rFonts w:ascii="Palatino Linotype" w:hAnsi="Palatino Linotype"/>
        <w:b/>
        <w:bCs/>
        <w:color w:val="000000" w:themeColor="text1"/>
        <w:sz w:val="22"/>
        <w:szCs w:val="22"/>
      </w:rPr>
      <w:t xml:space="preserve">                </w:t>
    </w:r>
    <w:r w:rsidR="0082275B" w:rsidRPr="006C3C0E">
      <w:rPr>
        <w:rFonts w:ascii="Palatino Linotype" w:hAnsi="Palatino Linotype"/>
        <w:b/>
        <w:bCs/>
        <w:color w:val="000000" w:themeColor="text1"/>
        <w:sz w:val="22"/>
        <w:szCs w:val="22"/>
      </w:rPr>
      <w:t>RECURSO DE REVISIÓN</w:t>
    </w:r>
    <w:r w:rsidRPr="006C3C0E">
      <w:rPr>
        <w:rFonts w:ascii="Palatino Linotype" w:hAnsi="Palatino Linotype"/>
        <w:b/>
        <w:bCs/>
        <w:color w:val="000000" w:themeColor="text1"/>
        <w:sz w:val="22"/>
        <w:szCs w:val="22"/>
      </w:rPr>
      <w:t xml:space="preserve"> </w:t>
    </w:r>
    <w:r w:rsidR="006C3C0E" w:rsidRPr="006C3C0E">
      <w:rPr>
        <w:rFonts w:ascii="Palatino Linotype" w:hAnsi="Palatino Linotype"/>
        <w:b/>
        <w:bCs/>
        <w:color w:val="000000" w:themeColor="text1"/>
        <w:sz w:val="22"/>
        <w:szCs w:val="22"/>
      </w:rPr>
      <w:t>06917</w:t>
    </w:r>
    <w:r w:rsidRPr="006C3C0E">
      <w:rPr>
        <w:rFonts w:ascii="Palatino Linotype" w:hAnsi="Palatino Linotype"/>
        <w:b/>
        <w:bCs/>
        <w:color w:val="000000" w:themeColor="text1"/>
        <w:sz w:val="22"/>
        <w:szCs w:val="22"/>
      </w:rPr>
      <w:t>/INFOEM/IP/RR/202</w:t>
    </w:r>
    <w:r w:rsidR="00333436" w:rsidRPr="006C3C0E">
      <w:rPr>
        <w:rFonts w:ascii="Palatino Linotype" w:hAnsi="Palatino Linotype"/>
        <w:b/>
        <w:bCs/>
        <w:color w:val="000000" w:themeColor="text1"/>
        <w:sz w:val="22"/>
        <w:szCs w:val="22"/>
      </w:rPr>
      <w:t>2</w:t>
    </w:r>
    <w:r w:rsidR="009433A5" w:rsidRPr="006C3C0E">
      <w:rPr>
        <w:rFonts w:ascii="Palatino Linotype" w:hAnsi="Palatino Linotype"/>
        <w:b/>
        <w:bCs/>
        <w:color w:val="000000" w:themeColor="text1"/>
        <w:sz w:val="22"/>
        <w:szCs w:val="22"/>
      </w:rPr>
      <w:t xml:space="preserve"> Y ACUMULADO</w:t>
    </w:r>
    <w:r w:rsidR="006C3C0E">
      <w:rPr>
        <w:rFonts w:ascii="Palatino Linotype" w:hAnsi="Palatino Linotype"/>
        <w:b/>
        <w:bCs/>
        <w:color w:val="000000" w:themeColor="text1"/>
        <w:sz w:val="22"/>
        <w:szCs w:val="22"/>
      </w:rPr>
      <w:t>S</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95443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1025"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6668AD"/>
    <w:multiLevelType w:val="hybridMultilevel"/>
    <w:tmpl w:val="1B829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7"/>
  </w:num>
  <w:num w:numId="4">
    <w:abstractNumId w:val="1"/>
  </w:num>
  <w:num w:numId="5">
    <w:abstractNumId w:val="0"/>
  </w:num>
  <w:num w:numId="6">
    <w:abstractNumId w:val="2"/>
  </w:num>
  <w:num w:numId="7">
    <w:abstractNumId w:val="8"/>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73AF"/>
    <w:rsid w:val="00023956"/>
    <w:rsid w:val="0004301C"/>
    <w:rsid w:val="00043028"/>
    <w:rsid w:val="0006272A"/>
    <w:rsid w:val="0006759B"/>
    <w:rsid w:val="00087D3B"/>
    <w:rsid w:val="000A200B"/>
    <w:rsid w:val="000A23FE"/>
    <w:rsid w:val="000A3500"/>
    <w:rsid w:val="000A5C62"/>
    <w:rsid w:val="000C3339"/>
    <w:rsid w:val="000C4A06"/>
    <w:rsid w:val="00107D23"/>
    <w:rsid w:val="001247BF"/>
    <w:rsid w:val="00132B0F"/>
    <w:rsid w:val="00142268"/>
    <w:rsid w:val="001601B3"/>
    <w:rsid w:val="00167974"/>
    <w:rsid w:val="00175F94"/>
    <w:rsid w:val="00183B60"/>
    <w:rsid w:val="0019475D"/>
    <w:rsid w:val="001A75DE"/>
    <w:rsid w:val="001B2EA0"/>
    <w:rsid w:val="001B6EB9"/>
    <w:rsid w:val="001C25BC"/>
    <w:rsid w:val="001C27DF"/>
    <w:rsid w:val="001D3F19"/>
    <w:rsid w:val="001D61DA"/>
    <w:rsid w:val="001E1EC7"/>
    <w:rsid w:val="001E2C7A"/>
    <w:rsid w:val="001E4165"/>
    <w:rsid w:val="001E4BD7"/>
    <w:rsid w:val="00202C9A"/>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E0E33"/>
    <w:rsid w:val="002F3711"/>
    <w:rsid w:val="0030143A"/>
    <w:rsid w:val="0030468A"/>
    <w:rsid w:val="00313375"/>
    <w:rsid w:val="00315049"/>
    <w:rsid w:val="00321981"/>
    <w:rsid w:val="00324EBE"/>
    <w:rsid w:val="00333436"/>
    <w:rsid w:val="00336322"/>
    <w:rsid w:val="003432EF"/>
    <w:rsid w:val="0035304E"/>
    <w:rsid w:val="00361D66"/>
    <w:rsid w:val="00364465"/>
    <w:rsid w:val="003713D0"/>
    <w:rsid w:val="00372746"/>
    <w:rsid w:val="00385CC1"/>
    <w:rsid w:val="003868B5"/>
    <w:rsid w:val="0038700C"/>
    <w:rsid w:val="003964BA"/>
    <w:rsid w:val="003B0F13"/>
    <w:rsid w:val="003B190C"/>
    <w:rsid w:val="003C2F6A"/>
    <w:rsid w:val="003F6468"/>
    <w:rsid w:val="00404BA3"/>
    <w:rsid w:val="00406D8C"/>
    <w:rsid w:val="00414F91"/>
    <w:rsid w:val="00434978"/>
    <w:rsid w:val="004365C0"/>
    <w:rsid w:val="00437217"/>
    <w:rsid w:val="00437359"/>
    <w:rsid w:val="00454EE8"/>
    <w:rsid w:val="00457C33"/>
    <w:rsid w:val="00463C78"/>
    <w:rsid w:val="0048747F"/>
    <w:rsid w:val="00492D79"/>
    <w:rsid w:val="00494A1D"/>
    <w:rsid w:val="00495A2D"/>
    <w:rsid w:val="00496FDB"/>
    <w:rsid w:val="004A6BFC"/>
    <w:rsid w:val="004C2D42"/>
    <w:rsid w:val="004C6981"/>
    <w:rsid w:val="004D5FBC"/>
    <w:rsid w:val="004E0B19"/>
    <w:rsid w:val="004E0CF7"/>
    <w:rsid w:val="004E2338"/>
    <w:rsid w:val="004E7AC0"/>
    <w:rsid w:val="004F4481"/>
    <w:rsid w:val="005029EC"/>
    <w:rsid w:val="00510BFF"/>
    <w:rsid w:val="00523AF5"/>
    <w:rsid w:val="005247EA"/>
    <w:rsid w:val="00527C0A"/>
    <w:rsid w:val="005300E6"/>
    <w:rsid w:val="0053148C"/>
    <w:rsid w:val="005429A8"/>
    <w:rsid w:val="005432D8"/>
    <w:rsid w:val="00551E7F"/>
    <w:rsid w:val="00551F0A"/>
    <w:rsid w:val="005526C9"/>
    <w:rsid w:val="00557B98"/>
    <w:rsid w:val="00560C1E"/>
    <w:rsid w:val="005820EB"/>
    <w:rsid w:val="005850E3"/>
    <w:rsid w:val="00595D69"/>
    <w:rsid w:val="005A2D5B"/>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3C0E"/>
    <w:rsid w:val="006C644C"/>
    <w:rsid w:val="006D07BF"/>
    <w:rsid w:val="006D150E"/>
    <w:rsid w:val="006D5765"/>
    <w:rsid w:val="006E001E"/>
    <w:rsid w:val="006E2386"/>
    <w:rsid w:val="006E77E6"/>
    <w:rsid w:val="007056B6"/>
    <w:rsid w:val="007145A9"/>
    <w:rsid w:val="00725E1F"/>
    <w:rsid w:val="007400C6"/>
    <w:rsid w:val="007431C8"/>
    <w:rsid w:val="00757AA9"/>
    <w:rsid w:val="00760712"/>
    <w:rsid w:val="00791445"/>
    <w:rsid w:val="00791C9C"/>
    <w:rsid w:val="007A56CE"/>
    <w:rsid w:val="007B0C01"/>
    <w:rsid w:val="007B2D3C"/>
    <w:rsid w:val="007B6513"/>
    <w:rsid w:val="007C28C6"/>
    <w:rsid w:val="007C7A0C"/>
    <w:rsid w:val="007D2399"/>
    <w:rsid w:val="007E3BD5"/>
    <w:rsid w:val="00800748"/>
    <w:rsid w:val="00805A08"/>
    <w:rsid w:val="00811B0B"/>
    <w:rsid w:val="0082275B"/>
    <w:rsid w:val="00861ACD"/>
    <w:rsid w:val="008628F8"/>
    <w:rsid w:val="00873F22"/>
    <w:rsid w:val="00884D62"/>
    <w:rsid w:val="00891560"/>
    <w:rsid w:val="008A35FA"/>
    <w:rsid w:val="008B0732"/>
    <w:rsid w:val="008B4B59"/>
    <w:rsid w:val="008D2E26"/>
    <w:rsid w:val="008D7E7C"/>
    <w:rsid w:val="008E75B6"/>
    <w:rsid w:val="008F2031"/>
    <w:rsid w:val="009213B4"/>
    <w:rsid w:val="00927E8E"/>
    <w:rsid w:val="00934C57"/>
    <w:rsid w:val="009405EE"/>
    <w:rsid w:val="009433A5"/>
    <w:rsid w:val="00947263"/>
    <w:rsid w:val="00954431"/>
    <w:rsid w:val="00971C6B"/>
    <w:rsid w:val="009772C1"/>
    <w:rsid w:val="009865BC"/>
    <w:rsid w:val="00990B93"/>
    <w:rsid w:val="00991FDE"/>
    <w:rsid w:val="009969E5"/>
    <w:rsid w:val="009B486D"/>
    <w:rsid w:val="009B728D"/>
    <w:rsid w:val="009C4393"/>
    <w:rsid w:val="009C51E9"/>
    <w:rsid w:val="009D0C85"/>
    <w:rsid w:val="009D50D6"/>
    <w:rsid w:val="009F5590"/>
    <w:rsid w:val="009F717B"/>
    <w:rsid w:val="00A0223E"/>
    <w:rsid w:val="00A07096"/>
    <w:rsid w:val="00A079E2"/>
    <w:rsid w:val="00A10365"/>
    <w:rsid w:val="00A116F2"/>
    <w:rsid w:val="00A33597"/>
    <w:rsid w:val="00A33B17"/>
    <w:rsid w:val="00A7349A"/>
    <w:rsid w:val="00A84394"/>
    <w:rsid w:val="00A84CCD"/>
    <w:rsid w:val="00A85828"/>
    <w:rsid w:val="00A86692"/>
    <w:rsid w:val="00A86A4F"/>
    <w:rsid w:val="00A90BE0"/>
    <w:rsid w:val="00A91523"/>
    <w:rsid w:val="00A96975"/>
    <w:rsid w:val="00A97177"/>
    <w:rsid w:val="00AA249E"/>
    <w:rsid w:val="00AA41D2"/>
    <w:rsid w:val="00AA4454"/>
    <w:rsid w:val="00AA707A"/>
    <w:rsid w:val="00AB2511"/>
    <w:rsid w:val="00AD5C25"/>
    <w:rsid w:val="00AE47F4"/>
    <w:rsid w:val="00AE62D4"/>
    <w:rsid w:val="00B16B7A"/>
    <w:rsid w:val="00B17283"/>
    <w:rsid w:val="00B2189F"/>
    <w:rsid w:val="00B26745"/>
    <w:rsid w:val="00B304FE"/>
    <w:rsid w:val="00B737A0"/>
    <w:rsid w:val="00B85A28"/>
    <w:rsid w:val="00BB14F6"/>
    <w:rsid w:val="00BC15BA"/>
    <w:rsid w:val="00BC27E6"/>
    <w:rsid w:val="00BC51D9"/>
    <w:rsid w:val="00BD3CAB"/>
    <w:rsid w:val="00BD695C"/>
    <w:rsid w:val="00BE7409"/>
    <w:rsid w:val="00BF2E9E"/>
    <w:rsid w:val="00C10A0A"/>
    <w:rsid w:val="00C36C10"/>
    <w:rsid w:val="00C37A03"/>
    <w:rsid w:val="00C5232A"/>
    <w:rsid w:val="00C536CC"/>
    <w:rsid w:val="00C977B7"/>
    <w:rsid w:val="00CA0752"/>
    <w:rsid w:val="00CA1964"/>
    <w:rsid w:val="00CA4E5A"/>
    <w:rsid w:val="00CB12C1"/>
    <w:rsid w:val="00CC6685"/>
    <w:rsid w:val="00CD5D70"/>
    <w:rsid w:val="00CE0D21"/>
    <w:rsid w:val="00CF4446"/>
    <w:rsid w:val="00D27FB7"/>
    <w:rsid w:val="00D35DE3"/>
    <w:rsid w:val="00D409E9"/>
    <w:rsid w:val="00D701B4"/>
    <w:rsid w:val="00D70C20"/>
    <w:rsid w:val="00D724A9"/>
    <w:rsid w:val="00D724F4"/>
    <w:rsid w:val="00D734D9"/>
    <w:rsid w:val="00DC3433"/>
    <w:rsid w:val="00E02F0C"/>
    <w:rsid w:val="00E1408B"/>
    <w:rsid w:val="00E152F3"/>
    <w:rsid w:val="00E22565"/>
    <w:rsid w:val="00E25F3A"/>
    <w:rsid w:val="00E336C1"/>
    <w:rsid w:val="00E37759"/>
    <w:rsid w:val="00E40318"/>
    <w:rsid w:val="00E40B16"/>
    <w:rsid w:val="00E462CD"/>
    <w:rsid w:val="00E464B2"/>
    <w:rsid w:val="00E51FE3"/>
    <w:rsid w:val="00E57748"/>
    <w:rsid w:val="00E60128"/>
    <w:rsid w:val="00E601D1"/>
    <w:rsid w:val="00E6597C"/>
    <w:rsid w:val="00E74BCD"/>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16F1"/>
    <w:rsid w:val="00F67502"/>
    <w:rsid w:val="00F751F4"/>
    <w:rsid w:val="00F90F04"/>
    <w:rsid w:val="00FA0BF5"/>
    <w:rsid w:val="00FC4426"/>
    <w:rsid w:val="00FC5D78"/>
    <w:rsid w:val="00FC77C5"/>
    <w:rsid w:val="00FD6B67"/>
    <w:rsid w:val="00FD7CEE"/>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61343-E0FD-4041-B689-5CE49AD4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2351</Words>
  <Characters>12934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4</cp:revision>
  <cp:lastPrinted>2022-09-20T01:39:00Z</cp:lastPrinted>
  <dcterms:created xsi:type="dcterms:W3CDTF">2022-09-20T00:51:00Z</dcterms:created>
  <dcterms:modified xsi:type="dcterms:W3CDTF">2022-09-20T02:04:00Z</dcterms:modified>
</cp:coreProperties>
</file>