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8842" w14:textId="77777777" w:rsidR="008E7174" w:rsidRDefault="008E7174" w:rsidP="00A45699">
      <w:pPr>
        <w:spacing w:after="0" w:line="360" w:lineRule="auto"/>
        <w:jc w:val="both"/>
        <w:rPr>
          <w:rFonts w:ascii="Palatino Linotype" w:hAnsi="Palatino Linotype" w:cs="Tahoma"/>
          <w:b/>
        </w:rPr>
      </w:pPr>
    </w:p>
    <w:p w14:paraId="5869EB5D" w14:textId="790AE35E" w:rsidR="00D05444" w:rsidRDefault="00D05444" w:rsidP="00A45699">
      <w:pPr>
        <w:spacing w:after="0" w:line="360" w:lineRule="auto"/>
        <w:jc w:val="both"/>
        <w:rPr>
          <w:rFonts w:ascii="Palatino Linotype" w:hAnsi="Palatino Linotype" w:cs="Tahoma"/>
          <w:b/>
        </w:rPr>
      </w:pPr>
      <w:r w:rsidRPr="00EF10FB">
        <w:rPr>
          <w:rFonts w:ascii="Palatino Linotype" w:hAnsi="Palatino Linotype" w:cs="Tahoma"/>
          <w:b/>
        </w:rPr>
        <w:t xml:space="preserve">VOTO </w:t>
      </w:r>
      <w:r w:rsidR="00A26864">
        <w:rPr>
          <w:rFonts w:ascii="Palatino Linotype" w:hAnsi="Palatino Linotype" w:cs="Tahoma"/>
          <w:b/>
        </w:rPr>
        <w:t>DISIDENTE</w:t>
      </w:r>
      <w:r w:rsidRPr="00EF10FB">
        <w:rPr>
          <w:rFonts w:ascii="Palatino Linotype" w:hAnsi="Palatino Linotype" w:cs="Tahoma"/>
          <w:b/>
        </w:rPr>
        <w:t xml:space="preserve"> QUE FORMULA EL COMISIONADO LUIS GUSTAVO PARRA NORIEGA, </w:t>
      </w:r>
      <w:r w:rsidR="00F17C34" w:rsidRPr="00EF10FB">
        <w:rPr>
          <w:rFonts w:ascii="Palatino Linotype" w:hAnsi="Palatino Linotype" w:cs="Tahoma"/>
          <w:b/>
        </w:rPr>
        <w:t>A</w:t>
      </w:r>
      <w:r w:rsidRPr="00EF10FB">
        <w:rPr>
          <w:rFonts w:ascii="Palatino Linotype" w:hAnsi="Palatino Linotype" w:cs="Tahoma"/>
          <w:b/>
        </w:rPr>
        <w:t xml:space="preserve"> LA RESOLUCI</w:t>
      </w:r>
      <w:r w:rsidR="00743EE0" w:rsidRPr="00EF10FB">
        <w:rPr>
          <w:rFonts w:ascii="Palatino Linotype" w:hAnsi="Palatino Linotype" w:cs="Tahoma"/>
          <w:b/>
        </w:rPr>
        <w:t xml:space="preserve">ÓN DEL RECURSO DE REVISIÓN </w:t>
      </w:r>
      <w:r w:rsidR="00961B98" w:rsidRPr="00961B98">
        <w:rPr>
          <w:rFonts w:ascii="Palatino Linotype" w:hAnsi="Palatino Linotype" w:cs="Tahoma"/>
          <w:b/>
        </w:rPr>
        <w:t>05179/INFOEM/IP/RR/2021</w:t>
      </w:r>
      <w:r w:rsidR="00F17C34" w:rsidRPr="00EF10FB">
        <w:rPr>
          <w:rFonts w:ascii="Palatino Linotype" w:hAnsi="Palatino Linotype" w:cs="Tahoma"/>
          <w:b/>
        </w:rPr>
        <w:t>,</w:t>
      </w:r>
      <w:r w:rsidRPr="00EF10FB">
        <w:rPr>
          <w:rFonts w:ascii="Palatino Linotype" w:hAnsi="Palatino Linotype" w:cs="Tahoma"/>
          <w:b/>
        </w:rPr>
        <w:t xml:space="preserve"> PROMOVIDO EN CONTRA </w:t>
      </w:r>
      <w:r w:rsidR="00743EE0" w:rsidRPr="00EF10FB">
        <w:rPr>
          <w:rFonts w:ascii="Palatino Linotype" w:hAnsi="Palatino Linotype" w:cs="Tahoma"/>
          <w:b/>
        </w:rPr>
        <w:t>DE</w:t>
      </w:r>
      <w:r w:rsidR="00282687">
        <w:rPr>
          <w:rFonts w:ascii="Palatino Linotype" w:hAnsi="Palatino Linotype" w:cs="Tahoma"/>
          <w:b/>
        </w:rPr>
        <w:t>L</w:t>
      </w:r>
      <w:r w:rsidR="0063602B">
        <w:rPr>
          <w:rFonts w:ascii="Palatino Linotype" w:hAnsi="Palatino Linotype" w:cs="Tahoma"/>
          <w:b/>
        </w:rPr>
        <w:t xml:space="preserve"> </w:t>
      </w:r>
      <w:r w:rsidR="002A6341">
        <w:rPr>
          <w:rFonts w:ascii="Palatino Linotype" w:hAnsi="Palatino Linotype" w:cs="Tahoma"/>
          <w:b/>
        </w:rPr>
        <w:t xml:space="preserve">AYUNTAMIENTO </w:t>
      </w:r>
      <w:r w:rsidR="00961B98">
        <w:rPr>
          <w:rFonts w:ascii="Palatino Linotype" w:hAnsi="Palatino Linotype" w:cs="Tahoma"/>
          <w:b/>
        </w:rPr>
        <w:t xml:space="preserve">DEL </w:t>
      </w:r>
      <w:r w:rsidR="00961B98">
        <w:rPr>
          <w:rFonts w:ascii="Palatino Linotype" w:hAnsi="Palatino Linotype"/>
          <w:b/>
          <w:sz w:val="21"/>
          <w:szCs w:val="21"/>
          <w:lang w:val="es-ES_tradnl"/>
        </w:rPr>
        <w:t>PODER LEGISLATIVO.</w:t>
      </w:r>
    </w:p>
    <w:p w14:paraId="727738CE" w14:textId="77777777" w:rsidR="0063602B" w:rsidRPr="00EF10FB" w:rsidRDefault="0063602B" w:rsidP="00A45699">
      <w:pPr>
        <w:spacing w:after="0" w:line="360" w:lineRule="auto"/>
        <w:jc w:val="both"/>
        <w:rPr>
          <w:rFonts w:ascii="Palatino Linotype" w:hAnsi="Palatino Linotype" w:cs="Tahoma"/>
        </w:rPr>
      </w:pPr>
    </w:p>
    <w:p w14:paraId="62CB37DC" w14:textId="1438CE8D" w:rsidR="00D05444" w:rsidRDefault="00441EA2" w:rsidP="00A45699">
      <w:pPr>
        <w:spacing w:after="0" w:line="360" w:lineRule="auto"/>
        <w:jc w:val="both"/>
        <w:rPr>
          <w:rFonts w:ascii="Palatino Linotype" w:hAnsi="Palatino Linotype" w:cs="Tahoma"/>
        </w:rPr>
      </w:pPr>
      <w:r w:rsidRPr="002B5249">
        <w:rPr>
          <w:rFonts w:ascii="Palatino Linotype" w:hAnsi="Palatino Linotype" w:cs="Tahoma"/>
        </w:rPr>
        <w:t>En términos de lo dispuesto por el artículo 189, párrafo primero, de la Ley de Transparencia y Acceso a la Información Pública del Estado de México y Municipios</w:t>
      </w:r>
      <w:r>
        <w:rPr>
          <w:rFonts w:ascii="Palatino Linotype" w:hAnsi="Palatino Linotype" w:cs="Tahoma"/>
        </w:rPr>
        <w:t>,</w:t>
      </w:r>
      <w:r w:rsidRPr="00EF10FB">
        <w:rPr>
          <w:rFonts w:ascii="Palatino Linotype" w:hAnsi="Palatino Linotype" w:cs="Tahoma"/>
        </w:rPr>
        <w:t xml:space="preserve"> </w:t>
      </w:r>
      <w:r w:rsidR="00D05444" w:rsidRPr="00EF10FB">
        <w:rPr>
          <w:rFonts w:ascii="Palatino Linotype" w:hAnsi="Palatino Linotype" w:cs="Tahoma"/>
        </w:rPr>
        <w:t xml:space="preserve">14, fracción XI, del Reglamento Interior del Instituto de Transparencia, Acceso a la Información Pública y Protección de Datos Personales del Estado de México y Municipios; </w:t>
      </w:r>
      <w:r w:rsidR="00CE232D" w:rsidRPr="00CE232D">
        <w:rPr>
          <w:rFonts w:ascii="Palatino Linotype" w:hAnsi="Palatino Linotype" w:cs="Tahoma"/>
        </w:rPr>
        <w:t>2°, fracción XIX, 45 y 48, fracción II,</w:t>
      </w:r>
      <w:r w:rsidR="00CE232D">
        <w:rPr>
          <w:rFonts w:ascii="Palatino Linotype" w:hAnsi="Palatino Linotype" w:cs="Tahoma"/>
        </w:rPr>
        <w:t xml:space="preserve"> </w:t>
      </w:r>
      <w:r w:rsidR="0063602B" w:rsidRPr="0063602B">
        <w:rPr>
          <w:rFonts w:ascii="Palatino Linotype" w:hAnsi="Palatino Linotype" w:cs="Tahoma"/>
        </w:rPr>
        <w:t>de los Lineamientos para el funcionamiento del Pleno y las Comisiones del Instituto de Transparencia, Acceso a la Información Pública y Protección de Datos Personales del Estado de México y Municipios</w:t>
      </w:r>
      <w:r w:rsidR="00D05444" w:rsidRPr="00EF10FB">
        <w:rPr>
          <w:rFonts w:ascii="Palatino Linotype" w:hAnsi="Palatino Linotype" w:cs="Tahoma"/>
        </w:rPr>
        <w:t xml:space="preserve">, emito el presente </w:t>
      </w:r>
      <w:r w:rsidR="00EF10FB" w:rsidRPr="00A26864">
        <w:rPr>
          <w:rFonts w:ascii="Palatino Linotype" w:hAnsi="Palatino Linotype" w:cs="Tahoma"/>
          <w:b/>
        </w:rPr>
        <w:t>V</w:t>
      </w:r>
      <w:r w:rsidR="00D05444" w:rsidRPr="00A26864">
        <w:rPr>
          <w:rFonts w:ascii="Palatino Linotype" w:hAnsi="Palatino Linotype" w:cs="Tahoma"/>
          <w:b/>
        </w:rPr>
        <w:t xml:space="preserve">oto </w:t>
      </w:r>
      <w:r w:rsidR="00A26864" w:rsidRPr="00A26864">
        <w:rPr>
          <w:rFonts w:ascii="Palatino Linotype" w:hAnsi="Palatino Linotype" w:cs="Tahoma"/>
          <w:b/>
        </w:rPr>
        <w:t>Disidente</w:t>
      </w:r>
      <w:r w:rsidR="00D05444" w:rsidRPr="00EF10FB">
        <w:rPr>
          <w:rFonts w:ascii="Palatino Linotype" w:hAnsi="Palatino Linotype" w:cs="Tahoma"/>
        </w:rPr>
        <w:t xml:space="preserve"> por no compartir</w:t>
      </w:r>
      <w:r w:rsidR="00596EE6">
        <w:rPr>
          <w:rFonts w:ascii="Palatino Linotype" w:hAnsi="Palatino Linotype" w:cs="Tahoma"/>
        </w:rPr>
        <w:t xml:space="preserve"> </w:t>
      </w:r>
      <w:r w:rsidR="00EF10FB" w:rsidRPr="00EF10FB">
        <w:rPr>
          <w:rFonts w:ascii="Palatino Linotype" w:hAnsi="Palatino Linotype" w:cs="Tahoma"/>
        </w:rPr>
        <w:t>el sentido</w:t>
      </w:r>
      <w:r w:rsidR="00D05444" w:rsidRPr="00EF10FB">
        <w:rPr>
          <w:rFonts w:ascii="Palatino Linotype" w:hAnsi="Palatino Linotype" w:cs="Tahoma"/>
        </w:rPr>
        <w:t xml:space="preserve"> </w:t>
      </w:r>
      <w:r w:rsidR="00EF10FB" w:rsidRPr="00EF10FB">
        <w:rPr>
          <w:rFonts w:ascii="Palatino Linotype" w:hAnsi="Palatino Linotype" w:cs="Tahoma"/>
        </w:rPr>
        <w:t>de</w:t>
      </w:r>
      <w:r w:rsidR="00D05444" w:rsidRPr="00EF10FB">
        <w:rPr>
          <w:rFonts w:ascii="Palatino Linotype" w:hAnsi="Palatino Linotype" w:cs="Tahoma"/>
        </w:rPr>
        <w:t xml:space="preserve"> la </w:t>
      </w:r>
      <w:r w:rsidR="00EF10FB" w:rsidRPr="00EF10FB">
        <w:rPr>
          <w:rFonts w:ascii="Palatino Linotype" w:hAnsi="Palatino Linotype" w:cs="Tahoma"/>
        </w:rPr>
        <w:t>R</w:t>
      </w:r>
      <w:r w:rsidR="00D05444" w:rsidRPr="00EF10FB">
        <w:rPr>
          <w:rFonts w:ascii="Palatino Linotype" w:hAnsi="Palatino Linotype" w:cs="Tahoma"/>
        </w:rPr>
        <w:t xml:space="preserve">esolución del </w:t>
      </w:r>
      <w:r w:rsidR="00EF10FB" w:rsidRPr="00EF10FB">
        <w:rPr>
          <w:rFonts w:ascii="Palatino Linotype" w:hAnsi="Palatino Linotype" w:cs="Tahoma"/>
        </w:rPr>
        <w:t>R</w:t>
      </w:r>
      <w:r w:rsidR="00D05444" w:rsidRPr="00EF10FB">
        <w:rPr>
          <w:rFonts w:ascii="Palatino Linotype" w:hAnsi="Palatino Linotype" w:cs="Tahoma"/>
        </w:rPr>
        <w:t xml:space="preserve">ecurso de </w:t>
      </w:r>
      <w:r w:rsidR="00EF10FB" w:rsidRPr="00EF10FB">
        <w:rPr>
          <w:rFonts w:ascii="Palatino Linotype" w:hAnsi="Palatino Linotype" w:cs="Tahoma"/>
        </w:rPr>
        <w:t>R</w:t>
      </w:r>
      <w:r w:rsidR="00D05444" w:rsidRPr="00EF10FB">
        <w:rPr>
          <w:rFonts w:ascii="Palatino Linotype" w:hAnsi="Palatino Linotype" w:cs="Tahoma"/>
        </w:rPr>
        <w:t xml:space="preserve">evisión </w:t>
      </w:r>
      <w:r w:rsidR="00961B98" w:rsidRPr="00961B98">
        <w:rPr>
          <w:rFonts w:ascii="Palatino Linotype" w:hAnsi="Palatino Linotype" w:cs="Tahoma"/>
          <w:b/>
        </w:rPr>
        <w:t>05179/INFOEM/IP/RR/2021</w:t>
      </w:r>
      <w:r w:rsidR="00CE232D">
        <w:rPr>
          <w:rFonts w:ascii="Palatino Linotype" w:hAnsi="Palatino Linotype" w:cs="Tahoma"/>
          <w:b/>
        </w:rPr>
        <w:t xml:space="preserve">, </w:t>
      </w:r>
      <w:r w:rsidR="00CE232D" w:rsidRPr="00CE232D">
        <w:rPr>
          <w:rFonts w:ascii="Palatino Linotype" w:hAnsi="Palatino Linotype" w:cs="Tahoma"/>
          <w:bCs/>
        </w:rPr>
        <w:t>conforme a lo siguiente:</w:t>
      </w:r>
    </w:p>
    <w:p w14:paraId="292AEB09" w14:textId="77777777" w:rsidR="0063602B" w:rsidRPr="00EF10FB" w:rsidRDefault="0063602B" w:rsidP="00A45699">
      <w:pPr>
        <w:spacing w:after="0" w:line="360" w:lineRule="auto"/>
        <w:jc w:val="both"/>
        <w:rPr>
          <w:rFonts w:ascii="Palatino Linotype" w:hAnsi="Palatino Linotype" w:cs="Tahoma"/>
        </w:rPr>
      </w:pPr>
    </w:p>
    <w:p w14:paraId="4B56D407" w14:textId="49AAC801" w:rsidR="0056245C" w:rsidRDefault="00743EE0" w:rsidP="00A45699">
      <w:pPr>
        <w:spacing w:after="0" w:line="360" w:lineRule="auto"/>
        <w:jc w:val="both"/>
        <w:rPr>
          <w:rFonts w:ascii="Palatino Linotype" w:hAnsi="Palatino Linotype" w:cs="Tahoma"/>
        </w:rPr>
      </w:pPr>
      <w:r w:rsidRPr="00EF10FB">
        <w:rPr>
          <w:rFonts w:ascii="Palatino Linotype" w:hAnsi="Palatino Linotype" w:cs="Tahoma"/>
        </w:rPr>
        <w:t xml:space="preserve">Como se desprende de la Resolución </w:t>
      </w:r>
      <w:r w:rsidR="00EF10FB" w:rsidRPr="00EF10FB">
        <w:rPr>
          <w:rFonts w:ascii="Palatino Linotype" w:hAnsi="Palatino Linotype" w:cs="Tahoma"/>
        </w:rPr>
        <w:t>en comento</w:t>
      </w:r>
      <w:r w:rsidRPr="00EF10FB">
        <w:rPr>
          <w:rFonts w:ascii="Palatino Linotype" w:hAnsi="Palatino Linotype" w:cs="Tahoma"/>
        </w:rPr>
        <w:t xml:space="preserve">, </w:t>
      </w:r>
      <w:r w:rsidR="00A26864">
        <w:rPr>
          <w:rFonts w:ascii="Palatino Linotype" w:hAnsi="Palatino Linotype" w:cs="Tahoma"/>
        </w:rPr>
        <w:t xml:space="preserve">el Particular requirió </w:t>
      </w:r>
      <w:r w:rsidR="00234E99">
        <w:rPr>
          <w:rFonts w:ascii="Palatino Linotype" w:hAnsi="Palatino Linotype" w:cs="Tahoma"/>
        </w:rPr>
        <w:t xml:space="preserve">mediante </w:t>
      </w:r>
      <w:r w:rsidR="00117B25">
        <w:rPr>
          <w:rFonts w:ascii="Palatino Linotype" w:hAnsi="Palatino Linotype" w:cs="Tahoma"/>
        </w:rPr>
        <w:t>solicitud</w:t>
      </w:r>
      <w:r w:rsidR="00234E99">
        <w:rPr>
          <w:rFonts w:ascii="Palatino Linotype" w:hAnsi="Palatino Linotype" w:cs="Tahoma"/>
        </w:rPr>
        <w:t xml:space="preserve"> de </w:t>
      </w:r>
      <w:r w:rsidR="00A26864">
        <w:rPr>
          <w:rFonts w:ascii="Palatino Linotype" w:hAnsi="Palatino Linotype" w:cs="Tahoma"/>
        </w:rPr>
        <w:t>acceso a la</w:t>
      </w:r>
      <w:r w:rsidR="00234E99">
        <w:rPr>
          <w:rFonts w:ascii="Palatino Linotype" w:hAnsi="Palatino Linotype" w:cs="Tahoma"/>
        </w:rPr>
        <w:t xml:space="preserve"> información pública</w:t>
      </w:r>
      <w:r w:rsidR="00961B98">
        <w:rPr>
          <w:rFonts w:ascii="Palatino Linotype" w:hAnsi="Palatino Linotype" w:cs="Tahoma"/>
        </w:rPr>
        <w:t>, conocer el presupuesto anual</w:t>
      </w:r>
      <w:r w:rsidR="00CE232D">
        <w:rPr>
          <w:rFonts w:ascii="Palatino Linotype" w:hAnsi="Palatino Linotype" w:cs="Tahoma"/>
        </w:rPr>
        <w:t xml:space="preserve"> del Ayuntamiento de Almoloya del Río</w:t>
      </w:r>
      <w:r w:rsidR="00961B98">
        <w:rPr>
          <w:rFonts w:ascii="Palatino Linotype" w:hAnsi="Palatino Linotype" w:cs="Tahoma"/>
        </w:rPr>
        <w:t>, en el que se observen l</w:t>
      </w:r>
      <w:r w:rsidR="00CE232D">
        <w:rPr>
          <w:rFonts w:ascii="Palatino Linotype" w:hAnsi="Palatino Linotype" w:cs="Tahoma"/>
        </w:rPr>
        <w:t>o</w:t>
      </w:r>
      <w:r w:rsidR="00961B98">
        <w:rPr>
          <w:rFonts w:ascii="Palatino Linotype" w:hAnsi="Palatino Linotype" w:cs="Tahoma"/>
        </w:rPr>
        <w:t>s</w:t>
      </w:r>
      <w:r w:rsidR="00CE232D">
        <w:rPr>
          <w:rFonts w:ascii="Palatino Linotype" w:hAnsi="Palatino Linotype" w:cs="Tahoma"/>
        </w:rPr>
        <w:t xml:space="preserve"> rubros,</w:t>
      </w:r>
      <w:r w:rsidR="00961B98">
        <w:rPr>
          <w:rFonts w:ascii="Palatino Linotype" w:hAnsi="Palatino Linotype" w:cs="Tahoma"/>
        </w:rPr>
        <w:t xml:space="preserve"> acciones, programas o etiquetas y las cantidades que fueron destinad</w:t>
      </w:r>
      <w:r w:rsidR="00CE232D">
        <w:rPr>
          <w:rFonts w:ascii="Palatino Linotype" w:hAnsi="Palatino Linotype" w:cs="Tahoma"/>
        </w:rPr>
        <w:t>a</w:t>
      </w:r>
      <w:r w:rsidR="00961B98">
        <w:rPr>
          <w:rFonts w:ascii="Palatino Linotype" w:hAnsi="Palatino Linotype" w:cs="Tahoma"/>
        </w:rPr>
        <w:t xml:space="preserve">s a cada uno de ellos, de los últimos tres años; en respuesta, el Sujeto Obligado se declaró incompetente y orientó al Particular a presentar su solicitud de información ante el </w:t>
      </w:r>
      <w:r w:rsidR="00CE232D">
        <w:rPr>
          <w:rFonts w:ascii="Palatino Linotype" w:hAnsi="Palatino Linotype" w:cs="Tahoma"/>
        </w:rPr>
        <w:t>Ayuntamiento</w:t>
      </w:r>
      <w:r w:rsidR="00961B98">
        <w:rPr>
          <w:rFonts w:ascii="Palatino Linotype" w:hAnsi="Palatino Linotype" w:cs="Tahoma"/>
        </w:rPr>
        <w:t>; en consecuencia, el hoy Recurrente se inconformó con la respuesta y señaló que el Sujeto Obligado si conoc</w:t>
      </w:r>
      <w:r w:rsidR="00CE232D">
        <w:rPr>
          <w:rFonts w:ascii="Palatino Linotype" w:hAnsi="Palatino Linotype" w:cs="Tahoma"/>
        </w:rPr>
        <w:t>ía</w:t>
      </w:r>
      <w:r w:rsidR="00961B98">
        <w:rPr>
          <w:rFonts w:ascii="Palatino Linotype" w:hAnsi="Palatino Linotype" w:cs="Tahoma"/>
        </w:rPr>
        <w:t xml:space="preserve"> de la información </w:t>
      </w:r>
      <w:r w:rsidR="00CE232D">
        <w:rPr>
          <w:rFonts w:ascii="Palatino Linotype" w:hAnsi="Palatino Linotype" w:cs="Tahoma"/>
        </w:rPr>
        <w:t>peticionada</w:t>
      </w:r>
      <w:r w:rsidR="00961B98">
        <w:rPr>
          <w:rFonts w:ascii="Palatino Linotype" w:hAnsi="Palatino Linotype" w:cs="Tahoma"/>
        </w:rPr>
        <w:t xml:space="preserve">; </w:t>
      </w:r>
      <w:r w:rsidR="0056245C">
        <w:rPr>
          <w:rFonts w:ascii="Palatino Linotype" w:hAnsi="Palatino Linotype" w:cs="Tahoma"/>
        </w:rPr>
        <w:t xml:space="preserve">así, durante la substanciación del Recurso de Revisión, el Sujeto Obligado ratificó su respuesta inicial. </w:t>
      </w:r>
    </w:p>
    <w:p w14:paraId="37C7994B" w14:textId="6895103C" w:rsidR="007C69D4" w:rsidRDefault="007C69D4" w:rsidP="00A45699">
      <w:pPr>
        <w:spacing w:after="0" w:line="360" w:lineRule="auto"/>
        <w:jc w:val="both"/>
        <w:rPr>
          <w:rFonts w:ascii="Palatino Linotype" w:hAnsi="Palatino Linotype" w:cs="Tahoma"/>
        </w:rPr>
      </w:pPr>
    </w:p>
    <w:p w14:paraId="399CB9D8" w14:textId="77777777" w:rsidR="008E7174" w:rsidRDefault="008E7174" w:rsidP="00A45699">
      <w:pPr>
        <w:spacing w:after="0" w:line="360" w:lineRule="auto"/>
        <w:jc w:val="both"/>
        <w:rPr>
          <w:rFonts w:ascii="Palatino Linotype" w:hAnsi="Palatino Linotype" w:cs="Tahoma"/>
        </w:rPr>
      </w:pPr>
    </w:p>
    <w:p w14:paraId="33BC683F" w14:textId="552C6BCF" w:rsidR="0056245C" w:rsidRDefault="007C69D4" w:rsidP="00A45699">
      <w:pPr>
        <w:spacing w:after="0" w:line="360" w:lineRule="auto"/>
        <w:jc w:val="both"/>
        <w:rPr>
          <w:rFonts w:ascii="Palatino Linotype" w:eastAsia="Calibri" w:hAnsi="Palatino Linotype" w:cs="Arial"/>
        </w:rPr>
      </w:pPr>
      <w:r>
        <w:rPr>
          <w:rFonts w:ascii="Palatino Linotype" w:hAnsi="Palatino Linotype" w:cs="Tahoma"/>
        </w:rPr>
        <w:t xml:space="preserve">Como se desprende de la Resolución que nos ocupa, la mayoría del Pleno de este Instituto, consideró procedente </w:t>
      </w:r>
      <w:r>
        <w:rPr>
          <w:rFonts w:ascii="Palatino Linotype" w:hAnsi="Palatino Linotype" w:cs="Tahoma"/>
          <w:b/>
          <w:bCs/>
        </w:rPr>
        <w:t xml:space="preserve">CONFIRMAR </w:t>
      </w:r>
      <w:r>
        <w:rPr>
          <w:rFonts w:ascii="Palatino Linotype" w:hAnsi="Palatino Linotype" w:cs="Tahoma"/>
        </w:rPr>
        <w:t>la respuesta entregada</w:t>
      </w:r>
      <w:r>
        <w:rPr>
          <w:rFonts w:ascii="Palatino Linotype" w:hAnsi="Palatino Linotype" w:cs="Tahoma"/>
        </w:rPr>
        <w:t xml:space="preserve"> por el Poder Legislativo; sin embargo, difiero con la determinación tomada, pues considero que el Ente Recurrido cuenta con atribuciones que le permiten conocer del requerimiento de información y, por lo tanto, resulta competente para </w:t>
      </w:r>
      <w:r w:rsidR="00AE53FE">
        <w:rPr>
          <w:rFonts w:ascii="Palatino Linotype" w:eastAsia="Calibri" w:hAnsi="Palatino Linotype" w:cs="Arial"/>
        </w:rPr>
        <w:t>trasparentar</w:t>
      </w:r>
      <w:r w:rsidR="0056245C">
        <w:rPr>
          <w:rFonts w:ascii="Palatino Linotype" w:eastAsia="Calibri" w:hAnsi="Palatino Linotype" w:cs="Arial"/>
        </w:rPr>
        <w:t xml:space="preserve"> la documentación </w:t>
      </w:r>
      <w:r>
        <w:rPr>
          <w:rFonts w:ascii="Palatino Linotype" w:eastAsia="Calibri" w:hAnsi="Palatino Linotype" w:cs="Arial"/>
        </w:rPr>
        <w:t>que diera cuenta de lo peticionado.</w:t>
      </w:r>
    </w:p>
    <w:p w14:paraId="2430BE57" w14:textId="7D02D6C9" w:rsidR="00A34BB9" w:rsidRPr="008E7174" w:rsidRDefault="00A34BB9" w:rsidP="00A45699">
      <w:pPr>
        <w:spacing w:after="0" w:line="360" w:lineRule="auto"/>
        <w:jc w:val="both"/>
        <w:rPr>
          <w:rFonts w:ascii="Palatino Linotype" w:eastAsia="Calibri" w:hAnsi="Palatino Linotype" w:cs="Arial"/>
        </w:rPr>
      </w:pPr>
    </w:p>
    <w:p w14:paraId="3C457F5D" w14:textId="56FF83A2" w:rsidR="00A34BB9" w:rsidRPr="00A34BB9" w:rsidRDefault="00A34BB9" w:rsidP="00A45699">
      <w:pPr>
        <w:spacing w:after="0" w:line="360" w:lineRule="auto"/>
        <w:jc w:val="both"/>
        <w:rPr>
          <w:rFonts w:ascii="Palatino Linotype" w:eastAsia="Calibri" w:hAnsi="Palatino Linotype" w:cs="Arial"/>
          <w:bCs/>
          <w:lang w:val="es-MX"/>
        </w:rPr>
      </w:pPr>
      <w:r w:rsidRPr="008E7174">
        <w:rPr>
          <w:rFonts w:ascii="Palatino Linotype" w:eastAsia="Calibri" w:hAnsi="Palatino Linotype" w:cs="Arial"/>
          <w:lang w:val="es-MX"/>
        </w:rPr>
        <w:t>Sobre lo anterior, en principio debo señalar</w:t>
      </w:r>
      <w:r w:rsidRPr="00A34BB9">
        <w:rPr>
          <w:rFonts w:ascii="Palatino Linotype" w:eastAsia="Calibri" w:hAnsi="Palatino Linotype" w:cs="Arial"/>
          <w:lang w:val="es-MX"/>
        </w:rPr>
        <w:t xml:space="preserve">, </w:t>
      </w:r>
      <w:r w:rsidRPr="008E7174">
        <w:rPr>
          <w:rFonts w:ascii="Palatino Linotype" w:eastAsia="Calibri" w:hAnsi="Palatino Linotype" w:cs="Arial"/>
          <w:bCs/>
          <w:lang w:val="es-MX"/>
        </w:rPr>
        <w:t>que</w:t>
      </w:r>
      <w:r w:rsidRPr="00A34BB9">
        <w:rPr>
          <w:rFonts w:ascii="Palatino Linotype" w:eastAsia="Calibri" w:hAnsi="Palatino Linotype" w:cs="Arial"/>
          <w:bCs/>
          <w:lang w:val="es-MX"/>
        </w:rPr>
        <w:t xml:space="preserve"> Cabanellas, Guillermo (1993), en el “Diccionario Jurídico Elemental” (p. 32 y 161), precisó los siguientes conceptos:</w:t>
      </w:r>
    </w:p>
    <w:p w14:paraId="5133EAD3" w14:textId="77777777" w:rsidR="00A34BB9" w:rsidRPr="00A34BB9" w:rsidRDefault="00A34BB9" w:rsidP="00A45699">
      <w:pPr>
        <w:spacing w:after="0" w:line="360" w:lineRule="auto"/>
        <w:jc w:val="both"/>
        <w:rPr>
          <w:rFonts w:ascii="Palatino Linotype" w:eastAsia="Calibri" w:hAnsi="Palatino Linotype" w:cs="Arial"/>
          <w:bCs/>
          <w:lang w:val="es-MX"/>
        </w:rPr>
      </w:pPr>
    </w:p>
    <w:p w14:paraId="4FC48AE6" w14:textId="4C926A76" w:rsidR="00A34BB9" w:rsidRPr="008E7174" w:rsidRDefault="00A34BB9" w:rsidP="00A45699">
      <w:pPr>
        <w:numPr>
          <w:ilvl w:val="0"/>
          <w:numId w:val="19"/>
        </w:numPr>
        <w:spacing w:after="0" w:line="360" w:lineRule="auto"/>
        <w:contextualSpacing/>
        <w:jc w:val="both"/>
        <w:rPr>
          <w:rFonts w:ascii="Palatino Linotype" w:eastAsia="Calibri" w:hAnsi="Palatino Linotype" w:cs="Arial"/>
          <w:bCs/>
          <w:lang w:eastAsia="es-ES"/>
        </w:rPr>
      </w:pPr>
      <w:r w:rsidRPr="00A34BB9">
        <w:rPr>
          <w:rFonts w:ascii="Palatino Linotype" w:eastAsia="Calibri" w:hAnsi="Palatino Linotype" w:cs="Arial"/>
          <w:b/>
          <w:bCs/>
          <w:lang w:eastAsia="es-ES"/>
        </w:rPr>
        <w:t xml:space="preserve">Competencia: </w:t>
      </w:r>
      <w:r w:rsidRPr="00A34BB9">
        <w:rPr>
          <w:rFonts w:ascii="Palatino Linotype" w:eastAsia="Calibri" w:hAnsi="Palatino Linotype" w:cs="Arial"/>
          <w:bCs/>
          <w:lang w:eastAsia="es-ES"/>
        </w:rPr>
        <w:t>La capacidad de una autoridad para conocer sobre una materia o asunto.</w:t>
      </w:r>
    </w:p>
    <w:p w14:paraId="280B064A" w14:textId="77777777" w:rsidR="008E7174" w:rsidRPr="008E7174" w:rsidRDefault="008E7174" w:rsidP="008E7174">
      <w:pPr>
        <w:spacing w:after="0" w:line="360" w:lineRule="auto"/>
        <w:ind w:left="780"/>
        <w:contextualSpacing/>
        <w:jc w:val="both"/>
        <w:rPr>
          <w:rFonts w:ascii="Palatino Linotype" w:eastAsia="Calibri" w:hAnsi="Palatino Linotype" w:cs="Arial"/>
          <w:bCs/>
          <w:lang w:eastAsia="es-ES"/>
        </w:rPr>
      </w:pPr>
    </w:p>
    <w:p w14:paraId="42118920" w14:textId="77777777" w:rsidR="00A34BB9" w:rsidRPr="00A34BB9" w:rsidRDefault="00A34BB9" w:rsidP="00A45699">
      <w:pPr>
        <w:numPr>
          <w:ilvl w:val="0"/>
          <w:numId w:val="19"/>
        </w:numPr>
        <w:spacing w:after="0" w:line="360" w:lineRule="auto"/>
        <w:contextualSpacing/>
        <w:jc w:val="both"/>
        <w:rPr>
          <w:rFonts w:ascii="Palatino Linotype" w:eastAsia="Calibri" w:hAnsi="Palatino Linotype" w:cs="Arial"/>
          <w:bCs/>
          <w:lang w:eastAsia="es-ES"/>
        </w:rPr>
      </w:pPr>
      <w:r w:rsidRPr="00A34BB9">
        <w:rPr>
          <w:rFonts w:ascii="Palatino Linotype" w:eastAsia="Calibri" w:hAnsi="Palatino Linotype" w:cs="Arial"/>
          <w:b/>
          <w:bCs/>
          <w:lang w:eastAsia="es-ES"/>
        </w:rPr>
        <w:t>Incompetencia:</w:t>
      </w:r>
      <w:r w:rsidRPr="00A34BB9">
        <w:rPr>
          <w:rFonts w:ascii="Palatino Linotype" w:eastAsia="Calibri" w:hAnsi="Palatino Linotype" w:cs="Arial"/>
          <w:bCs/>
          <w:lang w:eastAsia="es-ES"/>
        </w:rPr>
        <w:t xml:space="preserve"> Falta de Competencia.</w:t>
      </w:r>
    </w:p>
    <w:p w14:paraId="35C655DC" w14:textId="77777777" w:rsidR="00A34BB9" w:rsidRPr="00A34BB9" w:rsidRDefault="00A34BB9" w:rsidP="00A45699">
      <w:pPr>
        <w:spacing w:after="0" w:line="360" w:lineRule="auto"/>
        <w:jc w:val="both"/>
        <w:rPr>
          <w:rFonts w:ascii="Palatino Linotype" w:eastAsia="Calibri" w:hAnsi="Palatino Linotype" w:cs="Arial"/>
          <w:lang w:val="es-MX"/>
        </w:rPr>
      </w:pPr>
    </w:p>
    <w:p w14:paraId="14D8AC78" w14:textId="13995E1E" w:rsidR="00A34BB9" w:rsidRPr="00A34BB9" w:rsidRDefault="00A34BB9" w:rsidP="00A45699">
      <w:pPr>
        <w:spacing w:after="0" w:line="360" w:lineRule="auto"/>
        <w:jc w:val="both"/>
        <w:rPr>
          <w:rFonts w:ascii="Palatino Linotype" w:eastAsia="Calibri" w:hAnsi="Palatino Linotype" w:cs="Tahoma"/>
          <w:lang w:val="es-MX"/>
        </w:rPr>
      </w:pPr>
      <w:r>
        <w:rPr>
          <w:rFonts w:ascii="Palatino Linotype" w:eastAsia="Calibri" w:hAnsi="Palatino Linotype" w:cs="Tahoma"/>
          <w:lang w:val="es-ES_tradnl"/>
        </w:rPr>
        <w:t>Así</w:t>
      </w:r>
      <w:r w:rsidRPr="00A34BB9">
        <w:rPr>
          <w:rFonts w:ascii="Palatino Linotype" w:eastAsia="Calibri" w:hAnsi="Palatino Linotype" w:cs="Tahoma"/>
          <w:lang w:val="es-ES_tradnl"/>
        </w:rPr>
        <w:t>, la incompetencia, radica en la incapacidad de una autoridad para conocer de un tema o asunto; en el mismo sentido, conviene traer a cuenta tesis</w:t>
      </w:r>
      <w:r w:rsidRPr="00A34BB9">
        <w:rPr>
          <w:rFonts w:ascii="Palatino Linotype" w:eastAsia="Calibri" w:hAnsi="Palatino Linotype" w:cs="Tahoma"/>
          <w:lang w:val="es-MX"/>
        </w:rPr>
        <w:t xml:space="preserve"> aislada número III.2o.P.11 K, publicada en el Semanario Judicial de la Federación y su Gaceta, Novena Época, Tomo XV, </w:t>
      </w:r>
      <w:proofErr w:type="gramStart"/>
      <w:r w:rsidRPr="00A34BB9">
        <w:rPr>
          <w:rFonts w:ascii="Palatino Linotype" w:eastAsia="Calibri" w:hAnsi="Palatino Linotype" w:cs="Tahoma"/>
          <w:lang w:val="es-MX"/>
        </w:rPr>
        <w:t>Mayo</w:t>
      </w:r>
      <w:proofErr w:type="gramEnd"/>
      <w:r w:rsidRPr="00A34BB9">
        <w:rPr>
          <w:rFonts w:ascii="Palatino Linotype" w:eastAsia="Calibri" w:hAnsi="Palatino Linotype" w:cs="Tahoma"/>
          <w:lang w:val="es-MX"/>
        </w:rPr>
        <w:t xml:space="preserve"> de 2002, </w:t>
      </w:r>
      <w:proofErr w:type="spellStart"/>
      <w:r w:rsidRPr="00A34BB9">
        <w:rPr>
          <w:rFonts w:ascii="Palatino Linotype" w:eastAsia="Calibri" w:hAnsi="Palatino Linotype" w:cs="Tahoma"/>
          <w:lang w:val="es-MX"/>
        </w:rPr>
        <w:t>Pag.</w:t>
      </w:r>
      <w:proofErr w:type="spellEnd"/>
      <w:r w:rsidRPr="00A34BB9">
        <w:rPr>
          <w:rFonts w:ascii="Palatino Linotype" w:eastAsia="Calibri" w:hAnsi="Palatino Linotype" w:cs="Tahoma"/>
          <w:lang w:val="es-MX"/>
        </w:rPr>
        <w:t xml:space="preserve"> 1243, ya que precisa lo siguiente: </w:t>
      </w:r>
    </w:p>
    <w:p w14:paraId="575D3F60" w14:textId="77777777" w:rsidR="00A34BB9" w:rsidRPr="00A34BB9" w:rsidRDefault="00A34BB9" w:rsidP="00A45699">
      <w:pPr>
        <w:spacing w:after="0" w:line="360" w:lineRule="auto"/>
        <w:jc w:val="both"/>
        <w:rPr>
          <w:rFonts w:ascii="Palatino Linotype" w:eastAsia="Calibri" w:hAnsi="Palatino Linotype" w:cs="Tahoma"/>
          <w:lang w:val="es-ES_tradnl"/>
        </w:rPr>
      </w:pPr>
    </w:p>
    <w:p w14:paraId="2F55202A" w14:textId="77777777" w:rsidR="00A34BB9" w:rsidRPr="00A34BB9" w:rsidRDefault="00A34BB9" w:rsidP="00A45699">
      <w:pPr>
        <w:spacing w:after="0" w:line="360" w:lineRule="auto"/>
        <w:ind w:left="567" w:right="567"/>
        <w:jc w:val="both"/>
        <w:rPr>
          <w:rFonts w:ascii="Palatino Linotype" w:eastAsia="Calibri" w:hAnsi="Palatino Linotype" w:cs="Tahoma"/>
          <w:i/>
          <w:sz w:val="20"/>
          <w:szCs w:val="20"/>
          <w:lang w:val="es-ES_tradnl"/>
        </w:rPr>
      </w:pPr>
      <w:r w:rsidRPr="00A34BB9">
        <w:rPr>
          <w:rFonts w:ascii="Palatino Linotype" w:eastAsia="Calibri" w:hAnsi="Palatino Linotype" w:cs="Tahoma"/>
          <w:b/>
          <w:bCs/>
          <w:i/>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A34BB9">
        <w:rPr>
          <w:rFonts w:ascii="Palatino Linotype" w:eastAsia="Calibri" w:hAnsi="Palatino Linotype" w:cs="Tahoma"/>
          <w:i/>
          <w:sz w:val="20"/>
          <w:szCs w:val="20"/>
          <w:lang w:val="es-ES_tradnl"/>
        </w:rPr>
        <w:t>El artículo </w:t>
      </w:r>
      <w:hyperlink r:id="rId8" w:history="1">
        <w:r w:rsidRPr="00A34BB9">
          <w:rPr>
            <w:rFonts w:ascii="Palatino Linotype" w:eastAsia="Calibri" w:hAnsi="Palatino Linotype" w:cs="Tahoma"/>
            <w:i/>
            <w:color w:val="0563C1"/>
            <w:sz w:val="20"/>
            <w:szCs w:val="20"/>
            <w:u w:val="single"/>
            <w:lang w:val="es-ES_tradnl"/>
          </w:rPr>
          <w:t>16 constitucional</w:t>
        </w:r>
      </w:hyperlink>
      <w:r w:rsidRPr="00A34BB9">
        <w:rPr>
          <w:rFonts w:ascii="Palatino Linotype" w:eastAsia="Calibri" w:hAnsi="Palatino Linotype" w:cs="Tahoma"/>
          <w:i/>
          <w:sz w:val="20"/>
          <w:szCs w:val="20"/>
          <w:lang w:val="es-ES_tradnl"/>
        </w:rPr>
        <w:t xml:space="preserve"> se refiere a la competencia que tienen las autoridades para conocer de determinadas conductas en particular, caso que corresponde a la esfera de atribuciones de las autoridades cuya competencia constituye el análisis del Poder Judicial </w:t>
      </w:r>
      <w:r w:rsidRPr="00A34BB9">
        <w:rPr>
          <w:rFonts w:ascii="Palatino Linotype" w:eastAsia="Calibri" w:hAnsi="Palatino Linotype" w:cs="Tahoma"/>
          <w:i/>
          <w:sz w:val="20"/>
          <w:szCs w:val="20"/>
          <w:lang w:val="es-ES_tradnl"/>
        </w:rPr>
        <w:lastRenderedPageBreak/>
        <w:t>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720AA91" w14:textId="77777777" w:rsidR="003D1AD0" w:rsidRDefault="003D1AD0" w:rsidP="00A45699">
      <w:pPr>
        <w:spacing w:after="0" w:line="360" w:lineRule="auto"/>
        <w:jc w:val="both"/>
        <w:rPr>
          <w:rFonts w:ascii="Palatino Linotype" w:eastAsia="Calibri" w:hAnsi="Palatino Linotype" w:cs="Tahoma"/>
          <w:lang w:val="es-ES_tradnl"/>
        </w:rPr>
      </w:pPr>
    </w:p>
    <w:p w14:paraId="2A4409E7" w14:textId="62C5537C" w:rsidR="00A34BB9" w:rsidRPr="00A34BB9" w:rsidRDefault="00A34BB9" w:rsidP="00A45699">
      <w:pPr>
        <w:spacing w:after="0" w:line="360" w:lineRule="auto"/>
        <w:jc w:val="both"/>
        <w:rPr>
          <w:rFonts w:ascii="Palatino Linotype" w:eastAsia="Calibri" w:hAnsi="Palatino Linotype" w:cs="Tahoma"/>
          <w:lang w:val="es-MX"/>
        </w:rPr>
      </w:pPr>
      <w:r w:rsidRPr="00A34BB9">
        <w:rPr>
          <w:rFonts w:ascii="Palatino Linotype" w:eastAsia="Calibri" w:hAnsi="Palatino Linotype" w:cs="Tahoma"/>
          <w:lang w:val="es-ES_tradnl"/>
        </w:rPr>
        <w:t xml:space="preserve">Por otro lado, en el </w:t>
      </w:r>
      <w:r w:rsidRPr="00A34BB9">
        <w:rPr>
          <w:rFonts w:ascii="Palatino Linotype" w:eastAsia="Calibri" w:hAnsi="Palatino Linotype" w:cs="Tahoma"/>
        </w:rPr>
        <w:t xml:space="preserve">Criterio 13/17, </w:t>
      </w:r>
      <w:r w:rsidRPr="00A34BB9">
        <w:rPr>
          <w:rFonts w:ascii="Palatino Linotype" w:eastAsia="Calibri" w:hAnsi="Palatino Linotype" w:cs="Tahoma"/>
          <w:lang w:val="es-MX"/>
        </w:rPr>
        <w:t xml:space="preserve">emitido por el Instituto Nacional de Transparencia, Acceso a la Información y Protección de Datos Personales, que dispone lo siguiente: </w:t>
      </w:r>
    </w:p>
    <w:p w14:paraId="0F3CB378" w14:textId="77777777" w:rsidR="00A34BB9" w:rsidRPr="00A34BB9" w:rsidRDefault="00A34BB9" w:rsidP="00A45699">
      <w:pPr>
        <w:spacing w:after="0" w:line="360" w:lineRule="auto"/>
        <w:jc w:val="both"/>
        <w:rPr>
          <w:rFonts w:ascii="Palatino Linotype" w:eastAsia="Calibri" w:hAnsi="Palatino Linotype" w:cs="Tahoma"/>
          <w:lang w:val="es-MX"/>
        </w:rPr>
      </w:pPr>
    </w:p>
    <w:p w14:paraId="26BDC030" w14:textId="77777777" w:rsidR="00A34BB9" w:rsidRPr="00A34BB9" w:rsidRDefault="00A34BB9" w:rsidP="00A45699">
      <w:pPr>
        <w:spacing w:after="0" w:line="360" w:lineRule="auto"/>
        <w:ind w:left="567" w:right="567"/>
        <w:jc w:val="both"/>
        <w:rPr>
          <w:rFonts w:ascii="Palatino Linotype" w:eastAsia="Calibri" w:hAnsi="Palatino Linotype" w:cs="Tahoma"/>
          <w:i/>
          <w:sz w:val="20"/>
          <w:szCs w:val="20"/>
          <w:lang w:val="es-MX"/>
        </w:rPr>
      </w:pPr>
      <w:r w:rsidRPr="00A34BB9">
        <w:rPr>
          <w:rFonts w:ascii="Palatino Linotype" w:eastAsia="Calibri" w:hAnsi="Palatino Linotype" w:cs="Tahoma"/>
          <w:i/>
          <w:sz w:val="20"/>
          <w:szCs w:val="20"/>
          <w:lang w:val="es-MX"/>
        </w:rPr>
        <w:t>“</w:t>
      </w:r>
      <w:r w:rsidRPr="00A34BB9">
        <w:rPr>
          <w:rFonts w:ascii="Palatino Linotype" w:eastAsia="Calibri" w:hAnsi="Palatino Linotype" w:cs="Tahoma"/>
          <w:b/>
          <w:bCs/>
          <w:i/>
          <w:sz w:val="20"/>
          <w:szCs w:val="20"/>
          <w:lang w:val="es-MX"/>
        </w:rPr>
        <w:t xml:space="preserve">Incompetencia. </w:t>
      </w:r>
      <w:r w:rsidRPr="00A34BB9">
        <w:rPr>
          <w:rFonts w:ascii="Palatino Linotype" w:eastAsia="Calibri" w:hAnsi="Palatino Linotype" w:cs="Tahoma"/>
          <w:i/>
          <w:sz w:val="20"/>
          <w:szCs w:val="20"/>
          <w:lang w:val="es-MX"/>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882B0C0" w14:textId="77777777" w:rsidR="00A34BB9" w:rsidRPr="00A34BB9" w:rsidRDefault="00A34BB9" w:rsidP="00A45699">
      <w:pPr>
        <w:spacing w:after="0" w:line="360" w:lineRule="auto"/>
        <w:jc w:val="both"/>
        <w:rPr>
          <w:rFonts w:ascii="Palatino Linotype" w:eastAsia="Calibri" w:hAnsi="Palatino Linotype" w:cs="Tahoma"/>
          <w:lang w:val="es-ES_tradnl"/>
        </w:rPr>
      </w:pPr>
    </w:p>
    <w:p w14:paraId="28C3A23F" w14:textId="77777777" w:rsidR="00A34BB9" w:rsidRPr="00A34BB9" w:rsidRDefault="00A34BB9" w:rsidP="00A45699">
      <w:pPr>
        <w:spacing w:after="0" w:line="360" w:lineRule="auto"/>
        <w:jc w:val="both"/>
        <w:rPr>
          <w:rFonts w:ascii="Palatino Linotype" w:eastAsia="Calibri" w:hAnsi="Palatino Linotype" w:cs="Tahoma"/>
          <w:lang w:val="es-ES_tradnl"/>
        </w:rPr>
      </w:pPr>
      <w:r w:rsidRPr="00A34BB9">
        <w:rPr>
          <w:rFonts w:ascii="Palatino Linotype" w:eastAsia="Calibri" w:hAnsi="Palatino Linotype" w:cs="Tahoma"/>
          <w:lang w:val="es-ES_tradnl"/>
        </w:rPr>
        <w:t xml:space="preserve">En tal virtud, la </w:t>
      </w:r>
      <w:r w:rsidRPr="00A34BB9">
        <w:rPr>
          <w:rFonts w:ascii="Palatino Linotype" w:eastAsia="Calibri" w:hAnsi="Palatino Linotype" w:cs="Tahoma"/>
          <w:b/>
          <w:lang w:val="es-ES_tradnl"/>
        </w:rPr>
        <w:t xml:space="preserve">incompetencia </w:t>
      </w:r>
      <w:r w:rsidRPr="00A34BB9">
        <w:rPr>
          <w:rFonts w:ascii="Palatino Linotype" w:eastAsia="Calibri" w:hAnsi="Palatino Linotype" w:cs="Tahoma"/>
          <w:lang w:val="es-ES_tradnl"/>
        </w:rPr>
        <w:t>implica que, de conformidad con las atribuciones conferidas al sujeto obligado, no habría razón por la cual éste deba contar con la información solicitada, en cuyo caso, tendría que orientar al particular para que acuda a la instancia competente, tal como lo establece el artículo 167 de la Ley de Transparencia y Acceso a la Información Pública del Estado de México y Municipios.</w:t>
      </w:r>
    </w:p>
    <w:p w14:paraId="74342553" w14:textId="77777777" w:rsidR="00A34BB9" w:rsidRPr="00A34BB9" w:rsidRDefault="00A34BB9" w:rsidP="00A45699">
      <w:pPr>
        <w:spacing w:after="0" w:line="360" w:lineRule="auto"/>
        <w:jc w:val="both"/>
        <w:rPr>
          <w:rFonts w:ascii="Palatino Linotype" w:eastAsia="Calibri" w:hAnsi="Palatino Linotype" w:cs="Tahoma"/>
          <w:lang w:val="es-ES_tradnl"/>
        </w:rPr>
      </w:pPr>
    </w:p>
    <w:p w14:paraId="57846997" w14:textId="0C7737FD" w:rsidR="00A34BB9" w:rsidRDefault="00A34BB9" w:rsidP="00A45699">
      <w:pPr>
        <w:spacing w:after="0" w:line="360" w:lineRule="auto"/>
        <w:jc w:val="both"/>
        <w:rPr>
          <w:rFonts w:ascii="Palatino Linotype" w:eastAsia="Calibri" w:hAnsi="Palatino Linotype" w:cs="Tahoma"/>
          <w:lang w:val="es-ES_tradnl"/>
        </w:rPr>
      </w:pPr>
      <w:r>
        <w:rPr>
          <w:rFonts w:ascii="Palatino Linotype" w:eastAsia="Times New Roman" w:hAnsi="Palatino Linotype" w:cs="Tahoma"/>
          <w:lang w:val="es-ES_tradnl" w:eastAsia="es-ES"/>
        </w:rPr>
        <w:t>Por lo cual</w:t>
      </w:r>
      <w:r w:rsidRPr="00A34BB9">
        <w:rPr>
          <w:rFonts w:ascii="Palatino Linotype" w:eastAsia="Times New Roman" w:hAnsi="Palatino Linotype" w:cs="Tahoma"/>
          <w:lang w:val="es-ES_tradnl" w:eastAsia="es-ES"/>
        </w:rPr>
        <w:t>, dicho concepto refiere a la ausencia de atribuciones por parte de los Entes sujetos a las Leyes de Transparencia, para contar con la información que se requiere, es decir, se trata de una situación que se dilucida a partir de las facultades atribuidas a éste</w:t>
      </w:r>
      <w:r>
        <w:rPr>
          <w:rFonts w:ascii="Palatino Linotype" w:eastAsia="Times New Roman" w:hAnsi="Palatino Linotype" w:cs="Tahoma"/>
          <w:lang w:val="es-ES_tradnl" w:eastAsia="es-ES"/>
        </w:rPr>
        <w:t xml:space="preserve">; en otras palabras, </w:t>
      </w:r>
      <w:r w:rsidRPr="00227E94">
        <w:rPr>
          <w:rFonts w:ascii="Palatino Linotype" w:eastAsia="Calibri" w:hAnsi="Palatino Linotype" w:cs="Tahoma"/>
          <w:lang w:val="es-ES_tradnl"/>
        </w:rPr>
        <w:t xml:space="preserve">la </w:t>
      </w:r>
      <w:r w:rsidRPr="00227E94">
        <w:rPr>
          <w:rFonts w:ascii="Palatino Linotype" w:eastAsia="Calibri" w:hAnsi="Palatino Linotype" w:cs="Tahoma"/>
          <w:b/>
          <w:lang w:val="es-ES_tradnl"/>
        </w:rPr>
        <w:t>incompetencia</w:t>
      </w:r>
      <w:r w:rsidRPr="00227E94">
        <w:rPr>
          <w:rFonts w:ascii="Palatino Linotype" w:eastAsia="Calibri" w:hAnsi="Palatino Linotype" w:cs="Tahoma"/>
          <w:lang w:val="es-ES_tradnl"/>
        </w:rPr>
        <w:t xml:space="preserve"> implica que el </w:t>
      </w:r>
      <w:r>
        <w:rPr>
          <w:rFonts w:ascii="Palatino Linotype" w:eastAsia="Calibri" w:hAnsi="Palatino Linotype" w:cs="Tahoma"/>
          <w:lang w:val="es-ES_tradnl"/>
        </w:rPr>
        <w:t>S</w:t>
      </w:r>
      <w:r w:rsidRPr="00227E94">
        <w:rPr>
          <w:rFonts w:ascii="Palatino Linotype" w:eastAsia="Calibri" w:hAnsi="Palatino Linotype" w:cs="Tahoma"/>
          <w:lang w:val="es-ES_tradnl"/>
        </w:rPr>
        <w:t xml:space="preserve">ujeto </w:t>
      </w:r>
      <w:r>
        <w:rPr>
          <w:rFonts w:ascii="Palatino Linotype" w:eastAsia="Calibri" w:hAnsi="Palatino Linotype" w:cs="Tahoma"/>
          <w:lang w:val="es-ES_tradnl"/>
        </w:rPr>
        <w:t>O</w:t>
      </w:r>
      <w:r w:rsidRPr="00227E94">
        <w:rPr>
          <w:rFonts w:ascii="Palatino Linotype" w:eastAsia="Calibri" w:hAnsi="Palatino Linotype" w:cs="Tahoma"/>
          <w:lang w:val="es-ES_tradnl"/>
        </w:rPr>
        <w:t xml:space="preserve">bligado no cuenta con atribuciones para </w:t>
      </w:r>
      <w:r w:rsidRPr="00227E94">
        <w:rPr>
          <w:rFonts w:ascii="Palatino Linotype" w:eastAsia="Calibri" w:hAnsi="Palatino Linotype" w:cs="Tahoma"/>
          <w:lang w:val="es-ES_tradnl"/>
        </w:rPr>
        <w:lastRenderedPageBreak/>
        <w:t>conocer de lo requerido y, por tanto, no habría razón para que en sus archivos obr</w:t>
      </w:r>
      <w:r w:rsidR="0044246A">
        <w:rPr>
          <w:rFonts w:ascii="Palatino Linotype" w:eastAsia="Calibri" w:hAnsi="Palatino Linotype" w:cs="Tahoma"/>
          <w:lang w:val="es-ES_tradnl"/>
        </w:rPr>
        <w:t>ara</w:t>
      </w:r>
      <w:r w:rsidRPr="00227E94">
        <w:rPr>
          <w:rFonts w:ascii="Palatino Linotype" w:eastAsia="Calibri" w:hAnsi="Palatino Linotype" w:cs="Tahoma"/>
          <w:lang w:val="es-ES_tradnl"/>
        </w:rPr>
        <w:t xml:space="preserve"> información relacionada con la materia de la solicitud.</w:t>
      </w:r>
    </w:p>
    <w:p w14:paraId="54AB9EC1" w14:textId="77777777" w:rsidR="00A45699" w:rsidRPr="00227E94" w:rsidRDefault="00A45699" w:rsidP="00A45699">
      <w:pPr>
        <w:spacing w:after="0" w:line="360" w:lineRule="auto"/>
        <w:jc w:val="both"/>
        <w:rPr>
          <w:rFonts w:ascii="Palatino Linotype" w:eastAsia="Calibri" w:hAnsi="Palatino Linotype" w:cs="Arial"/>
        </w:rPr>
      </w:pPr>
    </w:p>
    <w:p w14:paraId="23769F75" w14:textId="08D5F2F0" w:rsidR="0056245C" w:rsidRDefault="0044246A" w:rsidP="00A45699">
      <w:pPr>
        <w:spacing w:after="0" w:line="360" w:lineRule="auto"/>
        <w:jc w:val="both"/>
        <w:rPr>
          <w:rFonts w:ascii="Palatino Linotype" w:hAnsi="Palatino Linotype"/>
        </w:rPr>
      </w:pPr>
      <w:r>
        <w:rPr>
          <w:rFonts w:ascii="Palatino Linotype" w:eastAsia="Calibri" w:hAnsi="Palatino Linotype" w:cs="Arial"/>
        </w:rPr>
        <w:t>En ese sentido</w:t>
      </w:r>
      <w:r w:rsidR="0056245C">
        <w:rPr>
          <w:rFonts w:ascii="Palatino Linotype" w:eastAsia="Calibri" w:hAnsi="Palatino Linotype" w:cs="Arial"/>
        </w:rPr>
        <w:t>,</w:t>
      </w:r>
      <w:r>
        <w:rPr>
          <w:rFonts w:ascii="Palatino Linotype" w:eastAsia="Calibri" w:hAnsi="Palatino Linotype" w:cs="Arial"/>
        </w:rPr>
        <w:t xml:space="preserve"> debo señalar que</w:t>
      </w:r>
      <w:r w:rsidR="0056245C">
        <w:rPr>
          <w:rFonts w:ascii="Palatino Linotype" w:eastAsia="Calibri" w:hAnsi="Palatino Linotype" w:cs="Arial"/>
        </w:rPr>
        <w:t xml:space="preserve"> el Poder Legislativo, </w:t>
      </w:r>
      <w:r w:rsidR="007C69D4">
        <w:rPr>
          <w:rFonts w:ascii="Palatino Linotype" w:eastAsia="Calibri" w:hAnsi="Palatino Linotype" w:cs="Arial"/>
        </w:rPr>
        <w:t>está</w:t>
      </w:r>
      <w:r w:rsidR="0056245C">
        <w:rPr>
          <w:rFonts w:ascii="Palatino Linotype" w:eastAsia="Calibri" w:hAnsi="Palatino Linotype" w:cs="Arial"/>
        </w:rPr>
        <w:t xml:space="preserve"> a cargo del </w:t>
      </w:r>
      <w:r w:rsidR="0056245C" w:rsidRPr="0056245C">
        <w:rPr>
          <w:rFonts w:ascii="Palatino Linotype" w:eastAsia="Calibri" w:hAnsi="Palatino Linotype" w:cs="Tahoma"/>
          <w:bCs/>
        </w:rPr>
        <w:t>Órgano Superior de Fiscalizaci</w:t>
      </w:r>
      <w:r w:rsidR="0056245C">
        <w:rPr>
          <w:rFonts w:ascii="Palatino Linotype" w:eastAsia="Calibri" w:hAnsi="Palatino Linotype" w:cs="Tahoma"/>
          <w:bCs/>
        </w:rPr>
        <w:t xml:space="preserve">ón del Estado de México, </w:t>
      </w:r>
      <w:r w:rsidR="007C69D4">
        <w:rPr>
          <w:rFonts w:ascii="Palatino Linotype" w:eastAsia="Calibri" w:hAnsi="Palatino Linotype" w:cs="Tahoma"/>
          <w:bCs/>
        </w:rPr>
        <w:t>que es</w:t>
      </w:r>
      <w:r w:rsidR="0056245C">
        <w:rPr>
          <w:rFonts w:ascii="Palatino Linotype" w:eastAsia="Calibri" w:hAnsi="Palatino Linotype" w:cs="Tahoma"/>
          <w:bCs/>
        </w:rPr>
        <w:t xml:space="preserve"> la autoridad fiscalizadora</w:t>
      </w:r>
      <w:r>
        <w:rPr>
          <w:rFonts w:ascii="Palatino Linotype" w:eastAsia="Calibri" w:hAnsi="Palatino Linotype" w:cs="Tahoma"/>
          <w:bCs/>
        </w:rPr>
        <w:t xml:space="preserve"> de la Entidad Federativa</w:t>
      </w:r>
      <w:r w:rsidR="0056245C">
        <w:rPr>
          <w:rFonts w:ascii="Palatino Linotype" w:eastAsia="Calibri" w:hAnsi="Palatino Linotype" w:cs="Tahoma"/>
          <w:bCs/>
        </w:rPr>
        <w:t xml:space="preserve">, cuyo principal objetivo </w:t>
      </w:r>
      <w:r w:rsidR="007C69D4">
        <w:rPr>
          <w:rFonts w:ascii="Palatino Linotype" w:eastAsia="Calibri" w:hAnsi="Palatino Linotype" w:cs="Tahoma"/>
          <w:bCs/>
        </w:rPr>
        <w:t xml:space="preserve">es </w:t>
      </w:r>
      <w:r w:rsidR="0056245C">
        <w:rPr>
          <w:rFonts w:ascii="Palatino Linotype" w:eastAsia="Calibri" w:hAnsi="Palatino Linotype" w:cs="Tahoma"/>
          <w:bCs/>
        </w:rPr>
        <w:t xml:space="preserve">fiscalizar los ingresos y egresos de las entidades </w:t>
      </w:r>
      <w:r w:rsidR="007C69D4">
        <w:rPr>
          <w:rFonts w:ascii="Palatino Linotype" w:eastAsia="Calibri" w:hAnsi="Palatino Linotype" w:cs="Tahoma"/>
          <w:bCs/>
        </w:rPr>
        <w:t xml:space="preserve">públicas, incluyendo a los Ayuntamientos, </w:t>
      </w:r>
      <w:r w:rsidR="0056245C">
        <w:rPr>
          <w:rFonts w:ascii="Palatino Linotype" w:eastAsia="Calibri" w:hAnsi="Palatino Linotype" w:cs="Tahoma"/>
          <w:bCs/>
        </w:rPr>
        <w:t xml:space="preserve">de conformidad con lo dispuesto en el </w:t>
      </w:r>
      <w:r w:rsidR="0056245C">
        <w:rPr>
          <w:rFonts w:ascii="Palatino Linotype" w:hAnsi="Palatino Linotype"/>
        </w:rPr>
        <w:t>artículos</w:t>
      </w:r>
      <w:r w:rsidR="0056245C" w:rsidRPr="000222FE">
        <w:rPr>
          <w:rFonts w:ascii="Palatino Linotype" w:hAnsi="Palatino Linotype"/>
        </w:rPr>
        <w:t xml:space="preserve"> 61 fracciones XXXII y XXXIV</w:t>
      </w:r>
      <w:r w:rsidR="007C69D4">
        <w:rPr>
          <w:rFonts w:ascii="Palatino Linotype" w:hAnsi="Palatino Linotype"/>
        </w:rPr>
        <w:t>,</w:t>
      </w:r>
      <w:r w:rsidR="0056245C" w:rsidRPr="000222FE">
        <w:rPr>
          <w:rFonts w:ascii="Palatino Linotype" w:hAnsi="Palatino Linotype"/>
        </w:rPr>
        <w:t xml:space="preserve"> de la Constitución Política del Estado Libre y Soberano de </w:t>
      </w:r>
      <w:r w:rsidR="0056245C">
        <w:rPr>
          <w:rFonts w:ascii="Palatino Linotype" w:hAnsi="Palatino Linotype"/>
        </w:rPr>
        <w:t>México;</w:t>
      </w:r>
      <w:r w:rsidR="0056245C" w:rsidRPr="000222FE">
        <w:rPr>
          <w:rFonts w:ascii="Palatino Linotype" w:hAnsi="Palatino Linotype"/>
        </w:rPr>
        <w:t xml:space="preserve"> 94 fracción I</w:t>
      </w:r>
      <w:r w:rsidR="007C69D4">
        <w:rPr>
          <w:rFonts w:ascii="Palatino Linotype" w:hAnsi="Palatino Linotype"/>
        </w:rPr>
        <w:t>,</w:t>
      </w:r>
      <w:r w:rsidR="0056245C" w:rsidRPr="000222FE">
        <w:rPr>
          <w:rFonts w:ascii="Palatino Linotype" w:hAnsi="Palatino Linotype"/>
        </w:rPr>
        <w:t xml:space="preserve"> y 95 de la Ley Orgánica del Poder Legislativo, del Estado Libre y Soberano de México</w:t>
      </w:r>
      <w:r w:rsidR="0056245C">
        <w:rPr>
          <w:rFonts w:ascii="Palatino Linotype" w:hAnsi="Palatino Linotype"/>
        </w:rPr>
        <w:t>; 1</w:t>
      </w:r>
      <w:r w:rsidR="00A34BB9">
        <w:rPr>
          <w:rFonts w:ascii="Palatino Linotype" w:hAnsi="Palatino Linotype"/>
        </w:rPr>
        <w:t>°</w:t>
      </w:r>
      <w:r w:rsidR="0056245C">
        <w:rPr>
          <w:rFonts w:ascii="Palatino Linotype" w:hAnsi="Palatino Linotype"/>
        </w:rPr>
        <w:t>, 3</w:t>
      </w:r>
      <w:r w:rsidR="00A34BB9">
        <w:rPr>
          <w:rFonts w:ascii="Palatino Linotype" w:hAnsi="Palatino Linotype"/>
        </w:rPr>
        <w:t>°</w:t>
      </w:r>
      <w:r w:rsidR="0056245C">
        <w:rPr>
          <w:rFonts w:ascii="Palatino Linotype" w:hAnsi="Palatino Linotype"/>
        </w:rPr>
        <w:t xml:space="preserve">, </w:t>
      </w:r>
      <w:r w:rsidR="0056245C" w:rsidRPr="000222FE">
        <w:rPr>
          <w:rFonts w:ascii="Palatino Linotype" w:hAnsi="Palatino Linotype"/>
        </w:rPr>
        <w:t>8</w:t>
      </w:r>
      <w:r w:rsidR="00A34BB9">
        <w:rPr>
          <w:rFonts w:ascii="Palatino Linotype" w:hAnsi="Palatino Linotype"/>
        </w:rPr>
        <w:t>°,</w:t>
      </w:r>
      <w:r w:rsidR="0056245C" w:rsidRPr="000222FE">
        <w:rPr>
          <w:rFonts w:ascii="Palatino Linotype" w:hAnsi="Palatino Linotype"/>
        </w:rPr>
        <w:t xml:space="preserve"> fracción I</w:t>
      </w:r>
      <w:r w:rsidR="0056245C">
        <w:rPr>
          <w:rFonts w:ascii="Palatino Linotype" w:hAnsi="Palatino Linotype"/>
        </w:rPr>
        <w:t xml:space="preserve">, V, VIII </w:t>
      </w:r>
      <w:r w:rsidR="00A34BB9">
        <w:rPr>
          <w:rFonts w:ascii="Palatino Linotype" w:hAnsi="Palatino Linotype"/>
        </w:rPr>
        <w:t xml:space="preserve"> y</w:t>
      </w:r>
      <w:r w:rsidR="0056245C" w:rsidRPr="000222FE">
        <w:rPr>
          <w:rFonts w:ascii="Palatino Linotype" w:hAnsi="Palatino Linotype"/>
        </w:rPr>
        <w:t xml:space="preserve"> XI</w:t>
      </w:r>
      <w:r w:rsidR="00A34BB9">
        <w:rPr>
          <w:rFonts w:ascii="Palatino Linotype" w:hAnsi="Palatino Linotype"/>
        </w:rPr>
        <w:t>,</w:t>
      </w:r>
      <w:r w:rsidR="0056245C" w:rsidRPr="000222FE">
        <w:rPr>
          <w:rFonts w:ascii="Palatino Linotype" w:hAnsi="Palatino Linotype"/>
        </w:rPr>
        <w:t xml:space="preserve"> </w:t>
      </w:r>
      <w:r w:rsidR="0056245C">
        <w:rPr>
          <w:rFonts w:ascii="Palatino Linotype" w:hAnsi="Palatino Linotype"/>
        </w:rPr>
        <w:t xml:space="preserve">y 47 </w:t>
      </w:r>
      <w:r w:rsidR="0056245C" w:rsidRPr="000222FE">
        <w:rPr>
          <w:rFonts w:ascii="Palatino Linotype" w:hAnsi="Palatino Linotype"/>
        </w:rPr>
        <w:t xml:space="preserve">de la </w:t>
      </w:r>
      <w:r w:rsidR="0056245C">
        <w:rPr>
          <w:rFonts w:ascii="Palatino Linotype" w:hAnsi="Palatino Linotype"/>
        </w:rPr>
        <w:t>L</w:t>
      </w:r>
      <w:r w:rsidR="0056245C" w:rsidRPr="000222FE">
        <w:rPr>
          <w:rFonts w:ascii="Palatino Linotype" w:hAnsi="Palatino Linotype"/>
        </w:rPr>
        <w:t xml:space="preserve">ey de </w:t>
      </w:r>
      <w:r w:rsidR="0056245C">
        <w:rPr>
          <w:rFonts w:ascii="Palatino Linotype" w:hAnsi="Palatino Linotype"/>
        </w:rPr>
        <w:t>F</w:t>
      </w:r>
      <w:r w:rsidR="0056245C" w:rsidRPr="000222FE">
        <w:rPr>
          <w:rFonts w:ascii="Palatino Linotype" w:hAnsi="Palatino Linotype"/>
        </w:rPr>
        <w:t xml:space="preserve">iscalización </w:t>
      </w:r>
      <w:r w:rsidR="0056245C">
        <w:rPr>
          <w:rFonts w:ascii="Palatino Linotype" w:hAnsi="Palatino Linotype"/>
        </w:rPr>
        <w:t>S</w:t>
      </w:r>
      <w:r w:rsidR="0056245C" w:rsidRPr="000222FE">
        <w:rPr>
          <w:rFonts w:ascii="Palatino Linotype" w:hAnsi="Palatino Linotype"/>
        </w:rPr>
        <w:t xml:space="preserve">uperior del </w:t>
      </w:r>
      <w:r w:rsidR="0056245C">
        <w:rPr>
          <w:rFonts w:ascii="Palatino Linotype" w:hAnsi="Palatino Linotype"/>
        </w:rPr>
        <w:t>E</w:t>
      </w:r>
      <w:r w:rsidR="0056245C" w:rsidRPr="000222FE">
        <w:rPr>
          <w:rFonts w:ascii="Palatino Linotype" w:hAnsi="Palatino Linotype"/>
        </w:rPr>
        <w:t xml:space="preserve">stado de </w:t>
      </w:r>
      <w:r w:rsidR="0056245C">
        <w:rPr>
          <w:rFonts w:ascii="Palatino Linotype" w:hAnsi="Palatino Linotype"/>
        </w:rPr>
        <w:t>M</w:t>
      </w:r>
      <w:r w:rsidR="0056245C" w:rsidRPr="000222FE">
        <w:rPr>
          <w:rFonts w:ascii="Palatino Linotype" w:hAnsi="Palatino Linotype"/>
        </w:rPr>
        <w:t>éxico</w:t>
      </w:r>
      <w:r w:rsidR="00A34BB9">
        <w:rPr>
          <w:rFonts w:ascii="Palatino Linotype" w:hAnsi="Palatino Linotype"/>
        </w:rPr>
        <w:t>, así como,</w:t>
      </w:r>
      <w:r w:rsidR="0056245C" w:rsidRPr="000222FE">
        <w:rPr>
          <w:rFonts w:ascii="Palatino Linotype" w:hAnsi="Palatino Linotype"/>
        </w:rPr>
        <w:t xml:space="preserve"> </w:t>
      </w:r>
      <w:r w:rsidR="0056245C">
        <w:rPr>
          <w:rFonts w:ascii="Palatino Linotype" w:hAnsi="Palatino Linotype"/>
        </w:rPr>
        <w:t>2</w:t>
      </w:r>
      <w:r w:rsidR="00A34BB9">
        <w:rPr>
          <w:rFonts w:ascii="Palatino Linotype" w:hAnsi="Palatino Linotype"/>
        </w:rPr>
        <w:t xml:space="preserve">° </w:t>
      </w:r>
      <w:r w:rsidR="0056245C">
        <w:rPr>
          <w:rFonts w:ascii="Palatino Linotype" w:hAnsi="Palatino Linotype"/>
        </w:rPr>
        <w:t>del Reglamento Interior del Órgano Superior de Fiscalización del Estado de México.</w:t>
      </w:r>
    </w:p>
    <w:p w14:paraId="699AD34A" w14:textId="77777777" w:rsidR="0056245C" w:rsidRDefault="0056245C" w:rsidP="00A45699">
      <w:pPr>
        <w:spacing w:after="0" w:line="360" w:lineRule="auto"/>
        <w:jc w:val="both"/>
        <w:rPr>
          <w:rFonts w:ascii="Palatino Linotype" w:hAnsi="Palatino Linotype"/>
        </w:rPr>
      </w:pPr>
    </w:p>
    <w:p w14:paraId="289765F0" w14:textId="11C3A793" w:rsidR="0056245C" w:rsidRDefault="00A34BB9" w:rsidP="00A45699">
      <w:pPr>
        <w:spacing w:after="0" w:line="360" w:lineRule="auto"/>
        <w:jc w:val="both"/>
        <w:rPr>
          <w:rFonts w:ascii="Palatino Linotype" w:hAnsi="Palatino Linotype"/>
        </w:rPr>
      </w:pPr>
      <w:r>
        <w:rPr>
          <w:rFonts w:ascii="Palatino Linotype" w:hAnsi="Palatino Linotype"/>
        </w:rPr>
        <w:t>Además</w:t>
      </w:r>
      <w:r w:rsidR="0056245C">
        <w:rPr>
          <w:rFonts w:ascii="Palatino Linotype" w:hAnsi="Palatino Linotype"/>
        </w:rPr>
        <w:t>, de conformidad con lo dispuesto en el artículo 285 del Código Financiero del Estado de México, los entes Municipales deben emitir anualmente, un presupuesto de egresos, que es aprobado por el Ayuntamiento;</w:t>
      </w:r>
      <w:r w:rsidR="00CA6779">
        <w:rPr>
          <w:rFonts w:ascii="Palatino Linotype" w:hAnsi="Palatino Linotype"/>
        </w:rPr>
        <w:t xml:space="preserve"> el cual, incluye entre otros rubros, la propuesta de repartición del gasto público entre las dependencias y programas que derivan del Plan de Desarrollo Municipal, ello de conformidad con lo dispuesto en </w:t>
      </w:r>
      <w:r w:rsidR="0044246A">
        <w:rPr>
          <w:rFonts w:ascii="Palatino Linotype" w:hAnsi="Palatino Linotype"/>
        </w:rPr>
        <w:t>los</w:t>
      </w:r>
      <w:r w:rsidR="00CA6779">
        <w:rPr>
          <w:rFonts w:ascii="Palatino Linotype" w:hAnsi="Palatino Linotype"/>
        </w:rPr>
        <w:t xml:space="preserve"> Manual</w:t>
      </w:r>
      <w:r w:rsidR="0044246A">
        <w:rPr>
          <w:rFonts w:ascii="Palatino Linotype" w:hAnsi="Palatino Linotype"/>
        </w:rPr>
        <w:t>es</w:t>
      </w:r>
      <w:r w:rsidR="00CA6779">
        <w:rPr>
          <w:rFonts w:ascii="Palatino Linotype" w:hAnsi="Palatino Linotype"/>
        </w:rPr>
        <w:t xml:space="preserve"> para la Planeación, Programación y Presupuesto de Egresos Municipal</w:t>
      </w:r>
      <w:r w:rsidR="0044246A">
        <w:rPr>
          <w:rFonts w:ascii="Palatino Linotype" w:hAnsi="Palatino Linotype"/>
        </w:rPr>
        <w:t>,</w:t>
      </w:r>
      <w:r w:rsidR="00CA6779">
        <w:rPr>
          <w:rFonts w:ascii="Palatino Linotype" w:hAnsi="Palatino Linotype"/>
        </w:rPr>
        <w:t xml:space="preserve"> para </w:t>
      </w:r>
      <w:r w:rsidR="0044246A">
        <w:rPr>
          <w:rFonts w:ascii="Palatino Linotype" w:hAnsi="Palatino Linotype"/>
        </w:rPr>
        <w:t>los ejercicios fiscales, 2019, 2020 y 2021.</w:t>
      </w:r>
    </w:p>
    <w:p w14:paraId="35C9169C" w14:textId="77777777" w:rsidR="00CA6779" w:rsidRDefault="00CA6779" w:rsidP="00A45699">
      <w:pPr>
        <w:spacing w:after="0" w:line="360" w:lineRule="auto"/>
        <w:jc w:val="both"/>
        <w:rPr>
          <w:rFonts w:ascii="Palatino Linotype" w:eastAsia="Calibri" w:hAnsi="Palatino Linotype" w:cs="Arial"/>
        </w:rPr>
      </w:pPr>
    </w:p>
    <w:p w14:paraId="20714B6F" w14:textId="1A007EAF" w:rsidR="00CA6779" w:rsidRDefault="00CA6779" w:rsidP="00A45699">
      <w:pPr>
        <w:spacing w:after="0" w:line="360" w:lineRule="auto"/>
        <w:jc w:val="both"/>
        <w:rPr>
          <w:rFonts w:ascii="Palatino Linotype" w:eastAsia="Calibri" w:hAnsi="Palatino Linotype" w:cs="Tahoma"/>
          <w:bCs/>
        </w:rPr>
      </w:pPr>
      <w:r>
        <w:rPr>
          <w:rFonts w:ascii="Palatino Linotype" w:eastAsia="Calibri" w:hAnsi="Palatino Linotype" w:cs="Arial"/>
        </w:rPr>
        <w:t xml:space="preserve">Aunado a lo anterior, el presupuesto de egresos que emiten anualmente los Municipios, debe presentarse ante el </w:t>
      </w:r>
      <w:r w:rsidRPr="00CA6779">
        <w:rPr>
          <w:rFonts w:ascii="Palatino Linotype" w:eastAsia="Calibri" w:hAnsi="Palatino Linotype" w:cs="Tahoma"/>
          <w:bCs/>
        </w:rPr>
        <w:t>Órgano Superior de Fiscalizaci</w:t>
      </w:r>
      <w:r>
        <w:rPr>
          <w:rFonts w:ascii="Palatino Linotype" w:eastAsia="Calibri" w:hAnsi="Palatino Linotype" w:cs="Tahoma"/>
          <w:bCs/>
        </w:rPr>
        <w:t>ón del Estado de México; ello con la finalidad de dar seguimiento y fiscalización a la planeación presupuestal, que involucra el uso y destino de recursos públicos.</w:t>
      </w:r>
    </w:p>
    <w:p w14:paraId="09382E71" w14:textId="4B5A5D2C" w:rsidR="008E7174" w:rsidRDefault="008E7174" w:rsidP="00A45699">
      <w:pPr>
        <w:spacing w:after="0" w:line="360" w:lineRule="auto"/>
        <w:jc w:val="both"/>
        <w:rPr>
          <w:rFonts w:ascii="Palatino Linotype" w:eastAsia="Calibri" w:hAnsi="Palatino Linotype" w:cs="Tahoma"/>
          <w:bCs/>
        </w:rPr>
      </w:pPr>
    </w:p>
    <w:p w14:paraId="3509F886" w14:textId="37C6EE9C" w:rsidR="00CA6779" w:rsidRDefault="00CA6779" w:rsidP="00A45699">
      <w:pPr>
        <w:spacing w:after="0" w:line="360" w:lineRule="auto"/>
        <w:contextualSpacing/>
        <w:jc w:val="both"/>
        <w:rPr>
          <w:rFonts w:ascii="Palatino Linotype" w:hAnsi="Palatino Linotype" w:cs="Tahoma"/>
          <w:bCs/>
        </w:rPr>
      </w:pPr>
      <w:r>
        <w:rPr>
          <w:rFonts w:ascii="Palatino Linotype" w:eastAsia="Calibri" w:hAnsi="Palatino Linotype" w:cs="Tahoma"/>
          <w:bCs/>
        </w:rPr>
        <w:t>Por su parte, el artículo 32 de la</w:t>
      </w:r>
      <w:r w:rsidRPr="00CA6779">
        <w:rPr>
          <w:rFonts w:ascii="Palatino Linotype" w:hAnsi="Palatino Linotype" w:cs="Tahoma"/>
          <w:bCs/>
        </w:rPr>
        <w:t xml:space="preserve"> </w:t>
      </w:r>
      <w:r w:rsidRPr="00BF427B">
        <w:rPr>
          <w:rFonts w:ascii="Palatino Linotype" w:hAnsi="Palatino Linotype" w:cs="Tahoma"/>
          <w:bCs/>
        </w:rPr>
        <w:t xml:space="preserve">Ley de Fiscalización Superior del Estado de México, </w:t>
      </w:r>
      <w:r>
        <w:rPr>
          <w:rFonts w:ascii="Palatino Linotype" w:hAnsi="Palatino Linotype" w:cs="Tahoma"/>
          <w:bCs/>
        </w:rPr>
        <w:t xml:space="preserve">establece la obligación por parte de los Entes Municipales de permitir la fiscalización de sus gastos, a través de informes trimestrales, que son entregados ante el </w:t>
      </w:r>
      <w:r w:rsidRPr="00CA6779">
        <w:rPr>
          <w:rFonts w:ascii="Palatino Linotype" w:eastAsia="Calibri" w:hAnsi="Palatino Linotype" w:cs="Tahoma"/>
          <w:bCs/>
        </w:rPr>
        <w:t>Órgano Superior de Fiscalizaci</w:t>
      </w:r>
      <w:r>
        <w:rPr>
          <w:rFonts w:ascii="Palatino Linotype" w:eastAsia="Calibri" w:hAnsi="Palatino Linotype" w:cs="Tahoma"/>
          <w:bCs/>
        </w:rPr>
        <w:t>ón del Estado de México</w:t>
      </w:r>
      <w:r>
        <w:rPr>
          <w:rFonts w:ascii="Palatino Linotype" w:hAnsi="Palatino Linotype" w:cs="Tahoma"/>
          <w:bCs/>
        </w:rPr>
        <w:t>; y que permiten que este ente fiscalizador observe el destino de los recursos públicos y el cumplimiento, cambios o modificaciones en los presupuestos de egresos iniciales.</w:t>
      </w:r>
    </w:p>
    <w:p w14:paraId="75F4C658" w14:textId="77777777" w:rsidR="003D1AD0" w:rsidRDefault="003D1AD0" w:rsidP="00A45699">
      <w:pPr>
        <w:spacing w:after="0" w:line="360" w:lineRule="auto"/>
        <w:contextualSpacing/>
        <w:jc w:val="both"/>
        <w:rPr>
          <w:rFonts w:ascii="Palatino Linotype" w:hAnsi="Palatino Linotype" w:cs="Tahoma"/>
          <w:bCs/>
        </w:rPr>
      </w:pPr>
    </w:p>
    <w:p w14:paraId="5EDB792F" w14:textId="17E65F18" w:rsidR="00CA6779" w:rsidRDefault="00CA6779" w:rsidP="00A45699">
      <w:pPr>
        <w:spacing w:after="0" w:line="360" w:lineRule="auto"/>
        <w:contextualSpacing/>
        <w:jc w:val="both"/>
        <w:rPr>
          <w:rFonts w:ascii="Palatino Linotype" w:eastAsia="Calibri" w:hAnsi="Palatino Linotype" w:cs="Tahoma"/>
          <w:bCs/>
        </w:rPr>
      </w:pPr>
      <w:r>
        <w:rPr>
          <w:rFonts w:ascii="Palatino Linotype" w:hAnsi="Palatino Linotype" w:cs="Tahoma"/>
          <w:bCs/>
        </w:rPr>
        <w:t xml:space="preserve">En atención a lo anterior, es posible concluir, que el Poder Legislativo a través del </w:t>
      </w:r>
      <w:r w:rsidRPr="00CA6779">
        <w:rPr>
          <w:rFonts w:ascii="Palatino Linotype" w:eastAsia="Calibri" w:hAnsi="Palatino Linotype" w:cs="Tahoma"/>
          <w:bCs/>
        </w:rPr>
        <w:t>Órgano Superior de Fiscalizaci</w:t>
      </w:r>
      <w:r>
        <w:rPr>
          <w:rFonts w:ascii="Palatino Linotype" w:eastAsia="Calibri" w:hAnsi="Palatino Linotype" w:cs="Tahoma"/>
          <w:bCs/>
        </w:rPr>
        <w:t xml:space="preserve">ón del Estado de México, conoce la información solicitada, pues los Municipios, le entregan anualmente los presupuestos de egresos e ingresos en los que establecen los rubros a los cuales destinaran los recursos públicos; información que corresponde </w:t>
      </w:r>
      <w:r w:rsidR="005C633B">
        <w:rPr>
          <w:rFonts w:ascii="Palatino Linotype" w:eastAsia="Calibri" w:hAnsi="Palatino Linotype" w:cs="Tahoma"/>
          <w:bCs/>
        </w:rPr>
        <w:t>a la requerida</w:t>
      </w:r>
      <w:r>
        <w:rPr>
          <w:rFonts w:ascii="Palatino Linotype" w:eastAsia="Calibri" w:hAnsi="Palatino Linotype" w:cs="Tahoma"/>
          <w:bCs/>
        </w:rPr>
        <w:t xml:space="preserve"> por el Particular</w:t>
      </w:r>
      <w:r w:rsidR="005C633B">
        <w:rPr>
          <w:rFonts w:ascii="Palatino Linotype" w:eastAsia="Calibri" w:hAnsi="Palatino Linotype" w:cs="Tahoma"/>
          <w:bCs/>
        </w:rPr>
        <w:t>, y,</w:t>
      </w:r>
      <w:r>
        <w:rPr>
          <w:rFonts w:ascii="Palatino Linotype" w:eastAsia="Calibri" w:hAnsi="Palatino Linotype" w:cs="Tahoma"/>
          <w:bCs/>
        </w:rPr>
        <w:t xml:space="preserve"> por tanto, en los archivos del </w:t>
      </w:r>
      <w:r w:rsidR="00892540">
        <w:rPr>
          <w:rFonts w:ascii="Palatino Linotype" w:eastAsia="Calibri" w:hAnsi="Palatino Linotype" w:cs="Tahoma"/>
          <w:bCs/>
        </w:rPr>
        <w:t>Sujeto</w:t>
      </w:r>
      <w:r>
        <w:rPr>
          <w:rFonts w:ascii="Palatino Linotype" w:eastAsia="Calibri" w:hAnsi="Palatino Linotype" w:cs="Tahoma"/>
          <w:bCs/>
        </w:rPr>
        <w:t xml:space="preserve"> Obligado se encuentra la información solicitada.</w:t>
      </w:r>
    </w:p>
    <w:p w14:paraId="7BDADACE" w14:textId="77777777" w:rsidR="008E7174" w:rsidRDefault="008E7174" w:rsidP="00A45699">
      <w:pPr>
        <w:spacing w:after="0" w:line="360" w:lineRule="auto"/>
        <w:contextualSpacing/>
        <w:jc w:val="both"/>
        <w:rPr>
          <w:rFonts w:ascii="Palatino Linotype" w:eastAsia="Calibri" w:hAnsi="Palatino Linotype" w:cs="Tahoma"/>
          <w:bCs/>
        </w:rPr>
      </w:pPr>
    </w:p>
    <w:p w14:paraId="4EF91CBB" w14:textId="0FB897B3" w:rsidR="00394BE9" w:rsidRDefault="00394BE9" w:rsidP="00A45699">
      <w:pPr>
        <w:spacing w:after="0" w:line="360" w:lineRule="auto"/>
        <w:contextualSpacing/>
        <w:jc w:val="both"/>
        <w:rPr>
          <w:rFonts w:ascii="Palatino Linotype" w:eastAsia="Calibri" w:hAnsi="Palatino Linotype" w:cs="Tahoma"/>
          <w:bCs/>
        </w:rPr>
      </w:pPr>
      <w:r>
        <w:rPr>
          <w:rFonts w:ascii="Palatino Linotype" w:eastAsia="Calibri" w:hAnsi="Palatino Linotype" w:cs="Tahoma"/>
          <w:bCs/>
        </w:rPr>
        <w:t>Tan es así, que dicha autoridad fiscalizadora emitió los Lineamientos para la Entrega del Presupuesto de Egresos Municipal (2019 y 2020), así como, las Políticas para la Entrega del Presupuesto de Egresos Municipal (2021), cuyo fin es proporcionar a los Ayuntamientos, herramientas que coadyuven a la presentación del Presupuesto de Egresos Municipal, bajo los mismos criterios, formatos y especificaciones, a fin de homologar y facilitar su entrega al Órgano Superior de Fiscalización del Estado de México.</w:t>
      </w:r>
    </w:p>
    <w:p w14:paraId="5A4C31FF" w14:textId="4AD41D94" w:rsidR="00394BE9" w:rsidRDefault="00394BE9" w:rsidP="00A45699">
      <w:pPr>
        <w:spacing w:after="0" w:line="360" w:lineRule="auto"/>
        <w:contextualSpacing/>
        <w:jc w:val="both"/>
        <w:rPr>
          <w:rFonts w:ascii="Palatino Linotype" w:eastAsia="Calibri" w:hAnsi="Palatino Linotype" w:cs="Tahoma"/>
          <w:bCs/>
        </w:rPr>
      </w:pPr>
    </w:p>
    <w:p w14:paraId="76490A59" w14:textId="699B8451" w:rsidR="00A3273F" w:rsidRPr="00987DD6" w:rsidRDefault="00A3273F" w:rsidP="00A45699">
      <w:pPr>
        <w:spacing w:after="0" w:line="360" w:lineRule="auto"/>
        <w:jc w:val="both"/>
        <w:rPr>
          <w:rFonts w:ascii="Palatino Linotype" w:hAnsi="Palatino Linotype" w:cs="Tahoma"/>
          <w:lang w:val="es-MX"/>
        </w:rPr>
      </w:pPr>
      <w:r>
        <w:rPr>
          <w:rFonts w:ascii="Palatino Linotype" w:eastAsia="Calibri" w:hAnsi="Palatino Linotype" w:cs="Tahoma"/>
          <w:bCs/>
        </w:rPr>
        <w:t xml:space="preserve">De tales circunstancias, considero que el Poder Legislativo resultaba competente para conocer de la información peticionada, ya que si bien, este no la genera, lo cierto es que si la recibe por parte de los Ayuntamientos; </w:t>
      </w:r>
      <w:r w:rsidRPr="00987DD6">
        <w:rPr>
          <w:rFonts w:ascii="Palatino Linotype" w:hAnsi="Palatino Linotype" w:cs="Tahoma"/>
        </w:rPr>
        <w:t xml:space="preserve">dicha situación, toma sustento </w:t>
      </w:r>
      <w:r w:rsidRPr="00987DD6">
        <w:rPr>
          <w:rFonts w:ascii="Palatino Linotype" w:eastAsia="Calibri" w:hAnsi="Palatino Linotype" w:cs="Tahoma"/>
          <w:bCs/>
          <w:lang w:val="es-MX"/>
        </w:rPr>
        <w:t>en el</w:t>
      </w:r>
      <w:r w:rsidRPr="00987DD6">
        <w:rPr>
          <w:rFonts w:ascii="Palatino Linotype" w:hAnsi="Palatino Linotype" w:cs="Tahoma"/>
          <w:lang w:val="es-MX"/>
        </w:rPr>
        <w:t xml:space="preserve"> artículo 12 de la </w:t>
      </w:r>
      <w:r w:rsidRPr="00987DD6">
        <w:rPr>
          <w:rFonts w:ascii="Palatino Linotype" w:hAnsi="Palatino Linotype" w:cs="Tahoma"/>
          <w:lang w:val="es-MX"/>
        </w:rPr>
        <w:lastRenderedPageBreak/>
        <w:t>Ley de Transparencia y Acceso a la Información Pública del Estado de México y Municipios, que establece que los sujetos obligados sólo están constreñidos a proporcionar la información pública que obre en sus archivos</w:t>
      </w:r>
      <w:r>
        <w:rPr>
          <w:rFonts w:ascii="Palatino Linotype" w:hAnsi="Palatino Linotype" w:cs="Tahoma"/>
          <w:lang w:val="es-MX"/>
        </w:rPr>
        <w:t xml:space="preserve"> (ya sea generada o poseída).</w:t>
      </w:r>
    </w:p>
    <w:p w14:paraId="467F8537" w14:textId="619AC01D" w:rsidR="00A3273F" w:rsidRDefault="00A3273F" w:rsidP="00A45699">
      <w:pPr>
        <w:spacing w:after="0" w:line="360" w:lineRule="auto"/>
        <w:contextualSpacing/>
        <w:jc w:val="both"/>
        <w:rPr>
          <w:rFonts w:ascii="Palatino Linotype" w:eastAsia="Calibri" w:hAnsi="Palatino Linotype" w:cs="Tahoma"/>
          <w:bCs/>
        </w:rPr>
      </w:pPr>
    </w:p>
    <w:p w14:paraId="544717EB" w14:textId="4FDCE041" w:rsidR="00A3273F" w:rsidRDefault="00A3273F" w:rsidP="00A45699">
      <w:pPr>
        <w:tabs>
          <w:tab w:val="left" w:pos="4962"/>
        </w:tabs>
        <w:spacing w:after="0" w:line="360" w:lineRule="auto"/>
        <w:jc w:val="both"/>
        <w:rPr>
          <w:rFonts w:ascii="Palatino Linotype" w:hAnsi="Palatino Linotype" w:cs="Tahoma"/>
          <w:lang w:val="es-MX"/>
        </w:rPr>
      </w:pPr>
      <w:r>
        <w:rPr>
          <w:rFonts w:ascii="Palatino Linotype" w:hAnsi="Palatino Linotype" w:cs="Tahoma"/>
          <w:lang w:val="es-MX"/>
        </w:rPr>
        <w:t>Por lo que, los Sujetos Obligados competentes para conocer de determinada información, deben otorgar acceso a los documentos generados, obtenidos, adquiridos, transformados, administrados o que tenga en su posesión y den cuenta de lo requerido</w:t>
      </w:r>
      <w:r w:rsidRPr="00987DD6">
        <w:rPr>
          <w:rFonts w:ascii="Palatino Linotype" w:hAnsi="Palatino Linotype" w:cs="Tahoma"/>
          <w:lang w:val="es-MX"/>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6793FCB2" w14:textId="77777777" w:rsidR="003D1AD0" w:rsidRPr="00987DD6" w:rsidRDefault="003D1AD0" w:rsidP="00A45699">
      <w:pPr>
        <w:tabs>
          <w:tab w:val="left" w:pos="4962"/>
        </w:tabs>
        <w:spacing w:after="0" w:line="360" w:lineRule="auto"/>
        <w:jc w:val="both"/>
        <w:rPr>
          <w:rFonts w:ascii="Palatino Linotype" w:hAnsi="Palatino Linotype" w:cs="Tahoma"/>
          <w:lang w:val="es-MX"/>
        </w:rPr>
      </w:pPr>
    </w:p>
    <w:p w14:paraId="16EE52BA" w14:textId="676C5C9E" w:rsidR="00CA6779" w:rsidRDefault="00A45699" w:rsidP="00A45699">
      <w:pPr>
        <w:spacing w:after="0" w:line="360" w:lineRule="auto"/>
        <w:contextualSpacing/>
        <w:jc w:val="both"/>
        <w:rPr>
          <w:rFonts w:ascii="Palatino Linotype" w:eastAsia="Calibri" w:hAnsi="Palatino Linotype" w:cs="Tahoma"/>
          <w:bCs/>
        </w:rPr>
      </w:pPr>
      <w:r>
        <w:rPr>
          <w:rFonts w:ascii="Palatino Linotype" w:eastAsia="Calibri" w:hAnsi="Palatino Linotype" w:cs="Tahoma"/>
          <w:bCs/>
        </w:rPr>
        <w:t>En ese sentido,</w:t>
      </w:r>
      <w:r w:rsidR="00CA6779">
        <w:rPr>
          <w:rFonts w:ascii="Palatino Linotype" w:eastAsia="Calibri" w:hAnsi="Palatino Linotype" w:cs="Tahoma"/>
          <w:bCs/>
        </w:rPr>
        <w:t xml:space="preserve"> si bien, el Sujeto Obligado no </w:t>
      </w:r>
      <w:r w:rsidR="00892540">
        <w:rPr>
          <w:rFonts w:ascii="Palatino Linotype" w:eastAsia="Calibri" w:hAnsi="Palatino Linotype" w:cs="Tahoma"/>
          <w:bCs/>
        </w:rPr>
        <w:t>genera</w:t>
      </w:r>
      <w:r w:rsidR="003D1AD0">
        <w:rPr>
          <w:rFonts w:ascii="Palatino Linotype" w:eastAsia="Calibri" w:hAnsi="Palatino Linotype" w:cs="Tahoma"/>
          <w:bCs/>
        </w:rPr>
        <w:t>ba</w:t>
      </w:r>
      <w:r w:rsidR="00CA6779">
        <w:rPr>
          <w:rFonts w:ascii="Palatino Linotype" w:eastAsia="Calibri" w:hAnsi="Palatino Linotype" w:cs="Tahoma"/>
          <w:bCs/>
        </w:rPr>
        <w:t xml:space="preserve"> la información </w:t>
      </w:r>
      <w:r>
        <w:rPr>
          <w:rFonts w:ascii="Palatino Linotype" w:eastAsia="Calibri" w:hAnsi="Palatino Linotype" w:cs="Tahoma"/>
          <w:bCs/>
        </w:rPr>
        <w:t>solicitada, lo cierto es que el Ayuntamiento</w:t>
      </w:r>
      <w:r w:rsidR="00CA6779">
        <w:rPr>
          <w:rFonts w:ascii="Palatino Linotype" w:eastAsia="Calibri" w:hAnsi="Palatino Linotype" w:cs="Tahoma"/>
          <w:bCs/>
        </w:rPr>
        <w:t xml:space="preserve"> de Almoloya del Rio</w:t>
      </w:r>
      <w:r>
        <w:rPr>
          <w:rFonts w:ascii="Palatino Linotype" w:eastAsia="Calibri" w:hAnsi="Palatino Linotype" w:cs="Tahoma"/>
          <w:bCs/>
        </w:rPr>
        <w:t>, se la entrega al</w:t>
      </w:r>
      <w:r w:rsidR="00CA6779">
        <w:rPr>
          <w:rFonts w:ascii="Palatino Linotype" w:eastAsia="Calibri" w:hAnsi="Palatino Linotype" w:cs="Tahoma"/>
          <w:bCs/>
        </w:rPr>
        <w:t xml:space="preserve"> </w:t>
      </w:r>
      <w:r w:rsidR="00CA6779" w:rsidRPr="00CA6779">
        <w:rPr>
          <w:rFonts w:ascii="Palatino Linotype" w:eastAsia="Calibri" w:hAnsi="Palatino Linotype" w:cs="Tahoma"/>
          <w:bCs/>
        </w:rPr>
        <w:t>Órgano Superior de Fiscalizaci</w:t>
      </w:r>
      <w:r w:rsidR="00CA6779">
        <w:rPr>
          <w:rFonts w:ascii="Palatino Linotype" w:eastAsia="Calibri" w:hAnsi="Palatino Linotype" w:cs="Tahoma"/>
          <w:bCs/>
        </w:rPr>
        <w:t xml:space="preserve">ón del Estado de México </w:t>
      </w:r>
      <w:r>
        <w:rPr>
          <w:rFonts w:ascii="Palatino Linotype" w:eastAsia="Calibri" w:hAnsi="Palatino Linotype" w:cs="Tahoma"/>
          <w:bCs/>
        </w:rPr>
        <w:t xml:space="preserve">y, por lo tanto, este órgano </w:t>
      </w:r>
      <w:r w:rsidR="003D1AD0">
        <w:rPr>
          <w:rFonts w:ascii="Palatino Linotype" w:eastAsia="Calibri" w:hAnsi="Palatino Linotype" w:cs="Tahoma"/>
          <w:bCs/>
        </w:rPr>
        <w:t>poseía</w:t>
      </w:r>
      <w:r>
        <w:rPr>
          <w:rFonts w:ascii="Palatino Linotype" w:eastAsia="Calibri" w:hAnsi="Palatino Linotype" w:cs="Tahoma"/>
          <w:bCs/>
        </w:rPr>
        <w:t xml:space="preserve"> la misma.</w:t>
      </w:r>
    </w:p>
    <w:p w14:paraId="5F58BB33" w14:textId="6150916E" w:rsidR="00892540" w:rsidRPr="00892540" w:rsidRDefault="00892540" w:rsidP="00A45699">
      <w:pPr>
        <w:spacing w:after="0" w:line="360" w:lineRule="auto"/>
        <w:ind w:left="567" w:right="333"/>
        <w:contextualSpacing/>
        <w:jc w:val="both"/>
        <w:rPr>
          <w:rFonts w:ascii="Palatino Linotype" w:hAnsi="Palatino Linotype" w:cs="Tahoma"/>
          <w:i/>
          <w:sz w:val="20"/>
          <w:szCs w:val="20"/>
        </w:rPr>
      </w:pPr>
    </w:p>
    <w:p w14:paraId="4448752A" w14:textId="3B62FE67" w:rsidR="00D05444" w:rsidRDefault="003D1AD0" w:rsidP="00A45699">
      <w:pPr>
        <w:spacing w:after="0" w:line="360" w:lineRule="auto"/>
        <w:contextualSpacing/>
        <w:jc w:val="both"/>
        <w:rPr>
          <w:rFonts w:ascii="Palatino Linotype" w:hAnsi="Palatino Linotype" w:cs="Tahoma"/>
        </w:rPr>
      </w:pPr>
      <w:r w:rsidRPr="00EF10FB">
        <w:rPr>
          <w:rFonts w:ascii="Palatino Linotype" w:hAnsi="Palatino Linotype" w:cs="Tahoma"/>
        </w:rPr>
        <w:t xml:space="preserve">Así, con base en los razonamientos expuestos, se emite el presente </w:t>
      </w:r>
      <w:r>
        <w:rPr>
          <w:rFonts w:ascii="Palatino Linotype" w:hAnsi="Palatino Linotype" w:cs="Tahoma"/>
        </w:rPr>
        <w:t>V</w:t>
      </w:r>
      <w:r w:rsidRPr="00EF10FB">
        <w:rPr>
          <w:rFonts w:ascii="Palatino Linotype" w:hAnsi="Palatino Linotype" w:cs="Tahoma"/>
        </w:rPr>
        <w:t xml:space="preserve">oto </w:t>
      </w:r>
      <w:r>
        <w:rPr>
          <w:rFonts w:ascii="Palatino Linotype" w:hAnsi="Palatino Linotype" w:cs="Tahoma"/>
        </w:rPr>
        <w:t>Disidente</w:t>
      </w:r>
      <w:r w:rsidR="00A45699">
        <w:rPr>
          <w:rFonts w:ascii="Palatino Linotype" w:hAnsi="Palatino Linotype" w:cs="Tahoma"/>
          <w:bCs/>
        </w:rPr>
        <w:t xml:space="preserve">, </w:t>
      </w:r>
      <w:r>
        <w:rPr>
          <w:rFonts w:ascii="Palatino Linotype" w:hAnsi="Palatino Linotype" w:cs="Tahoma"/>
          <w:bCs/>
        </w:rPr>
        <w:t>pues desde mi punto de vista y en atención a la normatividad aplicable,</w:t>
      </w:r>
      <w:r w:rsidR="00A45699">
        <w:rPr>
          <w:rFonts w:ascii="Palatino Linotype" w:hAnsi="Palatino Linotype" w:cs="Tahoma"/>
          <w:bCs/>
        </w:rPr>
        <w:t xml:space="preserve"> el Poder Legislativo, si </w:t>
      </w:r>
      <w:r>
        <w:rPr>
          <w:rFonts w:ascii="Palatino Linotype" w:hAnsi="Palatino Linotype" w:cs="Tahoma"/>
          <w:bCs/>
        </w:rPr>
        <w:t xml:space="preserve">contaba </w:t>
      </w:r>
      <w:r w:rsidR="00A45699">
        <w:rPr>
          <w:rFonts w:ascii="Palatino Linotype" w:hAnsi="Palatino Linotype" w:cs="Tahoma"/>
          <w:bCs/>
        </w:rPr>
        <w:t xml:space="preserve">con atribuciones para conocer </w:t>
      </w:r>
      <w:r>
        <w:rPr>
          <w:rFonts w:ascii="Palatino Linotype" w:hAnsi="Palatino Linotype" w:cs="Tahoma"/>
          <w:bCs/>
        </w:rPr>
        <w:t>de la solicitud de acceso a la información pública</w:t>
      </w:r>
      <w:r w:rsidR="00A45699">
        <w:rPr>
          <w:rFonts w:ascii="Palatino Linotype" w:hAnsi="Palatino Linotype" w:cs="Tahoma"/>
          <w:bCs/>
        </w:rPr>
        <w:t xml:space="preserve">, por lo que, </w:t>
      </w:r>
      <w:r>
        <w:rPr>
          <w:rFonts w:ascii="Palatino Linotype" w:hAnsi="Palatino Linotype" w:cs="Tahoma"/>
          <w:bCs/>
        </w:rPr>
        <w:t>resultaba</w:t>
      </w:r>
      <w:r w:rsidR="00A45699">
        <w:rPr>
          <w:rFonts w:ascii="Palatino Linotype" w:hAnsi="Palatino Linotype" w:cs="Tahoma"/>
          <w:bCs/>
        </w:rPr>
        <w:t xml:space="preserve"> competente para </w:t>
      </w:r>
      <w:r>
        <w:rPr>
          <w:rFonts w:ascii="Palatino Linotype" w:hAnsi="Palatino Linotype" w:cs="Tahoma"/>
          <w:bCs/>
        </w:rPr>
        <w:t>pronunciarse sobre los documentos relacionados con el</w:t>
      </w:r>
      <w:r w:rsidR="00A45699">
        <w:rPr>
          <w:rFonts w:ascii="Palatino Linotype" w:hAnsi="Palatino Linotype" w:cs="Tahoma"/>
          <w:bCs/>
        </w:rPr>
        <w:t xml:space="preserve"> Presupuesto de Egresos del Ayuntamiento de Almoloya del Rí</w:t>
      </w:r>
      <w:r>
        <w:rPr>
          <w:rFonts w:ascii="Palatino Linotype" w:hAnsi="Palatino Linotype" w:cs="Tahoma"/>
          <w:bCs/>
        </w:rPr>
        <w:t xml:space="preserve">o. </w:t>
      </w:r>
      <w:r w:rsidR="00887E3C">
        <w:rPr>
          <w:rFonts w:ascii="Palatino Linotype" w:hAnsi="Palatino Linotype" w:cs="Tahoma"/>
        </w:rPr>
        <w:t>-------------------------</w:t>
      </w:r>
      <w:r w:rsidR="008E7174">
        <w:rPr>
          <w:rFonts w:ascii="Palatino Linotype" w:hAnsi="Palatino Linotype" w:cs="Tahoma"/>
        </w:rPr>
        <w:t>------------------------------------------------------------------------------------------------------------------------------------------------------------------------------------------------------------------------------------------------------------------------------------------------------------------------------------------------------------------------------------------------------------------------------------------------------------------------------------------------------------------------------------------------------------------------------------------------------------------------------------------------------------------------------------------------------------------------------------------------</w:t>
      </w:r>
      <w:r w:rsidR="00CF08CA">
        <w:rPr>
          <w:rFonts w:ascii="Palatino Linotype" w:hAnsi="Palatino Linotype" w:cs="Tahoma"/>
        </w:rPr>
        <w:t>---------</w:t>
      </w:r>
    </w:p>
    <w:p w14:paraId="2AC3B409" w14:textId="77777777" w:rsidR="00887E3C" w:rsidRDefault="00887E3C" w:rsidP="00A45699">
      <w:pPr>
        <w:spacing w:after="0" w:line="360" w:lineRule="auto"/>
        <w:jc w:val="both"/>
        <w:rPr>
          <w:rFonts w:ascii="Palatino Linotype" w:hAnsi="Palatino Linotype" w:cs="Tahoma"/>
        </w:rPr>
      </w:pPr>
    </w:p>
    <w:p w14:paraId="30DE86B3" w14:textId="77777777" w:rsidR="00887E3C" w:rsidRDefault="00887E3C" w:rsidP="00A45699">
      <w:pPr>
        <w:spacing w:after="0" w:line="360" w:lineRule="auto"/>
        <w:jc w:val="both"/>
        <w:rPr>
          <w:rFonts w:ascii="Palatino Linotype" w:hAnsi="Palatino Linotype" w:cs="Tahoma"/>
        </w:rPr>
      </w:pPr>
    </w:p>
    <w:p w14:paraId="63E25B2A" w14:textId="77777777" w:rsidR="00887E3C" w:rsidRDefault="00887E3C" w:rsidP="00A45699">
      <w:pPr>
        <w:spacing w:after="0" w:line="360" w:lineRule="auto"/>
        <w:jc w:val="both"/>
        <w:rPr>
          <w:rFonts w:ascii="Palatino Linotype" w:hAnsi="Palatino Linotype" w:cs="Tahoma"/>
        </w:rPr>
      </w:pPr>
    </w:p>
    <w:p w14:paraId="7DD047CD" w14:textId="77777777" w:rsidR="00887E3C" w:rsidRDefault="00887E3C" w:rsidP="00A45699">
      <w:pPr>
        <w:spacing w:after="0" w:line="360" w:lineRule="auto"/>
        <w:jc w:val="both"/>
        <w:rPr>
          <w:rFonts w:ascii="Palatino Linotype" w:hAnsi="Palatino Linotype" w:cs="Tahoma"/>
        </w:rPr>
      </w:pPr>
    </w:p>
    <w:p w14:paraId="3A5F72BE" w14:textId="77777777" w:rsidR="00887E3C" w:rsidRDefault="00887E3C" w:rsidP="00A45699">
      <w:pPr>
        <w:spacing w:after="0" w:line="360" w:lineRule="auto"/>
        <w:jc w:val="both"/>
        <w:rPr>
          <w:rFonts w:ascii="Palatino Linotype" w:hAnsi="Palatino Linotype" w:cs="Tahoma"/>
        </w:rPr>
      </w:pPr>
    </w:p>
    <w:p w14:paraId="7AC1B2D2" w14:textId="77777777" w:rsidR="00887E3C" w:rsidRDefault="00887E3C" w:rsidP="00A45699">
      <w:pPr>
        <w:spacing w:after="0" w:line="360" w:lineRule="auto"/>
        <w:jc w:val="both"/>
        <w:rPr>
          <w:rFonts w:ascii="Palatino Linotype" w:hAnsi="Palatino Linotype" w:cs="Tahoma"/>
        </w:rPr>
      </w:pPr>
    </w:p>
    <w:p w14:paraId="73F60D49" w14:textId="77777777" w:rsidR="00887E3C" w:rsidRDefault="00887E3C" w:rsidP="00A45699">
      <w:pPr>
        <w:spacing w:after="0" w:line="360" w:lineRule="auto"/>
        <w:jc w:val="both"/>
        <w:rPr>
          <w:rFonts w:ascii="Palatino Linotype" w:hAnsi="Palatino Linotype" w:cs="Tahoma"/>
        </w:rPr>
      </w:pPr>
    </w:p>
    <w:p w14:paraId="4168920B" w14:textId="77777777" w:rsidR="00887E3C" w:rsidRDefault="00887E3C" w:rsidP="00A45699">
      <w:pPr>
        <w:spacing w:after="0" w:line="360" w:lineRule="auto"/>
        <w:jc w:val="both"/>
        <w:rPr>
          <w:rFonts w:ascii="Palatino Linotype" w:hAnsi="Palatino Linotype" w:cs="Tahoma"/>
        </w:rPr>
      </w:pPr>
    </w:p>
    <w:p w14:paraId="63B798D2" w14:textId="77777777" w:rsidR="00887E3C" w:rsidRDefault="00887E3C" w:rsidP="00A45699">
      <w:pPr>
        <w:spacing w:after="0" w:line="360" w:lineRule="auto"/>
        <w:jc w:val="both"/>
        <w:rPr>
          <w:rFonts w:ascii="Palatino Linotype" w:hAnsi="Palatino Linotype" w:cs="Tahoma"/>
        </w:rPr>
      </w:pPr>
    </w:p>
    <w:p w14:paraId="156E8E8D" w14:textId="77777777" w:rsidR="00887E3C" w:rsidRDefault="00887E3C" w:rsidP="00A45699">
      <w:pPr>
        <w:spacing w:after="0" w:line="360" w:lineRule="auto"/>
        <w:jc w:val="both"/>
        <w:rPr>
          <w:rFonts w:ascii="Palatino Linotype" w:hAnsi="Palatino Linotype" w:cs="Tahoma"/>
        </w:rPr>
      </w:pPr>
    </w:p>
    <w:p w14:paraId="4D5F7E08" w14:textId="77777777" w:rsidR="00887E3C" w:rsidRDefault="00887E3C" w:rsidP="00A45699">
      <w:pPr>
        <w:spacing w:after="0" w:line="360" w:lineRule="auto"/>
        <w:jc w:val="both"/>
        <w:rPr>
          <w:rFonts w:ascii="Palatino Linotype" w:hAnsi="Palatino Linotype" w:cs="Tahoma"/>
        </w:rPr>
      </w:pPr>
    </w:p>
    <w:p w14:paraId="6372C555" w14:textId="77777777" w:rsidR="00887E3C" w:rsidRDefault="00887E3C" w:rsidP="00A45699">
      <w:pPr>
        <w:spacing w:after="0" w:line="360" w:lineRule="auto"/>
        <w:jc w:val="both"/>
        <w:rPr>
          <w:rFonts w:ascii="Palatino Linotype" w:hAnsi="Palatino Linotype" w:cs="Tahoma"/>
        </w:rPr>
      </w:pPr>
    </w:p>
    <w:p w14:paraId="45093235" w14:textId="77777777" w:rsidR="00887E3C" w:rsidRDefault="00887E3C" w:rsidP="00A45699">
      <w:pPr>
        <w:spacing w:after="0" w:line="360" w:lineRule="auto"/>
        <w:jc w:val="both"/>
        <w:rPr>
          <w:rFonts w:ascii="Palatino Linotype" w:hAnsi="Palatino Linotype" w:cs="Tahoma"/>
        </w:rPr>
      </w:pPr>
    </w:p>
    <w:p w14:paraId="0CD7FD6A" w14:textId="77777777" w:rsidR="00887E3C" w:rsidRDefault="00887E3C" w:rsidP="00A45699">
      <w:pPr>
        <w:spacing w:after="0" w:line="360" w:lineRule="auto"/>
        <w:jc w:val="both"/>
        <w:rPr>
          <w:rFonts w:ascii="Palatino Linotype" w:hAnsi="Palatino Linotype" w:cs="Tahoma"/>
        </w:rPr>
      </w:pPr>
    </w:p>
    <w:p w14:paraId="55217D09" w14:textId="77777777" w:rsidR="00887E3C" w:rsidRDefault="00887E3C" w:rsidP="00A45699">
      <w:pPr>
        <w:spacing w:after="0" w:line="360" w:lineRule="auto"/>
        <w:jc w:val="both"/>
        <w:rPr>
          <w:rFonts w:ascii="Palatino Linotype" w:hAnsi="Palatino Linotype" w:cs="Tahoma"/>
        </w:rPr>
      </w:pPr>
    </w:p>
    <w:p w14:paraId="00C69E96" w14:textId="77777777" w:rsidR="00887E3C" w:rsidRDefault="00887E3C" w:rsidP="00A45699">
      <w:pPr>
        <w:spacing w:after="0" w:line="360" w:lineRule="auto"/>
        <w:jc w:val="both"/>
        <w:rPr>
          <w:rFonts w:ascii="Palatino Linotype" w:hAnsi="Palatino Linotype" w:cs="Tahoma"/>
        </w:rPr>
      </w:pPr>
    </w:p>
    <w:p w14:paraId="5EBE8B93" w14:textId="77777777" w:rsidR="00887E3C" w:rsidRDefault="00887E3C" w:rsidP="00A45699">
      <w:pPr>
        <w:spacing w:after="0" w:line="360" w:lineRule="auto"/>
        <w:jc w:val="both"/>
        <w:rPr>
          <w:rFonts w:ascii="Palatino Linotype" w:hAnsi="Palatino Linotype" w:cs="Tahoma"/>
        </w:rPr>
      </w:pPr>
    </w:p>
    <w:p w14:paraId="4EFD7140" w14:textId="77777777" w:rsidR="00887E3C" w:rsidRDefault="00887E3C" w:rsidP="00A45699">
      <w:pPr>
        <w:spacing w:after="0" w:line="360" w:lineRule="auto"/>
        <w:jc w:val="both"/>
        <w:rPr>
          <w:rFonts w:ascii="Palatino Linotype" w:hAnsi="Palatino Linotype" w:cs="Tahoma"/>
        </w:rPr>
      </w:pPr>
    </w:p>
    <w:p w14:paraId="6BEE8A4D" w14:textId="77777777" w:rsidR="00887E3C" w:rsidRDefault="00887E3C" w:rsidP="00A45699">
      <w:pPr>
        <w:spacing w:after="0" w:line="360" w:lineRule="auto"/>
        <w:jc w:val="both"/>
        <w:rPr>
          <w:rFonts w:ascii="Palatino Linotype" w:hAnsi="Palatino Linotype" w:cs="Tahoma"/>
        </w:rPr>
      </w:pPr>
    </w:p>
    <w:p w14:paraId="393C94F3" w14:textId="77777777" w:rsidR="00887E3C" w:rsidRDefault="00887E3C" w:rsidP="00A45699">
      <w:pPr>
        <w:spacing w:after="0" w:line="360" w:lineRule="auto"/>
        <w:jc w:val="both"/>
        <w:rPr>
          <w:rFonts w:ascii="Palatino Linotype" w:hAnsi="Palatino Linotype" w:cs="Tahoma"/>
        </w:rPr>
      </w:pPr>
    </w:p>
    <w:p w14:paraId="1A38A2D2" w14:textId="77777777" w:rsidR="00A45699" w:rsidRDefault="00A45699">
      <w:pPr>
        <w:spacing w:after="0" w:line="360" w:lineRule="auto"/>
        <w:jc w:val="both"/>
        <w:rPr>
          <w:rFonts w:ascii="Palatino Linotype" w:hAnsi="Palatino Linotype" w:cs="Tahoma"/>
        </w:rPr>
      </w:pPr>
    </w:p>
    <w:sectPr w:rsidR="00A45699" w:rsidSect="008E7174">
      <w:headerReference w:type="default" r:id="rId9"/>
      <w:footerReference w:type="default" r:id="rId10"/>
      <w:pgSz w:w="12240" w:h="15840" w:code="1"/>
      <w:pgMar w:top="1417" w:right="1701" w:bottom="1560" w:left="1701" w:header="142" w:footer="8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5896" w14:textId="77777777" w:rsidR="00583297" w:rsidRDefault="00583297" w:rsidP="00EE29F6">
      <w:pPr>
        <w:spacing w:after="0" w:line="240" w:lineRule="auto"/>
      </w:pPr>
      <w:r>
        <w:separator/>
      </w:r>
    </w:p>
  </w:endnote>
  <w:endnote w:type="continuationSeparator" w:id="0">
    <w:p w14:paraId="1D380D87" w14:textId="77777777" w:rsidR="00583297" w:rsidRDefault="0058329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3DD3881A" w14:textId="6CD95608" w:rsidR="008E7174" w:rsidRDefault="008E7174">
            <w:pPr>
              <w:pStyle w:val="Piedepgina"/>
              <w:jc w:val="center"/>
            </w:pPr>
          </w:p>
          <w:p w14:paraId="68C65B4D" w14:textId="77777777" w:rsidR="008E7174" w:rsidRDefault="008E7174">
            <w:pPr>
              <w:pStyle w:val="Piedepgina"/>
              <w:jc w:val="center"/>
            </w:pPr>
          </w:p>
          <w:p w14:paraId="53739D82" w14:textId="4D908F3A"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E53FE">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E53FE">
              <w:rPr>
                <w:b/>
                <w:bCs/>
                <w:noProof/>
              </w:rPr>
              <w:t>5</w:t>
            </w:r>
            <w:r>
              <w:rPr>
                <w:b/>
                <w:bCs/>
                <w:sz w:val="24"/>
                <w:szCs w:val="24"/>
              </w:rPr>
              <w:fldChar w:fldCharType="end"/>
            </w:r>
          </w:p>
        </w:sdtContent>
      </w:sdt>
    </w:sdtContent>
  </w:sdt>
  <w:p w14:paraId="156E5B5F"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BE244" w14:textId="77777777" w:rsidR="00583297" w:rsidRDefault="00583297" w:rsidP="00EE29F6">
      <w:pPr>
        <w:spacing w:after="0" w:line="240" w:lineRule="auto"/>
      </w:pPr>
      <w:r>
        <w:separator/>
      </w:r>
    </w:p>
  </w:footnote>
  <w:footnote w:type="continuationSeparator" w:id="0">
    <w:p w14:paraId="094601FE" w14:textId="77777777" w:rsidR="00583297" w:rsidRDefault="00583297"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378"/>
    </w:tblGrid>
    <w:tr w:rsidR="00363357" w:rsidRPr="001106EA" w14:paraId="37AF6C52" w14:textId="77777777" w:rsidTr="00CE232D">
      <w:trPr>
        <w:trHeight w:val="1843"/>
      </w:trPr>
      <w:tc>
        <w:tcPr>
          <w:tcW w:w="3936" w:type="dxa"/>
          <w:vAlign w:val="bottom"/>
        </w:tcPr>
        <w:p w14:paraId="4FD40B83" w14:textId="0F0B7125" w:rsidR="00363357" w:rsidRDefault="00363357" w:rsidP="003D1AD0">
          <w:pPr>
            <w:pStyle w:val="Encabezado"/>
            <w:tabs>
              <w:tab w:val="clear" w:pos="4252"/>
              <w:tab w:val="center" w:pos="2614"/>
            </w:tabs>
            <w:ind w:left="-255"/>
          </w:pPr>
          <w:r>
            <w:rPr>
              <w:noProof/>
              <w:sz w:val="10"/>
              <w:szCs w:val="10"/>
              <w:lang w:val="es-MX" w:eastAsia="es-MX"/>
            </w:rPr>
            <w:drawing>
              <wp:anchor distT="0" distB="0" distL="114300" distR="114300" simplePos="0" relativeHeight="251660800" behindDoc="0" locked="0" layoutInCell="1" allowOverlap="1" wp14:anchorId="2DC52F73" wp14:editId="7AE0078B">
                <wp:simplePos x="0" y="0"/>
                <wp:positionH relativeFrom="column">
                  <wp:posOffset>-240030</wp:posOffset>
                </wp:positionH>
                <wp:positionV relativeFrom="paragraph">
                  <wp:posOffset>-1200785</wp:posOffset>
                </wp:positionV>
                <wp:extent cx="1873250" cy="112649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6378" w:type="dxa"/>
          <w:vAlign w:val="center"/>
        </w:tcPr>
        <w:p w14:paraId="46D1768B" w14:textId="77777777" w:rsidR="003D1AD0" w:rsidRDefault="003D1AD0" w:rsidP="00A26864">
          <w:pPr>
            <w:pStyle w:val="Encabezado"/>
            <w:ind w:right="-675"/>
            <w:jc w:val="both"/>
            <w:rPr>
              <w:rFonts w:ascii="Palatino Linotype" w:hAnsi="Palatino Linotype" w:cs="Tahoma"/>
              <w:b/>
            </w:rPr>
          </w:pPr>
        </w:p>
        <w:p w14:paraId="3F924758" w14:textId="77777777" w:rsidR="003D1AD0" w:rsidRDefault="003D1AD0" w:rsidP="00A26864">
          <w:pPr>
            <w:pStyle w:val="Encabezado"/>
            <w:ind w:right="-675"/>
            <w:jc w:val="both"/>
            <w:rPr>
              <w:rFonts w:ascii="Palatino Linotype" w:hAnsi="Palatino Linotype" w:cs="Tahoma"/>
              <w:b/>
            </w:rPr>
          </w:pPr>
        </w:p>
        <w:p w14:paraId="14CA7E41" w14:textId="6CBD91E1" w:rsidR="00363357" w:rsidRPr="00085241" w:rsidRDefault="00363357" w:rsidP="00A26864">
          <w:pPr>
            <w:pStyle w:val="Encabezado"/>
            <w:ind w:right="-675"/>
            <w:jc w:val="both"/>
            <w:rPr>
              <w:rFonts w:ascii="Palatino Linotype" w:hAnsi="Palatino Linotype" w:cs="Tahoma"/>
              <w:b/>
            </w:rPr>
          </w:pPr>
          <w:r w:rsidRPr="00085241">
            <w:rPr>
              <w:rFonts w:ascii="Palatino Linotype" w:hAnsi="Palatino Linotype" w:cs="Tahoma"/>
              <w:b/>
            </w:rPr>
            <w:t xml:space="preserve">Voto </w:t>
          </w:r>
          <w:r w:rsidR="002D539A">
            <w:rPr>
              <w:rFonts w:ascii="Palatino Linotype" w:hAnsi="Palatino Linotype" w:cs="Tahoma"/>
              <w:b/>
            </w:rPr>
            <w:t>Disidente</w:t>
          </w:r>
        </w:p>
        <w:p w14:paraId="375A390A" w14:textId="3B692B11" w:rsidR="00104333" w:rsidRPr="00085241" w:rsidRDefault="00743EE0" w:rsidP="00A26864">
          <w:pPr>
            <w:pStyle w:val="Encabezado"/>
            <w:ind w:right="-675"/>
            <w:jc w:val="both"/>
            <w:rPr>
              <w:rFonts w:ascii="Palatino Linotype" w:hAnsi="Palatino Linotype" w:cs="Tahoma"/>
              <w:b/>
            </w:rPr>
          </w:pPr>
          <w:r>
            <w:rPr>
              <w:rFonts w:ascii="Palatino Linotype" w:hAnsi="Palatino Linotype" w:cs="Tahoma"/>
              <w:b/>
            </w:rPr>
            <w:t>Recurso de Revisión:</w:t>
          </w:r>
          <w:r w:rsidR="00F17C34">
            <w:rPr>
              <w:rFonts w:ascii="Palatino Linotype" w:hAnsi="Palatino Linotype" w:cs="Tahoma"/>
              <w:b/>
            </w:rPr>
            <w:t xml:space="preserve"> </w:t>
          </w:r>
          <w:r w:rsidR="00961B98" w:rsidRPr="00961B98">
            <w:rPr>
              <w:rFonts w:ascii="Palatino Linotype" w:hAnsi="Palatino Linotype" w:cs="Tahoma"/>
            </w:rPr>
            <w:t>05179/INFOEM/IP/RR/2021</w:t>
          </w:r>
        </w:p>
        <w:p w14:paraId="1B4AFBAB" w14:textId="35830FA3" w:rsidR="002D539A" w:rsidRPr="00DD0452" w:rsidRDefault="00DF2784" w:rsidP="00F42582">
          <w:pPr>
            <w:pStyle w:val="Encabezado"/>
            <w:ind w:right="-675"/>
            <w:jc w:val="both"/>
            <w:rPr>
              <w:rFonts w:ascii="Palatino Linotype" w:hAnsi="Palatino Linotype" w:cs="Tahoma"/>
            </w:rPr>
          </w:pPr>
          <w:r w:rsidRPr="00085241">
            <w:rPr>
              <w:rFonts w:ascii="Palatino Linotype" w:hAnsi="Palatino Linotype" w:cs="Tahoma"/>
              <w:b/>
            </w:rPr>
            <w:t xml:space="preserve">Sujeto Obligado: </w:t>
          </w:r>
          <w:r w:rsidR="00961B98" w:rsidRPr="00961B98">
            <w:rPr>
              <w:rFonts w:ascii="Palatino Linotype" w:hAnsi="Palatino Linotype" w:cs="Tahoma"/>
            </w:rPr>
            <w:t>Poder Legislativo</w:t>
          </w:r>
        </w:p>
        <w:p w14:paraId="473E437C" w14:textId="77777777" w:rsidR="00363357" w:rsidRDefault="00743EE0" w:rsidP="00F42582">
          <w:pPr>
            <w:pStyle w:val="Encabezado"/>
            <w:ind w:right="-675"/>
            <w:jc w:val="both"/>
            <w:rPr>
              <w:rFonts w:ascii="Palatino Linotype" w:hAnsi="Palatino Linotype" w:cs="Tahoma"/>
            </w:rPr>
          </w:pPr>
          <w:r>
            <w:rPr>
              <w:rFonts w:ascii="Palatino Linotype" w:hAnsi="Palatino Linotype" w:cs="Tahoma"/>
              <w:b/>
            </w:rPr>
            <w:t>Comisionad</w:t>
          </w:r>
          <w:r w:rsidR="00BF527A">
            <w:rPr>
              <w:rFonts w:ascii="Palatino Linotype" w:hAnsi="Palatino Linotype" w:cs="Tahoma"/>
              <w:b/>
            </w:rPr>
            <w:t>a</w:t>
          </w:r>
          <w:r w:rsidR="00363357" w:rsidRPr="00085241">
            <w:rPr>
              <w:rFonts w:ascii="Palatino Linotype" w:hAnsi="Palatino Linotype" w:cs="Tahoma"/>
              <w:b/>
            </w:rPr>
            <w:t xml:space="preserve"> Ponente: </w:t>
          </w:r>
          <w:r w:rsidR="002A6341" w:rsidRPr="002A6341">
            <w:rPr>
              <w:rFonts w:ascii="Palatino Linotype" w:hAnsi="Palatino Linotype" w:cs="Tahoma"/>
            </w:rPr>
            <w:t>Guadalupe Ramírez Peña</w:t>
          </w:r>
        </w:p>
        <w:p w14:paraId="0205A123" w14:textId="77777777" w:rsidR="003D1AD0" w:rsidRDefault="003D1AD0" w:rsidP="00F42582">
          <w:pPr>
            <w:pStyle w:val="Encabezado"/>
            <w:ind w:right="-675"/>
            <w:jc w:val="both"/>
            <w:rPr>
              <w:rFonts w:ascii="Palatino Linotype" w:hAnsi="Palatino Linotype" w:cs="Tahoma"/>
            </w:rPr>
          </w:pPr>
        </w:p>
        <w:p w14:paraId="26A58A17" w14:textId="3AAFB6D3" w:rsidR="003D1AD0" w:rsidRPr="001106EA" w:rsidRDefault="003D1AD0" w:rsidP="00F42582">
          <w:pPr>
            <w:pStyle w:val="Encabezado"/>
            <w:ind w:right="-675"/>
            <w:jc w:val="both"/>
            <w:rPr>
              <w:rFonts w:ascii="Tahoma" w:hAnsi="Tahoma" w:cs="Tahoma"/>
            </w:rPr>
          </w:pPr>
        </w:p>
      </w:tc>
    </w:tr>
  </w:tbl>
  <w:p w14:paraId="5FDB6911"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7"/>
  </w:num>
  <w:num w:numId="9">
    <w:abstractNumId w:val="14"/>
  </w:num>
  <w:num w:numId="10">
    <w:abstractNumId w:val="15"/>
  </w:num>
  <w:num w:numId="11">
    <w:abstractNumId w:val="16"/>
  </w:num>
  <w:num w:numId="12">
    <w:abstractNumId w:val="1"/>
  </w:num>
  <w:num w:numId="13">
    <w:abstractNumId w:val="8"/>
  </w:num>
  <w:num w:numId="14">
    <w:abstractNumId w:val="18"/>
  </w:num>
  <w:num w:numId="15">
    <w:abstractNumId w:val="6"/>
  </w:num>
  <w:num w:numId="16">
    <w:abstractNumId w:val="7"/>
  </w:num>
  <w:num w:numId="17">
    <w:abstractNumId w:val="11"/>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F6"/>
    <w:rsid w:val="00004F11"/>
    <w:rsid w:val="00006F73"/>
    <w:rsid w:val="0001600D"/>
    <w:rsid w:val="00020D08"/>
    <w:rsid w:val="00021F98"/>
    <w:rsid w:val="000237AB"/>
    <w:rsid w:val="00023B3D"/>
    <w:rsid w:val="0002483E"/>
    <w:rsid w:val="000253E5"/>
    <w:rsid w:val="0002627D"/>
    <w:rsid w:val="0002759D"/>
    <w:rsid w:val="000301C6"/>
    <w:rsid w:val="00042397"/>
    <w:rsid w:val="00042C31"/>
    <w:rsid w:val="000466A3"/>
    <w:rsid w:val="000549B5"/>
    <w:rsid w:val="00056BD3"/>
    <w:rsid w:val="00060F74"/>
    <w:rsid w:val="0006561A"/>
    <w:rsid w:val="00085241"/>
    <w:rsid w:val="0008691F"/>
    <w:rsid w:val="00087AC8"/>
    <w:rsid w:val="0009277A"/>
    <w:rsid w:val="00097988"/>
    <w:rsid w:val="00097A79"/>
    <w:rsid w:val="000B235B"/>
    <w:rsid w:val="000B61DD"/>
    <w:rsid w:val="000B7F6F"/>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35847"/>
    <w:rsid w:val="00136AD8"/>
    <w:rsid w:val="0014038B"/>
    <w:rsid w:val="00140A57"/>
    <w:rsid w:val="0014736A"/>
    <w:rsid w:val="001536F8"/>
    <w:rsid w:val="00161815"/>
    <w:rsid w:val="00162325"/>
    <w:rsid w:val="00164625"/>
    <w:rsid w:val="00164BFE"/>
    <w:rsid w:val="0018472D"/>
    <w:rsid w:val="00193AA8"/>
    <w:rsid w:val="00197A72"/>
    <w:rsid w:val="001A145C"/>
    <w:rsid w:val="001A6BD9"/>
    <w:rsid w:val="001C1C64"/>
    <w:rsid w:val="001C363A"/>
    <w:rsid w:val="001C7C6D"/>
    <w:rsid w:val="0020052A"/>
    <w:rsid w:val="00205DF8"/>
    <w:rsid w:val="00215B62"/>
    <w:rsid w:val="00220D45"/>
    <w:rsid w:val="00231B68"/>
    <w:rsid w:val="00234E99"/>
    <w:rsid w:val="00243A13"/>
    <w:rsid w:val="00246FAF"/>
    <w:rsid w:val="00273B3C"/>
    <w:rsid w:val="0028037C"/>
    <w:rsid w:val="002816CB"/>
    <w:rsid w:val="00282687"/>
    <w:rsid w:val="0028714A"/>
    <w:rsid w:val="002945A4"/>
    <w:rsid w:val="00295BA5"/>
    <w:rsid w:val="002A138B"/>
    <w:rsid w:val="002A1727"/>
    <w:rsid w:val="002A2EE7"/>
    <w:rsid w:val="002A6341"/>
    <w:rsid w:val="002B0502"/>
    <w:rsid w:val="002B0E4A"/>
    <w:rsid w:val="002B2877"/>
    <w:rsid w:val="002C2405"/>
    <w:rsid w:val="002C3532"/>
    <w:rsid w:val="002C7EBD"/>
    <w:rsid w:val="002D539A"/>
    <w:rsid w:val="002E4A9A"/>
    <w:rsid w:val="002E5A1A"/>
    <w:rsid w:val="00304D27"/>
    <w:rsid w:val="003331F5"/>
    <w:rsid w:val="00333B7A"/>
    <w:rsid w:val="00344DD1"/>
    <w:rsid w:val="003512C9"/>
    <w:rsid w:val="0036010F"/>
    <w:rsid w:val="00361360"/>
    <w:rsid w:val="00363357"/>
    <w:rsid w:val="00390188"/>
    <w:rsid w:val="003937C0"/>
    <w:rsid w:val="00394BE9"/>
    <w:rsid w:val="003973A2"/>
    <w:rsid w:val="003A33E2"/>
    <w:rsid w:val="003A6218"/>
    <w:rsid w:val="003B5F3A"/>
    <w:rsid w:val="003B6547"/>
    <w:rsid w:val="003B7A5E"/>
    <w:rsid w:val="003C374F"/>
    <w:rsid w:val="003C4BD1"/>
    <w:rsid w:val="003D0982"/>
    <w:rsid w:val="003D1AD0"/>
    <w:rsid w:val="003F2426"/>
    <w:rsid w:val="003F48C2"/>
    <w:rsid w:val="003F7CBE"/>
    <w:rsid w:val="0040139C"/>
    <w:rsid w:val="00403B39"/>
    <w:rsid w:val="00412CB2"/>
    <w:rsid w:val="004211BB"/>
    <w:rsid w:val="00433746"/>
    <w:rsid w:val="00434B91"/>
    <w:rsid w:val="00434C88"/>
    <w:rsid w:val="00435E69"/>
    <w:rsid w:val="00440F05"/>
    <w:rsid w:val="00441EA2"/>
    <w:rsid w:val="0044246A"/>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E4CA3"/>
    <w:rsid w:val="004E7007"/>
    <w:rsid w:val="004E7E21"/>
    <w:rsid w:val="004E7E73"/>
    <w:rsid w:val="004F0B86"/>
    <w:rsid w:val="004F7FD5"/>
    <w:rsid w:val="00511E06"/>
    <w:rsid w:val="0052260F"/>
    <w:rsid w:val="00524DA5"/>
    <w:rsid w:val="00526DBD"/>
    <w:rsid w:val="00543DF4"/>
    <w:rsid w:val="00544812"/>
    <w:rsid w:val="00550AA5"/>
    <w:rsid w:val="00553A37"/>
    <w:rsid w:val="00553ADE"/>
    <w:rsid w:val="0056120D"/>
    <w:rsid w:val="0056175F"/>
    <w:rsid w:val="0056245C"/>
    <w:rsid w:val="0056524C"/>
    <w:rsid w:val="00577080"/>
    <w:rsid w:val="00582CCB"/>
    <w:rsid w:val="00583297"/>
    <w:rsid w:val="00584D73"/>
    <w:rsid w:val="0059329D"/>
    <w:rsid w:val="00596EE6"/>
    <w:rsid w:val="005A2510"/>
    <w:rsid w:val="005A6E4D"/>
    <w:rsid w:val="005C094E"/>
    <w:rsid w:val="005C633B"/>
    <w:rsid w:val="005C73EE"/>
    <w:rsid w:val="005D11C8"/>
    <w:rsid w:val="005E2798"/>
    <w:rsid w:val="005F0940"/>
    <w:rsid w:val="005F3F63"/>
    <w:rsid w:val="00600164"/>
    <w:rsid w:val="00600323"/>
    <w:rsid w:val="00605683"/>
    <w:rsid w:val="006248F2"/>
    <w:rsid w:val="00624DE5"/>
    <w:rsid w:val="00627F2B"/>
    <w:rsid w:val="0063602B"/>
    <w:rsid w:val="00645087"/>
    <w:rsid w:val="00651B2B"/>
    <w:rsid w:val="00654ACD"/>
    <w:rsid w:val="00657396"/>
    <w:rsid w:val="00672A7D"/>
    <w:rsid w:val="00682003"/>
    <w:rsid w:val="00683596"/>
    <w:rsid w:val="00684B16"/>
    <w:rsid w:val="00695F12"/>
    <w:rsid w:val="00696B47"/>
    <w:rsid w:val="006B16FE"/>
    <w:rsid w:val="006B6D1A"/>
    <w:rsid w:val="006D1775"/>
    <w:rsid w:val="006D3DF1"/>
    <w:rsid w:val="006F5316"/>
    <w:rsid w:val="007071CF"/>
    <w:rsid w:val="00722FE9"/>
    <w:rsid w:val="00724F08"/>
    <w:rsid w:val="0073552A"/>
    <w:rsid w:val="007378E2"/>
    <w:rsid w:val="00742A15"/>
    <w:rsid w:val="00743EE0"/>
    <w:rsid w:val="00765A96"/>
    <w:rsid w:val="0076722E"/>
    <w:rsid w:val="0077694E"/>
    <w:rsid w:val="00781082"/>
    <w:rsid w:val="00781866"/>
    <w:rsid w:val="007849A1"/>
    <w:rsid w:val="00790C87"/>
    <w:rsid w:val="00792848"/>
    <w:rsid w:val="00796CD0"/>
    <w:rsid w:val="007A1071"/>
    <w:rsid w:val="007A2D13"/>
    <w:rsid w:val="007A58C2"/>
    <w:rsid w:val="007C69D4"/>
    <w:rsid w:val="007D3257"/>
    <w:rsid w:val="007D5554"/>
    <w:rsid w:val="007E3F77"/>
    <w:rsid w:val="007F1C1D"/>
    <w:rsid w:val="007F41BF"/>
    <w:rsid w:val="007F7D80"/>
    <w:rsid w:val="00802879"/>
    <w:rsid w:val="0083186E"/>
    <w:rsid w:val="00836BC2"/>
    <w:rsid w:val="00846270"/>
    <w:rsid w:val="00861757"/>
    <w:rsid w:val="008629DC"/>
    <w:rsid w:val="008706C2"/>
    <w:rsid w:val="00874170"/>
    <w:rsid w:val="00884A10"/>
    <w:rsid w:val="00887E3C"/>
    <w:rsid w:val="00891412"/>
    <w:rsid w:val="00892540"/>
    <w:rsid w:val="008933AC"/>
    <w:rsid w:val="0089469D"/>
    <w:rsid w:val="008A0447"/>
    <w:rsid w:val="008A1DE1"/>
    <w:rsid w:val="008A217F"/>
    <w:rsid w:val="008A3DA9"/>
    <w:rsid w:val="008B08C9"/>
    <w:rsid w:val="008C0435"/>
    <w:rsid w:val="008E54E2"/>
    <w:rsid w:val="008E7174"/>
    <w:rsid w:val="008F6F6E"/>
    <w:rsid w:val="009039FE"/>
    <w:rsid w:val="0092103D"/>
    <w:rsid w:val="00922B2E"/>
    <w:rsid w:val="00924A73"/>
    <w:rsid w:val="00926581"/>
    <w:rsid w:val="00927138"/>
    <w:rsid w:val="00927BD1"/>
    <w:rsid w:val="009366AD"/>
    <w:rsid w:val="00941847"/>
    <w:rsid w:val="00950355"/>
    <w:rsid w:val="009520A3"/>
    <w:rsid w:val="0095470A"/>
    <w:rsid w:val="00954BF1"/>
    <w:rsid w:val="00956B98"/>
    <w:rsid w:val="00961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22273"/>
    <w:rsid w:val="00A26864"/>
    <w:rsid w:val="00A30C52"/>
    <w:rsid w:val="00A3273F"/>
    <w:rsid w:val="00A34BB9"/>
    <w:rsid w:val="00A364BA"/>
    <w:rsid w:val="00A45699"/>
    <w:rsid w:val="00A462CB"/>
    <w:rsid w:val="00A5061A"/>
    <w:rsid w:val="00A54E21"/>
    <w:rsid w:val="00A67498"/>
    <w:rsid w:val="00A742D1"/>
    <w:rsid w:val="00A87924"/>
    <w:rsid w:val="00A96933"/>
    <w:rsid w:val="00A96CE5"/>
    <w:rsid w:val="00AA090B"/>
    <w:rsid w:val="00AA261E"/>
    <w:rsid w:val="00AA38A5"/>
    <w:rsid w:val="00AC333A"/>
    <w:rsid w:val="00AD25D5"/>
    <w:rsid w:val="00AE53FE"/>
    <w:rsid w:val="00AF3B6B"/>
    <w:rsid w:val="00B15570"/>
    <w:rsid w:val="00B2355E"/>
    <w:rsid w:val="00B263C5"/>
    <w:rsid w:val="00B27BBC"/>
    <w:rsid w:val="00B27F41"/>
    <w:rsid w:val="00B30925"/>
    <w:rsid w:val="00B67355"/>
    <w:rsid w:val="00B71740"/>
    <w:rsid w:val="00B73847"/>
    <w:rsid w:val="00B7393F"/>
    <w:rsid w:val="00B761B1"/>
    <w:rsid w:val="00B80C28"/>
    <w:rsid w:val="00B8633E"/>
    <w:rsid w:val="00BB6EE3"/>
    <w:rsid w:val="00BC4882"/>
    <w:rsid w:val="00BC55D2"/>
    <w:rsid w:val="00BD06FC"/>
    <w:rsid w:val="00BD1839"/>
    <w:rsid w:val="00BD4705"/>
    <w:rsid w:val="00BD5DBE"/>
    <w:rsid w:val="00BE077A"/>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A6779"/>
    <w:rsid w:val="00CA7627"/>
    <w:rsid w:val="00CB630F"/>
    <w:rsid w:val="00CC68E1"/>
    <w:rsid w:val="00CD4339"/>
    <w:rsid w:val="00CD6D0D"/>
    <w:rsid w:val="00CD7611"/>
    <w:rsid w:val="00CE232D"/>
    <w:rsid w:val="00CE3CDC"/>
    <w:rsid w:val="00CE46B3"/>
    <w:rsid w:val="00CE50F9"/>
    <w:rsid w:val="00CE623C"/>
    <w:rsid w:val="00CE7F0C"/>
    <w:rsid w:val="00CF08CA"/>
    <w:rsid w:val="00CF11EE"/>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0452"/>
    <w:rsid w:val="00DD1F62"/>
    <w:rsid w:val="00DE4452"/>
    <w:rsid w:val="00DF2784"/>
    <w:rsid w:val="00DF6CA0"/>
    <w:rsid w:val="00E145E1"/>
    <w:rsid w:val="00E26123"/>
    <w:rsid w:val="00E34559"/>
    <w:rsid w:val="00E41481"/>
    <w:rsid w:val="00E416F8"/>
    <w:rsid w:val="00E54867"/>
    <w:rsid w:val="00E656C1"/>
    <w:rsid w:val="00E70B5D"/>
    <w:rsid w:val="00E750E2"/>
    <w:rsid w:val="00E80E84"/>
    <w:rsid w:val="00E82F77"/>
    <w:rsid w:val="00E83683"/>
    <w:rsid w:val="00E910F8"/>
    <w:rsid w:val="00EA7E26"/>
    <w:rsid w:val="00EB7128"/>
    <w:rsid w:val="00EC1E4E"/>
    <w:rsid w:val="00EC5F1B"/>
    <w:rsid w:val="00EE1E0A"/>
    <w:rsid w:val="00EE29F6"/>
    <w:rsid w:val="00EE7634"/>
    <w:rsid w:val="00EF10FB"/>
    <w:rsid w:val="00F030F8"/>
    <w:rsid w:val="00F05A41"/>
    <w:rsid w:val="00F10DF2"/>
    <w:rsid w:val="00F14384"/>
    <w:rsid w:val="00F17C34"/>
    <w:rsid w:val="00F318EA"/>
    <w:rsid w:val="00F359F6"/>
    <w:rsid w:val="00F42582"/>
    <w:rsid w:val="00F44957"/>
    <w:rsid w:val="00F72D12"/>
    <w:rsid w:val="00F753FF"/>
    <w:rsid w:val="00F80D93"/>
    <w:rsid w:val="00F93684"/>
    <w:rsid w:val="00F95EDA"/>
    <w:rsid w:val="00FB3044"/>
    <w:rsid w:val="00FB59D6"/>
    <w:rsid w:val="00FC16A3"/>
    <w:rsid w:val="00FC1D9D"/>
    <w:rsid w:val="00FC2848"/>
    <w:rsid w:val="00FD00F1"/>
    <w:rsid w:val="00FD1849"/>
    <w:rsid w:val="00FD3150"/>
    <w:rsid w:val="00FD530D"/>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8318D"/>
  <w15:docId w15:val="{55FBBE48-AFB9-4CE0-B0D6-97A2F787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2867-E769-472C-AEC0-E7753D7F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1658</Words>
  <Characters>9124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José Fernando Lobato Rodríguez</cp:lastModifiedBy>
  <cp:revision>2</cp:revision>
  <cp:lastPrinted>2019-09-02T22:07:00Z</cp:lastPrinted>
  <dcterms:created xsi:type="dcterms:W3CDTF">2022-01-31T20:12:00Z</dcterms:created>
  <dcterms:modified xsi:type="dcterms:W3CDTF">2022-01-31T20:12:00Z</dcterms:modified>
</cp:coreProperties>
</file>