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9F068" w14:textId="77777777" w:rsidR="00044BC8" w:rsidRDefault="00044BC8" w:rsidP="005E1CD2">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b/>
          <w:color w:val="000000"/>
        </w:rPr>
      </w:pPr>
    </w:p>
    <w:p w14:paraId="2A089B6D" w14:textId="5F01BC41" w:rsidR="00044BC8" w:rsidRDefault="00C92516" w:rsidP="005E1CD2">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w:t>
      </w:r>
      <w:r w:rsidR="00472043">
        <w:rPr>
          <w:rFonts w:ascii="Palatino Linotype" w:eastAsia="Palatino Linotype" w:hAnsi="Palatino Linotype" w:cs="Palatino Linotype"/>
          <w:b/>
          <w:color w:val="000000"/>
        </w:rPr>
        <w:t>DISIDENTE</w:t>
      </w:r>
      <w:r>
        <w:rPr>
          <w:rFonts w:ascii="Palatino Linotype" w:eastAsia="Palatino Linotype" w:hAnsi="Palatino Linotype" w:cs="Palatino Linotype"/>
          <w:b/>
          <w:color w:val="000000"/>
        </w:rPr>
        <w:t xml:space="preserve"> QUE FORMULA EL COMISIONADO LUIS GUSTAVO PARRA NORIEGA A LA RESOLUCIÓN DEL RECURSO DE REVISIÓN </w:t>
      </w:r>
      <w:r w:rsidR="004B1D75">
        <w:rPr>
          <w:rFonts w:ascii="Palatino Linotype" w:eastAsia="Palatino Linotype" w:hAnsi="Palatino Linotype" w:cs="Palatino Linotype"/>
          <w:b/>
          <w:color w:val="000000"/>
        </w:rPr>
        <w:t>00097/INFOEM/IP/RR/2022</w:t>
      </w:r>
      <w:r w:rsidR="00A85684">
        <w:rPr>
          <w:rFonts w:ascii="Palatino Linotype" w:eastAsia="Palatino Linotype" w:hAnsi="Palatino Linotype" w:cs="Palatino Linotype"/>
          <w:b/>
          <w:color w:val="000000"/>
        </w:rPr>
        <w:t>,</w:t>
      </w:r>
      <w:r>
        <w:rPr>
          <w:rFonts w:ascii="Palatino Linotype" w:eastAsia="Palatino Linotype" w:hAnsi="Palatino Linotype" w:cs="Palatino Linotype"/>
          <w:b/>
          <w:color w:val="000000"/>
        </w:rPr>
        <w:t xml:space="preserve"> PROMOVIDO EN CONTRA DE</w:t>
      </w:r>
      <w:r w:rsidR="00A85684">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t>L</w:t>
      </w:r>
      <w:r w:rsidR="00A85684">
        <w:rPr>
          <w:rFonts w:ascii="Palatino Linotype" w:eastAsia="Palatino Linotype" w:hAnsi="Palatino Linotype" w:cs="Palatino Linotype"/>
          <w:b/>
          <w:color w:val="000000"/>
        </w:rPr>
        <w:t>A FISCALÍA GENERAL DE JUSTICIA DEL ESTADO DE MÉXICO</w:t>
      </w:r>
      <w:r>
        <w:rPr>
          <w:rFonts w:ascii="Palatino Linotype" w:eastAsia="Palatino Linotype" w:hAnsi="Palatino Linotype" w:cs="Palatino Linotype"/>
          <w:b/>
          <w:color w:val="000000"/>
        </w:rPr>
        <w:t>.</w:t>
      </w:r>
    </w:p>
    <w:p w14:paraId="273F6FAD" w14:textId="77777777" w:rsidR="00044BC8" w:rsidRDefault="00044BC8" w:rsidP="005E1CD2">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rPr>
      </w:pPr>
    </w:p>
    <w:p w14:paraId="40583576" w14:textId="1A16D7C2" w:rsidR="009144B4" w:rsidRDefault="009144B4" w:rsidP="005E1CD2">
      <w:pPr>
        <w:tabs>
          <w:tab w:val="left" w:pos="1843"/>
        </w:tabs>
        <w:spacing w:after="0" w:line="360" w:lineRule="auto"/>
        <w:jc w:val="both"/>
        <w:rPr>
          <w:rFonts w:ascii="Palatino Linotype" w:eastAsia="Palatino Linotype" w:hAnsi="Palatino Linotype" w:cs="Palatino Linotype"/>
          <w:b/>
        </w:rPr>
      </w:pPr>
      <w:bookmarkStart w:id="0" w:name="_gjdgxs" w:colFirst="0" w:colLast="0"/>
      <w:bookmarkEnd w:id="0"/>
      <w:r w:rsidRPr="009144B4">
        <w:rPr>
          <w:rFonts w:ascii="Palatino Linotype" w:eastAsia="Palatino Linotype" w:hAnsi="Palatino Linotype" w:cs="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XIX, 45 y 48, fracción II, de los Lineamientos para el funcionamiento del Pleno y las Comisiones del Instituto de Transparencia, Acceso a la Información Pública y Protección de Datos Personales del Estado de México y Municipios, emito el presente </w:t>
      </w:r>
      <w:r w:rsidRPr="009144B4">
        <w:rPr>
          <w:rFonts w:ascii="Palatino Linotype" w:eastAsia="Palatino Linotype" w:hAnsi="Palatino Linotype" w:cs="Palatino Linotype"/>
          <w:b/>
        </w:rPr>
        <w:t>Voto Disidente</w:t>
      </w:r>
      <w:r w:rsidRPr="009144B4">
        <w:rPr>
          <w:rFonts w:ascii="Palatino Linotype" w:eastAsia="Palatino Linotype" w:hAnsi="Palatino Linotype" w:cs="Palatino Linotype"/>
        </w:rPr>
        <w:t xml:space="preserve"> por no compartir el sentido de la Resolución del Recurso de Revisión</w:t>
      </w:r>
      <w:r>
        <w:rPr>
          <w:rFonts w:ascii="Palatino Linotype" w:eastAsia="Palatino Linotype" w:hAnsi="Palatino Linotype" w:cs="Palatino Linotype"/>
        </w:rPr>
        <w:t xml:space="preserve"> </w:t>
      </w:r>
      <w:r w:rsidR="004B1D75">
        <w:rPr>
          <w:rFonts w:ascii="Palatino Linotype" w:eastAsia="Palatino Linotype" w:hAnsi="Palatino Linotype" w:cs="Palatino Linotype"/>
          <w:b/>
        </w:rPr>
        <w:t>00097/INFOEM/IP/RR/2022</w:t>
      </w:r>
      <w:r>
        <w:rPr>
          <w:rFonts w:ascii="Palatino Linotype" w:eastAsia="Palatino Linotype" w:hAnsi="Palatino Linotype" w:cs="Palatino Linotype"/>
          <w:b/>
        </w:rPr>
        <w:t>.</w:t>
      </w:r>
    </w:p>
    <w:p w14:paraId="2CE335A7" w14:textId="77777777" w:rsidR="009144B4" w:rsidRDefault="009144B4" w:rsidP="005E1CD2">
      <w:pPr>
        <w:tabs>
          <w:tab w:val="left" w:pos="1843"/>
        </w:tabs>
        <w:spacing w:after="0" w:line="360" w:lineRule="auto"/>
        <w:jc w:val="both"/>
        <w:rPr>
          <w:rFonts w:ascii="Palatino Linotype" w:eastAsia="Palatino Linotype" w:hAnsi="Palatino Linotype" w:cs="Palatino Linotype"/>
          <w:b/>
        </w:rPr>
      </w:pPr>
    </w:p>
    <w:p w14:paraId="087EADB8" w14:textId="7837EA3C" w:rsidR="00523EE6" w:rsidRDefault="009144B4" w:rsidP="005E1CD2">
      <w:p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 xml:space="preserve">En principio, es de señalar que el </w:t>
      </w:r>
      <w:bookmarkStart w:id="1" w:name="_GoBack"/>
      <w:r w:rsidRPr="001D1DCB">
        <w:rPr>
          <w:rFonts w:ascii="Palatino Linotype" w:eastAsia="Palatino Linotype" w:hAnsi="Palatino Linotype" w:cs="Palatino Linotype"/>
        </w:rPr>
        <w:t>Particular</w:t>
      </w:r>
      <w:bookmarkEnd w:id="1"/>
      <w:r w:rsidRPr="001D1DCB">
        <w:rPr>
          <w:rFonts w:ascii="Palatino Linotype" w:eastAsia="Palatino Linotype" w:hAnsi="Palatino Linotype" w:cs="Palatino Linotype"/>
        </w:rPr>
        <w:t xml:space="preserve"> solicitó</w:t>
      </w:r>
      <w:r>
        <w:rPr>
          <w:rFonts w:ascii="Palatino Linotype" w:eastAsia="Palatino Linotype" w:hAnsi="Palatino Linotype" w:cs="Palatino Linotype"/>
        </w:rPr>
        <w:t xml:space="preserve"> la versión pública d</w:t>
      </w:r>
      <w:r w:rsidR="004B1D75" w:rsidRPr="004B1D75">
        <w:rPr>
          <w:rFonts w:ascii="Palatino Linotype" w:eastAsia="Palatino Linotype" w:hAnsi="Palatino Linotype" w:cs="Palatino Linotype"/>
        </w:rPr>
        <w:t>e la carpeta de investigación en relación al caso del actor Octavio Ocaña, con NIC:FHT/FHT/00/MPI/401/00480/21/10 y NUC: LER/FHT/FHT/054/303750/21/10</w:t>
      </w:r>
      <w:r>
        <w:rPr>
          <w:rFonts w:ascii="Palatino Linotype" w:eastAsia="Palatino Linotype" w:hAnsi="Palatino Linotype" w:cs="Palatino Linotype"/>
        </w:rPr>
        <w:t xml:space="preserve">; por lo que, en </w:t>
      </w:r>
      <w:r w:rsidR="00523EE6">
        <w:rPr>
          <w:rFonts w:ascii="Palatino Linotype" w:eastAsia="Palatino Linotype" w:hAnsi="Palatino Linotype" w:cs="Palatino Linotype"/>
        </w:rPr>
        <w:t xml:space="preserve">respuesta, el Sujeto Obligado, clasificó la información como </w:t>
      </w:r>
      <w:r w:rsidR="000175CA">
        <w:rPr>
          <w:rFonts w:ascii="Palatino Linotype" w:eastAsia="Palatino Linotype" w:hAnsi="Palatino Linotype" w:cs="Palatino Linotype"/>
        </w:rPr>
        <w:t>reservada en términos de las fracciones VI, IX y XI de la Ley de Transparencia y Acceso a la Información Pública del Estado de México y Municipios y entregó el acuerdo de clasificación de la información.</w:t>
      </w:r>
    </w:p>
    <w:p w14:paraId="68B08E05" w14:textId="7F4D0C5C" w:rsidR="000175CA" w:rsidRDefault="000175CA" w:rsidP="005E1CD2">
      <w:pPr>
        <w:tabs>
          <w:tab w:val="left" w:pos="1843"/>
        </w:tabs>
        <w:spacing w:after="0" w:line="360" w:lineRule="auto"/>
        <w:jc w:val="both"/>
        <w:rPr>
          <w:rFonts w:ascii="Palatino Linotype" w:eastAsia="Palatino Linotype" w:hAnsi="Palatino Linotype" w:cs="Palatino Linotype"/>
        </w:rPr>
      </w:pPr>
    </w:p>
    <w:p w14:paraId="6E209FFC" w14:textId="41743DFC"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 xml:space="preserve">Ante tal circunstancia, el </w:t>
      </w:r>
      <w:r w:rsidR="00CC7820">
        <w:rPr>
          <w:rFonts w:ascii="Palatino Linotype" w:eastAsia="Palatino Linotype" w:hAnsi="Palatino Linotype" w:cs="Palatino Linotype"/>
        </w:rPr>
        <w:t>Recurrente</w:t>
      </w:r>
      <w:r w:rsidRPr="001D1DCB">
        <w:rPr>
          <w:rFonts w:ascii="Palatino Linotype" w:eastAsia="Palatino Linotype" w:hAnsi="Palatino Linotype" w:cs="Palatino Linotype"/>
        </w:rPr>
        <w:t xml:space="preserve"> se agravió de la clasificación, al considerar que la información requerida se localizaba en una excepción establecida en la Ley de la materia, pues se trataba de un caso, de posible violación grave de derechos humanos. En ese sentido, después </w:t>
      </w:r>
      <w:r w:rsidRPr="001D1DCB">
        <w:rPr>
          <w:rFonts w:ascii="Palatino Linotype" w:eastAsia="Palatino Linotype" w:hAnsi="Palatino Linotype" w:cs="Palatino Linotype"/>
        </w:rPr>
        <w:lastRenderedPageBreak/>
        <w:t xml:space="preserve">de un análisis profundo y específico del caso, la mayoría de los Comisionados, consideraron procedente </w:t>
      </w:r>
      <w:r w:rsidRPr="001D1DCB">
        <w:rPr>
          <w:rFonts w:ascii="Palatino Linotype" w:eastAsia="Palatino Linotype" w:hAnsi="Palatino Linotype" w:cs="Palatino Linotype"/>
          <w:b/>
        </w:rPr>
        <w:t xml:space="preserve">CONFIRMAR </w:t>
      </w:r>
      <w:r w:rsidRPr="001D1DCB">
        <w:rPr>
          <w:rFonts w:ascii="Palatino Linotype" w:eastAsia="Palatino Linotype" w:hAnsi="Palatino Linotype" w:cs="Palatino Linotype"/>
        </w:rPr>
        <w:t>la respuesta del Ente Recurrido.</w:t>
      </w:r>
    </w:p>
    <w:p w14:paraId="2EA9EC9F" w14:textId="7E5687F5" w:rsidR="00295F8A" w:rsidRDefault="00295F8A" w:rsidP="005E1CD2">
      <w:pPr>
        <w:tabs>
          <w:tab w:val="left" w:pos="1843"/>
        </w:tabs>
        <w:spacing w:after="0" w:line="360" w:lineRule="auto"/>
        <w:jc w:val="both"/>
        <w:rPr>
          <w:rFonts w:ascii="Palatino Linotype" w:eastAsia="Palatino Linotype" w:hAnsi="Palatino Linotype" w:cs="Palatino Linotype"/>
        </w:rPr>
      </w:pPr>
    </w:p>
    <w:p w14:paraId="69294162" w14:textId="77777777"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En este sentido, no coincido con dicha postura, pues considero que nos encontramos ante un caso, donde el interés público, supera a la reserva, toda vez que se trata de información relacionada con una posible violación grave de derechos humanos, supuesto establecido en el  artículo 142, fracción II, de la Ley de Transparencia y Acceso a la Información Pública del Estado de México  y Municipios, tal como se muestra a continuación:</w:t>
      </w:r>
    </w:p>
    <w:p w14:paraId="6EBE4336" w14:textId="77777777"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p>
    <w:p w14:paraId="14255D11" w14:textId="77777777" w:rsidR="009144B4" w:rsidRPr="001D1DCB" w:rsidRDefault="009144B4" w:rsidP="009144B4">
      <w:pPr>
        <w:tabs>
          <w:tab w:val="left" w:pos="1843"/>
        </w:tabs>
        <w:spacing w:after="0" w:line="360" w:lineRule="auto"/>
        <w:ind w:left="567" w:right="567"/>
        <w:jc w:val="both"/>
        <w:rPr>
          <w:rFonts w:ascii="Palatino Linotype" w:eastAsia="Palatino Linotype" w:hAnsi="Palatino Linotype" w:cs="Palatino Linotype"/>
          <w:i/>
          <w:iCs/>
          <w:sz w:val="20"/>
          <w:szCs w:val="20"/>
        </w:rPr>
      </w:pPr>
      <w:r w:rsidRPr="001D1DCB">
        <w:rPr>
          <w:rFonts w:ascii="Palatino Linotype" w:eastAsia="Palatino Linotype" w:hAnsi="Palatino Linotype" w:cs="Palatino Linotype"/>
          <w:b/>
          <w:i/>
          <w:iCs/>
          <w:sz w:val="20"/>
          <w:szCs w:val="20"/>
        </w:rPr>
        <w:t>“Artículo 142.</w:t>
      </w:r>
      <w:r w:rsidRPr="001D1DCB">
        <w:rPr>
          <w:rFonts w:ascii="Palatino Linotype" w:eastAsia="Palatino Linotype" w:hAnsi="Palatino Linotype" w:cs="Palatino Linotype"/>
          <w:i/>
          <w:iCs/>
          <w:sz w:val="20"/>
          <w:szCs w:val="20"/>
        </w:rPr>
        <w:t xml:space="preserve"> Bajo ninguna circunstancia podrá invocarse el carácter de reservado cuando:</w:t>
      </w:r>
    </w:p>
    <w:p w14:paraId="786FFEC2" w14:textId="77777777" w:rsidR="009144B4" w:rsidRPr="001D1DCB" w:rsidRDefault="009144B4" w:rsidP="009144B4">
      <w:pPr>
        <w:tabs>
          <w:tab w:val="left" w:pos="1843"/>
        </w:tabs>
        <w:spacing w:after="0" w:line="360" w:lineRule="auto"/>
        <w:ind w:left="567" w:right="567"/>
        <w:jc w:val="both"/>
        <w:rPr>
          <w:rFonts w:ascii="Palatino Linotype" w:eastAsia="Palatino Linotype" w:hAnsi="Palatino Linotype" w:cs="Palatino Linotype"/>
          <w:i/>
          <w:iCs/>
          <w:sz w:val="20"/>
          <w:szCs w:val="20"/>
        </w:rPr>
      </w:pPr>
      <w:r w:rsidRPr="001D1DCB">
        <w:rPr>
          <w:rFonts w:ascii="Palatino Linotype" w:eastAsia="Palatino Linotype" w:hAnsi="Palatino Linotype" w:cs="Palatino Linotype"/>
          <w:i/>
          <w:iCs/>
          <w:sz w:val="20"/>
          <w:szCs w:val="20"/>
        </w:rPr>
        <w:t>…</w:t>
      </w:r>
    </w:p>
    <w:p w14:paraId="7B8D5168" w14:textId="77777777" w:rsidR="009144B4" w:rsidRPr="001D1DCB" w:rsidRDefault="009144B4" w:rsidP="009144B4">
      <w:pPr>
        <w:tabs>
          <w:tab w:val="left" w:pos="1843"/>
        </w:tabs>
        <w:spacing w:after="0" w:line="360" w:lineRule="auto"/>
        <w:ind w:left="567" w:right="567"/>
        <w:jc w:val="both"/>
        <w:rPr>
          <w:rFonts w:ascii="Palatino Linotype" w:eastAsia="Palatino Linotype" w:hAnsi="Palatino Linotype" w:cs="Palatino Linotype"/>
          <w:bCs/>
          <w:i/>
          <w:iCs/>
          <w:sz w:val="20"/>
          <w:szCs w:val="20"/>
        </w:rPr>
      </w:pPr>
      <w:r w:rsidRPr="001D1DCB">
        <w:rPr>
          <w:rFonts w:ascii="Palatino Linotype" w:eastAsia="Palatino Linotype" w:hAnsi="Palatino Linotype" w:cs="Palatino Linotype"/>
          <w:bCs/>
          <w:i/>
          <w:iCs/>
          <w:sz w:val="20"/>
          <w:szCs w:val="20"/>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77790993" w14:textId="77777777" w:rsidR="009144B4" w:rsidRPr="001D1DCB" w:rsidRDefault="009144B4" w:rsidP="009144B4">
      <w:pPr>
        <w:tabs>
          <w:tab w:val="left" w:pos="1843"/>
        </w:tabs>
        <w:spacing w:after="0" w:line="360" w:lineRule="auto"/>
        <w:ind w:left="567" w:right="567"/>
        <w:jc w:val="both"/>
        <w:rPr>
          <w:rFonts w:ascii="Palatino Linotype" w:eastAsia="Palatino Linotype" w:hAnsi="Palatino Linotype" w:cs="Palatino Linotype"/>
          <w:i/>
          <w:iCs/>
          <w:sz w:val="20"/>
          <w:szCs w:val="20"/>
        </w:rPr>
      </w:pPr>
      <w:r w:rsidRPr="001D1DCB">
        <w:rPr>
          <w:rFonts w:ascii="Palatino Linotype" w:eastAsia="Palatino Linotype" w:hAnsi="Palatino Linotype" w:cs="Palatino Linotype"/>
          <w:i/>
          <w:iCs/>
          <w:sz w:val="20"/>
          <w:szCs w:val="20"/>
        </w:rPr>
        <w:t>…”</w:t>
      </w:r>
    </w:p>
    <w:p w14:paraId="5AD9D603" w14:textId="77777777" w:rsidR="00B15BCF" w:rsidRDefault="00B15BCF" w:rsidP="009144B4">
      <w:pPr>
        <w:tabs>
          <w:tab w:val="left" w:pos="1843"/>
        </w:tabs>
        <w:spacing w:after="0" w:line="360" w:lineRule="auto"/>
        <w:jc w:val="both"/>
        <w:rPr>
          <w:rFonts w:ascii="Palatino Linotype" w:eastAsia="Palatino Linotype" w:hAnsi="Palatino Linotype" w:cs="Palatino Linotype"/>
        </w:rPr>
      </w:pPr>
    </w:p>
    <w:p w14:paraId="6912CF39" w14:textId="77777777"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En ese contexto, existen diversas nota</w:t>
      </w:r>
      <w:r>
        <w:rPr>
          <w:rFonts w:ascii="Palatino Linotype" w:eastAsia="Palatino Linotype" w:hAnsi="Palatino Linotype" w:cs="Palatino Linotype"/>
        </w:rPr>
        <w:t>s</w:t>
      </w:r>
      <w:r w:rsidRPr="001D1DCB">
        <w:rPr>
          <w:rFonts w:ascii="Palatino Linotype" w:eastAsia="Palatino Linotype" w:hAnsi="Palatino Linotype" w:cs="Palatino Linotype"/>
        </w:rPr>
        <w:t xml:space="preserve"> periodísticas, las cuales precisan que la Comisión de Derechos Humanos del Estado de M</w:t>
      </w:r>
      <w:r>
        <w:rPr>
          <w:rFonts w:ascii="Palatino Linotype" w:eastAsia="Palatino Linotype" w:hAnsi="Palatino Linotype" w:cs="Palatino Linotype"/>
        </w:rPr>
        <w:t>éxico inició</w:t>
      </w:r>
      <w:r w:rsidRPr="001D1DCB">
        <w:rPr>
          <w:rFonts w:ascii="Palatino Linotype" w:eastAsia="Palatino Linotype" w:hAnsi="Palatino Linotype" w:cs="Palatino Linotype"/>
        </w:rPr>
        <w:t xml:space="preserve"> una queja de oficio, por la violación al derecho humano a la integridad y seguridad </w:t>
      </w:r>
      <w:r>
        <w:rPr>
          <w:rFonts w:ascii="Palatino Linotype" w:eastAsia="Palatino Linotype" w:hAnsi="Palatino Linotype" w:cs="Palatino Linotype"/>
        </w:rPr>
        <w:t>personal</w:t>
      </w:r>
      <w:r w:rsidRPr="001D1DCB">
        <w:rPr>
          <w:rFonts w:ascii="Palatino Linotype" w:eastAsia="Palatino Linotype" w:hAnsi="Palatino Linotype" w:cs="Palatino Linotype"/>
        </w:rPr>
        <w:t>, y en su caso, al derecho a no ser sometido al uso desproporcionado de la fuerza pública, tal como se logra observar a continuación:</w:t>
      </w:r>
    </w:p>
    <w:p w14:paraId="11A49FF1" w14:textId="77777777"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p>
    <w:p w14:paraId="7398990B" w14:textId="77777777" w:rsidR="009144B4" w:rsidRPr="001D1DCB" w:rsidRDefault="009144B4" w:rsidP="009144B4">
      <w:pPr>
        <w:pStyle w:val="Prrafodelista"/>
        <w:numPr>
          <w:ilvl w:val="0"/>
          <w:numId w:val="4"/>
        </w:num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Nota periodística que lleva por nombre “</w:t>
      </w:r>
      <w:proofErr w:type="spellStart"/>
      <w:r w:rsidRPr="001D1DCB">
        <w:rPr>
          <w:rFonts w:ascii="Palatino Linotype" w:eastAsia="Palatino Linotype" w:hAnsi="Palatino Linotype" w:cs="Palatino Linotype"/>
        </w:rPr>
        <w:t>Codhem</w:t>
      </w:r>
      <w:proofErr w:type="spellEnd"/>
      <w:r w:rsidRPr="001D1DCB">
        <w:rPr>
          <w:rFonts w:ascii="Palatino Linotype" w:eastAsia="Palatino Linotype" w:hAnsi="Palatino Linotype" w:cs="Palatino Linotype"/>
        </w:rPr>
        <w:t xml:space="preserve"> inició un expediente por muerte del actor Octavio Ocaña”, publicado por el diario “La Jornada”, noticia localizable en la liga de acceso directo  </w:t>
      </w:r>
      <w:hyperlink r:id="rId7" w:history="1">
        <w:r w:rsidRPr="001D1DCB">
          <w:rPr>
            <w:rStyle w:val="Hipervnculo"/>
            <w:rFonts w:ascii="Palatino Linotype" w:eastAsia="Palatino Linotype" w:hAnsi="Palatino Linotype" w:cs="Palatino Linotype"/>
          </w:rPr>
          <w:t>https://www.jornada.com.mx/notas/2021/10/31/estados/codhem-inicio-un-</w:t>
        </w:r>
        <w:r w:rsidRPr="001D1DCB">
          <w:rPr>
            <w:rStyle w:val="Hipervnculo"/>
            <w:rFonts w:ascii="Palatino Linotype" w:eastAsia="Palatino Linotype" w:hAnsi="Palatino Linotype" w:cs="Palatino Linotype"/>
          </w:rPr>
          <w:lastRenderedPageBreak/>
          <w:t>expediente-por-muerte-del-actor-octavio-ocana/</w:t>
        </w:r>
      </w:hyperlink>
      <w:r w:rsidRPr="001D1DCB">
        <w:rPr>
          <w:rFonts w:ascii="Palatino Linotype" w:eastAsia="Palatino Linotype" w:hAnsi="Palatino Linotype" w:cs="Palatino Linotype"/>
        </w:rPr>
        <w:t>, revisada el doce de junio del dos mil veintidós a las diecisiete horas.</w:t>
      </w:r>
    </w:p>
    <w:p w14:paraId="4034398D" w14:textId="77777777"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p>
    <w:p w14:paraId="2E90A81F" w14:textId="77777777" w:rsidR="009144B4" w:rsidRPr="001D1DCB" w:rsidRDefault="009144B4" w:rsidP="009144B4">
      <w:pPr>
        <w:pStyle w:val="Prrafodelista"/>
        <w:numPr>
          <w:ilvl w:val="0"/>
          <w:numId w:val="3"/>
        </w:numPr>
        <w:tabs>
          <w:tab w:val="left" w:pos="1843"/>
        </w:tabs>
        <w:spacing w:after="0" w:line="360" w:lineRule="auto"/>
        <w:jc w:val="both"/>
        <w:rPr>
          <w:rFonts w:ascii="Palatino Linotype" w:eastAsia="Palatino Linotype" w:hAnsi="Palatino Linotype" w:cs="Palatino Linotype"/>
        </w:rPr>
      </w:pPr>
      <w:r w:rsidRPr="001D1DCB">
        <w:rPr>
          <w:rFonts w:ascii="Palatino Linotype" w:eastAsia="Palatino Linotype" w:hAnsi="Palatino Linotype" w:cs="Palatino Linotype"/>
        </w:rPr>
        <w:t xml:space="preserve">Nota periodística denominada “CODHEM abre queja por presuntas violaciones a derechos humanos de Octavio Ocaña”, localizable en la liga de acceso directo </w:t>
      </w:r>
      <w:r w:rsidRPr="001D1DCB">
        <w:rPr>
          <w:rStyle w:val="Hipervnculo"/>
          <w:rFonts w:ascii="Palatino Linotype" w:hAnsi="Palatino Linotype"/>
        </w:rPr>
        <w:t>https</w:t>
      </w:r>
      <w:proofErr w:type="gramStart"/>
      <w:r w:rsidRPr="001D1DCB">
        <w:rPr>
          <w:rStyle w:val="Hipervnculo"/>
          <w:rFonts w:ascii="Palatino Linotype" w:hAnsi="Palatino Linotype"/>
        </w:rPr>
        <w:t>:/</w:t>
      </w:r>
      <w:proofErr w:type="gramEnd"/>
      <w:r w:rsidRPr="001D1DCB">
        <w:rPr>
          <w:rStyle w:val="Hipervnculo"/>
          <w:rFonts w:ascii="Palatino Linotype" w:hAnsi="Palatino Linotype"/>
        </w:rPr>
        <w:t>/www.animalpolitico.com/2021/10/codhem-octavio-ocana-presuntas-violaciones-derechos-humanos/</w:t>
      </w:r>
      <w:r w:rsidRPr="001D1DCB">
        <w:rPr>
          <w:rFonts w:ascii="Palatino Linotype" w:eastAsia="Palatino Linotype" w:hAnsi="Palatino Linotype" w:cs="Palatino Linotype"/>
        </w:rPr>
        <w:t>, revisada el doce de junio del dos mi veintidós a las diecisiete horas con cinco minutos.</w:t>
      </w:r>
    </w:p>
    <w:p w14:paraId="7E8E7530" w14:textId="77777777"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p>
    <w:p w14:paraId="3A32C107" w14:textId="77777777" w:rsidR="009144B4" w:rsidRPr="001D1DCB" w:rsidRDefault="009144B4" w:rsidP="009144B4">
      <w:pPr>
        <w:spacing w:after="0" w:line="360" w:lineRule="auto"/>
        <w:jc w:val="both"/>
        <w:rPr>
          <w:rFonts w:ascii="Palatino Linotype" w:hAnsi="Palatino Linotype"/>
          <w:color w:val="222222"/>
          <w:szCs w:val="24"/>
        </w:rPr>
      </w:pPr>
      <w:r w:rsidRPr="001D1DCB">
        <w:rPr>
          <w:rFonts w:ascii="Palatino Linotype" w:hAnsi="Palatino Linotype"/>
          <w:color w:val="222222"/>
          <w:szCs w:val="24"/>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1D1DCB">
        <w:rPr>
          <w:rFonts w:ascii="Palatino Linotype" w:hAnsi="Palatino Linotype"/>
          <w:b/>
          <w:bCs/>
          <w:i/>
          <w:iCs/>
          <w:color w:val="222222"/>
          <w:szCs w:val="24"/>
        </w:rPr>
        <w:t>“NOTAS PERIODISTICAS, EL CONOCIMIENTO QUE DE ELLAS SE OBTIENE NO CONSTITUYE ‘UN HECHO PUBLICO Y NOTORIO’”</w:t>
      </w:r>
      <w:r w:rsidRPr="001D1DCB">
        <w:rPr>
          <w:rFonts w:ascii="Palatino Linotype" w:hAnsi="Palatino Linotype"/>
          <w:color w:val="222222"/>
          <w:szCs w:val="24"/>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4823F67F" w14:textId="77777777" w:rsidR="009144B4" w:rsidRPr="001D1DCB" w:rsidRDefault="009144B4" w:rsidP="009144B4">
      <w:pPr>
        <w:spacing w:after="0" w:line="360" w:lineRule="auto"/>
        <w:jc w:val="both"/>
        <w:rPr>
          <w:rFonts w:ascii="Palatino Linotype" w:hAnsi="Palatino Linotype"/>
          <w:color w:val="222222"/>
          <w:szCs w:val="24"/>
        </w:rPr>
      </w:pPr>
    </w:p>
    <w:p w14:paraId="26B42E85" w14:textId="77777777"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r>
        <w:rPr>
          <w:rFonts w:ascii="Palatino Linotype" w:hAnsi="Palatino Linotype"/>
          <w:color w:val="222222"/>
          <w:szCs w:val="24"/>
        </w:rPr>
        <w:t>Al respecto, las notas periodísticas</w:t>
      </w:r>
      <w:r w:rsidRPr="001D1DCB">
        <w:rPr>
          <w:rFonts w:ascii="Palatino Linotype" w:hAnsi="Palatino Linotype"/>
          <w:color w:val="222222"/>
          <w:szCs w:val="24"/>
        </w:rPr>
        <w:t>, señala</w:t>
      </w:r>
      <w:r>
        <w:rPr>
          <w:rFonts w:ascii="Palatino Linotype" w:hAnsi="Palatino Linotype"/>
          <w:color w:val="222222"/>
          <w:szCs w:val="24"/>
        </w:rPr>
        <w:t>n</w:t>
      </w:r>
      <w:r w:rsidRPr="001D1DCB">
        <w:rPr>
          <w:rFonts w:ascii="Palatino Linotype" w:hAnsi="Palatino Linotype"/>
          <w:color w:val="222222"/>
          <w:szCs w:val="24"/>
        </w:rPr>
        <w:t xml:space="preserve"> que, </w:t>
      </w:r>
      <w:r w:rsidRPr="001D1DCB">
        <w:rPr>
          <w:rFonts w:ascii="Palatino Linotype" w:hAnsi="Palatino Linotype"/>
          <w:i/>
          <w:iCs/>
          <w:color w:val="222222"/>
          <w:szCs w:val="24"/>
        </w:rPr>
        <w:t>“…la Comisión inició la queja de oficio CODHEM/TLAL/627/2021, toda vez que participaron diversos policías municipales, por la violación al derecho humano a la integridad y seguridad personal, y en su caso, al derecho a no ser sometido al uso desproporcionado de la fuerza pública</w:t>
      </w:r>
      <w:r w:rsidRPr="001D1DCB">
        <w:rPr>
          <w:rFonts w:ascii="Palatino Linotype" w:hAnsi="Palatino Linotype"/>
          <w:color w:val="222222"/>
          <w:szCs w:val="24"/>
        </w:rPr>
        <w:t xml:space="preserve">”, es entonces, que si bien las notas periodísticas no dan prueba plena de la existencia </w:t>
      </w:r>
      <w:r>
        <w:rPr>
          <w:rFonts w:ascii="Palatino Linotype" w:hAnsi="Palatino Linotype"/>
          <w:color w:val="222222"/>
          <w:szCs w:val="24"/>
        </w:rPr>
        <w:t>del procedimiento iniciado, lo cierto es que da a conocer que</w:t>
      </w:r>
      <w:r w:rsidRPr="001D1DCB">
        <w:rPr>
          <w:rFonts w:ascii="Palatino Linotype" w:hAnsi="Palatino Linotype"/>
          <w:color w:val="222222"/>
          <w:szCs w:val="24"/>
        </w:rPr>
        <w:t xml:space="preserve"> la </w:t>
      </w:r>
      <w:r w:rsidRPr="001D1DCB">
        <w:rPr>
          <w:rFonts w:ascii="Palatino Linotype" w:hAnsi="Palatino Linotype"/>
          <w:color w:val="222222"/>
          <w:szCs w:val="24"/>
        </w:rPr>
        <w:lastRenderedPageBreak/>
        <w:t>Comisión de Derechos Humanos del Estado de México</w:t>
      </w:r>
      <w:r>
        <w:rPr>
          <w:rFonts w:ascii="Palatino Linotype" w:hAnsi="Palatino Linotype"/>
          <w:color w:val="222222"/>
          <w:szCs w:val="24"/>
        </w:rPr>
        <w:t>, consideró que en el caso, hay una posible violación de derechos humanos, lo cual guarda un interés público de darlo a conocer, pues ayudaría a rendir cuentas de la forma de actuar del personal operativo que estuvo en el caso.</w:t>
      </w:r>
    </w:p>
    <w:p w14:paraId="6969699F" w14:textId="77777777"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p>
    <w:p w14:paraId="0C05F9A4" w14:textId="77777777" w:rsidR="009144B4" w:rsidRPr="001D1DCB" w:rsidRDefault="009144B4" w:rsidP="009144B4">
      <w:pPr>
        <w:tabs>
          <w:tab w:val="left" w:pos="1843"/>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dicha situación</w:t>
      </w:r>
      <w:r w:rsidRPr="001D1DCB">
        <w:rPr>
          <w:rFonts w:ascii="Palatino Linotype" w:eastAsia="Palatino Linotype" w:hAnsi="Palatino Linotype" w:cs="Palatino Linotype"/>
        </w:rPr>
        <w:t>, la propia ley de Transparencia</w:t>
      </w:r>
      <w:r>
        <w:rPr>
          <w:rFonts w:ascii="Palatino Linotype" w:eastAsia="Palatino Linotype" w:hAnsi="Palatino Linotype" w:cs="Palatino Linotype"/>
        </w:rPr>
        <w:t xml:space="preserve"> y Acceso a la Información Pública del Estado de México y Municipios,</w:t>
      </w:r>
      <w:r w:rsidRPr="001D1DCB">
        <w:rPr>
          <w:rFonts w:ascii="Palatino Linotype" w:eastAsia="Palatino Linotype" w:hAnsi="Palatino Linotype" w:cs="Palatino Linotype"/>
        </w:rPr>
        <w:t xml:space="preserve"> en su artículo 3°, fracción XXII, </w:t>
      </w:r>
      <w:r>
        <w:rPr>
          <w:rFonts w:ascii="Palatino Linotype" w:eastAsia="Palatino Linotype" w:hAnsi="Palatino Linotype" w:cs="Palatino Linotype"/>
        </w:rPr>
        <w:t xml:space="preserve">precisa </w:t>
      </w:r>
      <w:r w:rsidRPr="001D1DCB">
        <w:rPr>
          <w:rFonts w:ascii="Palatino Linotype" w:eastAsia="Palatino Linotype" w:hAnsi="Palatino Linotype" w:cs="Palatino Linotype"/>
        </w:rPr>
        <w:t xml:space="preserve"> </w:t>
      </w:r>
      <w:r>
        <w:rPr>
          <w:rFonts w:ascii="Palatino Linotype" w:eastAsia="Palatino Linotype" w:hAnsi="Palatino Linotype" w:cs="Palatino Linotype"/>
        </w:rPr>
        <w:t>que es información de interés público, aquella que resulte relevante o beneficiosa para la sociedad y cuya divulgación resulta útil para que el público comprenda las actividades que llevan a cabo las instituciones públicas.</w:t>
      </w:r>
    </w:p>
    <w:p w14:paraId="5C46CC3D" w14:textId="77777777" w:rsidR="009144B4" w:rsidRPr="001D1DCB" w:rsidRDefault="009144B4" w:rsidP="009144B4">
      <w:pPr>
        <w:tabs>
          <w:tab w:val="left" w:pos="1843"/>
        </w:tabs>
        <w:spacing w:after="0" w:line="360" w:lineRule="auto"/>
        <w:ind w:left="567" w:right="567"/>
        <w:jc w:val="both"/>
        <w:rPr>
          <w:rFonts w:ascii="Palatino Linotype" w:eastAsia="Palatino Linotype" w:hAnsi="Palatino Linotype" w:cs="Palatino Linotype"/>
          <w:i/>
          <w:iCs/>
          <w:sz w:val="20"/>
          <w:szCs w:val="20"/>
        </w:rPr>
      </w:pPr>
    </w:p>
    <w:p w14:paraId="23161AD3" w14:textId="77777777" w:rsidR="009144B4" w:rsidRPr="001D1DCB" w:rsidRDefault="009144B4" w:rsidP="009144B4">
      <w:pPr>
        <w:spacing w:after="0" w:line="360" w:lineRule="auto"/>
        <w:jc w:val="both"/>
        <w:rPr>
          <w:rFonts w:ascii="Palatino Linotype" w:hAnsi="Palatino Linotype"/>
          <w:color w:val="222222"/>
          <w:szCs w:val="24"/>
          <w:lang w:val="es-MX"/>
        </w:rPr>
      </w:pPr>
      <w:r>
        <w:rPr>
          <w:rFonts w:ascii="Palatino Linotype" w:eastAsia="Palatino Linotype" w:hAnsi="Palatino Linotype" w:cs="Palatino Linotype"/>
        </w:rPr>
        <w:t>Conforme a lo anterior, consideró que en el presente caso, existe un interés público de dar a conocer lo solicitado, pues la información permitiría a la ciudadanía verificar el actuar de los elementos operativos que estuvieron en el caso en cuestión y si hubo un uso desproporcionado de la fuerza pública; además, debo señalar</w:t>
      </w:r>
      <w:r w:rsidRPr="001D1DCB">
        <w:rPr>
          <w:rFonts w:ascii="Palatino Linotype" w:hAnsi="Palatino Linotype"/>
          <w:color w:val="222222"/>
          <w:szCs w:val="24"/>
          <w:lang w:val="es-MX"/>
        </w:rPr>
        <w:t>, que este Organismo Garante cuenta con facultades para pronunciarse sobre “posibles violaciones graves a derechos humanos”, pero esto, únicamente impacta en ejercicio del acceso a la información pública y no decide otra clase de derechos, como lo podría ser la aplicación de sanciones.</w:t>
      </w:r>
    </w:p>
    <w:p w14:paraId="220FE240" w14:textId="77777777" w:rsidR="009144B4" w:rsidRPr="001D1DCB" w:rsidRDefault="009144B4" w:rsidP="009144B4">
      <w:pPr>
        <w:spacing w:after="0" w:line="360" w:lineRule="auto"/>
        <w:jc w:val="both"/>
        <w:rPr>
          <w:rFonts w:ascii="Palatino Linotype" w:hAnsi="Palatino Linotype"/>
          <w:color w:val="222222"/>
          <w:szCs w:val="24"/>
          <w:lang w:val="es-MX"/>
        </w:rPr>
      </w:pPr>
    </w:p>
    <w:p w14:paraId="566783AC" w14:textId="77777777" w:rsidR="009144B4" w:rsidRDefault="009144B4" w:rsidP="009144B4">
      <w:pPr>
        <w:spacing w:after="0" w:line="360" w:lineRule="auto"/>
        <w:jc w:val="both"/>
        <w:rPr>
          <w:rFonts w:ascii="Palatino Linotype" w:hAnsi="Palatino Linotype"/>
          <w:color w:val="222222"/>
          <w:szCs w:val="24"/>
          <w:lang w:val="es-MX"/>
        </w:rPr>
      </w:pPr>
      <w:r>
        <w:rPr>
          <w:rFonts w:ascii="Palatino Linotype" w:hAnsi="Palatino Linotype"/>
          <w:color w:val="222222"/>
          <w:szCs w:val="24"/>
          <w:lang w:val="es-MX"/>
        </w:rPr>
        <w:t xml:space="preserve">Dicha situación, toma sustento en </w:t>
      </w:r>
      <w:r w:rsidRPr="001D1DCB">
        <w:rPr>
          <w:rFonts w:ascii="Palatino Linotype" w:hAnsi="Palatino Linotype"/>
          <w:color w:val="222222"/>
          <w:szCs w:val="24"/>
          <w:lang w:val="es-MX"/>
        </w:rPr>
        <w:t>el Amparo en Revisión 453/2015</w:t>
      </w:r>
      <w:r>
        <w:rPr>
          <w:rFonts w:ascii="Palatino Linotype" w:hAnsi="Palatino Linotype"/>
          <w:color w:val="222222"/>
          <w:szCs w:val="24"/>
          <w:lang w:val="es-MX"/>
        </w:rPr>
        <w:t>, emitido por la Suprema Corte de Justicia de la Nación (</w:t>
      </w:r>
      <w:r w:rsidRPr="001D1DCB">
        <w:rPr>
          <w:rFonts w:ascii="Palatino Linotype" w:hAnsi="Palatino Linotype"/>
          <w:color w:val="222222"/>
          <w:szCs w:val="24"/>
          <w:lang w:val="es-MX"/>
        </w:rPr>
        <w:t>consultable en la</w:t>
      </w:r>
      <w:r>
        <w:rPr>
          <w:rFonts w:ascii="Palatino Linotype" w:hAnsi="Palatino Linotype"/>
          <w:color w:val="222222"/>
          <w:szCs w:val="24"/>
          <w:lang w:val="es-MX"/>
        </w:rPr>
        <w:t xml:space="preserve"> liga</w:t>
      </w:r>
      <w:r w:rsidRPr="001D1DCB">
        <w:rPr>
          <w:rFonts w:ascii="Palatino Linotype" w:hAnsi="Palatino Linotype"/>
          <w:color w:val="222222"/>
          <w:szCs w:val="24"/>
          <w:lang w:val="es-MX"/>
        </w:rPr>
        <w:t xml:space="preserve"> de acceso directo </w:t>
      </w:r>
      <w:hyperlink r:id="rId8" w:history="1">
        <w:r w:rsidRPr="001D1DCB">
          <w:rPr>
            <w:rStyle w:val="Hipervnculo"/>
            <w:rFonts w:ascii="Palatino Linotype" w:hAnsi="Palatino Linotype"/>
            <w:szCs w:val="24"/>
            <w:lang w:val="es-MX"/>
          </w:rPr>
          <w:t>https://www2.scjn.gob.mx/ConsultaTematica/PaginasPub/DetallePub.aspx?AsuntoID=179863</w:t>
        </w:r>
      </w:hyperlink>
      <w:r>
        <w:rPr>
          <w:rFonts w:ascii="Palatino Linotype" w:hAnsi="Palatino Linotype"/>
          <w:color w:val="222222"/>
          <w:szCs w:val="24"/>
          <w:lang w:val="es-MX"/>
        </w:rPr>
        <w:t>),</w:t>
      </w:r>
      <w:r w:rsidRPr="001D1DCB">
        <w:rPr>
          <w:rFonts w:ascii="Palatino Linotype" w:hAnsi="Palatino Linotype"/>
          <w:color w:val="222222"/>
          <w:szCs w:val="24"/>
          <w:lang w:val="es-MX"/>
        </w:rPr>
        <w:t xml:space="preserve"> </w:t>
      </w:r>
      <w:r>
        <w:rPr>
          <w:rFonts w:ascii="Palatino Linotype" w:hAnsi="Palatino Linotype"/>
          <w:color w:val="222222"/>
          <w:szCs w:val="24"/>
          <w:lang w:val="es-MX"/>
        </w:rPr>
        <w:t xml:space="preserve"> en la cual se estableció que el Organismo Garante Nacional del Derecho de Acceso a la Información Pública, contaba con competencia, para </w:t>
      </w:r>
      <w:r w:rsidRPr="001D1DCB">
        <w:rPr>
          <w:rFonts w:ascii="Palatino Linotype" w:hAnsi="Palatino Linotype"/>
          <w:color w:val="222222"/>
          <w:szCs w:val="24"/>
          <w:lang w:val="es-MX"/>
        </w:rPr>
        <w:t>pronunciarse sobre</w:t>
      </w:r>
      <w:r>
        <w:rPr>
          <w:rFonts w:ascii="Palatino Linotype" w:hAnsi="Palatino Linotype"/>
          <w:color w:val="222222"/>
          <w:szCs w:val="24"/>
          <w:lang w:val="es-MX"/>
        </w:rPr>
        <w:t xml:space="preserve"> posibles</w:t>
      </w:r>
      <w:r w:rsidRPr="001D1DCB">
        <w:rPr>
          <w:rFonts w:ascii="Palatino Linotype" w:hAnsi="Palatino Linotype"/>
          <w:color w:val="222222"/>
          <w:szCs w:val="24"/>
          <w:lang w:val="es-MX"/>
        </w:rPr>
        <w:t xml:space="preserve"> violaciones graves de derechos</w:t>
      </w:r>
      <w:r>
        <w:rPr>
          <w:rFonts w:ascii="Palatino Linotype" w:hAnsi="Palatino Linotype"/>
          <w:color w:val="222222"/>
          <w:szCs w:val="24"/>
          <w:lang w:val="es-MX"/>
        </w:rPr>
        <w:t>, tal como se logra observar en la sinopsis publicada (</w:t>
      </w:r>
      <w:hyperlink r:id="rId9" w:anchor=":~:text=El%20Pleno%20determin%C3%B3%20que%20el,podr%C3%A1%20ser%20reservado%20y%20se" w:history="1">
        <w:r w:rsidRPr="001D1DCB">
          <w:rPr>
            <w:rStyle w:val="Hipervnculo"/>
            <w:rFonts w:ascii="Palatino Linotype" w:hAnsi="Palatino Linotype"/>
            <w:szCs w:val="24"/>
            <w:lang w:val="es-MX"/>
          </w:rPr>
          <w:t>https://www.scjn.gob.mx/derechos-humanos/buscadores-juridicos/sentencias-relevantes-en-</w:t>
        </w:r>
        <w:r w:rsidRPr="001D1DCB">
          <w:rPr>
            <w:rStyle w:val="Hipervnculo"/>
            <w:rFonts w:ascii="Palatino Linotype" w:hAnsi="Palatino Linotype"/>
            <w:szCs w:val="24"/>
            <w:lang w:val="es-MX"/>
          </w:rPr>
          <w:lastRenderedPageBreak/>
          <w:t>materia-de-derechos-humanos/1353?field_tema_value=&amp;field_sinopsis_value=&amp;field_numero_de_expediente_value=&amp;page=6#:~:text=El%20Pleno%20determin%C3%B3%20que%20el,podr%C3%A1%20ser%20reservado%20y%20se</w:t>
        </w:r>
      </w:hyperlink>
      <w:r>
        <w:rPr>
          <w:rFonts w:ascii="Palatino Linotype" w:hAnsi="Palatino Linotype"/>
          <w:color w:val="222222"/>
          <w:szCs w:val="24"/>
          <w:lang w:val="es-MX"/>
        </w:rPr>
        <w:t xml:space="preserve">), la cual establece lo siguiente: </w:t>
      </w:r>
    </w:p>
    <w:p w14:paraId="5C332FD4" w14:textId="77777777" w:rsidR="009144B4" w:rsidRDefault="009144B4" w:rsidP="009144B4">
      <w:pPr>
        <w:spacing w:after="0" w:line="360" w:lineRule="auto"/>
        <w:jc w:val="both"/>
        <w:rPr>
          <w:rFonts w:ascii="Palatino Linotype" w:hAnsi="Palatino Linotype"/>
          <w:color w:val="222222"/>
          <w:szCs w:val="24"/>
          <w:lang w:val="es-MX"/>
        </w:rPr>
      </w:pPr>
    </w:p>
    <w:p w14:paraId="32BEC9C2" w14:textId="77777777" w:rsidR="009144B4" w:rsidRDefault="009144B4" w:rsidP="009144B4">
      <w:pPr>
        <w:spacing w:after="0" w:line="360" w:lineRule="auto"/>
        <w:ind w:left="567" w:right="616"/>
        <w:jc w:val="both"/>
        <w:rPr>
          <w:rFonts w:ascii="Palatino Linotype" w:hAnsi="Palatino Linotype"/>
          <w:i/>
          <w:iCs/>
          <w:sz w:val="20"/>
          <w:szCs w:val="20"/>
        </w:rPr>
      </w:pPr>
      <w:r>
        <w:rPr>
          <w:rFonts w:ascii="Palatino Linotype" w:hAnsi="Palatino Linotype"/>
          <w:i/>
          <w:iCs/>
          <w:sz w:val="20"/>
          <w:szCs w:val="20"/>
        </w:rPr>
        <w:t>“…</w:t>
      </w:r>
    </w:p>
    <w:p w14:paraId="5C4EE6F9" w14:textId="77777777" w:rsidR="009144B4" w:rsidRPr="001D1DCB" w:rsidRDefault="009144B4" w:rsidP="009144B4">
      <w:pPr>
        <w:spacing w:after="0" w:line="360" w:lineRule="auto"/>
        <w:ind w:left="567" w:right="616"/>
        <w:jc w:val="both"/>
        <w:rPr>
          <w:rFonts w:ascii="Palatino Linotype" w:hAnsi="Palatino Linotype"/>
          <w:i/>
          <w:iCs/>
          <w:sz w:val="20"/>
          <w:szCs w:val="20"/>
        </w:rPr>
      </w:pPr>
      <w:r w:rsidRPr="001D1DCB">
        <w:rPr>
          <w:rFonts w:ascii="Palatino Linotype" w:hAnsi="Palatino Linotype"/>
          <w:b/>
          <w:bCs/>
          <w:i/>
          <w:iCs/>
          <w:sz w:val="20"/>
          <w:szCs w:val="20"/>
        </w:rPr>
        <w:t>El Pleno determinó que el INAI puede determinar, de un análisis preliminar, si para efectos del acceso a la información, los hechos motivo de una averiguación previa son posibles violaciones graves a derechos humanos o delitos de lesa humanidad, por lo que, de ser así, su contenido no podrá ser reservado y se considerará como información pública</w:t>
      </w:r>
      <w:r w:rsidRPr="001D1DCB">
        <w:rPr>
          <w:rFonts w:ascii="Palatino Linotype" w:hAnsi="Palatino Linotype"/>
          <w:i/>
          <w:iCs/>
          <w:sz w:val="20"/>
          <w:szCs w:val="20"/>
        </w:rPr>
        <w:t>. Por regla general el contenido de las averiguaciones previas debe reservarse, porque la difusión de la información incluida en ellas, podría afectar gravemente la persecución de delitos y al sistema de impartición de justicia. Sin embargo, la ley de la materia de acceso a la información prevé como excepción los casos en que se investiguen violaciones graves de derechos humanos o delitos de lesa humanidad, en los que el interés público en mantener la averiguación previa en reserva se ve superado por el interés de la sociedad en su conjunto de conocer todas las diligencias que se llevan a cabo para la oportuna investigación, detención, juicio y sanción de los responsables. Esto es, el INAI es competente prima facie para determinar los casos que involucren violaciones graves a derechos humanos a efecto de permitir el acceso a la información.</w:t>
      </w:r>
      <w:r>
        <w:rPr>
          <w:rFonts w:ascii="Palatino Linotype" w:hAnsi="Palatino Linotype"/>
          <w:i/>
          <w:iCs/>
          <w:sz w:val="20"/>
          <w:szCs w:val="20"/>
        </w:rPr>
        <w:t>”</w:t>
      </w:r>
    </w:p>
    <w:p w14:paraId="59FFD3F1" w14:textId="77777777" w:rsidR="009144B4" w:rsidRPr="001D1DCB" w:rsidRDefault="009144B4" w:rsidP="009144B4">
      <w:pPr>
        <w:spacing w:after="0" w:line="360" w:lineRule="auto"/>
        <w:jc w:val="both"/>
        <w:rPr>
          <w:rFonts w:ascii="Palatino Linotype" w:hAnsi="Palatino Linotype"/>
          <w:color w:val="222222"/>
          <w:szCs w:val="24"/>
          <w:lang w:val="es-MX"/>
        </w:rPr>
      </w:pPr>
    </w:p>
    <w:p w14:paraId="4672BD8F" w14:textId="77777777" w:rsidR="009144B4" w:rsidRDefault="009144B4" w:rsidP="009144B4">
      <w:pPr>
        <w:spacing w:after="0" w:line="360" w:lineRule="auto"/>
        <w:jc w:val="both"/>
        <w:rPr>
          <w:rFonts w:ascii="Palatino Linotype" w:hAnsi="Palatino Linotype"/>
          <w:color w:val="222222"/>
          <w:szCs w:val="24"/>
          <w:lang w:val="es-MX"/>
        </w:rPr>
      </w:pPr>
      <w:r>
        <w:rPr>
          <w:rFonts w:ascii="Palatino Linotype" w:hAnsi="Palatino Linotype"/>
          <w:color w:val="222222"/>
          <w:szCs w:val="24"/>
          <w:lang w:val="es-MX"/>
        </w:rPr>
        <w:t>Situación que recalca, en el comunicado 031/2019 de la Suprema Corte de Justicia de la Nación, del cuatro de abril de dos mil diecinueve (</w:t>
      </w:r>
      <w:r w:rsidRPr="00BB00AE">
        <w:rPr>
          <w:rFonts w:ascii="Palatino Linotype" w:hAnsi="Palatino Linotype"/>
          <w:color w:val="222222"/>
          <w:szCs w:val="24"/>
          <w:lang w:val="es-MX"/>
        </w:rPr>
        <w:t>https://www.internet2.scjn.gob.mx/red2/comunicados/noticia.asp?id=5845</w:t>
      </w:r>
      <w:r>
        <w:rPr>
          <w:rFonts w:ascii="Palatino Linotype" w:hAnsi="Palatino Linotype"/>
          <w:color w:val="222222"/>
          <w:szCs w:val="24"/>
          <w:lang w:val="es-MX"/>
        </w:rPr>
        <w:t xml:space="preserve">), precisa que el Instituto </w:t>
      </w:r>
      <w:r w:rsidRPr="00BB00AE">
        <w:rPr>
          <w:rFonts w:ascii="Palatino Linotype" w:hAnsi="Palatino Linotype"/>
          <w:color w:val="222222"/>
          <w:szCs w:val="24"/>
        </w:rPr>
        <w:t>Nacional de Transparencia, Acceso a la Información y Protección de Datos Personales</w:t>
      </w:r>
      <w:r>
        <w:rPr>
          <w:rFonts w:ascii="Palatino Linotype" w:hAnsi="Palatino Linotype"/>
          <w:color w:val="222222"/>
          <w:szCs w:val="24"/>
        </w:rPr>
        <w:t>, pue</w:t>
      </w:r>
      <w:r w:rsidRPr="00BB00AE">
        <w:rPr>
          <w:rFonts w:ascii="Palatino Linotype" w:hAnsi="Palatino Linotype"/>
          <w:color w:val="222222"/>
          <w:szCs w:val="24"/>
        </w:rPr>
        <w:t xml:space="preserve">de determinar, de un análisis preliminar, si para efectos del acceso a la información, los hechos motivo de una averiguación previa son posibles violaciones graves a </w:t>
      </w:r>
      <w:r w:rsidRPr="00BB00AE">
        <w:rPr>
          <w:rFonts w:ascii="Palatino Linotype" w:hAnsi="Palatino Linotype"/>
          <w:color w:val="222222"/>
          <w:szCs w:val="24"/>
        </w:rPr>
        <w:lastRenderedPageBreak/>
        <w:t>derechos humanos o delitos de lesa humanidad, por lo que, de ser así, su contenido no podrá ser reservado y se considerará como información pública.</w:t>
      </w:r>
    </w:p>
    <w:p w14:paraId="3ADEFE33" w14:textId="77777777" w:rsidR="009144B4" w:rsidRDefault="009144B4" w:rsidP="009144B4">
      <w:pPr>
        <w:spacing w:after="0" w:line="360" w:lineRule="auto"/>
        <w:jc w:val="both"/>
        <w:rPr>
          <w:rFonts w:ascii="Palatino Linotype" w:hAnsi="Palatino Linotype"/>
          <w:color w:val="222222"/>
          <w:szCs w:val="24"/>
          <w:lang w:val="es-MX"/>
        </w:rPr>
      </w:pPr>
    </w:p>
    <w:p w14:paraId="17CACFE8" w14:textId="77777777" w:rsidR="009144B4" w:rsidRPr="001D1DCB" w:rsidRDefault="009144B4" w:rsidP="009144B4">
      <w:pPr>
        <w:spacing w:after="0" w:line="360" w:lineRule="auto"/>
        <w:jc w:val="both"/>
        <w:rPr>
          <w:rFonts w:ascii="Palatino Linotype" w:hAnsi="Palatino Linotype"/>
          <w:color w:val="222222"/>
          <w:szCs w:val="24"/>
          <w:lang w:val="es-MX"/>
        </w:rPr>
      </w:pPr>
      <w:r w:rsidRPr="001D1DCB">
        <w:rPr>
          <w:rFonts w:ascii="Palatino Linotype" w:hAnsi="Palatino Linotype"/>
          <w:color w:val="222222"/>
          <w:szCs w:val="24"/>
          <w:lang w:val="es-MX"/>
        </w:rPr>
        <w:t xml:space="preserve">Es en este contexto, si bien la Suprema Corte, no se pronunció sobre Organismo Garantes Locales en materia de transparencia, de una interpretación sistemática, se identifica que </w:t>
      </w:r>
      <w:r>
        <w:rPr>
          <w:rFonts w:ascii="Palatino Linotype" w:hAnsi="Palatino Linotype"/>
          <w:color w:val="222222"/>
          <w:szCs w:val="24"/>
          <w:lang w:val="es-MX"/>
        </w:rPr>
        <w:t>este Instituto, al ser el Organismo de Transparencia Garante en el Estado de México</w:t>
      </w:r>
      <w:r w:rsidRPr="001D1DCB">
        <w:rPr>
          <w:rFonts w:ascii="Palatino Linotype" w:hAnsi="Palatino Linotype"/>
          <w:color w:val="222222"/>
          <w:szCs w:val="24"/>
          <w:lang w:val="es-MX"/>
        </w:rPr>
        <w:t xml:space="preserve">, cuenta con facultades similares, pero con una jurisdicción local, además de que la </w:t>
      </w:r>
      <w:r>
        <w:rPr>
          <w:rFonts w:ascii="Palatino Linotype" w:hAnsi="Palatino Linotype"/>
          <w:color w:val="222222"/>
          <w:szCs w:val="24"/>
          <w:lang w:val="es-MX"/>
        </w:rPr>
        <w:t>Ley de Transparencia Local</w:t>
      </w:r>
      <w:r w:rsidRPr="001D1DCB">
        <w:rPr>
          <w:rFonts w:ascii="Palatino Linotype" w:hAnsi="Palatino Linotype"/>
          <w:color w:val="222222"/>
          <w:szCs w:val="24"/>
          <w:lang w:val="es-MX"/>
        </w:rPr>
        <w:t xml:space="preserve">, faculta </w:t>
      </w:r>
      <w:r>
        <w:rPr>
          <w:rFonts w:ascii="Palatino Linotype" w:hAnsi="Palatino Linotype"/>
          <w:color w:val="222222"/>
          <w:szCs w:val="24"/>
          <w:lang w:val="es-MX"/>
        </w:rPr>
        <w:t>a este Instituto</w:t>
      </w:r>
      <w:r w:rsidRPr="001D1DCB">
        <w:rPr>
          <w:rFonts w:ascii="Palatino Linotype" w:hAnsi="Palatino Linotype"/>
          <w:color w:val="222222"/>
          <w:szCs w:val="24"/>
          <w:lang w:val="es-MX"/>
        </w:rPr>
        <w:t xml:space="preserve"> para pronunciarse sobre probables violaciones graves a los derechos humanos</w:t>
      </w:r>
      <w:r>
        <w:rPr>
          <w:rFonts w:ascii="Palatino Linotype" w:hAnsi="Palatino Linotype"/>
          <w:color w:val="222222"/>
          <w:szCs w:val="24"/>
          <w:lang w:val="es-MX"/>
        </w:rPr>
        <w:t>.</w:t>
      </w:r>
      <w:r w:rsidRPr="001D1DCB">
        <w:rPr>
          <w:rFonts w:ascii="Palatino Linotype" w:hAnsi="Palatino Linotype"/>
          <w:color w:val="222222"/>
          <w:szCs w:val="24"/>
          <w:lang w:val="es-MX"/>
        </w:rPr>
        <w:t xml:space="preserve"> </w:t>
      </w:r>
    </w:p>
    <w:p w14:paraId="5A96C7E7" w14:textId="77777777" w:rsidR="009144B4" w:rsidRPr="001D1DCB" w:rsidRDefault="009144B4" w:rsidP="009144B4">
      <w:pPr>
        <w:spacing w:after="0" w:line="360" w:lineRule="auto"/>
        <w:jc w:val="both"/>
        <w:rPr>
          <w:rFonts w:ascii="Palatino Linotype" w:hAnsi="Palatino Linotype"/>
          <w:color w:val="222222"/>
          <w:szCs w:val="24"/>
          <w:lang w:val="es-MX"/>
        </w:rPr>
      </w:pPr>
    </w:p>
    <w:p w14:paraId="657FD3D7" w14:textId="77777777" w:rsidR="009144B4" w:rsidRDefault="009144B4" w:rsidP="009144B4">
      <w:pPr>
        <w:spacing w:after="0" w:line="360" w:lineRule="auto"/>
        <w:jc w:val="both"/>
        <w:rPr>
          <w:rFonts w:ascii="Palatino Linotype" w:eastAsia="Palatino Linotype" w:hAnsi="Palatino Linotype" w:cs="Palatino Linotype"/>
        </w:rPr>
      </w:pPr>
      <w:r>
        <w:rPr>
          <w:rFonts w:ascii="Palatino Linotype" w:hAnsi="Palatino Linotype"/>
          <w:color w:val="222222"/>
          <w:szCs w:val="24"/>
          <w:lang w:val="es-MX"/>
        </w:rPr>
        <w:t>En ese orden de ideas</w:t>
      </w:r>
      <w:r w:rsidRPr="001D1DCB">
        <w:rPr>
          <w:rFonts w:ascii="Palatino Linotype" w:hAnsi="Palatino Linotype"/>
          <w:color w:val="222222"/>
          <w:szCs w:val="24"/>
          <w:lang w:val="es-MX"/>
        </w:rPr>
        <w:t>,</w:t>
      </w:r>
      <w:r>
        <w:rPr>
          <w:rFonts w:ascii="Palatino Linotype" w:hAnsi="Palatino Linotype"/>
          <w:color w:val="222222"/>
          <w:szCs w:val="24"/>
          <w:lang w:val="es-MX"/>
        </w:rPr>
        <w:t xml:space="preserve"> desde mi perspectiva, el caso en cuestión, guarda un interés público superior, a la reserva, pues la Comisión de Derechos Humanos del Estado de México, ya inició un procedimiento, por posibles violaciones a derechos humanos, entre los cuales, se encuentra el uso desproporcionado de la fuerza pública; por tal circunstancia, consideró que se actualizaba la excepción establecida en el </w:t>
      </w:r>
      <w:r w:rsidRPr="001D1DCB">
        <w:rPr>
          <w:rFonts w:ascii="Palatino Linotype" w:hAnsi="Palatino Linotype"/>
          <w:color w:val="222222"/>
          <w:szCs w:val="24"/>
          <w:lang w:val="es-MX"/>
        </w:rPr>
        <w:t>artículo 142, fracción II</w:t>
      </w:r>
      <w:r>
        <w:rPr>
          <w:rFonts w:ascii="Palatino Linotype" w:hAnsi="Palatino Linotype"/>
          <w:color w:val="222222"/>
          <w:szCs w:val="24"/>
          <w:lang w:val="es-MX"/>
        </w:rPr>
        <w:t>,</w:t>
      </w:r>
      <w:r w:rsidRPr="001D1DCB">
        <w:rPr>
          <w:rFonts w:ascii="Palatino Linotype" w:hAnsi="Palatino Linotype"/>
          <w:color w:val="222222"/>
          <w:szCs w:val="24"/>
          <w:lang w:val="es-MX"/>
        </w:rPr>
        <w:t xml:space="preserve"> de la Ley de Transparencia invocada, </w:t>
      </w:r>
      <w:r>
        <w:rPr>
          <w:rFonts w:ascii="Palatino Linotype" w:hAnsi="Palatino Linotype"/>
          <w:color w:val="222222"/>
          <w:szCs w:val="24"/>
          <w:lang w:val="es-MX"/>
        </w:rPr>
        <w:t xml:space="preserve">pues desde mi punto de vista, la </w:t>
      </w:r>
      <w:r w:rsidRPr="001D1DCB">
        <w:rPr>
          <w:rFonts w:ascii="Palatino Linotype" w:eastAsia="Palatino Linotype" w:hAnsi="Palatino Linotype" w:cs="Palatino Linotype"/>
        </w:rPr>
        <w:t xml:space="preserve">violación al derecho humano a la integridad y seguridad </w:t>
      </w:r>
      <w:r>
        <w:rPr>
          <w:rFonts w:ascii="Palatino Linotype" w:eastAsia="Palatino Linotype" w:hAnsi="Palatino Linotype" w:cs="Palatino Linotype"/>
        </w:rPr>
        <w:t>personal, podría actualizar una violación grave a derecho, sobre todo, si también se relacionada con el uso desproporcionado de la fuerza, por elementos policiacos.</w:t>
      </w:r>
    </w:p>
    <w:p w14:paraId="73EEC0A9" w14:textId="77777777" w:rsidR="009144B4" w:rsidRDefault="009144B4" w:rsidP="009144B4">
      <w:pPr>
        <w:spacing w:after="0" w:line="360" w:lineRule="auto"/>
        <w:jc w:val="both"/>
        <w:rPr>
          <w:rFonts w:ascii="Palatino Linotype" w:eastAsia="Palatino Linotype" w:hAnsi="Palatino Linotype" w:cs="Palatino Linotype"/>
        </w:rPr>
      </w:pPr>
    </w:p>
    <w:p w14:paraId="29620044" w14:textId="53481227" w:rsidR="009144B4" w:rsidRPr="001D1DCB" w:rsidRDefault="009144B4" w:rsidP="009144B4">
      <w:pPr>
        <w:spacing w:after="0" w:line="360" w:lineRule="auto"/>
        <w:jc w:val="both"/>
        <w:rPr>
          <w:rFonts w:ascii="Palatino Linotype" w:hAnsi="Palatino Linotype"/>
        </w:rPr>
      </w:pPr>
      <w:r>
        <w:rPr>
          <w:rFonts w:ascii="Palatino Linotype" w:eastAsia="Palatino Linotype" w:hAnsi="Palatino Linotype" w:cs="Palatino Linotype"/>
        </w:rPr>
        <w:t xml:space="preserve">Conforme a lo expuesto, consideró que en el presente caso, se actualizaba la excepción establecida en el </w:t>
      </w:r>
      <w:r w:rsidRPr="001D1DCB">
        <w:rPr>
          <w:rFonts w:ascii="Palatino Linotype" w:hAnsi="Palatino Linotype"/>
          <w:color w:val="222222"/>
          <w:szCs w:val="24"/>
          <w:lang w:val="es-MX"/>
        </w:rPr>
        <w:t>artículo 142, fracción II</w:t>
      </w:r>
      <w:r>
        <w:rPr>
          <w:rFonts w:ascii="Palatino Linotype" w:hAnsi="Palatino Linotype"/>
          <w:color w:val="222222"/>
          <w:szCs w:val="24"/>
          <w:lang w:val="es-MX"/>
        </w:rPr>
        <w:t>,</w:t>
      </w:r>
      <w:r w:rsidRPr="001D1DCB">
        <w:rPr>
          <w:rFonts w:ascii="Palatino Linotype" w:hAnsi="Palatino Linotype"/>
          <w:color w:val="222222"/>
          <w:szCs w:val="24"/>
          <w:lang w:val="es-MX"/>
        </w:rPr>
        <w:t xml:space="preserve"> de la Ley de Transparencia</w:t>
      </w:r>
      <w:r>
        <w:rPr>
          <w:rFonts w:ascii="Palatino Linotype" w:hAnsi="Palatino Linotype"/>
          <w:color w:val="222222"/>
          <w:szCs w:val="24"/>
          <w:lang w:val="es-MX"/>
        </w:rPr>
        <w:t xml:space="preserve"> y Acceso a la Información Pública del Estado de México, y lo procedente era ordenar entrega de lo peticionado, al guardar un interés público mayor; </w:t>
      </w:r>
      <w:r w:rsidRPr="001D1DCB">
        <w:rPr>
          <w:rFonts w:ascii="Palatino Linotype" w:eastAsia="Palatino Linotype" w:hAnsi="Palatino Linotype" w:cs="Palatino Linotype"/>
        </w:rPr>
        <w:t>Así, con base en los razona</w:t>
      </w:r>
      <w:r w:rsidR="00CC7820">
        <w:rPr>
          <w:rFonts w:ascii="Palatino Linotype" w:eastAsia="Palatino Linotype" w:hAnsi="Palatino Linotype" w:cs="Palatino Linotype"/>
        </w:rPr>
        <w:t>mientos expuestos, se emite el presente Voto Disidente</w:t>
      </w:r>
      <w:r w:rsidRPr="001D1DCB">
        <w:rPr>
          <w:rFonts w:ascii="Palatino Linotype" w:eastAsia="Palatino Linotype" w:hAnsi="Palatino Linotype" w:cs="Palatino Linotype"/>
        </w:rPr>
        <w:t>. ---------------------------------------------------------------------------------------------------------------------------------------------------------------------------------------------------------------------</w:t>
      </w:r>
    </w:p>
    <w:p w14:paraId="659F934B" w14:textId="2FABF418" w:rsidR="00AC2C6E" w:rsidRDefault="00AC2C6E">
      <w:r>
        <w:br w:type="page"/>
      </w:r>
    </w:p>
    <w:p w14:paraId="72C0162E" w14:textId="77777777" w:rsidR="00044BC8" w:rsidRDefault="00044BC8" w:rsidP="005E1CD2">
      <w:pPr>
        <w:spacing w:after="0" w:line="360" w:lineRule="auto"/>
        <w:jc w:val="both"/>
      </w:pPr>
    </w:p>
    <w:p w14:paraId="35E282BB" w14:textId="77777777" w:rsidR="00044BC8" w:rsidRDefault="00044BC8" w:rsidP="005E1CD2">
      <w:pPr>
        <w:spacing w:after="0" w:line="360" w:lineRule="auto"/>
        <w:jc w:val="both"/>
      </w:pPr>
    </w:p>
    <w:p w14:paraId="4DBE1BA5" w14:textId="77777777" w:rsidR="00044BC8" w:rsidRDefault="00044BC8" w:rsidP="005E1CD2">
      <w:pPr>
        <w:spacing w:after="0" w:line="360" w:lineRule="auto"/>
        <w:jc w:val="both"/>
      </w:pPr>
    </w:p>
    <w:p w14:paraId="11376F5F" w14:textId="77777777" w:rsidR="00044BC8" w:rsidRDefault="00044BC8" w:rsidP="005E1CD2">
      <w:pPr>
        <w:spacing w:after="0" w:line="360" w:lineRule="auto"/>
        <w:jc w:val="both"/>
      </w:pPr>
    </w:p>
    <w:p w14:paraId="16B84E9B" w14:textId="77777777" w:rsidR="00044BC8" w:rsidRDefault="00044BC8" w:rsidP="005E1CD2">
      <w:pPr>
        <w:spacing w:after="0" w:line="360" w:lineRule="auto"/>
        <w:jc w:val="both"/>
      </w:pPr>
    </w:p>
    <w:p w14:paraId="37AC418A" w14:textId="77777777" w:rsidR="00044BC8" w:rsidRDefault="00044BC8" w:rsidP="005E1CD2">
      <w:pPr>
        <w:spacing w:after="0" w:line="360" w:lineRule="auto"/>
        <w:jc w:val="both"/>
      </w:pPr>
    </w:p>
    <w:p w14:paraId="665B0B92" w14:textId="77777777" w:rsidR="00044BC8" w:rsidRDefault="00044BC8" w:rsidP="005E1CD2">
      <w:pPr>
        <w:spacing w:after="0" w:line="360" w:lineRule="auto"/>
        <w:jc w:val="both"/>
      </w:pPr>
    </w:p>
    <w:p w14:paraId="4DD7C1F8" w14:textId="77777777" w:rsidR="00044BC8" w:rsidRDefault="00044BC8" w:rsidP="005E1CD2">
      <w:pPr>
        <w:spacing w:after="0" w:line="360" w:lineRule="auto"/>
        <w:jc w:val="both"/>
      </w:pPr>
    </w:p>
    <w:p w14:paraId="69393071" w14:textId="77777777" w:rsidR="00044BC8" w:rsidRDefault="00044BC8" w:rsidP="005E1CD2">
      <w:pPr>
        <w:spacing w:after="0" w:line="360" w:lineRule="auto"/>
        <w:jc w:val="both"/>
      </w:pPr>
    </w:p>
    <w:p w14:paraId="520447BA" w14:textId="77777777" w:rsidR="00044BC8" w:rsidRDefault="00044BC8" w:rsidP="005E1CD2">
      <w:pPr>
        <w:spacing w:after="0" w:line="360" w:lineRule="auto"/>
        <w:jc w:val="both"/>
      </w:pPr>
    </w:p>
    <w:p w14:paraId="09407AE6" w14:textId="77777777" w:rsidR="00044BC8" w:rsidRDefault="00044BC8" w:rsidP="005E1CD2">
      <w:pPr>
        <w:spacing w:after="0" w:line="360" w:lineRule="auto"/>
        <w:jc w:val="both"/>
      </w:pPr>
    </w:p>
    <w:p w14:paraId="09B7723F" w14:textId="77777777" w:rsidR="00044BC8" w:rsidRDefault="00044BC8" w:rsidP="005E1CD2">
      <w:pPr>
        <w:spacing w:after="0" w:line="360" w:lineRule="auto"/>
        <w:jc w:val="both"/>
      </w:pPr>
    </w:p>
    <w:p w14:paraId="5DA68033" w14:textId="77777777" w:rsidR="00044BC8" w:rsidRDefault="00044BC8" w:rsidP="005E1CD2">
      <w:pPr>
        <w:spacing w:after="0" w:line="360" w:lineRule="auto"/>
        <w:jc w:val="both"/>
      </w:pPr>
    </w:p>
    <w:p w14:paraId="57910FE6" w14:textId="77777777" w:rsidR="00044BC8" w:rsidRDefault="00044BC8" w:rsidP="005E1CD2">
      <w:pPr>
        <w:spacing w:after="0" w:line="360" w:lineRule="auto"/>
        <w:jc w:val="both"/>
      </w:pPr>
    </w:p>
    <w:p w14:paraId="731BCF8E" w14:textId="77777777" w:rsidR="00044BC8" w:rsidRDefault="00044BC8" w:rsidP="005E1CD2">
      <w:pPr>
        <w:spacing w:after="0" w:line="360" w:lineRule="auto"/>
        <w:jc w:val="both"/>
      </w:pPr>
    </w:p>
    <w:p w14:paraId="0CF67519" w14:textId="77777777" w:rsidR="00044BC8" w:rsidRDefault="00044BC8" w:rsidP="005E1CD2">
      <w:pPr>
        <w:spacing w:after="0" w:line="360" w:lineRule="auto"/>
        <w:jc w:val="both"/>
      </w:pPr>
    </w:p>
    <w:p w14:paraId="65F6F2F5" w14:textId="77777777" w:rsidR="00044BC8" w:rsidRDefault="00044BC8" w:rsidP="005E1CD2">
      <w:pPr>
        <w:spacing w:after="0" w:line="360" w:lineRule="auto"/>
        <w:jc w:val="both"/>
      </w:pPr>
    </w:p>
    <w:p w14:paraId="4DD387A8" w14:textId="77777777" w:rsidR="00044BC8" w:rsidRDefault="00044BC8" w:rsidP="005E1CD2">
      <w:pPr>
        <w:spacing w:after="0" w:line="360" w:lineRule="auto"/>
        <w:jc w:val="both"/>
      </w:pPr>
    </w:p>
    <w:sectPr w:rsidR="00044BC8" w:rsidSect="005E1CD2">
      <w:headerReference w:type="default" r:id="rId10"/>
      <w:footerReference w:type="default" r:id="rId11"/>
      <w:pgSz w:w="12240" w:h="15840"/>
      <w:pgMar w:top="1417" w:right="1467" w:bottom="1417" w:left="1701"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ACEB1" w14:textId="77777777" w:rsidR="00BC1E62" w:rsidRDefault="00BC1E62">
      <w:pPr>
        <w:spacing w:after="0" w:line="240" w:lineRule="auto"/>
      </w:pPr>
      <w:r>
        <w:separator/>
      </w:r>
    </w:p>
  </w:endnote>
  <w:endnote w:type="continuationSeparator" w:id="0">
    <w:p w14:paraId="0FBCEE90" w14:textId="77777777" w:rsidR="00BC1E62" w:rsidRDefault="00BC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D95D" w14:textId="77777777" w:rsidR="00044BC8" w:rsidRDefault="00C92516">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C7820">
      <w:rPr>
        <w:b/>
        <w:noProof/>
        <w:color w:val="000000"/>
        <w:sz w:val="24"/>
        <w:szCs w:val="24"/>
      </w:rPr>
      <w:t>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7820">
      <w:rPr>
        <w:b/>
        <w:noProof/>
        <w:color w:val="000000"/>
        <w:sz w:val="24"/>
        <w:szCs w:val="24"/>
      </w:rPr>
      <w:t>7</w:t>
    </w:r>
    <w:r>
      <w:rPr>
        <w:b/>
        <w:color w:val="000000"/>
        <w:sz w:val="24"/>
        <w:szCs w:val="24"/>
      </w:rPr>
      <w:fldChar w:fldCharType="end"/>
    </w:r>
  </w:p>
  <w:p w14:paraId="321CAA04" w14:textId="77777777" w:rsidR="00044BC8" w:rsidRDefault="00044BC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32B12" w14:textId="77777777" w:rsidR="00BC1E62" w:rsidRDefault="00BC1E62">
      <w:pPr>
        <w:spacing w:after="0" w:line="240" w:lineRule="auto"/>
      </w:pPr>
      <w:r>
        <w:separator/>
      </w:r>
    </w:p>
  </w:footnote>
  <w:footnote w:type="continuationSeparator" w:id="0">
    <w:p w14:paraId="578E6CEB" w14:textId="77777777" w:rsidR="00BC1E62" w:rsidRDefault="00BC1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136"/>
      <w:gridCol w:w="5645"/>
    </w:tblGrid>
    <w:tr w:rsidR="00044BC8" w14:paraId="20F24DD7" w14:textId="77777777">
      <w:trPr>
        <w:trHeight w:val="1782"/>
      </w:trPr>
      <w:tc>
        <w:tcPr>
          <w:tcW w:w="3136" w:type="dxa"/>
          <w:vAlign w:val="bottom"/>
        </w:tcPr>
        <w:p w14:paraId="0D88298F" w14:textId="74EE57BA" w:rsidR="00044BC8" w:rsidRDefault="001253B5">
          <w:pPr>
            <w:pBdr>
              <w:top w:val="nil"/>
              <w:left w:val="nil"/>
              <w:bottom w:val="nil"/>
              <w:right w:val="nil"/>
              <w:between w:val="nil"/>
            </w:pBdr>
            <w:tabs>
              <w:tab w:val="center" w:pos="4252"/>
              <w:tab w:val="right" w:pos="8504"/>
              <w:tab w:val="center" w:pos="2614"/>
            </w:tabs>
            <w:ind w:left="-255"/>
            <w:rPr>
              <w:color w:val="000000"/>
            </w:rPr>
          </w:pPr>
          <w:r>
            <w:rPr>
              <w:noProof/>
              <w:lang w:val="es-MX"/>
            </w:rPr>
            <w:drawing>
              <wp:anchor distT="0" distB="0" distL="114300" distR="114300" simplePos="0" relativeHeight="251658240" behindDoc="0" locked="0" layoutInCell="1" hidden="0" allowOverlap="1" wp14:anchorId="5FD8F38B" wp14:editId="7C9C7AB4">
                <wp:simplePos x="0" y="0"/>
                <wp:positionH relativeFrom="column">
                  <wp:posOffset>-252730</wp:posOffset>
                </wp:positionH>
                <wp:positionV relativeFrom="paragraph">
                  <wp:posOffset>-847090</wp:posOffset>
                </wp:positionV>
                <wp:extent cx="1873250" cy="112649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126490"/>
                        </a:xfrm>
                        <a:prstGeom prst="rect">
                          <a:avLst/>
                        </a:prstGeom>
                        <a:ln/>
                      </pic:spPr>
                    </pic:pic>
                  </a:graphicData>
                </a:graphic>
                <wp14:sizeRelH relativeFrom="margin">
                  <wp14:pctWidth>0</wp14:pctWidth>
                </wp14:sizeRelH>
                <wp14:sizeRelV relativeFrom="margin">
                  <wp14:pctHeight>0</wp14:pctHeight>
                </wp14:sizeRelV>
              </wp:anchor>
            </w:drawing>
          </w:r>
        </w:p>
        <w:p w14:paraId="3BAF0DB2" w14:textId="444DBA3C" w:rsidR="00044BC8" w:rsidRDefault="00044BC8">
          <w:pPr>
            <w:pBdr>
              <w:top w:val="nil"/>
              <w:left w:val="nil"/>
              <w:bottom w:val="nil"/>
              <w:right w:val="nil"/>
              <w:between w:val="nil"/>
            </w:pBdr>
            <w:tabs>
              <w:tab w:val="center" w:pos="4252"/>
              <w:tab w:val="right" w:pos="8504"/>
              <w:tab w:val="center" w:pos="2614"/>
            </w:tabs>
            <w:ind w:left="-255"/>
            <w:rPr>
              <w:color w:val="000000"/>
            </w:rPr>
          </w:pPr>
        </w:p>
      </w:tc>
      <w:tc>
        <w:tcPr>
          <w:tcW w:w="5645" w:type="dxa"/>
          <w:vAlign w:val="center"/>
        </w:tcPr>
        <w:p w14:paraId="25FBCA97" w14:textId="77777777" w:rsidR="001253B5" w:rsidRDefault="001253B5">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p>
        <w:p w14:paraId="45AD28BA" w14:textId="1ECD2D86" w:rsidR="00044BC8" w:rsidRPr="009144B4" w:rsidRDefault="00C92516">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sidRPr="009144B4">
            <w:rPr>
              <w:rFonts w:ascii="Palatino Linotype" w:eastAsia="Palatino Linotype" w:hAnsi="Palatino Linotype" w:cs="Palatino Linotype"/>
              <w:b/>
              <w:color w:val="000000"/>
            </w:rPr>
            <w:t xml:space="preserve">Voto </w:t>
          </w:r>
          <w:r w:rsidR="009144B4">
            <w:rPr>
              <w:rFonts w:ascii="Palatino Linotype" w:eastAsia="Palatino Linotype" w:hAnsi="Palatino Linotype" w:cs="Palatino Linotype"/>
              <w:b/>
              <w:color w:val="000000"/>
            </w:rPr>
            <w:t>Disidente</w:t>
          </w:r>
        </w:p>
        <w:p w14:paraId="3AF999BE" w14:textId="42A4BF7C" w:rsidR="00A85684" w:rsidRPr="009144B4" w:rsidRDefault="00C92516" w:rsidP="00A85684">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b/>
              <w:color w:val="000000"/>
            </w:rPr>
          </w:pPr>
          <w:r w:rsidRPr="009144B4">
            <w:rPr>
              <w:rFonts w:ascii="Palatino Linotype" w:eastAsia="Palatino Linotype" w:hAnsi="Palatino Linotype" w:cs="Palatino Linotype"/>
              <w:b/>
              <w:color w:val="000000"/>
            </w:rPr>
            <w:t xml:space="preserve">Recurso de Revisión: </w:t>
          </w:r>
          <w:r w:rsidR="004B1D75" w:rsidRPr="009144B4">
            <w:rPr>
              <w:rFonts w:ascii="Palatino Linotype" w:eastAsia="Palatino Linotype" w:hAnsi="Palatino Linotype" w:cs="Palatino Linotype"/>
              <w:b/>
              <w:color w:val="000000"/>
            </w:rPr>
            <w:t>00097</w:t>
          </w:r>
          <w:r w:rsidRPr="009144B4">
            <w:rPr>
              <w:rFonts w:ascii="Palatino Linotype" w:eastAsia="Palatino Linotype" w:hAnsi="Palatino Linotype" w:cs="Palatino Linotype"/>
              <w:b/>
              <w:color w:val="000000"/>
            </w:rPr>
            <w:t>/INFOEM/IP/RR/202</w:t>
          </w:r>
          <w:r w:rsidR="004B1D75" w:rsidRPr="009144B4">
            <w:rPr>
              <w:rFonts w:ascii="Palatino Linotype" w:eastAsia="Palatino Linotype" w:hAnsi="Palatino Linotype" w:cs="Palatino Linotype"/>
              <w:b/>
              <w:color w:val="000000"/>
            </w:rPr>
            <w:t>2</w:t>
          </w:r>
        </w:p>
        <w:p w14:paraId="655EE765" w14:textId="4C961314" w:rsidR="00044BC8" w:rsidRPr="009144B4" w:rsidRDefault="00C92516">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b/>
              <w:color w:val="000000"/>
            </w:rPr>
          </w:pPr>
          <w:r w:rsidRPr="009144B4">
            <w:rPr>
              <w:rFonts w:ascii="Palatino Linotype" w:eastAsia="Palatino Linotype" w:hAnsi="Palatino Linotype" w:cs="Palatino Linotype"/>
              <w:b/>
              <w:color w:val="000000"/>
            </w:rPr>
            <w:t xml:space="preserve">Sujeto Obligado: </w:t>
          </w:r>
          <w:r w:rsidR="00A85684" w:rsidRPr="009144B4">
            <w:rPr>
              <w:rFonts w:ascii="Palatino Linotype" w:eastAsia="Palatino Linotype" w:hAnsi="Palatino Linotype" w:cs="Palatino Linotype"/>
              <w:b/>
              <w:color w:val="000000"/>
            </w:rPr>
            <w:t>Fiscalía General de Justicia del Estado de México</w:t>
          </w:r>
        </w:p>
        <w:p w14:paraId="40476E04" w14:textId="196D4415" w:rsidR="00044BC8" w:rsidRPr="009144B4" w:rsidRDefault="00C92516">
          <w:pPr>
            <w:pBdr>
              <w:top w:val="nil"/>
              <w:left w:val="nil"/>
              <w:bottom w:val="nil"/>
              <w:right w:val="nil"/>
              <w:between w:val="nil"/>
            </w:pBdr>
            <w:tabs>
              <w:tab w:val="center" w:pos="4252"/>
              <w:tab w:val="right" w:pos="8504"/>
            </w:tabs>
            <w:ind w:left="-108"/>
            <w:jc w:val="both"/>
            <w:rPr>
              <w:rFonts w:ascii="Palatino Linotype" w:eastAsia="Palatino Linotype" w:hAnsi="Palatino Linotype" w:cs="Palatino Linotype"/>
              <w:b/>
              <w:color w:val="000000"/>
            </w:rPr>
          </w:pPr>
          <w:r w:rsidRPr="009144B4">
            <w:rPr>
              <w:rFonts w:ascii="Palatino Linotype" w:eastAsia="Palatino Linotype" w:hAnsi="Palatino Linotype" w:cs="Palatino Linotype"/>
              <w:b/>
              <w:color w:val="000000"/>
            </w:rPr>
            <w:t>Comisionad</w:t>
          </w:r>
          <w:r w:rsidR="001253B5" w:rsidRPr="009144B4">
            <w:rPr>
              <w:rFonts w:ascii="Palatino Linotype" w:eastAsia="Palatino Linotype" w:hAnsi="Palatino Linotype" w:cs="Palatino Linotype"/>
              <w:b/>
              <w:color w:val="000000"/>
            </w:rPr>
            <w:t>a</w:t>
          </w:r>
          <w:r w:rsidRPr="009144B4">
            <w:rPr>
              <w:rFonts w:ascii="Palatino Linotype" w:eastAsia="Palatino Linotype" w:hAnsi="Palatino Linotype" w:cs="Palatino Linotype"/>
              <w:b/>
              <w:color w:val="000000"/>
            </w:rPr>
            <w:t xml:space="preserve"> Ponente: </w:t>
          </w:r>
          <w:r w:rsidR="00A85684" w:rsidRPr="009144B4">
            <w:rPr>
              <w:rFonts w:ascii="Palatino Linotype" w:eastAsia="Palatino Linotype" w:hAnsi="Palatino Linotype" w:cs="Palatino Linotype"/>
              <w:b/>
              <w:color w:val="000000"/>
            </w:rPr>
            <w:t>Sharon Cristina Morales Martínez</w:t>
          </w:r>
        </w:p>
        <w:p w14:paraId="04E0037C" w14:textId="41D26A5E" w:rsidR="001253B5" w:rsidRDefault="001253B5">
          <w:pPr>
            <w:pBdr>
              <w:top w:val="nil"/>
              <w:left w:val="nil"/>
              <w:bottom w:val="nil"/>
              <w:right w:val="nil"/>
              <w:between w:val="nil"/>
            </w:pBdr>
            <w:tabs>
              <w:tab w:val="center" w:pos="4252"/>
              <w:tab w:val="right" w:pos="8504"/>
            </w:tabs>
            <w:ind w:left="-108"/>
            <w:jc w:val="both"/>
            <w:rPr>
              <w:rFonts w:ascii="Palatino Linotype" w:eastAsia="Palatino Linotype" w:hAnsi="Palatino Linotype" w:cs="Palatino Linotype"/>
              <w:color w:val="000000"/>
            </w:rPr>
          </w:pPr>
        </w:p>
      </w:tc>
    </w:tr>
  </w:tbl>
  <w:p w14:paraId="0AA107E0" w14:textId="1E8D8745" w:rsidR="00044BC8" w:rsidRDefault="00044BC8">
    <w:pPr>
      <w:pBdr>
        <w:top w:val="nil"/>
        <w:left w:val="nil"/>
        <w:bottom w:val="nil"/>
        <w:right w:val="nil"/>
        <w:between w:val="nil"/>
      </w:pBdr>
      <w:tabs>
        <w:tab w:val="center" w:pos="4252"/>
        <w:tab w:val="right" w:pos="8504"/>
      </w:tabs>
      <w:spacing w:after="0" w:line="240" w:lineRule="auto"/>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E5F11"/>
    <w:multiLevelType w:val="hybridMultilevel"/>
    <w:tmpl w:val="1B9C76C4"/>
    <w:lvl w:ilvl="0" w:tplc="E1CAB1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5A5833"/>
    <w:multiLevelType w:val="hybridMultilevel"/>
    <w:tmpl w:val="10CE0994"/>
    <w:lvl w:ilvl="0" w:tplc="88AE1AF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3A73E0"/>
    <w:multiLevelType w:val="hybridMultilevel"/>
    <w:tmpl w:val="584A9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EA5C7A"/>
    <w:multiLevelType w:val="hybridMultilevel"/>
    <w:tmpl w:val="053E8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C8"/>
    <w:rsid w:val="00004735"/>
    <w:rsid w:val="000175CA"/>
    <w:rsid w:val="00032B18"/>
    <w:rsid w:val="00044BC8"/>
    <w:rsid w:val="000A6A26"/>
    <w:rsid w:val="000D7BA1"/>
    <w:rsid w:val="001253B5"/>
    <w:rsid w:val="0024188E"/>
    <w:rsid w:val="00295F8A"/>
    <w:rsid w:val="00375494"/>
    <w:rsid w:val="003900B0"/>
    <w:rsid w:val="003C0B7C"/>
    <w:rsid w:val="003E04C6"/>
    <w:rsid w:val="003E3D0E"/>
    <w:rsid w:val="00407BA3"/>
    <w:rsid w:val="00447765"/>
    <w:rsid w:val="00472043"/>
    <w:rsid w:val="004802D2"/>
    <w:rsid w:val="004B1D75"/>
    <w:rsid w:val="004F21DB"/>
    <w:rsid w:val="00523EE6"/>
    <w:rsid w:val="005733A3"/>
    <w:rsid w:val="0058727E"/>
    <w:rsid w:val="005C74E4"/>
    <w:rsid w:val="005E1CD2"/>
    <w:rsid w:val="00642F59"/>
    <w:rsid w:val="00652979"/>
    <w:rsid w:val="00653231"/>
    <w:rsid w:val="00655712"/>
    <w:rsid w:val="006858C4"/>
    <w:rsid w:val="006B50CA"/>
    <w:rsid w:val="006C2B31"/>
    <w:rsid w:val="006E3255"/>
    <w:rsid w:val="0072259F"/>
    <w:rsid w:val="007864BC"/>
    <w:rsid w:val="007D43B2"/>
    <w:rsid w:val="009144B4"/>
    <w:rsid w:val="00940BDE"/>
    <w:rsid w:val="00952556"/>
    <w:rsid w:val="00977B0E"/>
    <w:rsid w:val="009D5064"/>
    <w:rsid w:val="00A13258"/>
    <w:rsid w:val="00A247BC"/>
    <w:rsid w:val="00A55E18"/>
    <w:rsid w:val="00A55FBF"/>
    <w:rsid w:val="00A85684"/>
    <w:rsid w:val="00AC2C6E"/>
    <w:rsid w:val="00B01786"/>
    <w:rsid w:val="00B15BCF"/>
    <w:rsid w:val="00BC1E62"/>
    <w:rsid w:val="00BE1EEB"/>
    <w:rsid w:val="00C26FA0"/>
    <w:rsid w:val="00C50DDC"/>
    <w:rsid w:val="00C92516"/>
    <w:rsid w:val="00CA415A"/>
    <w:rsid w:val="00CC7820"/>
    <w:rsid w:val="00D06AFA"/>
    <w:rsid w:val="00D673A9"/>
    <w:rsid w:val="00DA015A"/>
    <w:rsid w:val="00E21CB5"/>
    <w:rsid w:val="00E2325D"/>
    <w:rsid w:val="00E51D71"/>
    <w:rsid w:val="00E7367E"/>
    <w:rsid w:val="00EE02D0"/>
    <w:rsid w:val="00F337CC"/>
    <w:rsid w:val="00F52B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29D59"/>
  <w15:docId w15:val="{FB888E3B-5526-423F-844E-9AAF3DA2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132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258"/>
  </w:style>
  <w:style w:type="paragraph" w:styleId="Piedepgina">
    <w:name w:val="footer"/>
    <w:basedOn w:val="Normal"/>
    <w:link w:val="PiedepginaCar"/>
    <w:uiPriority w:val="99"/>
    <w:unhideWhenUsed/>
    <w:rsid w:val="00A132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258"/>
  </w:style>
  <w:style w:type="paragraph" w:styleId="Prrafodelista">
    <w:name w:val="List Paragraph"/>
    <w:basedOn w:val="Normal"/>
    <w:uiPriority w:val="34"/>
    <w:qFormat/>
    <w:rsid w:val="003E3D0E"/>
    <w:pPr>
      <w:ind w:left="720"/>
      <w:contextualSpacing/>
    </w:pPr>
  </w:style>
  <w:style w:type="character" w:styleId="Hipervnculo">
    <w:name w:val="Hyperlink"/>
    <w:basedOn w:val="Fuentedeprrafopredeter"/>
    <w:uiPriority w:val="99"/>
    <w:unhideWhenUsed/>
    <w:rsid w:val="00C50DDC"/>
    <w:rPr>
      <w:color w:val="0000FF"/>
      <w:u w:val="single"/>
    </w:rPr>
  </w:style>
  <w:style w:type="character" w:customStyle="1" w:styleId="UnresolvedMention">
    <w:name w:val="Unresolved Mention"/>
    <w:basedOn w:val="Fuentedeprrafopredeter"/>
    <w:uiPriority w:val="99"/>
    <w:semiHidden/>
    <w:unhideWhenUsed/>
    <w:rsid w:val="004802D2"/>
    <w:rPr>
      <w:color w:val="605E5C"/>
      <w:shd w:val="clear" w:color="auto" w:fill="E1DFDD"/>
    </w:rPr>
  </w:style>
  <w:style w:type="paragraph" w:customStyle="1" w:styleId="text-right">
    <w:name w:val="text-right"/>
    <w:basedOn w:val="Normal"/>
    <w:rsid w:val="007D43B2"/>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7D43B2"/>
    <w:rPr>
      <w:b/>
      <w:bCs/>
    </w:rPr>
  </w:style>
  <w:style w:type="paragraph" w:customStyle="1" w:styleId="text-center">
    <w:name w:val="text-center"/>
    <w:basedOn w:val="Normal"/>
    <w:rsid w:val="007D43B2"/>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text-justify">
    <w:name w:val="text-justify"/>
    <w:basedOn w:val="Normal"/>
    <w:rsid w:val="007D43B2"/>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Hipervnculovisitado">
    <w:name w:val="FollowedHyperlink"/>
    <w:basedOn w:val="Fuentedeprrafopredeter"/>
    <w:uiPriority w:val="99"/>
    <w:semiHidden/>
    <w:unhideWhenUsed/>
    <w:rsid w:val="009144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0641">
      <w:bodyDiv w:val="1"/>
      <w:marLeft w:val="0"/>
      <w:marRight w:val="0"/>
      <w:marTop w:val="0"/>
      <w:marBottom w:val="0"/>
      <w:divBdr>
        <w:top w:val="none" w:sz="0" w:space="0" w:color="auto"/>
        <w:left w:val="none" w:sz="0" w:space="0" w:color="auto"/>
        <w:bottom w:val="none" w:sz="0" w:space="0" w:color="auto"/>
        <w:right w:val="none" w:sz="0" w:space="0" w:color="auto"/>
      </w:divBdr>
    </w:div>
    <w:div w:id="1566837924">
      <w:bodyDiv w:val="1"/>
      <w:marLeft w:val="0"/>
      <w:marRight w:val="0"/>
      <w:marTop w:val="0"/>
      <w:marBottom w:val="0"/>
      <w:divBdr>
        <w:top w:val="none" w:sz="0" w:space="0" w:color="auto"/>
        <w:left w:val="none" w:sz="0" w:space="0" w:color="auto"/>
        <w:bottom w:val="none" w:sz="0" w:space="0" w:color="auto"/>
        <w:right w:val="none" w:sz="0" w:space="0" w:color="auto"/>
      </w:divBdr>
      <w:divsChild>
        <w:div w:id="561673235">
          <w:marLeft w:val="5171"/>
          <w:marRight w:val="0"/>
          <w:marTop w:val="0"/>
          <w:marBottom w:val="0"/>
          <w:divBdr>
            <w:top w:val="none" w:sz="0" w:space="0" w:color="auto"/>
            <w:left w:val="none" w:sz="0" w:space="0" w:color="auto"/>
            <w:bottom w:val="none" w:sz="0" w:space="0" w:color="auto"/>
            <w:right w:val="none" w:sz="0" w:space="0" w:color="auto"/>
          </w:divBdr>
        </w:div>
        <w:div w:id="868564308">
          <w:marLeft w:val="5171"/>
          <w:marRight w:val="0"/>
          <w:marTop w:val="0"/>
          <w:marBottom w:val="0"/>
          <w:divBdr>
            <w:top w:val="none" w:sz="0" w:space="0" w:color="auto"/>
            <w:left w:val="none" w:sz="0" w:space="0" w:color="auto"/>
            <w:bottom w:val="none" w:sz="0" w:space="0" w:color="auto"/>
            <w:right w:val="none" w:sz="0" w:space="0" w:color="auto"/>
          </w:divBdr>
        </w:div>
      </w:divsChild>
    </w:div>
    <w:div w:id="1654866439">
      <w:bodyDiv w:val="1"/>
      <w:marLeft w:val="0"/>
      <w:marRight w:val="0"/>
      <w:marTop w:val="0"/>
      <w:marBottom w:val="0"/>
      <w:divBdr>
        <w:top w:val="none" w:sz="0" w:space="0" w:color="auto"/>
        <w:left w:val="none" w:sz="0" w:space="0" w:color="auto"/>
        <w:bottom w:val="none" w:sz="0" w:space="0" w:color="auto"/>
        <w:right w:val="none" w:sz="0" w:space="0" w:color="auto"/>
      </w:divBdr>
    </w:div>
    <w:div w:id="2049136416">
      <w:bodyDiv w:val="1"/>
      <w:marLeft w:val="0"/>
      <w:marRight w:val="0"/>
      <w:marTop w:val="0"/>
      <w:marBottom w:val="0"/>
      <w:divBdr>
        <w:top w:val="none" w:sz="0" w:space="0" w:color="auto"/>
        <w:left w:val="none" w:sz="0" w:space="0" w:color="auto"/>
        <w:bottom w:val="none" w:sz="0" w:space="0" w:color="auto"/>
        <w:right w:val="none" w:sz="0" w:space="0" w:color="auto"/>
      </w:divBdr>
    </w:div>
    <w:div w:id="2098093927">
      <w:bodyDiv w:val="1"/>
      <w:marLeft w:val="0"/>
      <w:marRight w:val="0"/>
      <w:marTop w:val="0"/>
      <w:marBottom w:val="0"/>
      <w:divBdr>
        <w:top w:val="none" w:sz="0" w:space="0" w:color="auto"/>
        <w:left w:val="none" w:sz="0" w:space="0" w:color="auto"/>
        <w:bottom w:val="none" w:sz="0" w:space="0" w:color="auto"/>
        <w:right w:val="none" w:sz="0" w:space="0" w:color="auto"/>
      </w:divBdr>
    </w:div>
    <w:div w:id="211952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scjn.gob.mx/ConsultaTematica/PaginasPub/DetallePub.aspx?AsuntoID=1798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rnada.com.mx/notas/2021/10/31/estados/codhem-inicio-un-expediente-por-muerte-del-actor-octavio-oca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jn.gob.mx/derechos-humanos/buscadores-juridicos/sentencias-relevantes-en-materia-de-derechos-humanos/1353?field_tema_value=&amp;field_sinopsis_value=&amp;field_numero_de_expediente_value=&amp;page=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1765</Words>
  <Characters>9711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USUARIO</cp:lastModifiedBy>
  <cp:revision>3</cp:revision>
  <cp:lastPrinted>2022-06-06T17:39:00Z</cp:lastPrinted>
  <dcterms:created xsi:type="dcterms:W3CDTF">2022-06-13T20:40:00Z</dcterms:created>
  <dcterms:modified xsi:type="dcterms:W3CDTF">2022-06-13T20:42:00Z</dcterms:modified>
</cp:coreProperties>
</file>