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1FF" w:rsidRDefault="005E2268">
      <w:pPr>
        <w:spacing w:before="240" w:after="0" w:line="360" w:lineRule="auto"/>
        <w:ind w:right="142"/>
        <w:jc w:val="both"/>
        <w:rPr>
          <w:rFonts w:ascii="Palatino Linotype" w:eastAsia="Palatino Linotype" w:hAnsi="Palatino Linotype" w:cs="Palatino Linotype"/>
          <w:b/>
          <w:sz w:val="24"/>
          <w:szCs w:val="24"/>
        </w:rPr>
      </w:pPr>
      <w:bookmarkStart w:id="0" w:name="_heading=h.30j0zll" w:colFirst="0" w:colLast="0"/>
      <w:bookmarkEnd w:id="0"/>
      <w:r>
        <w:rPr>
          <w:rFonts w:ascii="Palatino Linotype" w:eastAsia="Palatino Linotype" w:hAnsi="Palatino Linotype" w:cs="Palatino Linotype"/>
          <w:b/>
          <w:sz w:val="24"/>
          <w:szCs w:val="24"/>
        </w:rPr>
        <w:t>VOTO DISIDENTE QUE FORMULA LA C</w:t>
      </w:r>
      <w:bookmarkStart w:id="1" w:name="_GoBack"/>
      <w:bookmarkEnd w:id="1"/>
      <w:r>
        <w:rPr>
          <w:rFonts w:ascii="Palatino Linotype" w:eastAsia="Palatino Linotype" w:hAnsi="Palatino Linotype" w:cs="Palatino Linotype"/>
          <w:b/>
          <w:sz w:val="24"/>
          <w:szCs w:val="24"/>
        </w:rPr>
        <w:t>OMISIONADA GUADALUPE RAMÍREZ PEÑA, EN RELACIÓN CON LA RESOLUCIÓN DICTADA POR EL PLENO DEL INSTITUTO DE TRANSPARENCIA, ACCESO A LA INFORMACIÓN PÚBLICA Y PROTECCIÓN DE DATOS PERSONALES DEL ESTADO DE MÉXICO Y MUNICIPIOS, EN LA C</w:t>
      </w:r>
      <w:r>
        <w:rPr>
          <w:rFonts w:ascii="Palatino Linotype" w:eastAsia="Palatino Linotype" w:hAnsi="Palatino Linotype" w:cs="Palatino Linotype"/>
          <w:b/>
          <w:sz w:val="24"/>
          <w:szCs w:val="24"/>
        </w:rPr>
        <w:t>UADRAGÉSIMA QUINTA SESIÓN ORDINARIA CELEBRADA EL CATORCE DE DICIEMBRE DE DOS MIL VEINTIDÓS, EN EL RECURSO DE REVISIÓN 15621/INFOEM/IP/RR/2022.</w:t>
      </w:r>
    </w:p>
    <w:p w:rsidR="00FA41FF" w:rsidRDefault="00FA41FF">
      <w:pPr>
        <w:spacing w:after="0" w:line="360" w:lineRule="auto"/>
        <w:ind w:right="142"/>
        <w:jc w:val="both"/>
        <w:rPr>
          <w:rFonts w:ascii="Palatino Linotype" w:eastAsia="Palatino Linotype" w:hAnsi="Palatino Linotype" w:cs="Palatino Linotype"/>
          <w:b/>
          <w:sz w:val="24"/>
          <w:szCs w:val="24"/>
        </w:rPr>
      </w:pPr>
    </w:p>
    <w:p w:rsidR="00FA41FF" w:rsidRDefault="005E2268">
      <w:pPr>
        <w:spacing w:after="0" w:line="360" w:lineRule="auto"/>
        <w:ind w:right="142"/>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w:t>
      </w:r>
      <w:r>
        <w:rPr>
          <w:rFonts w:ascii="Palatino Linotype" w:eastAsia="Palatino Linotype" w:hAnsi="Palatino Linotype" w:cs="Palatino Linotype"/>
          <w:sz w:val="24"/>
          <w:szCs w:val="24"/>
        </w:rPr>
        <w:t xml:space="preserve">cia, Acceso a la Información Pública y Protección de Datos Personales del Estado de México y Municipios, la que suscribe, Guadalupe Ramírez Peña, emite </w:t>
      </w:r>
      <w:r>
        <w:rPr>
          <w:rFonts w:ascii="Palatino Linotype" w:eastAsia="Palatino Linotype" w:hAnsi="Palatino Linotype" w:cs="Palatino Linotype"/>
          <w:b/>
          <w:sz w:val="24"/>
          <w:szCs w:val="24"/>
        </w:rPr>
        <w:t>VOTO DISIDENTE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15621/INFOEM/IP/RR/2022</w:t>
      </w:r>
      <w:r>
        <w:rPr>
          <w:rFonts w:ascii="Palatino Linotype" w:eastAsia="Palatino Linotype" w:hAnsi="Palatino Linotype" w:cs="Palatino Linotype"/>
          <w:sz w:val="24"/>
          <w:szCs w:val="24"/>
        </w:rPr>
        <w:t>, pronunciada</w:t>
      </w:r>
      <w:r w:rsidR="006F3538">
        <w:rPr>
          <w:rFonts w:ascii="Palatino Linotype" w:eastAsia="Palatino Linotype" w:hAnsi="Palatino Linotype" w:cs="Palatino Linotype"/>
          <w:sz w:val="24"/>
          <w:szCs w:val="24"/>
        </w:rPr>
        <w:t xml:space="preserve"> por el Pleno de este Instituto</w:t>
      </w:r>
      <w:r w:rsidRPr="006F3538">
        <w:rPr>
          <w:rFonts w:ascii="Palatino Linotype" w:eastAsia="Palatino Linotype" w:hAnsi="Palatino Linotype" w:cs="Palatino Linotype"/>
          <w:color w:val="000000" w:themeColor="text1"/>
          <w:sz w:val="24"/>
          <w:szCs w:val="24"/>
        </w:rPr>
        <w:t xml:space="preserve">, que es del tenor siguiente: </w:t>
      </w:r>
      <w:r w:rsidRPr="006F3538">
        <w:rPr>
          <w:rFonts w:ascii="Palatino Linotype" w:eastAsia="Palatino Linotype" w:hAnsi="Palatino Linotype" w:cs="Palatino Linotype"/>
          <w:color w:val="000000" w:themeColor="text1"/>
          <w:sz w:val="24"/>
          <w:szCs w:val="24"/>
          <w:highlight w:val="green"/>
        </w:rPr>
        <w:t xml:space="preserve"> </w:t>
      </w:r>
    </w:p>
    <w:p w:rsidR="006F3538" w:rsidRDefault="006F3538">
      <w:pPr>
        <w:spacing w:after="0" w:line="360" w:lineRule="auto"/>
        <w:ind w:right="142"/>
        <w:jc w:val="both"/>
        <w:rPr>
          <w:rFonts w:ascii="Palatino Linotype" w:eastAsia="Palatino Linotype" w:hAnsi="Palatino Linotype" w:cs="Palatino Linotype"/>
          <w:sz w:val="24"/>
          <w:szCs w:val="24"/>
        </w:rPr>
      </w:pPr>
    </w:p>
    <w:p w:rsidR="00FA41FF" w:rsidRDefault="005E2268">
      <w:pPr>
        <w:spacing w:after="240" w:line="360" w:lineRule="auto"/>
        <w:ind w:right="139"/>
        <w:jc w:val="both"/>
        <w:rPr>
          <w:rFonts w:ascii="Palatino Linotype" w:eastAsia="Palatino Linotype" w:hAnsi="Palatino Linotype" w:cs="Palatino Linotype"/>
          <w:sz w:val="24"/>
          <w:szCs w:val="24"/>
        </w:rPr>
      </w:pPr>
      <w:bookmarkStart w:id="2" w:name="_heading=h.gjdgxs" w:colFirst="0" w:colLast="0"/>
      <w:bookmarkEnd w:id="2"/>
      <w:r>
        <w:rPr>
          <w:rFonts w:ascii="Palatino Linotype" w:eastAsia="Palatino Linotype" w:hAnsi="Palatino Linotype" w:cs="Palatino Linotype"/>
          <w:b/>
          <w:sz w:val="24"/>
          <w:szCs w:val="24"/>
        </w:rPr>
        <w:t>I. Antecedentes.</w:t>
      </w:r>
    </w:p>
    <w:p w:rsidR="00FA41FF" w:rsidRDefault="005E2268">
      <w:pPr>
        <w:spacing w:before="240"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quedó debidamente asentad</w:t>
      </w:r>
      <w:r>
        <w:rPr>
          <w:rFonts w:ascii="Palatino Linotype" w:eastAsia="Palatino Linotype" w:hAnsi="Palatino Linotype" w:cs="Palatino Linotype"/>
          <w:sz w:val="24"/>
          <w:szCs w:val="24"/>
        </w:rPr>
        <w:t xml:space="preserve">o en la resolución, materia del presente voto disidente, la persona solicitante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todos y cada uno de los documentos que género y presentó la Titular de la Unidad de Transparencia de para su evaluación en materia de protección de</w:t>
      </w:r>
      <w:r>
        <w:rPr>
          <w:rFonts w:ascii="Palatino Linotype" w:eastAsia="Palatino Linotype" w:hAnsi="Palatino Linotype" w:cs="Palatino Linotype"/>
          <w:sz w:val="24"/>
          <w:szCs w:val="24"/>
        </w:rPr>
        <w:t xml:space="preserve"> datos personales que le permitieron </w:t>
      </w:r>
      <w:r>
        <w:rPr>
          <w:rFonts w:ascii="Palatino Linotype" w:eastAsia="Palatino Linotype" w:hAnsi="Palatino Linotype" w:cs="Palatino Linotype"/>
          <w:sz w:val="24"/>
          <w:szCs w:val="24"/>
        </w:rPr>
        <w:lastRenderedPageBreak/>
        <w:t>ser parte de la primera generación en obtener certificado de protección de datos personales 2022.</w:t>
      </w:r>
    </w:p>
    <w:p w:rsidR="00FA41FF" w:rsidRDefault="00FA41FF">
      <w:pPr>
        <w:spacing w:after="0" w:line="360" w:lineRule="auto"/>
        <w:ind w:right="139"/>
        <w:jc w:val="both"/>
        <w:rPr>
          <w:rFonts w:ascii="Palatino Linotype" w:eastAsia="Palatino Linotype" w:hAnsi="Palatino Linotype" w:cs="Palatino Linotype"/>
          <w:sz w:val="24"/>
          <w:szCs w:val="24"/>
        </w:rPr>
      </w:pPr>
    </w:p>
    <w:p w:rsidR="00FA41FF" w:rsidRDefault="005E226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señala que dentro de sus atribuciones, no se cuenta con alguna reglamentación relaciona</w:t>
      </w:r>
      <w:r>
        <w:rPr>
          <w:rFonts w:ascii="Palatino Linotype" w:eastAsia="Palatino Linotype" w:hAnsi="Palatino Linotype" w:cs="Palatino Linotype"/>
          <w:color w:val="000000"/>
          <w:sz w:val="24"/>
          <w:szCs w:val="24"/>
        </w:rPr>
        <w:t>da al respaldo, almacenamiento o administración de los documentos requeridos por el INFOEM en materia de certificaciones. En este sentido, es menester informarle que el trámite se realiza de forma personal, quedando bajo resguardo exclusivamente de la pers</w:t>
      </w:r>
      <w:r>
        <w:rPr>
          <w:rFonts w:ascii="Palatino Linotype" w:eastAsia="Palatino Linotype" w:hAnsi="Palatino Linotype" w:cs="Palatino Linotype"/>
          <w:color w:val="000000"/>
          <w:sz w:val="24"/>
          <w:szCs w:val="24"/>
        </w:rPr>
        <w:t>ona interesada en llevar a cabo dicho proceso</w:t>
      </w:r>
      <w:r>
        <w:rPr>
          <w:rFonts w:ascii="Palatino Linotype" w:eastAsia="Palatino Linotype" w:hAnsi="Palatino Linotype" w:cs="Palatino Linotype"/>
          <w:sz w:val="24"/>
          <w:szCs w:val="24"/>
        </w:rPr>
        <w:t>.</w:t>
      </w:r>
    </w:p>
    <w:p w:rsidR="00FA41FF" w:rsidRDefault="00FA41FF">
      <w:pPr>
        <w:spacing w:after="80" w:line="360" w:lineRule="auto"/>
        <w:jc w:val="both"/>
        <w:rPr>
          <w:rFonts w:ascii="Palatino Linotype" w:eastAsia="Palatino Linotype" w:hAnsi="Palatino Linotype" w:cs="Palatino Linotype"/>
          <w:sz w:val="24"/>
          <w:szCs w:val="24"/>
        </w:rPr>
      </w:pPr>
    </w:p>
    <w:p w:rsidR="00FA41FF" w:rsidRDefault="005E2268">
      <w:pPr>
        <w:spacing w:before="8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 </w:t>
      </w:r>
    </w:p>
    <w:p w:rsidR="00FA41FF" w:rsidRDefault="005E2268">
      <w:pPr>
        <w:ind w:left="850" w:right="901"/>
        <w:jc w:val="both"/>
        <w:rPr>
          <w:rFonts w:ascii="Palatino Linotype" w:eastAsia="Palatino Linotype" w:hAnsi="Palatino Linotype" w:cs="Palatino Linotype"/>
          <w:i/>
        </w:rPr>
      </w:pPr>
      <w:r>
        <w:rPr>
          <w:rFonts w:ascii="Palatino Linotype" w:eastAsia="Palatino Linotype" w:hAnsi="Palatino Linotype" w:cs="Palatino Linotype"/>
          <w:i/>
        </w:rPr>
        <w:t>“NULA RESPUESTA , NO PEDI EL CERTIFICADO, NO PEDI DOCUMENTOS</w:t>
      </w:r>
      <w:r>
        <w:rPr>
          <w:rFonts w:ascii="Palatino Linotype" w:eastAsia="Palatino Linotype" w:hAnsi="Palatino Linotype" w:cs="Palatino Linotype"/>
          <w:i/>
        </w:rPr>
        <w:t xml:space="preserve"> QUE NO SEAN PUBLICOS Y QUE FORMAN PARTE DEL PROCESO DE CERTIFICACIÓN POR LO CUAL RATIFICO LA SOLICITUD Y SEME ENTREGUE LOS DOCUMENTOS SOPORTES DEL SUSTENTANTE” (Sic)</w:t>
      </w:r>
    </w:p>
    <w:p w:rsidR="00FA41FF" w:rsidRDefault="005E2268">
      <w:pPr>
        <w:pBdr>
          <w:top w:val="nil"/>
          <w:left w:val="nil"/>
          <w:bottom w:val="nil"/>
          <w:right w:val="nil"/>
          <w:between w:val="nil"/>
        </w:pBdr>
        <w:spacing w:before="160"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Admitido el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w:t>
      </w:r>
      <w:r>
        <w:rPr>
          <w:rFonts w:ascii="Palatino Linotype" w:eastAsia="Palatino Linotype" w:hAnsi="Palatino Linotype" w:cs="Palatino Linotype"/>
          <w:sz w:val="24"/>
          <w:szCs w:val="24"/>
        </w:rPr>
        <w:lastRenderedPageBreak/>
        <w:t>en un plazo máximo de siete días hábiles, manifestaran lo que a su derecho resultara c</w:t>
      </w:r>
      <w:r>
        <w:rPr>
          <w:rFonts w:ascii="Palatino Linotype" w:eastAsia="Palatino Linotype" w:hAnsi="Palatino Linotype" w:cs="Palatino Linotype"/>
          <w:sz w:val="24"/>
          <w:szCs w:val="24"/>
        </w:rPr>
        <w:t xml:space="preserve">onveniente, por lo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menciona que no existe algún apartado que implique el contar con un respaldo o copia de los documentos utilizados por los ciudadanos que se encuentran en un proceso de evaluación o certificación del INFOEM. Tal co</w:t>
      </w:r>
      <w:r>
        <w:rPr>
          <w:rFonts w:ascii="Palatino Linotype" w:eastAsia="Palatino Linotype" w:hAnsi="Palatino Linotype" w:cs="Palatino Linotype"/>
          <w:sz w:val="24"/>
          <w:szCs w:val="24"/>
        </w:rPr>
        <w:t>mo se indicó en la respuesta inicial al recurrente, vale la pena recalcar que los procesos de certificación del INFOEM, así como los documentos que se envían a dicho organismo, son responsabilidad exclusiva del participante y de la autoridad competente. Po</w:t>
      </w:r>
      <w:r>
        <w:rPr>
          <w:rFonts w:ascii="Palatino Linotype" w:eastAsia="Palatino Linotype" w:hAnsi="Palatino Linotype" w:cs="Palatino Linotype"/>
          <w:sz w:val="24"/>
          <w:szCs w:val="24"/>
        </w:rPr>
        <w:t xml:space="preserve">r lo que respecta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resultó omisa de emitir manifestaciones.</w:t>
      </w:r>
    </w:p>
    <w:p w:rsidR="00FA41FF" w:rsidRDefault="00FA41F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FA41FF" w:rsidRDefault="005E2268">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sentido, derivado del análisis efectuado, consideró que los motivos de inconformidad aducidos por la persona solicitante </w:t>
      </w:r>
      <w:r w:rsidR="006F3538">
        <w:rPr>
          <w:rFonts w:ascii="Palatino Linotype" w:eastAsia="Palatino Linotype" w:hAnsi="Palatino Linotype" w:cs="Palatino Linotype"/>
          <w:sz w:val="24"/>
          <w:szCs w:val="24"/>
        </w:rPr>
        <w:t>resultaban parcialmente</w:t>
      </w:r>
      <w:r>
        <w:rPr>
          <w:rFonts w:ascii="Palatino Linotype" w:eastAsia="Palatino Linotype" w:hAnsi="Palatino Linotype" w:cs="Palatino Linotype"/>
          <w:sz w:val="24"/>
          <w:szCs w:val="24"/>
        </w:rPr>
        <w:t xml:space="preserve"> fundados, y determinó</w:t>
      </w:r>
      <w:r>
        <w:rPr>
          <w:rFonts w:ascii="Palatino Linotype" w:eastAsia="Palatino Linotype" w:hAnsi="Palatino Linotype" w:cs="Palatino Linotype"/>
          <w:sz w:val="24"/>
          <w:szCs w:val="24"/>
        </w:rPr>
        <w:t xml:space="preserve"> modificar la respuesta emitida, procediendo a ordenar la entrega de lo siguiente:</w:t>
      </w:r>
    </w:p>
    <w:p w:rsidR="00FA41FF" w:rsidRDefault="00FA41FF">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FA41FF" w:rsidRDefault="005E2268">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“SEGUNDO. Se ORDENA al Ayuntamiento de Nicolás Romero a efecto de que, remita a través del Sistema de Acceso a la Información Mexiquense (SAIMEX), el acuerdo emitido por el</w:t>
      </w:r>
      <w:r>
        <w:rPr>
          <w:rFonts w:ascii="Palatino Linotype" w:eastAsia="Palatino Linotype" w:hAnsi="Palatino Linotype" w:cs="Palatino Linotype"/>
          <w:i/>
        </w:rPr>
        <w:t xml:space="preserve"> Comité de Transparencia que confirme la incompetencia para conocer de los documentos entregados por el Titular de la Unidad de Transparencia al Instituto de Transparencia, Acceso a la Información Pública y Protección de Datos Personales del Estado de Méxi</w:t>
      </w:r>
      <w:r>
        <w:rPr>
          <w:rFonts w:ascii="Palatino Linotype" w:eastAsia="Palatino Linotype" w:hAnsi="Palatino Linotype" w:cs="Palatino Linotype"/>
          <w:i/>
        </w:rPr>
        <w:t>co y Municipios en el proceso de certificación en materia de protección de datos personales 2022.”</w:t>
      </w:r>
    </w:p>
    <w:p w:rsidR="00FA41FF" w:rsidRDefault="00FA41FF">
      <w:pPr>
        <w:spacing w:before="240" w:after="240" w:line="360" w:lineRule="auto"/>
        <w:ind w:right="139"/>
        <w:jc w:val="both"/>
        <w:rPr>
          <w:rFonts w:ascii="Palatino Linotype" w:eastAsia="Palatino Linotype" w:hAnsi="Palatino Linotype" w:cs="Palatino Linotype"/>
          <w:b/>
          <w:sz w:val="24"/>
          <w:szCs w:val="24"/>
        </w:rPr>
      </w:pPr>
    </w:p>
    <w:p w:rsidR="00FA41FF" w:rsidRDefault="005E2268">
      <w:pPr>
        <w:spacing w:before="240" w:after="24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II. Razones del Voto Disidente.</w:t>
      </w:r>
    </w:p>
    <w:p w:rsidR="00FA41FF" w:rsidRDefault="005E2268">
      <w:pPr>
        <w:spacing w:before="240" w:after="240" w:line="360" w:lineRule="auto"/>
        <w:ind w:right="13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se comparte el sentido de la resolución, por los argumentos que se exponen a continuación:</w:t>
      </w:r>
    </w:p>
    <w:p w:rsidR="006F3538" w:rsidRDefault="006F3538">
      <w:pPr>
        <w:spacing w:before="240" w:after="240" w:line="360" w:lineRule="auto"/>
        <w:ind w:right="139"/>
        <w:contextualSpacing/>
        <w:jc w:val="both"/>
        <w:rPr>
          <w:rFonts w:ascii="Palatino Linotype" w:eastAsia="Palatino Linotype" w:hAnsi="Palatino Linotype" w:cs="Palatino Linotype"/>
          <w:sz w:val="24"/>
          <w:szCs w:val="24"/>
        </w:rPr>
      </w:pPr>
    </w:p>
    <w:p w:rsidR="00FA41FF" w:rsidRDefault="005E2268">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a la Declaración de Incompetencia la Ley de Transparencia y Acceso a la Información Pública del Estado de México,</w:t>
      </w:r>
      <w:r>
        <w:rPr>
          <w:rFonts w:ascii="Palatino Linotype" w:eastAsia="Palatino Linotype" w:hAnsi="Palatino Linotype" w:cs="Palatino Linotype"/>
          <w:sz w:val="24"/>
          <w:szCs w:val="24"/>
        </w:rPr>
        <w:t xml:space="preserve"> establece, en los artículos 49, fracción II y 167, lo siguiente: </w:t>
      </w:r>
    </w:p>
    <w:p w:rsidR="006F3538" w:rsidRDefault="006F3538">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rsidR="00FA41FF" w:rsidRDefault="005E2268">
      <w:pPr>
        <w:tabs>
          <w:tab w:val="left" w:pos="142"/>
          <w:tab w:val="left" w:pos="284"/>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FA41FF" w:rsidRDefault="005E2268">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FA41FF" w:rsidRDefault="005E2268">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w:t>
      </w:r>
      <w:r>
        <w:rPr>
          <w:rFonts w:ascii="Palatino Linotype" w:eastAsia="Palatino Linotype" w:hAnsi="Palatino Linotype" w:cs="Palatino Linotype"/>
          <w:i/>
        </w:rPr>
        <w:t xml:space="preserve">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FA41FF" w:rsidRDefault="005E2268">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FA41FF" w:rsidRDefault="005E2268">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w:t>
      </w:r>
      <w:r>
        <w:rPr>
          <w:rFonts w:ascii="Palatino Linotype" w:eastAsia="Palatino Linotype" w:hAnsi="Palatino Linotype" w:cs="Palatino Linotype"/>
          <w:i/>
        </w:rPr>
        <w:t xml:space="preserve">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FA41FF" w:rsidRDefault="00FA41FF">
      <w:pPr>
        <w:spacing w:before="120" w:after="120" w:line="240" w:lineRule="auto"/>
        <w:ind w:left="851" w:right="902"/>
        <w:jc w:val="both"/>
        <w:rPr>
          <w:rFonts w:ascii="Palatino Linotype" w:eastAsia="Palatino Linotype" w:hAnsi="Palatino Linotype" w:cs="Palatino Linotype"/>
        </w:rPr>
      </w:pPr>
    </w:p>
    <w:p w:rsidR="00FA41FF" w:rsidRDefault="005E2268">
      <w:pPr>
        <w:tabs>
          <w:tab w:val="left" w:pos="142"/>
          <w:tab w:val="left" w:pos="284"/>
        </w:tabs>
        <w:spacing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w:t>
      </w:r>
      <w:r>
        <w:rPr>
          <w:rFonts w:ascii="Palatino Linotype" w:eastAsia="Palatino Linotype" w:hAnsi="Palatino Linotype" w:cs="Palatino Linotype"/>
          <w:sz w:val="24"/>
          <w:szCs w:val="24"/>
        </w:rPr>
        <w:lastRenderedPageBreak/>
        <w:t>incompetencia,</w:t>
      </w:r>
      <w:r>
        <w:rPr>
          <w:rFonts w:ascii="Palatino Linotype" w:eastAsia="Palatino Linotype" w:hAnsi="Palatino Linotype" w:cs="Palatino Linotype"/>
          <w:b/>
          <w:sz w:val="24"/>
          <w:szCs w:val="24"/>
        </w:rPr>
        <w:t xml:space="preserve"> en aquellos casos </w:t>
      </w:r>
      <w:r>
        <w:rPr>
          <w:rFonts w:ascii="Palatino Linotype" w:eastAsia="Palatino Linotype" w:hAnsi="Palatino Linotype" w:cs="Palatino Linotype"/>
          <w:b/>
          <w:sz w:val="24"/>
          <w:szCs w:val="24"/>
        </w:rPr>
        <w:t xml:space="preserve">en los que no se trate de una notoria incompetencia. </w:t>
      </w:r>
    </w:p>
    <w:p w:rsidR="006F3538" w:rsidRDefault="006F3538">
      <w:pPr>
        <w:tabs>
          <w:tab w:val="left" w:pos="142"/>
          <w:tab w:val="left" w:pos="284"/>
        </w:tabs>
        <w:spacing w:line="360" w:lineRule="auto"/>
        <w:contextualSpacing/>
        <w:jc w:val="both"/>
        <w:rPr>
          <w:rFonts w:ascii="Palatino Linotype" w:eastAsia="Palatino Linotype" w:hAnsi="Palatino Linotype" w:cs="Palatino Linotype"/>
          <w:b/>
          <w:sz w:val="24"/>
          <w:szCs w:val="24"/>
        </w:rPr>
      </w:pPr>
    </w:p>
    <w:p w:rsidR="00FA41FF" w:rsidRDefault="005E2268">
      <w:pPr>
        <w:tabs>
          <w:tab w:val="left" w:pos="142"/>
          <w:tab w:val="left" w:pos="284"/>
        </w:tabs>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Puesto que la Ley también prevé que dicho acuerdo no es necesario cuando la Unidad de Transparencia determine que la incompetencia es notoria dando un plazo de tres días hábiles para hacerlo del conocim</w:t>
      </w:r>
      <w:r>
        <w:rPr>
          <w:rFonts w:ascii="Palatino Linotype" w:eastAsia="Palatino Linotype" w:hAnsi="Palatino Linotype" w:cs="Palatino Linotype"/>
          <w:sz w:val="24"/>
          <w:szCs w:val="24"/>
        </w:rPr>
        <w:t xml:space="preserve">iento del particular, por lo que si bien, en el caso particular, no fue respetado dicho plazo, ello no cambia la circunstancia de que la incompetencia de sujeto obligado para dar atención a la solicitud de información siga siendo notoria. </w:t>
      </w:r>
    </w:p>
    <w:p w:rsidR="00FA41FF" w:rsidRDefault="00FA41FF">
      <w:pPr>
        <w:tabs>
          <w:tab w:val="left" w:pos="142"/>
          <w:tab w:val="left" w:pos="284"/>
        </w:tabs>
        <w:spacing w:after="0" w:line="360" w:lineRule="auto"/>
        <w:contextualSpacing/>
        <w:jc w:val="both"/>
        <w:rPr>
          <w:rFonts w:ascii="Palatino Linotype" w:eastAsia="Palatino Linotype" w:hAnsi="Palatino Linotype" w:cs="Palatino Linotype"/>
          <w:sz w:val="24"/>
          <w:szCs w:val="24"/>
        </w:rPr>
      </w:pPr>
    </w:p>
    <w:p w:rsidR="00FA41FF" w:rsidRDefault="005E2268">
      <w:pPr>
        <w:tabs>
          <w:tab w:val="left" w:pos="142"/>
          <w:tab w:val="left" w:pos="284"/>
        </w:tabs>
        <w:spacing w:after="0" w:line="360" w:lineRule="auto"/>
        <w:contextualSpacing/>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En otras palabr</w:t>
      </w:r>
      <w:r>
        <w:rPr>
          <w:rFonts w:ascii="Palatino Linotype" w:eastAsia="Palatino Linotype" w:hAnsi="Palatino Linotype" w:cs="Palatino Linotype"/>
          <w:sz w:val="24"/>
          <w:szCs w:val="24"/>
        </w:rPr>
        <w:t xml:space="preserve">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p</w:t>
      </w:r>
      <w:r>
        <w:rPr>
          <w:rFonts w:ascii="Palatino Linotype" w:eastAsia="Palatino Linotype" w:hAnsi="Palatino Linotype" w:cs="Palatino Linotype"/>
          <w:sz w:val="24"/>
          <w:szCs w:val="24"/>
          <w:u w:val="single"/>
        </w:rPr>
        <w:t xml:space="preserve">ara su aprobación. </w:t>
      </w:r>
    </w:p>
    <w:p w:rsidR="00FA41FF" w:rsidRDefault="00FA41FF">
      <w:pPr>
        <w:tabs>
          <w:tab w:val="left" w:pos="142"/>
          <w:tab w:val="left" w:pos="284"/>
        </w:tabs>
        <w:spacing w:after="0" w:line="360" w:lineRule="auto"/>
        <w:contextualSpacing/>
        <w:jc w:val="both"/>
        <w:rPr>
          <w:rFonts w:ascii="Palatino Linotype" w:eastAsia="Palatino Linotype" w:hAnsi="Palatino Linotype" w:cs="Palatino Linotype"/>
          <w:sz w:val="24"/>
          <w:szCs w:val="24"/>
          <w:u w:val="single"/>
        </w:rPr>
      </w:pPr>
    </w:p>
    <w:p w:rsidR="00FA41FF" w:rsidRDefault="005E2268">
      <w:pPr>
        <w:spacing w:after="0" w:line="360" w:lineRule="auto"/>
        <w:ind w:right="18"/>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sustento de lo anterior, resulta aplicable el Criterio 20/20, emitido por el Instituto Nacional de Transparencia, Acceso a la Información, y Protección de Datos Personales, INAI, que lleva por rubro y texto los siguientes:  </w:t>
      </w:r>
    </w:p>
    <w:p w:rsidR="00FA41FF" w:rsidRDefault="00FA41FF">
      <w:pPr>
        <w:spacing w:after="0" w:line="360" w:lineRule="auto"/>
        <w:ind w:right="18"/>
        <w:jc w:val="both"/>
        <w:rPr>
          <w:rFonts w:ascii="Palatino Linotype" w:eastAsia="Palatino Linotype" w:hAnsi="Palatino Linotype" w:cs="Palatino Linotype"/>
        </w:rPr>
      </w:pPr>
    </w:p>
    <w:p w:rsidR="00FA41FF" w:rsidRDefault="005E2268">
      <w:pPr>
        <w:pBdr>
          <w:top w:val="nil"/>
          <w:left w:val="nil"/>
          <w:bottom w:val="nil"/>
          <w:right w:val="nil"/>
          <w:between w:val="nil"/>
        </w:pBdr>
        <w:spacing w:after="24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“Declaración de incompetencia por parte del Comité, cuando no sea notoria o manifiesta.</w:t>
      </w:r>
      <w:r>
        <w:rPr>
          <w:rFonts w:ascii="Palatino Linotype" w:eastAsia="Palatino Linotype" w:hAnsi="Palatino Linotype" w:cs="Palatino Linotype"/>
          <w:i/>
          <w:color w:val="000000"/>
        </w:rPr>
        <w:t xml:space="preserve"> Cuando la normatividad que prevé las atribuciones del sujeto obligado no sea clara en delimitar su competencia respecto a lo requerido por la persona solicitante y resu</w:t>
      </w:r>
      <w:r>
        <w:rPr>
          <w:rFonts w:ascii="Palatino Linotype" w:eastAsia="Palatino Linotype" w:hAnsi="Palatino Linotype" w:cs="Palatino Linotype"/>
          <w:i/>
          <w:color w:val="000000"/>
        </w:rPr>
        <w:t xml:space="preserve">lte necesario efectuar un análisis mayor para </w:t>
      </w:r>
      <w:r>
        <w:rPr>
          <w:rFonts w:ascii="Palatino Linotype" w:eastAsia="Palatino Linotype" w:hAnsi="Palatino Linotype" w:cs="Palatino Linotype"/>
          <w:i/>
          <w:color w:val="000000"/>
        </w:rPr>
        <w:lastRenderedPageBreak/>
        <w:t>determinar la incompetencia, ésta debe ser declarada por el Comité de Transparencia.”</w:t>
      </w:r>
    </w:p>
    <w:p w:rsidR="006F3538" w:rsidRDefault="005E2268">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manera, el Pleno de este Instituto, a través del Criterio 02/04 emitido en la Segunda Época, precisa los alcances d</w:t>
      </w:r>
      <w:r>
        <w:rPr>
          <w:rFonts w:ascii="Palatino Linotype" w:eastAsia="Palatino Linotype" w:hAnsi="Palatino Linotype" w:cs="Palatino Linotype"/>
          <w:sz w:val="24"/>
          <w:szCs w:val="24"/>
        </w:rPr>
        <w:t>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w:t>
      </w:r>
      <w:r>
        <w:rPr>
          <w:rFonts w:ascii="Palatino Linotype" w:eastAsia="Palatino Linotype" w:hAnsi="Palatino Linotype" w:cs="Palatino Linotype"/>
          <w:b/>
          <w:sz w:val="24"/>
          <w:szCs w:val="24"/>
          <w:u w:val="single"/>
        </w:rPr>
        <w:t>re la administración del documento materia de la solicitud de información</w:t>
      </w:r>
      <w:r>
        <w:rPr>
          <w:rFonts w:ascii="Palatino Linotype" w:eastAsia="Palatino Linotype" w:hAnsi="Palatino Linotype" w:cs="Palatino Linotype"/>
          <w:sz w:val="24"/>
          <w:szCs w:val="24"/>
        </w:rPr>
        <w:t>, como se lee enseguida:</w:t>
      </w:r>
    </w:p>
    <w:p w:rsidR="00FA41FF" w:rsidRDefault="005E2268">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De conformidad con el artículo 167 de la Ley de Transparencia vigente en la entidad, las Unidades de Transparencia tienen la facultad de determinar la notoria incompetencia para atender las solicitudes de acceso a la información y comunicarla al solicitant</w:t>
      </w:r>
      <w:r>
        <w:rPr>
          <w:rFonts w:ascii="Palatino Linotype" w:eastAsia="Palatino Linotype" w:hAnsi="Palatino Linotype" w:cs="Palatino Linotype"/>
          <w:i/>
        </w:rPr>
        <w:t xml:space="preserve">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al ejercer el derecho de acceso a l</w:t>
      </w:r>
      <w:r>
        <w:rPr>
          <w:rFonts w:ascii="Palatino Linotype" w:eastAsia="Palatino Linotype" w:hAnsi="Palatino Linotype" w:cs="Palatino Linotype"/>
          <w:b/>
          <w:i/>
        </w:rPr>
        <w:t xml:space="preserve">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 xml:space="preserve">o; en </w:t>
      </w:r>
      <w:r>
        <w:rPr>
          <w:rFonts w:ascii="Palatino Linotype" w:eastAsia="Palatino Linotype" w:hAnsi="Palatino Linotype" w:cs="Palatino Linotype"/>
          <w:i/>
        </w:rPr>
        <w:t>virtud de ello, en aras de disipar toda duda razonable sobre la administración del documento materia de la solicitud de información, el Sujeto Obligado deberá dar el trámite correspondiente a la solicitud de información a efecto de realizar un análisis min</w:t>
      </w:r>
      <w:r>
        <w:rPr>
          <w:rFonts w:ascii="Palatino Linotype" w:eastAsia="Palatino Linotype" w:hAnsi="Palatino Linotype" w:cs="Palatino Linotype"/>
          <w:i/>
        </w:rPr>
        <w:t xml:space="preserve">ucioso de las facultades, competencias o funciones de cada una de las Unidades Administrativas que lo integran y, si posterior a ello, se corrobora la incompetencia para la atención del requerimiento, en razón de que es otro el Sujeto Obligado poseedor de </w:t>
      </w:r>
      <w:r>
        <w:rPr>
          <w:rFonts w:ascii="Palatino Linotype" w:eastAsia="Palatino Linotype" w:hAnsi="Palatino Linotype" w:cs="Palatino Linotype"/>
          <w:i/>
        </w:rPr>
        <w:t xml:space="preserve">la </w:t>
      </w:r>
      <w:r>
        <w:rPr>
          <w:rFonts w:ascii="Palatino Linotype" w:eastAsia="Palatino Linotype" w:hAnsi="Palatino Linotype" w:cs="Palatino Linotype"/>
          <w:i/>
        </w:rPr>
        <w:lastRenderedPageBreak/>
        <w:t xml:space="preserve">documentación, corresponde a su Comité de Transparencia confirmar la declaratoria de incompetencia y notificarle dicha determinación al particular, en términos de lo dispuesto en el artículo 49, fracción II de la Ley de Transparencia Local, al ser este </w:t>
      </w:r>
      <w:r>
        <w:rPr>
          <w:rFonts w:ascii="Palatino Linotype" w:eastAsia="Palatino Linotype" w:hAnsi="Palatino Linotype" w:cs="Palatino Linotype"/>
          <w:i/>
        </w:rPr>
        <w:t>el acto jurídico idóneo que genera seguridad jurídica de que el Ente ante quien se presentó la solicitud, carece de facultades, competencias o funciones para poseer o generar la información requerida; lo anterior, sin perjuicio de que pueda gestionar la co</w:t>
      </w:r>
      <w:r>
        <w:rPr>
          <w:rFonts w:ascii="Palatino Linotype" w:eastAsia="Palatino Linotype" w:hAnsi="Palatino Linotype" w:cs="Palatino Linotype"/>
          <w:i/>
        </w:rPr>
        <w:t>laboración de otro Sujeto Obligado competente para atender la solicitud.”</w:t>
      </w:r>
    </w:p>
    <w:p w:rsidR="00FA41FF" w:rsidRDefault="00FA41FF">
      <w:pPr>
        <w:spacing w:after="0" w:line="360" w:lineRule="auto"/>
        <w:ind w:left="851" w:right="900"/>
        <w:jc w:val="both"/>
        <w:rPr>
          <w:rFonts w:ascii="Palatino Linotype" w:eastAsia="Palatino Linotype" w:hAnsi="Palatino Linotype" w:cs="Palatino Linotype"/>
          <w:i/>
        </w:rPr>
      </w:pPr>
    </w:p>
    <w:p w:rsidR="00FA41FF" w:rsidRDefault="005E2268">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en la resolución de mérito se señaló de manera textual lo siguiente: </w:t>
      </w:r>
    </w:p>
    <w:p w:rsidR="00FA41FF" w:rsidRDefault="00FA41FF">
      <w:pPr>
        <w:tabs>
          <w:tab w:val="left" w:pos="142"/>
          <w:tab w:val="left" w:pos="284"/>
        </w:tabs>
        <w:spacing w:after="0" w:line="360" w:lineRule="auto"/>
        <w:jc w:val="both"/>
        <w:rPr>
          <w:rFonts w:ascii="Palatino Linotype" w:eastAsia="Palatino Linotype" w:hAnsi="Palatino Linotype" w:cs="Palatino Linotype"/>
          <w:sz w:val="24"/>
          <w:szCs w:val="24"/>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Al respecto, es menester atraer al estudio los artículos 14, fracción V; y 82, fracción </w:t>
      </w:r>
      <w:r w:rsidRPr="006F3538">
        <w:rPr>
          <w:rFonts w:ascii="Palatino Linotype" w:eastAsia="Palatino Linotype" w:hAnsi="Palatino Linotype" w:cs="Palatino Linotype"/>
          <w:i/>
        </w:rPr>
        <w:t>XXI de la Ley de protección de datos personales en posesión de Sujetos Obligados del Estado de México y Municipios; que a la letra disponen:</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Del programa Estatal </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Artículo 14. El Instituto será responsable de diseñar, ejecutar y evaluar un Programa Estatal </w:t>
      </w:r>
      <w:r w:rsidRPr="006F3538">
        <w:rPr>
          <w:rFonts w:ascii="Palatino Linotype" w:eastAsia="Palatino Linotype" w:hAnsi="Palatino Linotype" w:cs="Palatino Linotype"/>
          <w:i/>
        </w:rPr>
        <w:t>de Protección de Datos Personales que defina la política pública y establezca, como mínimo, objetivos, estrategias, acciones y metas; conforme a las bases siguien</w:t>
      </w:r>
      <w:r w:rsidRPr="006F3538">
        <w:rPr>
          <w:rFonts w:ascii="Palatino Linotype" w:eastAsia="Palatino Linotype" w:hAnsi="Palatino Linotype" w:cs="Palatino Linotype"/>
          <w:i/>
        </w:rPr>
        <w:t>tes:</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I al IV…</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lastRenderedPageBreak/>
        <w:t>V. Certificar a los sujetos obligados, organizaciones o asociaciones de la sociedad, así como personas en general, que ofrezcan, en forma interdisciplinaria y profesional, la posibilidad de llevar a cabo cursos o talleres en materia de protec</w:t>
      </w:r>
      <w:r w:rsidRPr="006F3538">
        <w:rPr>
          <w:rFonts w:ascii="Palatino Linotype" w:eastAsia="Palatino Linotype" w:hAnsi="Palatino Linotype" w:cs="Palatino Linotype"/>
          <w:i/>
        </w:rPr>
        <w:t>ción de datos personales;</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VI al VII…</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Atribuciones del Instituto </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Artículo 82. El Instituto, además de las atribuciones encomendadas por la Ley de Transparencia y normatividad aplicable, tendrá las atribuciones siguientes:</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I al XX…</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XXI. Capacitar y certificar en materia de protección de datos personales en posesión de sujetos obligados en el ámbito material y territorial de competencia que le corresponde.</w:t>
      </w:r>
    </w:p>
    <w:p w:rsidR="00FA41FF" w:rsidRPr="006F3538" w:rsidRDefault="005E2268" w:rsidP="006F3538">
      <w:pPr>
        <w:tabs>
          <w:tab w:val="left" w:pos="142"/>
          <w:tab w:val="left" w:pos="284"/>
        </w:tabs>
        <w:spacing w:before="240"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XXII al XLI…</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De los artículos anteriores, se desprende la competencia con la q</w:t>
      </w:r>
      <w:r w:rsidRPr="006F3538">
        <w:rPr>
          <w:rFonts w:ascii="Palatino Linotype" w:eastAsia="Palatino Linotype" w:hAnsi="Palatino Linotype" w:cs="Palatino Linotype"/>
          <w:i/>
        </w:rPr>
        <w:t>ue cuenta el Instituto de Transparencia, Acceso a la Información Pública y Protección de Datos Personales del Estado de México y Municipios para llevar a cabo los procesos de certificación y capacitación de los servidores públicos de los Sujetos Obligado e</w:t>
      </w:r>
      <w:r w:rsidRPr="006F3538">
        <w:rPr>
          <w:rFonts w:ascii="Palatino Linotype" w:eastAsia="Palatino Linotype" w:hAnsi="Palatino Linotype" w:cs="Palatino Linotype"/>
          <w:i/>
        </w:rPr>
        <w:t>n materia de protección de datos personales.</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lastRenderedPageBreak/>
        <w:t>Cabe destacar que el Estado de México, es la única entidad federativa que tiene la obligación de certificar a los Titulares de las Unidades de Transparencia de los Sujetos Obligados por lo que es una atribución</w:t>
      </w:r>
      <w:r w:rsidRPr="006F3538">
        <w:rPr>
          <w:rFonts w:ascii="Palatino Linotype" w:eastAsia="Palatino Linotype" w:hAnsi="Palatino Linotype" w:cs="Palatino Linotype"/>
          <w:i/>
        </w:rPr>
        <w:t xml:space="preserve"> directa del Instituto de Transparencia, Acceso a la Información Pública y Protección de Datos Personales del Estado de México y Municipios.</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Aunado a ello, el Reglamento…. Véase; https://www.infoem.org.mx/doc/normatividad/R_Reglamento_Interior_del_Instituto_de_Transparencia_Acceso_a_la_Informacion_Publica_y_Proteccion_de_Datos_Personales_del_Estado_de_Mexico_y_Municipios.pdf; establece en su ar</w:t>
      </w:r>
      <w:r w:rsidRPr="006F3538">
        <w:rPr>
          <w:rFonts w:ascii="Palatino Linotype" w:eastAsia="Palatino Linotype" w:hAnsi="Palatino Linotype" w:cs="Palatino Linotype"/>
          <w:i/>
        </w:rPr>
        <w:t>tículo 21 que la Dirección General de capacitación, Certificación y Políticas Públicas, tiene las siguientes atribuciones:</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De la Dirección General de Capacitación, Certificación y Políticas Públicas </w:t>
      </w:r>
    </w:p>
    <w:p w:rsidR="00FA41FF" w:rsidRPr="006F3538" w:rsidRDefault="005E2268" w:rsidP="006F3538">
      <w:pPr>
        <w:tabs>
          <w:tab w:val="left" w:pos="142"/>
          <w:tab w:val="left" w:pos="284"/>
        </w:tabs>
        <w:spacing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Artículo 21. Corresponde a la Dirección General de Capa</w:t>
      </w:r>
      <w:r w:rsidRPr="006F3538">
        <w:rPr>
          <w:rFonts w:ascii="Palatino Linotype" w:eastAsia="Palatino Linotype" w:hAnsi="Palatino Linotype" w:cs="Palatino Linotype"/>
          <w:i/>
        </w:rPr>
        <w:t xml:space="preserve">citación, Certificación y Políticas Públicas ejercer las atribuciones siguientes: </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I al VI…</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VII. Elaborar los programas de certificación; </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VIII. Programar e implementar la certificación de las y los Titulares de las Unidades de Transparencia de los Sujetos</w:t>
      </w:r>
      <w:r w:rsidRPr="006F3538">
        <w:rPr>
          <w:rFonts w:ascii="Palatino Linotype" w:eastAsia="Palatino Linotype" w:hAnsi="Palatino Linotype" w:cs="Palatino Linotype"/>
          <w:i/>
        </w:rPr>
        <w:t xml:space="preserve"> Obligados;</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 IX. Planificar e implementar la certificación de Oficiales de Protección de Datos Personales de los Sujetos Obligados; </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lastRenderedPageBreak/>
        <w:t>X. Planificar e implementar la certificación a los integrantes de los Sujetos Obligados, de las organizaciones o asociacion</w:t>
      </w:r>
      <w:r w:rsidRPr="006F3538">
        <w:rPr>
          <w:rFonts w:ascii="Palatino Linotype" w:eastAsia="Palatino Linotype" w:hAnsi="Palatino Linotype" w:cs="Palatino Linotype"/>
          <w:i/>
        </w:rPr>
        <w:t>es de la sociedad, así como de las personas físicas o jurídicas colectivas;</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XI…</w:t>
      </w:r>
    </w:p>
    <w:p w:rsidR="00FA41FF" w:rsidRPr="006F3538" w:rsidRDefault="005E2268" w:rsidP="006F3538">
      <w:pPr>
        <w:tabs>
          <w:tab w:val="left" w:pos="142"/>
          <w:tab w:val="left" w:pos="284"/>
        </w:tabs>
        <w:spacing w:before="240" w:after="24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(Énfasis añadido)</w:t>
      </w:r>
    </w:p>
    <w:p w:rsidR="00FA41FF" w:rsidRPr="006F3538" w:rsidRDefault="005E2268" w:rsidP="006F3538">
      <w:pPr>
        <w:tabs>
          <w:tab w:val="left" w:pos="142"/>
          <w:tab w:val="left" w:pos="284"/>
        </w:tabs>
        <w:spacing w:before="240"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 xml:space="preserve">Así pues, se robustece la competencia del Instituto de Transparencia, Acceso a la Información Pública y Protección de Datos Personales del Estado de México y </w:t>
      </w:r>
      <w:r w:rsidRPr="006F3538">
        <w:rPr>
          <w:rFonts w:ascii="Palatino Linotype" w:eastAsia="Palatino Linotype" w:hAnsi="Palatino Linotype" w:cs="Palatino Linotype"/>
          <w:i/>
        </w:rPr>
        <w:t>Municipios; para ejecutar los procedimientos de certificación de los Titulares de las Unidades de Transparencia de los Sujetos Obligados.</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Ahora bien, cabe destacar que de conformidad con la Convocatoria para el proceso de Certificación en materia de Garan</w:t>
      </w:r>
      <w:r w:rsidRPr="006F3538">
        <w:rPr>
          <w:rFonts w:ascii="Palatino Linotype" w:eastAsia="Palatino Linotype" w:hAnsi="Palatino Linotype" w:cs="Palatino Linotype"/>
          <w:i/>
        </w:rPr>
        <w:t xml:space="preserve">tizar el Derecho a la Protección de Datos Personales; los participantes llenaron un formulario y presentaron algunos datos personales ante el Instituto de Transparencia, Acceso a la Información Pública y Protección de Datos Personales del Estado de México </w:t>
      </w:r>
      <w:r w:rsidRPr="006F3538">
        <w:rPr>
          <w:rFonts w:ascii="Palatino Linotype" w:eastAsia="Palatino Linotype" w:hAnsi="Palatino Linotype" w:cs="Palatino Linotype"/>
          <w:i/>
        </w:rPr>
        <w:t xml:space="preserve">y Municipios; por tanto, se advierte que la documentación solicitada por el Particular obra en los archivos del INFOEM, no así en los del Sujeto Obligado. </w:t>
      </w:r>
    </w:p>
    <w:p w:rsidR="00FA41FF" w:rsidRPr="006F3538" w:rsidRDefault="00FA41FF" w:rsidP="006F3538">
      <w:pPr>
        <w:tabs>
          <w:tab w:val="left" w:pos="142"/>
          <w:tab w:val="left" w:pos="284"/>
        </w:tabs>
        <w:spacing w:after="0" w:line="360" w:lineRule="auto"/>
        <w:ind w:left="851" w:right="1041"/>
        <w:jc w:val="both"/>
        <w:rPr>
          <w:rFonts w:ascii="Palatino Linotype" w:eastAsia="Palatino Linotype" w:hAnsi="Palatino Linotype" w:cs="Palatino Linotype"/>
          <w:i/>
        </w:rPr>
      </w:pPr>
    </w:p>
    <w:p w:rsidR="00FA41FF" w:rsidRPr="006F3538" w:rsidRDefault="005E2268" w:rsidP="006F3538">
      <w:pPr>
        <w:tabs>
          <w:tab w:val="left" w:pos="142"/>
          <w:tab w:val="left" w:pos="284"/>
        </w:tabs>
        <w:spacing w:after="0" w:line="360" w:lineRule="auto"/>
        <w:ind w:left="851" w:right="1041"/>
        <w:jc w:val="both"/>
        <w:rPr>
          <w:rFonts w:ascii="Palatino Linotype" w:eastAsia="Palatino Linotype" w:hAnsi="Palatino Linotype" w:cs="Palatino Linotype"/>
          <w:i/>
        </w:rPr>
      </w:pPr>
      <w:r w:rsidRPr="006F3538">
        <w:rPr>
          <w:rFonts w:ascii="Palatino Linotype" w:eastAsia="Palatino Linotype" w:hAnsi="Palatino Linotype" w:cs="Palatino Linotype"/>
          <w:i/>
        </w:rPr>
        <w:t>En atención a todo lo antes expuesto, se robustece y acompaña la incompetencia que fue planteada po</w:t>
      </w:r>
      <w:r w:rsidRPr="006F3538">
        <w:rPr>
          <w:rFonts w:ascii="Palatino Linotype" w:eastAsia="Palatino Linotype" w:hAnsi="Palatino Linotype" w:cs="Palatino Linotype"/>
          <w:i/>
        </w:rPr>
        <w:t xml:space="preserve">r el Sujeto Obligado; pues la documentación solicitada debe obrar en los archivos de otro Sujeto Obligado; es decir, el Instituto de </w:t>
      </w:r>
      <w:r w:rsidRPr="006F3538">
        <w:rPr>
          <w:rFonts w:ascii="Palatino Linotype" w:eastAsia="Palatino Linotype" w:hAnsi="Palatino Linotype" w:cs="Palatino Linotype"/>
          <w:i/>
        </w:rPr>
        <w:lastRenderedPageBreak/>
        <w:t>Transparencia, Acceso a la Información Pública y Protección de Datos Personales del Estado de México y Municipios.</w:t>
      </w:r>
    </w:p>
    <w:p w:rsidR="00FA41FF" w:rsidRDefault="00FA41FF">
      <w:pPr>
        <w:tabs>
          <w:tab w:val="left" w:pos="142"/>
          <w:tab w:val="left" w:pos="284"/>
        </w:tabs>
        <w:spacing w:after="0" w:line="360" w:lineRule="auto"/>
        <w:jc w:val="both"/>
        <w:rPr>
          <w:rFonts w:ascii="Palatino Linotype" w:eastAsia="Palatino Linotype" w:hAnsi="Palatino Linotype" w:cs="Palatino Linotype"/>
          <w:sz w:val="24"/>
          <w:szCs w:val="24"/>
        </w:rPr>
      </w:pPr>
    </w:p>
    <w:p w:rsidR="00FA41FF" w:rsidRDefault="005E2268">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sidRPr="006F3538">
        <w:rPr>
          <w:rFonts w:ascii="Palatino Linotype" w:eastAsia="Palatino Linotype" w:hAnsi="Palatino Linotype" w:cs="Palatino Linotype"/>
          <w:sz w:val="24"/>
          <w:szCs w:val="24"/>
        </w:rPr>
        <w:t xml:space="preserve">Advirtiéndose que el </w:t>
      </w:r>
      <w:r w:rsidRPr="006F3538">
        <w:rPr>
          <w:rFonts w:ascii="Palatino Linotype" w:eastAsia="Palatino Linotype" w:hAnsi="Palatino Linotype" w:cs="Palatino Linotype"/>
          <w:b/>
          <w:sz w:val="24"/>
          <w:szCs w:val="24"/>
        </w:rPr>
        <w:t xml:space="preserve">SUJETO OBLIGADO, </w:t>
      </w:r>
      <w:r w:rsidRPr="006F3538">
        <w:rPr>
          <w:rFonts w:ascii="Palatino Linotype" w:eastAsia="Palatino Linotype" w:hAnsi="Palatino Linotype" w:cs="Palatino Linotype"/>
          <w:sz w:val="24"/>
          <w:szCs w:val="24"/>
        </w:rPr>
        <w:t xml:space="preserve">resulta incompetente para tener en sus archivos la información </w:t>
      </w:r>
      <w:r w:rsidRPr="006F3538">
        <w:rPr>
          <w:rFonts w:ascii="Palatino Linotype" w:eastAsia="Palatino Linotype" w:hAnsi="Palatino Linotype" w:cs="Palatino Linotype"/>
          <w:color w:val="000000" w:themeColor="text1"/>
          <w:sz w:val="24"/>
          <w:szCs w:val="24"/>
        </w:rPr>
        <w:t>r</w:t>
      </w:r>
      <w:r w:rsidRPr="006F3538">
        <w:rPr>
          <w:rFonts w:ascii="Palatino Linotype" w:eastAsia="Palatino Linotype" w:hAnsi="Palatino Linotype" w:cs="Palatino Linotype"/>
          <w:color w:val="000000" w:themeColor="text1"/>
          <w:sz w:val="24"/>
          <w:szCs w:val="24"/>
        </w:rPr>
        <w:t xml:space="preserve">elativa a </w:t>
      </w:r>
      <w:r w:rsidR="006F3538" w:rsidRPr="006F3538">
        <w:rPr>
          <w:rFonts w:ascii="Palatino Linotype" w:eastAsia="Palatino Linotype" w:hAnsi="Palatino Linotype" w:cs="Palatino Linotype"/>
          <w:sz w:val="24"/>
          <w:szCs w:val="24"/>
        </w:rPr>
        <w:t>todos y cada uno de los documentos que género y presentó la Titular de la Unidad de Transparencia de para su evaluación en materia de protección de datos personales que le permitieron ser parte de la primera generación en obtener certificado de protección de datos personales 2022</w:t>
      </w:r>
      <w:r w:rsidRPr="006F3538">
        <w:rPr>
          <w:rFonts w:ascii="Palatino Linotype" w:eastAsia="Palatino Linotype" w:hAnsi="Palatino Linotype" w:cs="Palatino Linotype"/>
          <w:sz w:val="24"/>
          <w:szCs w:val="24"/>
        </w:rPr>
        <w:t>, por ello la Suscrita estima que no resultaba procedente ordenar la emisión del acuerdo de incompetencia</w:t>
      </w:r>
      <w:r w:rsidRPr="006F3538">
        <w:rPr>
          <w:rFonts w:ascii="Palatino Linotype" w:eastAsia="Palatino Linotype" w:hAnsi="Palatino Linotype" w:cs="Palatino Linotype"/>
          <w:sz w:val="18"/>
          <w:szCs w:val="18"/>
        </w:rPr>
        <w:t>,</w:t>
      </w:r>
      <w:r w:rsidRPr="006F3538">
        <w:rPr>
          <w:rFonts w:ascii="Palatino Linotype" w:eastAsia="Palatino Linotype" w:hAnsi="Palatino Linotype" w:cs="Palatino Linotype"/>
          <w:sz w:val="24"/>
          <w:szCs w:val="24"/>
        </w:rPr>
        <w:t xml:space="preserve"> aun cuando la Unidad de Transparencia efectuó la declaración de la notoria incompetencia por parte del Sujeto Obligado para atender favorablemente la solicitud de información, de manera posterior a los tres días de haberse recibido la solicitud de informa</w:t>
      </w:r>
      <w:r w:rsidRPr="006F3538">
        <w:rPr>
          <w:rFonts w:ascii="Palatino Linotype" w:eastAsia="Palatino Linotype" w:hAnsi="Palatino Linotype" w:cs="Palatino Linotype"/>
          <w:sz w:val="24"/>
          <w:szCs w:val="24"/>
        </w:rPr>
        <w:t>ción.</w:t>
      </w:r>
    </w:p>
    <w:p w:rsidR="006F3538" w:rsidRPr="006F3538" w:rsidRDefault="006F3538">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rsidR="00FA41FF" w:rsidRDefault="005E2268">
      <w:pPr>
        <w:tabs>
          <w:tab w:val="left" w:pos="142"/>
          <w:tab w:val="left" w:pos="284"/>
        </w:tabs>
        <w:spacing w:before="240" w:after="240" w:line="360" w:lineRule="auto"/>
        <w:contextualSpacing/>
        <w:jc w:val="both"/>
        <w:rPr>
          <w:rFonts w:ascii="Palatino Linotype" w:eastAsia="Palatino Linotype" w:hAnsi="Palatino Linotype" w:cs="Palatino Linotype"/>
          <w:b/>
          <w:i/>
          <w:sz w:val="24"/>
          <w:szCs w:val="24"/>
          <w:u w:val="single"/>
        </w:rPr>
      </w:pPr>
      <w:r w:rsidRPr="006F3538">
        <w:rPr>
          <w:rFonts w:ascii="Palatino Linotype" w:eastAsia="Palatino Linotype" w:hAnsi="Palatino Linotype" w:cs="Palatino Linotype"/>
          <w:sz w:val="24"/>
          <w:szCs w:val="24"/>
        </w:rPr>
        <w:t>Lo anterior se estima así, en virtud de que, desde mi perspectiva, ordenar al Comité de Transparencia del Sujeto Obligado que sesione para que emita un acuerdo en el que confirme la declaratoria de incompetencia para garantizar el derecho de la parte</w:t>
      </w:r>
      <w:r w:rsidRPr="006F3538">
        <w:rPr>
          <w:rFonts w:ascii="Palatino Linotype" w:eastAsia="Palatino Linotype" w:hAnsi="Palatino Linotype" w:cs="Palatino Linotype"/>
          <w:sz w:val="24"/>
          <w:szCs w:val="24"/>
        </w:rPr>
        <w:t xml:space="preserve"> Recurrente dilata los plazos del procedimiento, genera una carga adicional al Sujeto Obligado, y ello no modifica el hecho de que la parte Recurrente no obtendrá la información que es de su interés por ésta vía, en virtud de que la propia ponencia ha dete</w:t>
      </w:r>
      <w:r w:rsidRPr="006F3538">
        <w:rPr>
          <w:rFonts w:ascii="Palatino Linotype" w:eastAsia="Palatino Linotype" w:hAnsi="Palatino Linotype" w:cs="Palatino Linotype"/>
          <w:sz w:val="24"/>
          <w:szCs w:val="24"/>
        </w:rPr>
        <w:t xml:space="preserve">rminado que </w:t>
      </w:r>
      <w:r w:rsidRPr="006F3538">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sidRPr="006F3538">
        <w:rPr>
          <w:b/>
          <w:i/>
          <w:sz w:val="24"/>
          <w:szCs w:val="24"/>
          <w:u w:val="single"/>
        </w:rPr>
        <w:t xml:space="preserve"> </w:t>
      </w:r>
      <w:r w:rsidRPr="006F3538">
        <w:rPr>
          <w:rFonts w:ascii="Palatino Linotype" w:eastAsia="Palatino Linotype" w:hAnsi="Palatino Linotype" w:cs="Palatino Linotype"/>
          <w:b/>
          <w:i/>
          <w:sz w:val="24"/>
          <w:szCs w:val="24"/>
          <w:u w:val="single"/>
        </w:rPr>
        <w:t xml:space="preserve">encuentra constreñido a </w:t>
      </w:r>
      <w:r w:rsidRPr="006F3538">
        <w:rPr>
          <w:rFonts w:ascii="Palatino Linotype" w:eastAsia="Palatino Linotype" w:hAnsi="Palatino Linotype" w:cs="Palatino Linotype"/>
          <w:b/>
          <w:i/>
          <w:sz w:val="24"/>
          <w:szCs w:val="24"/>
          <w:u w:val="single"/>
        </w:rPr>
        <w:lastRenderedPageBreak/>
        <w:t xml:space="preserve">entregar la información requerida ante la falta de atribuciones para generar, poseer o administrar </w:t>
      </w:r>
      <w:r w:rsidRPr="006F3538">
        <w:rPr>
          <w:rFonts w:ascii="Palatino Linotype" w:eastAsia="Palatino Linotype" w:hAnsi="Palatino Linotype" w:cs="Palatino Linotype"/>
          <w:b/>
          <w:i/>
          <w:sz w:val="24"/>
          <w:szCs w:val="24"/>
          <w:u w:val="single"/>
        </w:rPr>
        <w:t xml:space="preserve">lo solicitado. </w:t>
      </w:r>
    </w:p>
    <w:p w:rsidR="006F3538" w:rsidRPr="006F3538" w:rsidRDefault="006F3538">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rsidR="00FA41FF" w:rsidRDefault="005E2268">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instruir al Comité de Transparencia para que sesione y emita una resolución en la que se confirme una notoria incompetencia que ya fue declarada por el Sujeto Obligado y analizada por este Organismo Garante, se aparta de los princ</w:t>
      </w:r>
      <w:r>
        <w:rPr>
          <w:rFonts w:ascii="Palatino Linotype" w:eastAsia="Palatino Linotype" w:hAnsi="Palatino Linotype" w:cs="Palatino Linotype"/>
          <w:sz w:val="24"/>
          <w:szCs w:val="24"/>
        </w:rPr>
        <w:t xml:space="preserve">ipios de sencillez y rapidez establecidos por la Ley de Transparencia y Acceso a la Información Pública del Estado de México y Municipios, en sus artículos 2, fracciones II y III, 21 y 150. </w:t>
      </w:r>
    </w:p>
    <w:p w:rsidR="00FA41FF" w:rsidRDefault="00FA41FF">
      <w:pPr>
        <w:tabs>
          <w:tab w:val="left" w:pos="142"/>
          <w:tab w:val="left" w:pos="284"/>
        </w:tabs>
        <w:spacing w:after="0" w:line="360" w:lineRule="auto"/>
        <w:jc w:val="both"/>
        <w:rPr>
          <w:rFonts w:ascii="Palatino Linotype" w:eastAsia="Palatino Linotype" w:hAnsi="Palatino Linotype" w:cs="Palatino Linotype"/>
          <w:sz w:val="24"/>
          <w:szCs w:val="24"/>
        </w:rPr>
      </w:pPr>
    </w:p>
    <w:p w:rsidR="00FA41FF" w:rsidRDefault="005E2268">
      <w:pPr>
        <w:spacing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w:t>
      </w:r>
      <w:r>
        <w:rPr>
          <w:rFonts w:ascii="Palatino Linotype" w:eastAsia="Palatino Linotype" w:hAnsi="Palatino Linotype" w:cs="Palatino Linotype"/>
          <w:sz w:val="24"/>
          <w:szCs w:val="24"/>
        </w:rPr>
        <w:t>omparte el sentido de la resolución, y formula el presente voto disidente.</w:t>
      </w:r>
    </w:p>
    <w:p w:rsidR="00FA41FF" w:rsidRDefault="00FA41F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FA41FF" w:rsidRDefault="00FA41F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FA41FF" w:rsidRDefault="00FA41FF">
      <w:pPr>
        <w:spacing w:before="240" w:after="240" w:line="360" w:lineRule="auto"/>
        <w:ind w:right="139"/>
        <w:jc w:val="both"/>
        <w:rPr>
          <w:rFonts w:ascii="Palatino Linotype" w:eastAsia="Palatino Linotype" w:hAnsi="Palatino Linotype" w:cs="Palatino Linotype"/>
          <w:sz w:val="24"/>
          <w:szCs w:val="24"/>
        </w:rPr>
      </w:pPr>
    </w:p>
    <w:p w:rsidR="00FA41FF" w:rsidRDefault="00FA41FF">
      <w:pPr>
        <w:spacing w:before="240" w:after="240" w:line="360" w:lineRule="auto"/>
        <w:ind w:right="139"/>
        <w:jc w:val="both"/>
        <w:rPr>
          <w:rFonts w:ascii="Palatino Linotype" w:eastAsia="Palatino Linotype" w:hAnsi="Palatino Linotype" w:cs="Palatino Linotype"/>
          <w:sz w:val="24"/>
          <w:szCs w:val="24"/>
        </w:rPr>
      </w:pPr>
    </w:p>
    <w:p w:rsidR="00FA41FF" w:rsidRDefault="00FA41FF">
      <w:pPr>
        <w:spacing w:before="240" w:after="240" w:line="360" w:lineRule="auto"/>
        <w:ind w:right="139"/>
        <w:jc w:val="both"/>
        <w:rPr>
          <w:rFonts w:ascii="Palatino Linotype" w:eastAsia="Palatino Linotype" w:hAnsi="Palatino Linotype" w:cs="Palatino Linotype"/>
          <w:sz w:val="24"/>
          <w:szCs w:val="24"/>
        </w:rPr>
      </w:pPr>
    </w:p>
    <w:p w:rsidR="00FA41FF" w:rsidRDefault="00FA41FF">
      <w:pPr>
        <w:spacing w:before="240" w:after="240" w:line="360" w:lineRule="auto"/>
        <w:ind w:right="139"/>
        <w:jc w:val="both"/>
        <w:rPr>
          <w:rFonts w:ascii="Palatino Linotype" w:eastAsia="Palatino Linotype" w:hAnsi="Palatino Linotype" w:cs="Palatino Linotype"/>
          <w:sz w:val="24"/>
          <w:szCs w:val="24"/>
        </w:rPr>
      </w:pPr>
    </w:p>
    <w:p w:rsidR="00FA41FF" w:rsidRDefault="00FA41FF">
      <w:pPr>
        <w:spacing w:before="240" w:after="240" w:line="360" w:lineRule="auto"/>
        <w:ind w:right="139"/>
        <w:jc w:val="both"/>
        <w:rPr>
          <w:rFonts w:ascii="Palatino Linotype" w:eastAsia="Palatino Linotype" w:hAnsi="Palatino Linotype" w:cs="Palatino Linotype"/>
          <w:sz w:val="24"/>
          <w:szCs w:val="24"/>
        </w:rPr>
      </w:pPr>
    </w:p>
    <w:p w:rsidR="00FA41FF" w:rsidRDefault="00FA41FF">
      <w:pPr>
        <w:spacing w:before="240" w:after="240" w:line="360" w:lineRule="auto"/>
        <w:ind w:right="139"/>
        <w:jc w:val="both"/>
        <w:rPr>
          <w:rFonts w:ascii="Palatino Linotype" w:eastAsia="Palatino Linotype" w:hAnsi="Palatino Linotype" w:cs="Palatino Linotype"/>
          <w:sz w:val="24"/>
          <w:szCs w:val="24"/>
        </w:rPr>
      </w:pPr>
    </w:p>
    <w:p w:rsidR="00FA41FF" w:rsidRDefault="00FA41FF"/>
    <w:sectPr w:rsidR="00FA41FF">
      <w:headerReference w:type="default" r:id="rId7"/>
      <w:footerReference w:type="default" r:id="rId8"/>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2268">
      <w:pPr>
        <w:spacing w:after="0" w:line="240" w:lineRule="auto"/>
      </w:pPr>
      <w:r>
        <w:separator/>
      </w:r>
    </w:p>
  </w:endnote>
  <w:endnote w:type="continuationSeparator" w:id="0">
    <w:p w:rsidR="00000000" w:rsidRDefault="005E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FF" w:rsidRDefault="005E226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6F3538">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6F3538">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p>
  <w:p w:rsidR="00FA41FF" w:rsidRDefault="00FA41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2268">
      <w:pPr>
        <w:spacing w:after="0" w:line="240" w:lineRule="auto"/>
      </w:pPr>
      <w:r>
        <w:separator/>
      </w:r>
    </w:p>
  </w:footnote>
  <w:footnote w:type="continuationSeparator" w:id="0">
    <w:p w:rsidR="00000000" w:rsidRDefault="005E2268">
      <w:pPr>
        <w:spacing w:after="0" w:line="240" w:lineRule="auto"/>
      </w:pPr>
      <w:r>
        <w:continuationSeparator/>
      </w:r>
    </w:p>
  </w:footnote>
  <w:footnote w:id="1">
    <w:p w:rsidR="00FA41FF" w:rsidRDefault="005E2268">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FA41FF" w:rsidRDefault="005E2268">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w:t>
      </w:r>
      <w:r>
        <w:rPr>
          <w:rFonts w:ascii="Palatino Linotype" w:eastAsia="Palatino Linotype" w:hAnsi="Palatino Linotype" w:cs="Palatino Linotype"/>
          <w:color w:val="000000"/>
          <w:sz w:val="16"/>
          <w:szCs w:val="16"/>
        </w:rPr>
        <w:t>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FF" w:rsidRDefault="005E226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-952496</wp:posOffset>
          </wp:positionH>
          <wp:positionV relativeFrom="paragraph">
            <wp:posOffset>-568957</wp:posOffset>
          </wp:positionV>
          <wp:extent cx="7510628" cy="988377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FA41FF" w:rsidRDefault="005E226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15621/INFOEM/IP/RR/2022</w:t>
    </w:r>
  </w:p>
  <w:p w:rsidR="00FA41FF" w:rsidRDefault="00FA41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FF"/>
    <w:rsid w:val="005E2268"/>
    <w:rsid w:val="006F3538"/>
    <w:rsid w:val="00FA4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A8833-2C55-4932-BDAC-089DF888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1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54E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E15"/>
    <w:rPr>
      <w:rFonts w:ascii="Calibri" w:eastAsia="Calibri" w:hAnsi="Calibri" w:cs="Calibri"/>
      <w:lang w:eastAsia="es-MX"/>
    </w:rPr>
  </w:style>
  <w:style w:type="paragraph" w:styleId="Piedepgina">
    <w:name w:val="footer"/>
    <w:basedOn w:val="Normal"/>
    <w:link w:val="PiedepginaCar"/>
    <w:uiPriority w:val="99"/>
    <w:unhideWhenUsed/>
    <w:rsid w:val="00254E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E15"/>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SCfwgNys5Iok0p6En+QFFDNc9w==">AMUW2mWzALu1WtWagGgy2k6gMjgieP7mxaHmulNPiKAm6BJWr3cm0r9J6OL4BjYOZ4oMyPleIoL5VotTAql4faRPUXnkRxKiju/L0BNQbaS6eyuCnAWMN31qfLbHJkFHeNb+Ke3PqERc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2362</Words>
  <Characters>12995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2022-12-19T19:43:00Z</cp:lastPrinted>
  <dcterms:created xsi:type="dcterms:W3CDTF">2022-12-19T19:43:00Z</dcterms:created>
  <dcterms:modified xsi:type="dcterms:W3CDTF">2022-12-19T19:46:00Z</dcterms:modified>
</cp:coreProperties>
</file>