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B934D" w14:textId="0EF5E0C2" w:rsidR="004536B0" w:rsidRPr="00C03C75" w:rsidRDefault="004536B0" w:rsidP="00625997">
      <w:pPr>
        <w:spacing w:after="0" w:line="360" w:lineRule="auto"/>
        <w:ind w:right="-93"/>
        <w:contextualSpacing/>
        <w:jc w:val="both"/>
        <w:rPr>
          <w:rFonts w:ascii="Palatino Linotype" w:hAnsi="Palatino Linotype"/>
        </w:rPr>
      </w:pPr>
      <w:r w:rsidRPr="00C03C75">
        <w:rPr>
          <w:rFonts w:ascii="Palatino Linotype" w:hAnsi="Palatino Linotype" w:cs="Tahoma"/>
          <w:b/>
        </w:rPr>
        <w:t>VOTO DISIDENTE QUE FORMULA</w:t>
      </w:r>
      <w:r w:rsidR="00AE5BB7">
        <w:rPr>
          <w:rFonts w:ascii="Palatino Linotype" w:hAnsi="Palatino Linotype" w:cs="Tahoma"/>
          <w:b/>
        </w:rPr>
        <w:t>N</w:t>
      </w:r>
      <w:r w:rsidRPr="00C03C75">
        <w:rPr>
          <w:rFonts w:ascii="Palatino Linotype" w:hAnsi="Palatino Linotype" w:cs="Tahoma"/>
          <w:b/>
        </w:rPr>
        <w:t xml:space="preserve"> </w:t>
      </w:r>
      <w:r w:rsidR="00AE5BB7">
        <w:rPr>
          <w:rFonts w:ascii="Palatino Linotype" w:hAnsi="Palatino Linotype" w:cs="Tahoma"/>
          <w:b/>
        </w:rPr>
        <w:t>LOS</w:t>
      </w:r>
      <w:r w:rsidRPr="00C03C75">
        <w:rPr>
          <w:rFonts w:ascii="Palatino Linotype" w:hAnsi="Palatino Linotype" w:cs="Tahoma"/>
          <w:b/>
        </w:rPr>
        <w:t xml:space="preserve"> COMISIONADO</w:t>
      </w:r>
      <w:r w:rsidR="00AE5BB7">
        <w:rPr>
          <w:rFonts w:ascii="Palatino Linotype" w:hAnsi="Palatino Linotype" w:cs="Tahoma"/>
          <w:b/>
        </w:rPr>
        <w:t xml:space="preserve">S GUADALUPE </w:t>
      </w:r>
      <w:r w:rsidR="00266E13" w:rsidRPr="00266E13">
        <w:rPr>
          <w:rFonts w:ascii="Palatino Linotype" w:hAnsi="Palatino Linotype" w:cs="Tahoma"/>
          <w:b/>
        </w:rPr>
        <w:t>RAMÍREZ PEÑ</w:t>
      </w:r>
      <w:r w:rsidR="00266E13">
        <w:rPr>
          <w:rFonts w:ascii="Palatino Linotype" w:hAnsi="Palatino Linotype" w:cs="Tahoma"/>
          <w:b/>
        </w:rPr>
        <w:t>A Y</w:t>
      </w:r>
      <w:r w:rsidR="00266E13" w:rsidRPr="00C03C75">
        <w:rPr>
          <w:rFonts w:ascii="Palatino Linotype" w:hAnsi="Palatino Linotype" w:cs="Tahoma"/>
          <w:b/>
        </w:rPr>
        <w:t xml:space="preserve"> LUIS </w:t>
      </w:r>
      <w:r w:rsidRPr="00C03C75">
        <w:rPr>
          <w:rFonts w:ascii="Palatino Linotype" w:hAnsi="Palatino Linotype" w:cs="Tahoma"/>
          <w:b/>
        </w:rPr>
        <w:t xml:space="preserve">GUSTAVO PARRA NORIEGA, A LA RESOLUCIÓN DEL RECURSO DE REVISIÓN </w:t>
      </w:r>
      <w:r w:rsidR="00266E13" w:rsidRPr="00266E13">
        <w:rPr>
          <w:rFonts w:ascii="Palatino Linotype" w:hAnsi="Palatino Linotype" w:cs="Tahoma"/>
          <w:b/>
        </w:rPr>
        <w:t>11207/INFOEM/IP/RR/2022</w:t>
      </w:r>
      <w:r w:rsidRPr="00C03C75">
        <w:rPr>
          <w:rFonts w:ascii="Palatino Linotype" w:hAnsi="Palatino Linotype" w:cs="Tahoma"/>
          <w:b/>
        </w:rPr>
        <w:t xml:space="preserve">, PROMOVIDO EN CONTRA </w:t>
      </w:r>
      <w:r w:rsidR="00833E82">
        <w:rPr>
          <w:rFonts w:ascii="Palatino Linotype" w:hAnsi="Palatino Linotype" w:cs="Tahoma"/>
          <w:b/>
        </w:rPr>
        <w:t xml:space="preserve">DEL </w:t>
      </w:r>
      <w:r w:rsidR="00266E13" w:rsidRPr="00266E13">
        <w:rPr>
          <w:rFonts w:ascii="Palatino Linotype" w:hAnsi="Palatino Linotype" w:cs="Tahoma"/>
          <w:b/>
        </w:rPr>
        <w:t>PODER LEGISLATIVO</w:t>
      </w:r>
      <w:r w:rsidR="00266E13">
        <w:rPr>
          <w:rFonts w:ascii="Palatino Linotype" w:hAnsi="Palatino Linotype" w:cs="Tahoma"/>
          <w:b/>
        </w:rPr>
        <w:t>.</w:t>
      </w:r>
    </w:p>
    <w:p w14:paraId="647ECAF6" w14:textId="77777777" w:rsidR="004536B0" w:rsidRPr="00C03C75" w:rsidRDefault="004536B0" w:rsidP="00625997">
      <w:pPr>
        <w:spacing w:after="0" w:line="360" w:lineRule="auto"/>
        <w:ind w:right="-93"/>
        <w:contextualSpacing/>
        <w:jc w:val="both"/>
        <w:rPr>
          <w:rFonts w:ascii="Palatino Linotype" w:hAnsi="Palatino Linotype"/>
        </w:rPr>
      </w:pPr>
    </w:p>
    <w:p w14:paraId="6F3D1EF9" w14:textId="04D3BCAB" w:rsidR="004536B0" w:rsidRPr="00C03C75" w:rsidRDefault="004536B0" w:rsidP="00961459">
      <w:pPr>
        <w:spacing w:after="0" w:line="360" w:lineRule="auto"/>
        <w:ind w:right="-93"/>
        <w:contextualSpacing/>
        <w:jc w:val="both"/>
        <w:rPr>
          <w:rFonts w:ascii="Palatino Linotype" w:hAnsi="Palatino Linotype"/>
        </w:rPr>
      </w:pPr>
      <w:r w:rsidRPr="00C03C75">
        <w:rPr>
          <w:rFonts w:ascii="Palatino Linotype" w:hAnsi="Palatino Linotype"/>
        </w:rPr>
        <w:t>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emit</w:t>
      </w:r>
      <w:r w:rsidR="00960472">
        <w:rPr>
          <w:rFonts w:ascii="Palatino Linotype" w:hAnsi="Palatino Linotype"/>
        </w:rPr>
        <w:t>imos</w:t>
      </w:r>
      <w:r w:rsidRPr="00C03C75">
        <w:rPr>
          <w:rFonts w:ascii="Palatino Linotype" w:hAnsi="Palatino Linotype"/>
        </w:rPr>
        <w:t xml:space="preserve"> el presente </w:t>
      </w:r>
      <w:r w:rsidRPr="00961459">
        <w:rPr>
          <w:rFonts w:ascii="Palatino Linotype" w:hAnsi="Palatino Linotype"/>
          <w:b/>
          <w:bCs/>
        </w:rPr>
        <w:t>Voto Disidente</w:t>
      </w:r>
      <w:r w:rsidRPr="00C03C75">
        <w:rPr>
          <w:rFonts w:ascii="Palatino Linotype" w:hAnsi="Palatino Linotype"/>
        </w:rPr>
        <w:t xml:space="preserve"> </w:t>
      </w:r>
      <w:r w:rsidR="00961459" w:rsidRPr="00961459">
        <w:rPr>
          <w:rFonts w:ascii="Palatino Linotype" w:hAnsi="Palatino Linotype"/>
        </w:rPr>
        <w:t>por no compartir las consideraciones que sustentan la</w:t>
      </w:r>
      <w:r w:rsidR="00961459">
        <w:rPr>
          <w:rFonts w:ascii="Palatino Linotype" w:hAnsi="Palatino Linotype"/>
        </w:rPr>
        <w:t xml:space="preserve"> </w:t>
      </w:r>
      <w:r w:rsidR="00961459" w:rsidRPr="00961459">
        <w:rPr>
          <w:rFonts w:ascii="Palatino Linotype" w:hAnsi="Palatino Linotype"/>
        </w:rPr>
        <w:t>Resolución del Recurso de Revisión</w:t>
      </w:r>
      <w:r w:rsidR="00961459">
        <w:rPr>
          <w:rFonts w:ascii="Palatino Linotype" w:hAnsi="Palatino Linotype"/>
        </w:rPr>
        <w:t xml:space="preserve"> </w:t>
      </w:r>
      <w:r w:rsidR="00961459" w:rsidRPr="00961459">
        <w:rPr>
          <w:rFonts w:ascii="Palatino Linotype" w:hAnsi="Palatino Linotype"/>
          <w:b/>
          <w:bCs/>
        </w:rPr>
        <w:t>11207/INFOEM/IP/RR/2022.</w:t>
      </w:r>
    </w:p>
    <w:p w14:paraId="16DA2DF8" w14:textId="77777777" w:rsidR="004536B0" w:rsidRPr="00C03C75" w:rsidRDefault="004536B0" w:rsidP="00625997">
      <w:pPr>
        <w:spacing w:after="0" w:line="360" w:lineRule="auto"/>
        <w:ind w:right="-93"/>
        <w:contextualSpacing/>
        <w:jc w:val="both"/>
        <w:rPr>
          <w:rFonts w:ascii="Palatino Linotype" w:hAnsi="Palatino Linotype"/>
        </w:rPr>
      </w:pPr>
    </w:p>
    <w:p w14:paraId="4D273078" w14:textId="2DF8E880" w:rsidR="00625997" w:rsidRPr="00960472" w:rsidRDefault="004536B0" w:rsidP="00625997">
      <w:pPr>
        <w:spacing w:after="0" w:line="360" w:lineRule="auto"/>
        <w:ind w:right="-93"/>
        <w:contextualSpacing/>
        <w:jc w:val="both"/>
        <w:rPr>
          <w:rFonts w:ascii="Palatino Linotype" w:hAnsi="Palatino Linotype"/>
          <w:b/>
        </w:rPr>
      </w:pPr>
      <w:r w:rsidRPr="00C03C75">
        <w:rPr>
          <w:rFonts w:ascii="Palatino Linotype" w:hAnsi="Palatino Linotype"/>
        </w:rPr>
        <w:t>Como se desprende de la Resolución que nos ocupa, el Solicitante requiri</w:t>
      </w:r>
      <w:r w:rsidR="00017788">
        <w:rPr>
          <w:rFonts w:ascii="Palatino Linotype" w:hAnsi="Palatino Linotype"/>
        </w:rPr>
        <w:t xml:space="preserve">ó el informe trimestral del Ayuntamiento de Toluca </w:t>
      </w:r>
      <w:r w:rsidR="0022066B">
        <w:rPr>
          <w:rFonts w:ascii="Palatino Linotype" w:hAnsi="Palatino Linotype"/>
        </w:rPr>
        <w:t xml:space="preserve">con el listado de los servidores públicos  sindicalizados, </w:t>
      </w:r>
      <w:r w:rsidR="00693432">
        <w:rPr>
          <w:rFonts w:ascii="Palatino Linotype" w:hAnsi="Palatino Linotype"/>
        </w:rPr>
        <w:t xml:space="preserve">sus respectivos </w:t>
      </w:r>
      <w:r w:rsidR="0022066B">
        <w:rPr>
          <w:rFonts w:ascii="Palatino Linotype" w:hAnsi="Palatino Linotype"/>
        </w:rPr>
        <w:t>recibos de pago de la primera y segunda quincena de marzo de dos mil veintidós</w:t>
      </w:r>
      <w:r w:rsidR="00693432">
        <w:rPr>
          <w:rFonts w:ascii="Palatino Linotype" w:hAnsi="Palatino Linotype"/>
        </w:rPr>
        <w:t xml:space="preserve"> y el convenio sindical vigente </w:t>
      </w:r>
      <w:r w:rsidR="002C289B">
        <w:rPr>
          <w:rFonts w:ascii="Palatino Linotype" w:hAnsi="Palatino Linotype"/>
        </w:rPr>
        <w:t xml:space="preserve">entre el </w:t>
      </w:r>
      <w:r w:rsidR="002C289B" w:rsidRPr="002C289B">
        <w:rPr>
          <w:rFonts w:ascii="Palatino Linotype" w:hAnsi="Palatino Linotype"/>
        </w:rPr>
        <w:t>Sindicato Único de Trabajadores de los Poderes, Municipios e Instituciones Descentralizadas del Estado de México</w:t>
      </w:r>
      <w:r w:rsidR="002C289B">
        <w:rPr>
          <w:rFonts w:ascii="Palatino Linotype" w:hAnsi="Palatino Linotype"/>
        </w:rPr>
        <w:t xml:space="preserve"> y el Ayuntamiento de Toluca</w:t>
      </w:r>
      <w:r w:rsidR="006712A1">
        <w:rPr>
          <w:rFonts w:ascii="Palatino Linotype" w:hAnsi="Palatino Linotype"/>
        </w:rPr>
        <w:t xml:space="preserve">; en respuesta el Sujeto Obligado </w:t>
      </w:r>
      <w:r w:rsidR="006C24E8">
        <w:rPr>
          <w:rFonts w:ascii="Palatino Linotype" w:hAnsi="Palatino Linotype"/>
        </w:rPr>
        <w:t>manifestó que la información se debe solicitar al Ayuntamiento de Toluca por ser el Sujeto Obligado que la generó, además</w:t>
      </w:r>
      <w:r w:rsidR="001C65B2">
        <w:rPr>
          <w:rFonts w:ascii="Palatino Linotype" w:hAnsi="Palatino Linotype"/>
        </w:rPr>
        <w:t xml:space="preserve"> señaló que</w:t>
      </w:r>
      <w:r w:rsidR="006C24E8">
        <w:rPr>
          <w:rFonts w:ascii="Palatino Linotype" w:hAnsi="Palatino Linotype"/>
        </w:rPr>
        <w:t xml:space="preserve"> el Órgano Superior de Fiscalización </w:t>
      </w:r>
      <w:r w:rsidR="001C65B2">
        <w:rPr>
          <w:rFonts w:ascii="Palatino Linotype" w:hAnsi="Palatino Linotype"/>
        </w:rPr>
        <w:t>se encuentra impedido a proporcionar la información por considerarse reserva en complimiento de las funciones de fisca</w:t>
      </w:r>
      <w:r w:rsidR="00960472">
        <w:rPr>
          <w:rFonts w:ascii="Palatino Linotype" w:hAnsi="Palatino Linotype"/>
        </w:rPr>
        <w:t xml:space="preserve">lización, es de resaltar que </w:t>
      </w:r>
      <w:r w:rsidR="00960472">
        <w:rPr>
          <w:rFonts w:ascii="Palatino Linotype" w:hAnsi="Palatino Linotype"/>
          <w:b/>
        </w:rPr>
        <w:t xml:space="preserve">no entregó un acuerdo de clasificación emitido por su Comité de </w:t>
      </w:r>
      <w:r w:rsidR="00960472">
        <w:rPr>
          <w:rFonts w:ascii="Palatino Linotype" w:hAnsi="Palatino Linotype"/>
          <w:b/>
        </w:rPr>
        <w:lastRenderedPageBreak/>
        <w:t>Transparencia, en el que se fundara y motivara la restricción del derecho humano de acceso a la información.</w:t>
      </w:r>
    </w:p>
    <w:p w14:paraId="7533C708" w14:textId="77777777" w:rsidR="002F6D99" w:rsidRDefault="002F6D99" w:rsidP="00F5795E">
      <w:pPr>
        <w:spacing w:after="0" w:line="360" w:lineRule="auto"/>
        <w:ind w:left="567" w:right="-234"/>
        <w:contextualSpacing/>
        <w:jc w:val="both"/>
        <w:rPr>
          <w:rFonts w:ascii="Palatino Linotype" w:hAnsi="Palatino Linotype"/>
          <w:i/>
          <w:color w:val="000000"/>
        </w:rPr>
      </w:pPr>
    </w:p>
    <w:p w14:paraId="5E677EC8" w14:textId="4ED5A765" w:rsidR="002F6D99" w:rsidRDefault="002F6D99" w:rsidP="00F5795E">
      <w:pPr>
        <w:spacing w:after="0" w:line="360" w:lineRule="auto"/>
        <w:ind w:right="-234"/>
        <w:contextualSpacing/>
        <w:jc w:val="both"/>
        <w:rPr>
          <w:rFonts w:ascii="Palatino Linotype" w:hAnsi="Palatino Linotype" w:cs="Arial"/>
          <w:lang w:eastAsia="es-CO"/>
        </w:rPr>
      </w:pPr>
      <w:r w:rsidRPr="00C03C75">
        <w:rPr>
          <w:rFonts w:ascii="Palatino Linotype" w:hAnsi="Palatino Linotype"/>
        </w:rPr>
        <w:t xml:space="preserve">En ese contexto, la mayoría del Pleno consideró </w:t>
      </w:r>
      <w:r w:rsidR="00263234">
        <w:rPr>
          <w:rFonts w:ascii="Palatino Linotype" w:hAnsi="Palatino Linotype"/>
        </w:rPr>
        <w:t xml:space="preserve">procedente </w:t>
      </w:r>
      <w:r w:rsidR="00450945">
        <w:rPr>
          <w:rFonts w:ascii="Palatino Linotype" w:hAnsi="Palatino Linotype"/>
        </w:rPr>
        <w:t>confirmar</w:t>
      </w:r>
      <w:r w:rsidR="00F5512C">
        <w:rPr>
          <w:rFonts w:ascii="Palatino Linotype" w:hAnsi="Palatino Linotype"/>
        </w:rPr>
        <w:t xml:space="preserve"> la respuesta del Sujeto Obligado</w:t>
      </w:r>
      <w:r w:rsidR="002B4442">
        <w:rPr>
          <w:rFonts w:ascii="Palatino Linotype" w:hAnsi="Palatino Linotype"/>
        </w:rPr>
        <w:t xml:space="preserve">, toda vez que el Poder Legislativo, no se encuentra </w:t>
      </w:r>
      <w:r w:rsidR="00426C3C">
        <w:rPr>
          <w:rFonts w:ascii="Palatino Linotype" w:hAnsi="Palatino Linotype"/>
        </w:rPr>
        <w:t xml:space="preserve">aún en tiempo para responder favorablemente la solicitud de acceso a la información, </w:t>
      </w:r>
      <w:r w:rsidR="002B4442">
        <w:rPr>
          <w:rFonts w:ascii="Palatino Linotype" w:hAnsi="Palatino Linotype"/>
        </w:rPr>
        <w:t xml:space="preserve">en ese sentido, </w:t>
      </w:r>
      <w:r w:rsidR="00426C3C">
        <w:rPr>
          <w:rFonts w:ascii="Palatino Linotype" w:hAnsi="Palatino Linotype"/>
        </w:rPr>
        <w:t xml:space="preserve">desde </w:t>
      </w:r>
      <w:r w:rsidR="00201441">
        <w:rPr>
          <w:rFonts w:ascii="Palatino Linotype" w:hAnsi="Palatino Linotype"/>
        </w:rPr>
        <w:t xml:space="preserve">nuestra </w:t>
      </w:r>
      <w:r w:rsidR="00426C3C">
        <w:rPr>
          <w:rFonts w:ascii="Palatino Linotype" w:hAnsi="Palatino Linotype"/>
        </w:rPr>
        <w:t xml:space="preserve">perspectiva </w:t>
      </w:r>
      <w:r w:rsidR="002B4442">
        <w:rPr>
          <w:rFonts w:ascii="Palatino Linotype" w:hAnsi="Palatino Linotype"/>
        </w:rPr>
        <w:t xml:space="preserve">se debió </w:t>
      </w:r>
      <w:r w:rsidR="0000576A">
        <w:rPr>
          <w:rFonts w:ascii="Palatino Linotype" w:hAnsi="Palatino Linotype"/>
        </w:rPr>
        <w:t>revocar</w:t>
      </w:r>
      <w:r w:rsidR="002B4442">
        <w:rPr>
          <w:rFonts w:ascii="Palatino Linotype" w:hAnsi="Palatino Linotype"/>
        </w:rPr>
        <w:t xml:space="preserve"> la respuesta y ordenar la entrega de la información en versión pública por las siguientes consideraciones</w:t>
      </w:r>
      <w:r w:rsidR="00426C3C">
        <w:rPr>
          <w:rFonts w:ascii="Palatino Linotype" w:hAnsi="Palatino Linotype"/>
        </w:rPr>
        <w:t xml:space="preserve">: </w:t>
      </w:r>
    </w:p>
    <w:p w14:paraId="4377A8AE" w14:textId="77777777" w:rsidR="002F6D99" w:rsidRDefault="002F6D99" w:rsidP="00426C3C">
      <w:pPr>
        <w:spacing w:after="0" w:line="360" w:lineRule="auto"/>
        <w:ind w:right="333"/>
        <w:contextualSpacing/>
        <w:jc w:val="both"/>
        <w:rPr>
          <w:rFonts w:ascii="Palatino Linotype" w:hAnsi="Palatino Linotype"/>
          <w:i/>
          <w:color w:val="000000"/>
        </w:rPr>
      </w:pPr>
    </w:p>
    <w:p w14:paraId="4C8BA568" w14:textId="561265D6" w:rsidR="009F0953" w:rsidRDefault="009F0953" w:rsidP="009F0953">
      <w:pPr>
        <w:spacing w:after="0" w:line="360" w:lineRule="auto"/>
        <w:ind w:right="-234"/>
        <w:contextualSpacing/>
        <w:jc w:val="both"/>
        <w:rPr>
          <w:rFonts w:ascii="Palatino Linotype" w:hAnsi="Palatino Linotype"/>
          <w:color w:val="000000"/>
        </w:rPr>
      </w:pPr>
      <w:r>
        <w:rPr>
          <w:rFonts w:ascii="Palatino Linotype" w:hAnsi="Palatino Linotype"/>
          <w:color w:val="000000"/>
        </w:rPr>
        <w:t xml:space="preserve">En primer </w:t>
      </w:r>
      <w:r w:rsidR="005E48EE">
        <w:rPr>
          <w:rFonts w:ascii="Palatino Linotype" w:hAnsi="Palatino Linotype"/>
          <w:color w:val="000000"/>
        </w:rPr>
        <w:t>término,</w:t>
      </w:r>
      <w:r>
        <w:rPr>
          <w:rFonts w:ascii="Palatino Linotype" w:hAnsi="Palatino Linotype"/>
          <w:color w:val="000000"/>
        </w:rPr>
        <w:t xml:space="preserve"> es </w:t>
      </w:r>
      <w:r w:rsidR="00F928B5">
        <w:rPr>
          <w:rFonts w:ascii="Palatino Linotype" w:hAnsi="Palatino Linotype"/>
          <w:color w:val="000000"/>
        </w:rPr>
        <w:t xml:space="preserve">necesario determinar la competencia del Sujeto Obligado para proporcionar la información requerida por el </w:t>
      </w:r>
      <w:r w:rsidR="0000576A">
        <w:rPr>
          <w:rFonts w:ascii="Palatino Linotype" w:hAnsi="Palatino Linotype"/>
          <w:color w:val="000000"/>
        </w:rPr>
        <w:t>P</w:t>
      </w:r>
      <w:r w:rsidR="00F928B5">
        <w:rPr>
          <w:rFonts w:ascii="Palatino Linotype" w:hAnsi="Palatino Linotype"/>
          <w:color w:val="000000"/>
        </w:rPr>
        <w:t xml:space="preserve">articular, en ese sentido, el artículo 61, fracción XXXII de la Constitución Política del Estado Libre y Soberano de México, precisa que la Legislatura </w:t>
      </w:r>
      <w:r w:rsidR="00FB7E62">
        <w:rPr>
          <w:rFonts w:ascii="Palatino Linotype" w:hAnsi="Palatino Linotype"/>
          <w:color w:val="000000"/>
        </w:rPr>
        <w:t>podrá revisar, fiscalizar y calificar las cuentas públicas del Estado y los Municipios, del año anterior y para tal efecto contará con un Órgano Superior de Fiscalización</w:t>
      </w:r>
      <w:r w:rsidR="005E48EE">
        <w:rPr>
          <w:rFonts w:ascii="Palatino Linotype" w:hAnsi="Palatino Linotype"/>
          <w:color w:val="000000"/>
        </w:rPr>
        <w:t>.</w:t>
      </w:r>
    </w:p>
    <w:p w14:paraId="241C0E50" w14:textId="77777777" w:rsidR="009F0953" w:rsidRDefault="009F0953" w:rsidP="0016348D">
      <w:pPr>
        <w:spacing w:after="0" w:line="360" w:lineRule="auto"/>
        <w:contextualSpacing/>
        <w:jc w:val="both"/>
        <w:rPr>
          <w:rFonts w:ascii="Palatino Linotype" w:hAnsi="Palatino Linotype"/>
          <w:i/>
          <w:color w:val="000000"/>
        </w:rPr>
      </w:pPr>
    </w:p>
    <w:p w14:paraId="4779E896" w14:textId="3BD989FF" w:rsidR="009F0953" w:rsidRDefault="005E48EE" w:rsidP="00D83B63">
      <w:pPr>
        <w:spacing w:after="0" w:line="360" w:lineRule="auto"/>
        <w:ind w:right="-232"/>
        <w:contextualSpacing/>
        <w:jc w:val="both"/>
        <w:rPr>
          <w:rFonts w:ascii="Palatino Linotype" w:hAnsi="Palatino Linotype"/>
          <w:iCs/>
          <w:color w:val="000000"/>
        </w:rPr>
      </w:pPr>
      <w:r>
        <w:rPr>
          <w:rFonts w:ascii="Palatino Linotype" w:hAnsi="Palatino Linotype"/>
          <w:iCs/>
          <w:color w:val="000000"/>
        </w:rPr>
        <w:t xml:space="preserve">Así mismo, los artículos 94, fracción I y 95 de la Ley Orgánica del Poder Legislativo del </w:t>
      </w:r>
      <w:r w:rsidR="0000576A">
        <w:rPr>
          <w:rFonts w:ascii="Palatino Linotype" w:hAnsi="Palatino Linotype"/>
          <w:iCs/>
          <w:color w:val="000000"/>
        </w:rPr>
        <w:t>E</w:t>
      </w:r>
      <w:r>
        <w:rPr>
          <w:rFonts w:ascii="Palatino Linotype" w:hAnsi="Palatino Linotype"/>
          <w:iCs/>
          <w:color w:val="000000"/>
        </w:rPr>
        <w:t>stado Libre y Soberano de México, establece</w:t>
      </w:r>
      <w:r w:rsidR="0000576A">
        <w:rPr>
          <w:rFonts w:ascii="Palatino Linotype" w:hAnsi="Palatino Linotype"/>
          <w:iCs/>
          <w:color w:val="000000"/>
        </w:rPr>
        <w:t>n</w:t>
      </w:r>
      <w:r>
        <w:rPr>
          <w:rFonts w:ascii="Palatino Linotype" w:hAnsi="Palatino Linotype"/>
          <w:iCs/>
          <w:color w:val="000000"/>
        </w:rPr>
        <w:t xml:space="preserve"> que para e</w:t>
      </w:r>
      <w:r w:rsidR="0000576A">
        <w:rPr>
          <w:rFonts w:ascii="Palatino Linotype" w:hAnsi="Palatino Linotype"/>
          <w:iCs/>
          <w:color w:val="000000"/>
        </w:rPr>
        <w:t>l</w:t>
      </w:r>
      <w:r>
        <w:rPr>
          <w:rFonts w:ascii="Palatino Linotype" w:hAnsi="Palatino Linotype"/>
          <w:iCs/>
          <w:color w:val="000000"/>
        </w:rPr>
        <w:t xml:space="preserve"> control</w:t>
      </w:r>
      <w:r w:rsidR="0016348D">
        <w:rPr>
          <w:rFonts w:ascii="Palatino Linotype" w:hAnsi="Palatino Linotype"/>
          <w:iCs/>
          <w:color w:val="000000"/>
        </w:rPr>
        <w:t xml:space="preserve">, fiscalización y revisión del ingreso y del gasto público de los entes públicos que manejen recursos del Estado y Municipios la Legislatura dispondrá del </w:t>
      </w:r>
      <w:bookmarkStart w:id="0" w:name="_Hlk113253355"/>
      <w:r w:rsidR="0016348D">
        <w:rPr>
          <w:rFonts w:ascii="Palatino Linotype" w:hAnsi="Palatino Linotype"/>
          <w:iCs/>
          <w:color w:val="000000"/>
        </w:rPr>
        <w:t>Órgano Superior de Fiscalización</w:t>
      </w:r>
      <w:bookmarkEnd w:id="0"/>
      <w:r w:rsidR="0016348D">
        <w:rPr>
          <w:rFonts w:ascii="Palatino Linotype" w:hAnsi="Palatino Linotype"/>
          <w:iCs/>
          <w:color w:val="000000"/>
        </w:rPr>
        <w:t xml:space="preserve">, cuya organización y funcionamiento se regirá por la Ley de Fiscalización Superior del Estado de México y su Reglamento Interior. </w:t>
      </w:r>
    </w:p>
    <w:p w14:paraId="4291A167" w14:textId="60811C2A" w:rsidR="0016348D" w:rsidRDefault="0016348D" w:rsidP="005E48EE">
      <w:pPr>
        <w:spacing w:after="0" w:line="360" w:lineRule="auto"/>
        <w:ind w:right="333"/>
        <w:contextualSpacing/>
        <w:jc w:val="both"/>
        <w:rPr>
          <w:rFonts w:ascii="Palatino Linotype" w:hAnsi="Palatino Linotype"/>
          <w:iCs/>
          <w:color w:val="000000"/>
        </w:rPr>
      </w:pPr>
    </w:p>
    <w:p w14:paraId="5A14CA65" w14:textId="391A08D8" w:rsidR="00E5434C" w:rsidRDefault="004B7028" w:rsidP="00F5795E">
      <w:pPr>
        <w:spacing w:after="0" w:line="360" w:lineRule="auto"/>
        <w:ind w:right="-234"/>
        <w:contextualSpacing/>
        <w:jc w:val="both"/>
        <w:rPr>
          <w:rFonts w:ascii="Palatino Linotype" w:hAnsi="Palatino Linotype"/>
          <w:color w:val="000000"/>
        </w:rPr>
      </w:pPr>
      <w:r w:rsidRPr="004B7028">
        <w:rPr>
          <w:rFonts w:ascii="Palatino Linotype" w:hAnsi="Palatino Linotype"/>
          <w:color w:val="000000"/>
        </w:rPr>
        <w:t>En ese orden de ideas, los artículos 2</w:t>
      </w:r>
      <w:r w:rsidR="00EE0949" w:rsidRPr="00EE0949">
        <w:rPr>
          <w:rFonts w:ascii="Palatino Linotype" w:hAnsi="Palatino Linotype"/>
          <w:color w:val="000000"/>
          <w:vertAlign w:val="superscript"/>
        </w:rPr>
        <w:t>o</w:t>
      </w:r>
      <w:r w:rsidRPr="004B7028">
        <w:rPr>
          <w:rFonts w:ascii="Palatino Linotype" w:hAnsi="Palatino Linotype"/>
          <w:color w:val="000000"/>
        </w:rPr>
        <w:t>, fracción XI y 32, párrafo primero de la Ley de Fiscalización Superior del Estado de México</w:t>
      </w:r>
      <w:r>
        <w:rPr>
          <w:rFonts w:ascii="Palatino Linotype" w:hAnsi="Palatino Linotype"/>
          <w:color w:val="000000"/>
        </w:rPr>
        <w:t xml:space="preserve">, se desprende que los Informes Trimestrales </w:t>
      </w:r>
      <w:r w:rsidR="0000576A">
        <w:rPr>
          <w:rFonts w:ascii="Palatino Linotype" w:hAnsi="Palatino Linotype"/>
          <w:color w:val="000000"/>
        </w:rPr>
        <w:t>son</w:t>
      </w:r>
      <w:r>
        <w:rPr>
          <w:rFonts w:ascii="Palatino Linotype" w:hAnsi="Palatino Linotype"/>
          <w:color w:val="000000"/>
        </w:rPr>
        <w:t xml:space="preserve"> el documento físico y/o electrónico que trimestralmente presentan las entidades fiscalizables sobre la situación económica y en su caso deuda pública y se deberá presentar dentro de los </w:t>
      </w:r>
      <w:r>
        <w:rPr>
          <w:rFonts w:ascii="Palatino Linotype" w:hAnsi="Palatino Linotype"/>
          <w:color w:val="000000"/>
        </w:rPr>
        <w:lastRenderedPageBreak/>
        <w:t>veinte días hábiles posteriores al término del trimestre correspondiente</w:t>
      </w:r>
      <w:r w:rsidR="00F12AE6">
        <w:rPr>
          <w:rFonts w:ascii="Palatino Linotype" w:hAnsi="Palatino Linotype"/>
          <w:color w:val="000000"/>
        </w:rPr>
        <w:t xml:space="preserve"> al Órgano Superior para su análisis. </w:t>
      </w:r>
      <w:r w:rsidR="00E5434C">
        <w:rPr>
          <w:rFonts w:ascii="Palatino Linotype" w:hAnsi="Palatino Linotype"/>
          <w:color w:val="000000"/>
        </w:rPr>
        <w:t xml:space="preserve">De lo anteriormente expuesto, se logra vislumbrar que </w:t>
      </w:r>
      <w:r w:rsidR="00944E5E">
        <w:rPr>
          <w:rFonts w:ascii="Palatino Linotype" w:hAnsi="Palatino Linotype"/>
          <w:color w:val="000000"/>
        </w:rPr>
        <w:t>el Sujeto Obligado cuenta con atribuciones para conocer de la información solicitada</w:t>
      </w:r>
      <w:r w:rsidR="00FE2942">
        <w:rPr>
          <w:rFonts w:ascii="Palatino Linotype" w:hAnsi="Palatino Linotype"/>
          <w:color w:val="000000"/>
        </w:rPr>
        <w:t xml:space="preserve"> por el Particular, toda vez que los informes trimestrales son entregados al </w:t>
      </w:r>
      <w:r w:rsidR="00FE2942" w:rsidRPr="00FE2942">
        <w:rPr>
          <w:rFonts w:ascii="Palatino Linotype" w:hAnsi="Palatino Linotype"/>
          <w:color w:val="000000"/>
        </w:rPr>
        <w:t>Órgano Superior de Fiscalización</w:t>
      </w:r>
      <w:r w:rsidR="00755BBF">
        <w:rPr>
          <w:rFonts w:ascii="Palatino Linotype" w:hAnsi="Palatino Linotype"/>
          <w:color w:val="000000"/>
        </w:rPr>
        <w:t>, para efectos de sus auditorías</w:t>
      </w:r>
      <w:r w:rsidR="00201441">
        <w:rPr>
          <w:rFonts w:ascii="Palatino Linotype" w:hAnsi="Palatino Linotype"/>
          <w:color w:val="000000"/>
        </w:rPr>
        <w:t>,</w:t>
      </w:r>
      <w:r w:rsidR="00755BBF">
        <w:rPr>
          <w:rFonts w:ascii="Palatino Linotype" w:hAnsi="Palatino Linotype"/>
          <w:color w:val="000000"/>
        </w:rPr>
        <w:t xml:space="preserve"> investigaciones</w:t>
      </w:r>
      <w:r w:rsidR="00201441">
        <w:rPr>
          <w:rFonts w:ascii="Palatino Linotype" w:hAnsi="Palatino Linotype"/>
          <w:color w:val="000000"/>
        </w:rPr>
        <w:t xml:space="preserve"> y </w:t>
      </w:r>
      <w:r w:rsidR="00755BBF">
        <w:rPr>
          <w:rFonts w:ascii="Palatino Linotype" w:hAnsi="Palatino Linotype"/>
          <w:color w:val="000000"/>
        </w:rPr>
        <w:t xml:space="preserve">los efectos correspondientes. </w:t>
      </w:r>
    </w:p>
    <w:p w14:paraId="6D7F622D" w14:textId="4AE648BD" w:rsidR="00755BBF" w:rsidRDefault="00755BBF" w:rsidP="00F5795E">
      <w:pPr>
        <w:spacing w:after="0" w:line="360" w:lineRule="auto"/>
        <w:ind w:right="-234"/>
        <w:contextualSpacing/>
        <w:jc w:val="both"/>
        <w:rPr>
          <w:rFonts w:ascii="Palatino Linotype" w:hAnsi="Palatino Linotype"/>
          <w:color w:val="000000"/>
        </w:rPr>
      </w:pPr>
    </w:p>
    <w:p w14:paraId="7F81662E" w14:textId="36D22BEC" w:rsidR="00755BBF" w:rsidRDefault="00755BBF" w:rsidP="00E06F9E">
      <w:pPr>
        <w:spacing w:after="0" w:line="360" w:lineRule="auto"/>
        <w:ind w:right="-234"/>
        <w:contextualSpacing/>
        <w:jc w:val="both"/>
        <w:rPr>
          <w:rFonts w:ascii="Palatino Linotype" w:hAnsi="Palatino Linotype"/>
          <w:color w:val="000000"/>
        </w:rPr>
      </w:pPr>
      <w:r>
        <w:rPr>
          <w:rFonts w:ascii="Palatino Linotype" w:hAnsi="Palatino Linotype"/>
          <w:color w:val="000000"/>
        </w:rPr>
        <w:t xml:space="preserve">En ese sentido, </w:t>
      </w:r>
      <w:r w:rsidR="00E06F9E" w:rsidRPr="00E06F9E">
        <w:rPr>
          <w:rFonts w:ascii="Palatino Linotype" w:hAnsi="Palatino Linotype"/>
          <w:color w:val="000000"/>
        </w:rPr>
        <w:t>el artículo 4°, párrafo segundo, de la Ley</w:t>
      </w:r>
      <w:r w:rsidR="00E06F9E">
        <w:rPr>
          <w:rFonts w:ascii="Palatino Linotype" w:hAnsi="Palatino Linotype"/>
          <w:color w:val="000000"/>
        </w:rPr>
        <w:t xml:space="preserve"> </w:t>
      </w:r>
      <w:r w:rsidR="00E06F9E" w:rsidRPr="00E06F9E">
        <w:rPr>
          <w:rFonts w:ascii="Palatino Linotype" w:hAnsi="Palatino Linotype"/>
          <w:color w:val="000000"/>
        </w:rPr>
        <w:t>de Transparencia y Acceso a la Información Pública del Estado de México y Municipios,</w:t>
      </w:r>
      <w:r w:rsidR="00E06F9E">
        <w:rPr>
          <w:rFonts w:ascii="Palatino Linotype" w:hAnsi="Palatino Linotype"/>
          <w:color w:val="000000"/>
        </w:rPr>
        <w:t xml:space="preserve"> </w:t>
      </w:r>
      <w:r w:rsidR="00E06F9E" w:rsidRPr="00E06F9E">
        <w:rPr>
          <w:rFonts w:ascii="Palatino Linotype" w:hAnsi="Palatino Linotype"/>
          <w:color w:val="000000"/>
        </w:rPr>
        <w:t>señala que toda la información generada, obtenida, adquirida, transformada, administrada o</w:t>
      </w:r>
      <w:r w:rsidR="00E06F9E">
        <w:rPr>
          <w:rFonts w:ascii="Palatino Linotype" w:hAnsi="Palatino Linotype"/>
          <w:color w:val="000000"/>
        </w:rPr>
        <w:t xml:space="preserve"> </w:t>
      </w:r>
      <w:r w:rsidR="00E06F9E" w:rsidRPr="00E06F9E">
        <w:rPr>
          <w:rFonts w:ascii="Palatino Linotype" w:hAnsi="Palatino Linotype"/>
          <w:color w:val="000000"/>
        </w:rPr>
        <w:t>en posesión de los sujetos obligados es pública y accesible de manera permanente a</w:t>
      </w:r>
      <w:r w:rsidR="00E06F9E">
        <w:rPr>
          <w:rFonts w:ascii="Palatino Linotype" w:hAnsi="Palatino Linotype"/>
          <w:color w:val="000000"/>
        </w:rPr>
        <w:t xml:space="preserve"> </w:t>
      </w:r>
      <w:r w:rsidR="00E06F9E" w:rsidRPr="00E06F9E">
        <w:rPr>
          <w:rFonts w:ascii="Palatino Linotype" w:hAnsi="Palatino Linotype"/>
          <w:color w:val="000000"/>
        </w:rPr>
        <w:t>cualquier persona, en los términos y condiciones que se establezcan en los tratado</w:t>
      </w:r>
      <w:r w:rsidR="00E06F9E">
        <w:rPr>
          <w:rFonts w:ascii="Palatino Linotype" w:hAnsi="Palatino Linotype"/>
          <w:color w:val="000000"/>
        </w:rPr>
        <w:t xml:space="preserve"> </w:t>
      </w:r>
      <w:r w:rsidR="00E06F9E" w:rsidRPr="00E06F9E">
        <w:rPr>
          <w:rFonts w:ascii="Palatino Linotype" w:hAnsi="Palatino Linotype"/>
          <w:color w:val="000000"/>
        </w:rPr>
        <w:t>internacionales de los que el Estado mexicano sea parte, en la Ley General de</w:t>
      </w:r>
      <w:r w:rsidR="00EE0949">
        <w:rPr>
          <w:rFonts w:ascii="Palatino Linotype" w:hAnsi="Palatino Linotype"/>
          <w:color w:val="000000"/>
        </w:rPr>
        <w:t xml:space="preserve"> </w:t>
      </w:r>
      <w:r w:rsidR="00E06F9E" w:rsidRPr="00E06F9E">
        <w:rPr>
          <w:rFonts w:ascii="Palatino Linotype" w:hAnsi="Palatino Linotype"/>
          <w:color w:val="000000"/>
        </w:rPr>
        <w:t>Transparencia, Acceso a la Información Pública, la presente Ley y demás disposiciones de</w:t>
      </w:r>
      <w:r w:rsidR="00EE0949">
        <w:rPr>
          <w:rFonts w:ascii="Palatino Linotype" w:hAnsi="Palatino Linotype"/>
          <w:color w:val="000000"/>
        </w:rPr>
        <w:t xml:space="preserve"> </w:t>
      </w:r>
      <w:r w:rsidR="00E06F9E" w:rsidRPr="00E06F9E">
        <w:rPr>
          <w:rFonts w:ascii="Palatino Linotype" w:hAnsi="Palatino Linotype"/>
          <w:color w:val="000000"/>
        </w:rPr>
        <w:t>la materia, privilegiando el principio de máxima publicidad de la información. Solo podrá ser</w:t>
      </w:r>
      <w:r w:rsidR="00EE0949">
        <w:rPr>
          <w:rFonts w:ascii="Palatino Linotype" w:hAnsi="Palatino Linotype"/>
          <w:color w:val="000000"/>
        </w:rPr>
        <w:t xml:space="preserve"> </w:t>
      </w:r>
      <w:r w:rsidR="00E06F9E" w:rsidRPr="00E06F9E">
        <w:rPr>
          <w:rFonts w:ascii="Palatino Linotype" w:hAnsi="Palatino Linotype"/>
          <w:color w:val="000000"/>
        </w:rPr>
        <w:t>clasificada excepcionalmente como reservada temporalmente por razones de interés</w:t>
      </w:r>
      <w:r w:rsidR="00EE0949">
        <w:rPr>
          <w:rFonts w:ascii="Palatino Linotype" w:hAnsi="Palatino Linotype"/>
          <w:color w:val="000000"/>
        </w:rPr>
        <w:t xml:space="preserve"> </w:t>
      </w:r>
      <w:r w:rsidR="00E06F9E" w:rsidRPr="00E06F9E">
        <w:rPr>
          <w:rFonts w:ascii="Palatino Linotype" w:hAnsi="Palatino Linotype"/>
          <w:color w:val="000000"/>
        </w:rPr>
        <w:t>público, en los términos de las causas legítimas y estrictamente necesarias previstas por</w:t>
      </w:r>
      <w:r w:rsidR="00EE0949">
        <w:rPr>
          <w:rFonts w:ascii="Palatino Linotype" w:hAnsi="Palatino Linotype"/>
          <w:color w:val="000000"/>
        </w:rPr>
        <w:t xml:space="preserve"> </w:t>
      </w:r>
      <w:r w:rsidR="00E06F9E" w:rsidRPr="00E06F9E">
        <w:rPr>
          <w:rFonts w:ascii="Palatino Linotype" w:hAnsi="Palatino Linotype"/>
          <w:color w:val="000000"/>
        </w:rPr>
        <w:t>esta Ley.</w:t>
      </w:r>
    </w:p>
    <w:p w14:paraId="48389CE7" w14:textId="3EE8281A" w:rsidR="00EE0949" w:rsidRDefault="00EE0949" w:rsidP="00E06F9E">
      <w:pPr>
        <w:spacing w:after="0" w:line="360" w:lineRule="auto"/>
        <w:ind w:right="-234"/>
        <w:contextualSpacing/>
        <w:jc w:val="both"/>
        <w:rPr>
          <w:rFonts w:ascii="Palatino Linotype" w:hAnsi="Palatino Linotype"/>
          <w:color w:val="000000"/>
        </w:rPr>
      </w:pPr>
    </w:p>
    <w:p w14:paraId="6B5753A5" w14:textId="6D3D5AF4" w:rsidR="00EE0949" w:rsidRDefault="00EE0949" w:rsidP="00E06F9E">
      <w:pPr>
        <w:spacing w:after="0" w:line="360" w:lineRule="auto"/>
        <w:ind w:right="-234"/>
        <w:contextualSpacing/>
        <w:jc w:val="both"/>
        <w:rPr>
          <w:rFonts w:ascii="Palatino Linotype" w:hAnsi="Palatino Linotype"/>
          <w:color w:val="000000"/>
        </w:rPr>
      </w:pPr>
      <w:r>
        <w:rPr>
          <w:rFonts w:ascii="Palatino Linotype" w:hAnsi="Palatino Linotype"/>
          <w:color w:val="000000"/>
        </w:rPr>
        <w:t xml:space="preserve">Por otra parte, los artículos </w:t>
      </w:r>
      <w:r w:rsidR="00D0281E">
        <w:rPr>
          <w:rFonts w:ascii="Palatino Linotype" w:hAnsi="Palatino Linotype"/>
          <w:color w:val="000000"/>
        </w:rPr>
        <w:t>7</w:t>
      </w:r>
      <w:r w:rsidR="0000576A">
        <w:rPr>
          <w:rFonts w:ascii="Palatino Linotype" w:hAnsi="Palatino Linotype"/>
          <w:color w:val="000000"/>
        </w:rPr>
        <w:t>°</w:t>
      </w:r>
      <w:r w:rsidR="00D0281E">
        <w:rPr>
          <w:rFonts w:ascii="Palatino Linotype" w:hAnsi="Palatino Linotype"/>
          <w:color w:val="000000"/>
        </w:rPr>
        <w:t>, 8</w:t>
      </w:r>
      <w:r w:rsidR="0000576A">
        <w:rPr>
          <w:rFonts w:ascii="Palatino Linotype" w:hAnsi="Palatino Linotype"/>
          <w:color w:val="000000"/>
        </w:rPr>
        <w:t>°</w:t>
      </w:r>
      <w:r w:rsidR="00D0281E">
        <w:rPr>
          <w:rFonts w:ascii="Palatino Linotype" w:hAnsi="Palatino Linotype"/>
          <w:color w:val="000000"/>
        </w:rPr>
        <w:t xml:space="preserve"> y </w:t>
      </w:r>
      <w:r w:rsidR="00300C04" w:rsidRPr="0095455B">
        <w:rPr>
          <w:rFonts w:ascii="Palatino Linotype" w:eastAsia="Times New Roman" w:hAnsi="Palatino Linotype" w:cs="Calibri"/>
          <w:color w:val="000000"/>
          <w:lang w:eastAsia="es-MX"/>
        </w:rPr>
        <w:t>1</w:t>
      </w:r>
      <w:r w:rsidR="00D0281E" w:rsidRPr="0095455B">
        <w:rPr>
          <w:rFonts w:ascii="Palatino Linotype" w:hAnsi="Palatino Linotype"/>
          <w:color w:val="000000"/>
        </w:rPr>
        <w:t>30</w:t>
      </w:r>
      <w:r w:rsidR="00D0281E">
        <w:rPr>
          <w:rFonts w:ascii="Palatino Linotype" w:hAnsi="Palatino Linotype"/>
          <w:color w:val="000000"/>
        </w:rPr>
        <w:t xml:space="preserve"> de la </w:t>
      </w:r>
      <w:r w:rsidR="002D7AB8">
        <w:rPr>
          <w:rFonts w:ascii="Palatino Linotype" w:hAnsi="Palatino Linotype"/>
          <w:color w:val="000000"/>
        </w:rPr>
        <w:t>Ley de la materia, disponen que el Estado de México deberá garantizar el efectivo acceso a la información en posesión de cualquier entidad, autoridad, órgano y organismo de los poderes Ejecutivo, Legislativo y Judicial, en tal sentido,</w:t>
      </w:r>
      <w:r w:rsidR="00300C04">
        <w:rPr>
          <w:rFonts w:ascii="Palatino Linotype" w:hAnsi="Palatino Linotype"/>
          <w:color w:val="000000"/>
        </w:rPr>
        <w:t xml:space="preserve"> debe prevalecer el principio de máxima publicidad y sólo se podrá aplicar de manera restrictiva y limitada, las excepciones al derecho de acceso a la información</w:t>
      </w:r>
      <w:r w:rsidR="0095455B">
        <w:rPr>
          <w:rFonts w:ascii="Palatino Linotype" w:hAnsi="Palatino Linotype"/>
          <w:color w:val="000000"/>
        </w:rPr>
        <w:t xml:space="preserve"> cuando</w:t>
      </w:r>
      <w:r w:rsidR="00300C04">
        <w:rPr>
          <w:rFonts w:ascii="Palatino Linotype" w:hAnsi="Palatino Linotype"/>
          <w:color w:val="000000"/>
        </w:rPr>
        <w:t xml:space="preserve"> los Sujetos Obligados </w:t>
      </w:r>
      <w:r w:rsidR="0095455B">
        <w:rPr>
          <w:rFonts w:ascii="Palatino Linotype" w:hAnsi="Palatino Linotype"/>
          <w:color w:val="000000"/>
        </w:rPr>
        <w:t>acrediten</w:t>
      </w:r>
      <w:r w:rsidR="00300C04">
        <w:rPr>
          <w:rFonts w:ascii="Palatino Linotype" w:hAnsi="Palatino Linotype"/>
          <w:color w:val="000000"/>
        </w:rPr>
        <w:t xml:space="preserve"> su  procedencia. </w:t>
      </w:r>
    </w:p>
    <w:p w14:paraId="5674968D" w14:textId="51C07936" w:rsidR="0095455B" w:rsidRDefault="0095455B" w:rsidP="00E06F9E">
      <w:pPr>
        <w:spacing w:after="0" w:line="360" w:lineRule="auto"/>
        <w:ind w:right="-234"/>
        <w:contextualSpacing/>
        <w:jc w:val="both"/>
        <w:rPr>
          <w:rFonts w:ascii="Palatino Linotype" w:hAnsi="Palatino Linotype"/>
          <w:color w:val="000000"/>
        </w:rPr>
      </w:pPr>
    </w:p>
    <w:p w14:paraId="5FF6EC39" w14:textId="09A2DE78" w:rsidR="0095455B" w:rsidRDefault="0095455B" w:rsidP="00E06F9E">
      <w:pPr>
        <w:spacing w:after="0" w:line="360" w:lineRule="auto"/>
        <w:ind w:right="-234"/>
        <w:contextualSpacing/>
        <w:jc w:val="both"/>
        <w:rPr>
          <w:rFonts w:ascii="Palatino Linotype" w:hAnsi="Palatino Linotype"/>
          <w:color w:val="000000"/>
        </w:rPr>
      </w:pPr>
      <w:r>
        <w:rPr>
          <w:rFonts w:ascii="Palatino Linotype" w:hAnsi="Palatino Linotype"/>
          <w:color w:val="000000"/>
        </w:rPr>
        <w:t xml:space="preserve">Conforme a lo anterior, la única manera de restringir el derecho de acceso a la </w:t>
      </w:r>
      <w:r w:rsidR="007E0BC9">
        <w:rPr>
          <w:rFonts w:ascii="Palatino Linotype" w:hAnsi="Palatino Linotype"/>
          <w:color w:val="000000"/>
        </w:rPr>
        <w:t>información es</w:t>
      </w:r>
      <w:r>
        <w:rPr>
          <w:rFonts w:ascii="Palatino Linotype" w:hAnsi="Palatino Linotype"/>
          <w:color w:val="000000"/>
        </w:rPr>
        <w:t xml:space="preserve"> a través de la clasificación de información debidamente fundada y motivada, situación que no </w:t>
      </w:r>
      <w:r>
        <w:rPr>
          <w:rFonts w:ascii="Palatino Linotype" w:hAnsi="Palatino Linotype"/>
          <w:color w:val="000000"/>
        </w:rPr>
        <w:lastRenderedPageBreak/>
        <w:t xml:space="preserve">aconteció en el presente caso, pues el Poder Legislativo únicamente se limitó a referir que </w:t>
      </w:r>
      <w:r w:rsidR="007E0BC9">
        <w:rPr>
          <w:rFonts w:ascii="Palatino Linotype" w:hAnsi="Palatino Linotype"/>
          <w:color w:val="000000"/>
        </w:rPr>
        <w:t>el Órgano</w:t>
      </w:r>
      <w:r w:rsidR="007E0BC9" w:rsidRPr="007E0BC9">
        <w:rPr>
          <w:rFonts w:ascii="Palatino Linotype" w:hAnsi="Palatino Linotype"/>
          <w:color w:val="000000"/>
        </w:rPr>
        <w:t xml:space="preserve"> Superior de Fiscalización</w:t>
      </w:r>
      <w:r w:rsidR="007E0BC9">
        <w:rPr>
          <w:rFonts w:ascii="Palatino Linotype" w:hAnsi="Palatino Linotype"/>
          <w:color w:val="000000"/>
        </w:rPr>
        <w:t xml:space="preserve"> se encuentra impedido a proporcionar la información por considerarse reservada en cumplimiento de las funciones de fiscalización</w:t>
      </w:r>
      <w:r w:rsidR="00EA37F5">
        <w:rPr>
          <w:rFonts w:ascii="Palatino Linotype" w:hAnsi="Palatino Linotype"/>
          <w:color w:val="000000"/>
        </w:rPr>
        <w:t>, situación que toma relev</w:t>
      </w:r>
      <w:r w:rsidR="00C42640">
        <w:rPr>
          <w:rFonts w:ascii="Palatino Linotype" w:hAnsi="Palatino Linotype"/>
          <w:color w:val="000000"/>
        </w:rPr>
        <w:t xml:space="preserve">ancia, pues </w:t>
      </w:r>
      <w:r w:rsidR="0000576A">
        <w:rPr>
          <w:rFonts w:ascii="Palatino Linotype" w:hAnsi="Palatino Linotype"/>
          <w:color w:val="000000"/>
        </w:rPr>
        <w:t xml:space="preserve">como ya se refirió, </w:t>
      </w:r>
      <w:r w:rsidR="00C42640">
        <w:rPr>
          <w:rFonts w:ascii="Palatino Linotype" w:hAnsi="Palatino Linotype"/>
          <w:color w:val="000000"/>
        </w:rPr>
        <w:t>el Sujeto Obligado omitió entregar el Acuerdo del Comité de Transparencia, en donde se clasifique de manera fundada y motivada como información reservada, lo relativo al informe trimestral del Ayuntamiento de Toluca</w:t>
      </w:r>
      <w:r w:rsidR="008875A0">
        <w:rPr>
          <w:rFonts w:ascii="Palatino Linotype" w:hAnsi="Palatino Linotype"/>
          <w:color w:val="000000"/>
        </w:rPr>
        <w:t>.</w:t>
      </w:r>
    </w:p>
    <w:p w14:paraId="1748DA2B" w14:textId="60E66AE0" w:rsidR="00975949" w:rsidRDefault="00975949" w:rsidP="00E06F9E">
      <w:pPr>
        <w:spacing w:after="0" w:line="360" w:lineRule="auto"/>
        <w:ind w:right="-234"/>
        <w:contextualSpacing/>
        <w:jc w:val="both"/>
        <w:rPr>
          <w:rFonts w:ascii="Palatino Linotype" w:hAnsi="Palatino Linotype"/>
          <w:color w:val="000000"/>
        </w:rPr>
      </w:pPr>
    </w:p>
    <w:p w14:paraId="029F099E" w14:textId="20A4384D" w:rsidR="00975949" w:rsidRDefault="00EA37F5" w:rsidP="00D80130">
      <w:pPr>
        <w:spacing w:after="0" w:line="360" w:lineRule="auto"/>
        <w:ind w:right="-232"/>
        <w:jc w:val="both"/>
        <w:rPr>
          <w:rFonts w:ascii="Palatino Linotype" w:eastAsia="Calibri" w:hAnsi="Palatino Linotype" w:cs="Tahoma"/>
        </w:rPr>
      </w:pPr>
      <w:r>
        <w:rPr>
          <w:rFonts w:ascii="Palatino Linotype" w:hAnsi="Palatino Linotype"/>
          <w:color w:val="000000"/>
        </w:rPr>
        <w:t xml:space="preserve">Bajo esa lógica, </w:t>
      </w:r>
      <w:r w:rsidR="00C42640">
        <w:rPr>
          <w:rFonts w:ascii="Palatino Linotype" w:hAnsi="Palatino Linotype"/>
          <w:color w:val="000000"/>
        </w:rPr>
        <w:t xml:space="preserve">se debió considerar </w:t>
      </w:r>
      <w:r w:rsidR="00C42640" w:rsidRPr="00C42640">
        <w:rPr>
          <w:rFonts w:ascii="Palatino Linotype" w:eastAsia="Calibri" w:hAnsi="Palatino Linotype" w:cs="Tahoma"/>
        </w:rPr>
        <w:t xml:space="preserve">lo resuelto por el Instituto Nacional de Transparencia, Acceso a la Información Pública y Protección de Datos Personales, en el Recurso de Inconformidad número </w:t>
      </w:r>
      <w:r w:rsidR="00C42640" w:rsidRPr="00C42640">
        <w:rPr>
          <w:rFonts w:ascii="Palatino Linotype" w:eastAsia="Calibri" w:hAnsi="Palatino Linotype" w:cs="Tahoma"/>
          <w:b/>
        </w:rPr>
        <w:t>RIA 0118/18,</w:t>
      </w:r>
      <w:r w:rsidR="00C42640" w:rsidRPr="00C42640">
        <w:rPr>
          <w:rFonts w:ascii="Palatino Linotype" w:eastAsia="Calibri" w:hAnsi="Palatino Linotype" w:cs="Tahoma"/>
        </w:rPr>
        <w:t xml:space="preserve"> en el sentido de que este Órgano Garante no debe ceñirse únicamente a verificar cuestiones de forma, sino también argumentar por qué la información solicitada se adecua a la o las hipótesis señaladas.</w:t>
      </w:r>
    </w:p>
    <w:p w14:paraId="5710B3A5" w14:textId="36C89A55" w:rsidR="00D80130" w:rsidRDefault="00D80130" w:rsidP="00D80130">
      <w:pPr>
        <w:spacing w:after="0" w:line="360" w:lineRule="auto"/>
        <w:ind w:right="-232"/>
        <w:jc w:val="both"/>
        <w:rPr>
          <w:rFonts w:ascii="Palatino Linotype" w:eastAsia="Calibri" w:hAnsi="Palatino Linotype" w:cs="Tahoma"/>
        </w:rPr>
      </w:pPr>
    </w:p>
    <w:p w14:paraId="02D079B9" w14:textId="77777777" w:rsidR="00D80130" w:rsidRDefault="00D80130" w:rsidP="00D80130">
      <w:pPr>
        <w:spacing w:after="0" w:line="360" w:lineRule="auto"/>
        <w:jc w:val="both"/>
        <w:rPr>
          <w:rFonts w:ascii="Palatino Linotype" w:eastAsia="Calibri" w:hAnsi="Palatino Linotype" w:cs="Tahoma"/>
        </w:rPr>
      </w:pPr>
      <w:r w:rsidRPr="00D80130">
        <w:rPr>
          <w:rFonts w:ascii="Palatino Linotype" w:eastAsia="Calibri" w:hAnsi="Palatino Linotype" w:cs="Tahoma"/>
        </w:rPr>
        <w:t xml:space="preserve">Tratándose de información reservada, se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 </w:t>
      </w:r>
    </w:p>
    <w:p w14:paraId="5D868364" w14:textId="77777777" w:rsidR="00D80130" w:rsidRDefault="00D80130" w:rsidP="00D80130">
      <w:pPr>
        <w:spacing w:after="0" w:line="360" w:lineRule="auto"/>
        <w:jc w:val="both"/>
        <w:rPr>
          <w:rFonts w:ascii="Palatino Linotype" w:eastAsia="Calibri" w:hAnsi="Palatino Linotype" w:cs="Tahoma"/>
        </w:rPr>
      </w:pPr>
    </w:p>
    <w:p w14:paraId="412D4090" w14:textId="0C6B8AA8" w:rsidR="00D80130" w:rsidRDefault="00D80130" w:rsidP="00D80130">
      <w:pPr>
        <w:spacing w:after="0" w:line="360" w:lineRule="auto"/>
        <w:jc w:val="both"/>
        <w:rPr>
          <w:rFonts w:ascii="Palatino Linotype" w:eastAsia="Calibri" w:hAnsi="Palatino Linotype" w:cs="Tahoma"/>
        </w:rPr>
      </w:pPr>
      <w:r w:rsidRPr="00D80130">
        <w:rPr>
          <w:rFonts w:ascii="Palatino Linotype" w:eastAsia="Calibri" w:hAnsi="Palatino Linotype" w:cs="Tahoma"/>
        </w:rPr>
        <w:t>En otras palabras, la determinación que Confirme una clasificación,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14B2F972" w14:textId="3118368C" w:rsidR="00D80130" w:rsidRDefault="00D80130" w:rsidP="00D80130">
      <w:pPr>
        <w:spacing w:after="0" w:line="360" w:lineRule="auto"/>
        <w:jc w:val="both"/>
        <w:rPr>
          <w:rFonts w:ascii="Palatino Linotype" w:eastAsia="Calibri" w:hAnsi="Palatino Linotype" w:cs="Tahoma"/>
        </w:rPr>
      </w:pPr>
    </w:p>
    <w:p w14:paraId="08F1722D" w14:textId="04346979" w:rsidR="00D80130" w:rsidRPr="00D80130" w:rsidRDefault="00D80130" w:rsidP="00D80130">
      <w:pPr>
        <w:spacing w:after="0" w:line="360" w:lineRule="auto"/>
        <w:jc w:val="both"/>
        <w:rPr>
          <w:rFonts w:ascii="Palatino Linotype" w:eastAsia="Calibri" w:hAnsi="Palatino Linotype" w:cs="Tahoma"/>
        </w:rPr>
      </w:pPr>
      <w:r>
        <w:rPr>
          <w:rFonts w:ascii="Palatino Linotype" w:eastAsia="Calibri" w:hAnsi="Palatino Linotype" w:cs="Tahoma"/>
        </w:rPr>
        <w:lastRenderedPageBreak/>
        <w:t xml:space="preserve">En tal sentido, no se acreditó que la información solicitada </w:t>
      </w:r>
      <w:r w:rsidR="007A2C83">
        <w:rPr>
          <w:rFonts w:ascii="Palatino Linotype" w:eastAsia="Calibri" w:hAnsi="Palatino Linotype" w:cs="Tahoma"/>
        </w:rPr>
        <w:t xml:space="preserve">actualizara alguna causal de reserva </w:t>
      </w:r>
      <w:r w:rsidR="007A2C83" w:rsidRPr="007A2C83">
        <w:rPr>
          <w:rFonts w:ascii="Palatino Linotype" w:eastAsia="Calibri" w:hAnsi="Palatino Linotype" w:cs="Tahoma"/>
        </w:rPr>
        <w:t>establecida en el artículo 140 de la Ley de Transparencia y Acceso a la Información Pública del Estado de México y Municipios, para convalidar la clasificación como información reservada,</w:t>
      </w:r>
      <w:r w:rsidR="00C011EB">
        <w:rPr>
          <w:rFonts w:ascii="Palatino Linotype" w:eastAsia="Calibri" w:hAnsi="Palatino Linotype" w:cs="Tahoma"/>
        </w:rPr>
        <w:t xml:space="preserve"> </w:t>
      </w:r>
      <w:r w:rsidR="007A2C83" w:rsidRPr="007A2C83">
        <w:rPr>
          <w:rFonts w:ascii="Palatino Linotype" w:eastAsia="Calibri" w:hAnsi="Palatino Linotype" w:cs="Tahoma"/>
        </w:rPr>
        <w:t>se debe efectuar el estudio de clasificación a la luz de los elementos que exigen los Lineamientos generales en materia de clasificación y desclasificación de la información, así como para la elaboración de versiones públicas.</w:t>
      </w:r>
    </w:p>
    <w:p w14:paraId="48D57D1B" w14:textId="77777777" w:rsidR="00D80130" w:rsidRPr="00D80130" w:rsidRDefault="00D80130" w:rsidP="00D80130">
      <w:pPr>
        <w:spacing w:after="0" w:line="360" w:lineRule="auto"/>
        <w:ind w:right="-232"/>
        <w:jc w:val="both"/>
        <w:rPr>
          <w:rFonts w:ascii="Palatino Linotype" w:eastAsia="Calibri" w:hAnsi="Palatino Linotype" w:cs="Tahoma"/>
        </w:rPr>
      </w:pPr>
    </w:p>
    <w:p w14:paraId="5CF698E0" w14:textId="77777777" w:rsidR="00C011EB" w:rsidRPr="00C011EB" w:rsidRDefault="00C011EB" w:rsidP="00C011EB">
      <w:pPr>
        <w:spacing w:after="0" w:line="360" w:lineRule="auto"/>
        <w:jc w:val="both"/>
        <w:rPr>
          <w:rFonts w:ascii="Palatino Linotype" w:eastAsia="Calibri" w:hAnsi="Palatino Linotype" w:cs="Tahoma"/>
          <w:i/>
          <w:iCs/>
          <w:lang w:eastAsia="es-ES_tradnl"/>
        </w:rPr>
      </w:pPr>
      <w:r w:rsidRPr="00C011EB">
        <w:rPr>
          <w:rFonts w:ascii="Palatino Linotype" w:eastAsia="Calibri" w:hAnsi="Palatino Linotype" w:cs="Tahoma"/>
        </w:rPr>
        <w:t xml:space="preserve">Pues sólo de esta forma, el Instituto como máxima autoridad en materia de derecho de acceso a la información y protección de datos personales, garantiza que los particulares puedan ejercer sus derechos y ser partícipes de la vida democrática de nuestro Estado y nuestro país. </w:t>
      </w:r>
    </w:p>
    <w:p w14:paraId="2D743532" w14:textId="36794A45" w:rsidR="00944E5E" w:rsidRDefault="00944E5E" w:rsidP="00F5795E">
      <w:pPr>
        <w:spacing w:after="0" w:line="360" w:lineRule="auto"/>
        <w:ind w:right="-234"/>
        <w:contextualSpacing/>
        <w:jc w:val="both"/>
        <w:rPr>
          <w:rFonts w:ascii="Palatino Linotype" w:hAnsi="Palatino Linotype"/>
          <w:color w:val="000000"/>
        </w:rPr>
      </w:pPr>
    </w:p>
    <w:p w14:paraId="003F81D5" w14:textId="6A7BFE04" w:rsidR="00C11AFF" w:rsidRDefault="00A777A9" w:rsidP="00A777A9">
      <w:pPr>
        <w:spacing w:after="0" w:line="360" w:lineRule="auto"/>
        <w:ind w:right="-234"/>
        <w:contextualSpacing/>
        <w:jc w:val="both"/>
        <w:rPr>
          <w:rFonts w:ascii="Palatino Linotype" w:eastAsia="Calibri" w:hAnsi="Palatino Linotype" w:cs="Tahoma"/>
        </w:rPr>
      </w:pPr>
      <w:r w:rsidRPr="00A777A9">
        <w:rPr>
          <w:rFonts w:ascii="Palatino Linotype" w:eastAsia="Calibri" w:hAnsi="Palatino Linotype" w:cs="Tahoma"/>
        </w:rPr>
        <w:t xml:space="preserve">Por lo tanto, </w:t>
      </w:r>
      <w:r w:rsidR="00C11AFF">
        <w:rPr>
          <w:rFonts w:ascii="Palatino Linotype" w:eastAsia="Calibri" w:hAnsi="Palatino Linotype" w:cs="Tahoma"/>
        </w:rPr>
        <w:t>nuestra</w:t>
      </w:r>
      <w:r w:rsidRPr="00A777A9">
        <w:rPr>
          <w:rFonts w:ascii="Palatino Linotype" w:eastAsia="Calibri" w:hAnsi="Palatino Linotype" w:cs="Tahoma"/>
        </w:rPr>
        <w:t xml:space="preserve"> postura es a favor de efectuar un análisis exhaustivo en todos aquellos</w:t>
      </w:r>
      <w:r>
        <w:rPr>
          <w:rFonts w:ascii="Palatino Linotype" w:eastAsia="Calibri" w:hAnsi="Palatino Linotype" w:cs="Tahoma"/>
        </w:rPr>
        <w:t xml:space="preserve"> </w:t>
      </w:r>
      <w:r w:rsidRPr="00A777A9">
        <w:rPr>
          <w:rFonts w:ascii="Palatino Linotype" w:eastAsia="Calibri" w:hAnsi="Palatino Linotype" w:cs="Tahoma"/>
        </w:rPr>
        <w:t>casos que restrinjan el derecho de acceso a la información de los particulares, como es la</w:t>
      </w:r>
      <w:r>
        <w:rPr>
          <w:rFonts w:ascii="Palatino Linotype" w:eastAsia="Calibri" w:hAnsi="Palatino Linotype" w:cs="Tahoma"/>
        </w:rPr>
        <w:t xml:space="preserve"> </w:t>
      </w:r>
      <w:r w:rsidRPr="00A777A9">
        <w:rPr>
          <w:rFonts w:ascii="Palatino Linotype" w:eastAsia="Calibri" w:hAnsi="Palatino Linotype" w:cs="Tahoma"/>
        </w:rPr>
        <w:t>figura de la clasificación de la información como reservada para verificar que se acredita o</w:t>
      </w:r>
      <w:r>
        <w:rPr>
          <w:rFonts w:ascii="Palatino Linotype" w:eastAsia="Calibri" w:hAnsi="Palatino Linotype" w:cs="Tahoma"/>
        </w:rPr>
        <w:t xml:space="preserve"> </w:t>
      </w:r>
      <w:r w:rsidRPr="00A777A9">
        <w:rPr>
          <w:rFonts w:ascii="Palatino Linotype" w:eastAsia="Calibri" w:hAnsi="Palatino Linotype" w:cs="Tahoma"/>
        </w:rPr>
        <w:t>no la fracción correspondiente del artículo 140 de la Ley de Transparencia y Acceso a la</w:t>
      </w:r>
      <w:r>
        <w:rPr>
          <w:rFonts w:ascii="Palatino Linotype" w:eastAsia="Calibri" w:hAnsi="Palatino Linotype" w:cs="Tahoma"/>
        </w:rPr>
        <w:t xml:space="preserve"> </w:t>
      </w:r>
      <w:r w:rsidRPr="00A777A9">
        <w:rPr>
          <w:rFonts w:ascii="Palatino Linotype" w:eastAsia="Calibri" w:hAnsi="Palatino Linotype" w:cs="Tahoma"/>
        </w:rPr>
        <w:t xml:space="preserve">Información Pública del Estado de México y Municipios, así como la </w:t>
      </w:r>
      <w:r w:rsidRPr="0000576A">
        <w:rPr>
          <w:rFonts w:ascii="Palatino Linotype" w:eastAsia="Calibri" w:hAnsi="Palatino Linotype" w:cs="Tahoma"/>
          <w:bCs/>
        </w:rPr>
        <w:t>prueba de daño</w:t>
      </w:r>
      <w:r w:rsidR="0000576A">
        <w:rPr>
          <w:rFonts w:ascii="Palatino Linotype" w:eastAsia="Calibri" w:hAnsi="Palatino Linotype" w:cs="Tahoma"/>
          <w:bCs/>
        </w:rPr>
        <w:t>, que acredite que la entrega de la información causaría un daño al interés público; por lo que además se debe tener presente que, b</w:t>
      </w:r>
      <w:r w:rsidR="00C11AFF">
        <w:rPr>
          <w:rFonts w:ascii="Palatino Linotype" w:eastAsia="Calibri" w:hAnsi="Palatino Linotype" w:cs="Tahoma"/>
        </w:rPr>
        <w:t>ajo esas líneas argumentativas</w:t>
      </w:r>
      <w:r w:rsidR="00C11AFF" w:rsidRPr="0000576A">
        <w:rPr>
          <w:rFonts w:ascii="Palatino Linotype" w:eastAsia="Calibri" w:hAnsi="Palatino Linotype" w:cs="Tahoma"/>
          <w:b/>
        </w:rPr>
        <w:t xml:space="preserve">, </w:t>
      </w:r>
      <w:r w:rsidR="00333724" w:rsidRPr="0000576A">
        <w:rPr>
          <w:rFonts w:ascii="Palatino Linotype" w:eastAsia="Calibri" w:hAnsi="Palatino Linotype" w:cs="Tahoma"/>
          <w:b/>
        </w:rPr>
        <w:t xml:space="preserve">afirmar que los documentos solicitados son clasificados, </w:t>
      </w:r>
      <w:r w:rsidR="0000576A">
        <w:rPr>
          <w:rFonts w:ascii="Palatino Linotype" w:eastAsia="Calibri" w:hAnsi="Palatino Linotype" w:cs="Tahoma"/>
          <w:b/>
        </w:rPr>
        <w:t xml:space="preserve">sería tanto como afirmar </w:t>
      </w:r>
      <w:r w:rsidR="00333724" w:rsidRPr="0000576A">
        <w:rPr>
          <w:rFonts w:ascii="Palatino Linotype" w:eastAsia="Calibri" w:hAnsi="Palatino Linotype" w:cs="Tahoma"/>
          <w:b/>
        </w:rPr>
        <w:t xml:space="preserve">que </w:t>
      </w:r>
      <w:r w:rsidR="00E569A6" w:rsidRPr="0000576A">
        <w:rPr>
          <w:rFonts w:ascii="Palatino Linotype" w:eastAsia="Calibri" w:hAnsi="Palatino Linotype" w:cs="Tahoma"/>
          <w:b/>
        </w:rPr>
        <w:t>el propio Ayu</w:t>
      </w:r>
      <w:r w:rsidR="0000576A">
        <w:rPr>
          <w:rFonts w:ascii="Palatino Linotype" w:eastAsia="Calibri" w:hAnsi="Palatino Linotype" w:cs="Tahoma"/>
          <w:b/>
        </w:rPr>
        <w:t xml:space="preserve">ntamiento de Toluca se encuentra </w:t>
      </w:r>
      <w:r w:rsidR="00E569A6" w:rsidRPr="0000576A">
        <w:rPr>
          <w:rFonts w:ascii="Palatino Linotype" w:eastAsia="Calibri" w:hAnsi="Palatino Linotype" w:cs="Tahoma"/>
          <w:b/>
        </w:rPr>
        <w:t xml:space="preserve"> impedido a proporcionar </w:t>
      </w:r>
      <w:r w:rsidR="0000576A">
        <w:rPr>
          <w:rFonts w:ascii="Palatino Linotype" w:eastAsia="Calibri" w:hAnsi="Palatino Linotype" w:cs="Tahoma"/>
          <w:b/>
        </w:rPr>
        <w:t xml:space="preserve">información como su nómina quincenal, </w:t>
      </w:r>
      <w:r w:rsidR="00E569A6" w:rsidRPr="0000576A">
        <w:rPr>
          <w:rFonts w:ascii="Palatino Linotype" w:eastAsia="Calibri" w:hAnsi="Palatino Linotype" w:cs="Tahoma"/>
          <w:b/>
        </w:rPr>
        <w:t xml:space="preserve">por ser </w:t>
      </w:r>
      <w:r w:rsidR="00A20000" w:rsidRPr="0000576A">
        <w:rPr>
          <w:rFonts w:ascii="Palatino Linotype" w:eastAsia="Calibri" w:hAnsi="Palatino Linotype" w:cs="Tahoma"/>
          <w:b/>
        </w:rPr>
        <w:t>objeto de revisión y fiscalización por parte del Órgano Superior de Fiscalización</w:t>
      </w:r>
      <w:r w:rsidR="00A20000">
        <w:rPr>
          <w:rFonts w:ascii="Palatino Linotype" w:eastAsia="Calibri" w:hAnsi="Palatino Linotype" w:cs="Tahoma"/>
        </w:rPr>
        <w:t>, situación que</w:t>
      </w:r>
      <w:r w:rsidR="00A20000" w:rsidRPr="00A20000">
        <w:rPr>
          <w:rFonts w:ascii="Palatino Linotype" w:eastAsia="Calibri" w:hAnsi="Palatino Linotype" w:cs="Tahoma"/>
        </w:rPr>
        <w:t xml:space="preserve"> </w:t>
      </w:r>
      <w:r w:rsidR="00A20000">
        <w:rPr>
          <w:rFonts w:ascii="Palatino Linotype" w:eastAsia="Calibri" w:hAnsi="Palatino Linotype" w:cs="Tahoma"/>
        </w:rPr>
        <w:t>no ha sido impedimento</w:t>
      </w:r>
      <w:r w:rsidR="00CA0F76">
        <w:rPr>
          <w:rFonts w:ascii="Palatino Linotype" w:eastAsia="Calibri" w:hAnsi="Palatino Linotype" w:cs="Tahoma"/>
        </w:rPr>
        <w:t xml:space="preserve"> para este</w:t>
      </w:r>
      <w:r w:rsidR="00A20000">
        <w:rPr>
          <w:rFonts w:ascii="Palatino Linotype" w:eastAsia="Calibri" w:hAnsi="Palatino Linotype" w:cs="Tahoma"/>
        </w:rPr>
        <w:t xml:space="preserve"> Instituto ordenar la entrega </w:t>
      </w:r>
      <w:r w:rsidR="00CA0F76">
        <w:rPr>
          <w:rFonts w:ascii="Palatino Linotype" w:eastAsia="Calibri" w:hAnsi="Palatino Linotype" w:cs="Tahoma"/>
        </w:rPr>
        <w:t xml:space="preserve">de nóminas </w:t>
      </w:r>
      <w:r w:rsidR="00DE05FD">
        <w:rPr>
          <w:rFonts w:ascii="Palatino Linotype" w:eastAsia="Calibri" w:hAnsi="Palatino Linotype" w:cs="Tahoma"/>
        </w:rPr>
        <w:t xml:space="preserve">de los Sujetos Obligados. </w:t>
      </w:r>
    </w:p>
    <w:p w14:paraId="31CCCA3A" w14:textId="77777777" w:rsidR="0000576A" w:rsidRDefault="0000576A" w:rsidP="00A777A9">
      <w:pPr>
        <w:spacing w:after="0" w:line="360" w:lineRule="auto"/>
        <w:ind w:right="-234"/>
        <w:contextualSpacing/>
        <w:jc w:val="both"/>
        <w:rPr>
          <w:rFonts w:ascii="Palatino Linotype" w:eastAsia="Calibri" w:hAnsi="Palatino Linotype" w:cs="Tahoma"/>
        </w:rPr>
      </w:pPr>
    </w:p>
    <w:p w14:paraId="1876E6B1" w14:textId="292ADA01" w:rsidR="0000576A" w:rsidRDefault="0000576A" w:rsidP="00A777A9">
      <w:pPr>
        <w:spacing w:after="0" w:line="360" w:lineRule="auto"/>
        <w:ind w:right="-234"/>
        <w:contextualSpacing/>
        <w:jc w:val="both"/>
        <w:rPr>
          <w:rFonts w:ascii="Palatino Linotype" w:eastAsia="Calibri" w:hAnsi="Palatino Linotype" w:cs="Tahoma"/>
        </w:rPr>
      </w:pPr>
      <w:r>
        <w:rPr>
          <w:rFonts w:ascii="Palatino Linotype" w:eastAsia="Calibri" w:hAnsi="Palatino Linotype" w:cs="Tahoma"/>
        </w:rPr>
        <w:t xml:space="preserve">En efecto, lo sujetos obligados están constreñidos a entregar toda la información que por cualquier motivo obre en sus archivos, por lo que justificar una restricción al derecho humano </w:t>
      </w:r>
      <w:r>
        <w:rPr>
          <w:rFonts w:ascii="Palatino Linotype" w:eastAsia="Calibri" w:hAnsi="Palatino Linotype" w:cs="Tahoma"/>
        </w:rPr>
        <w:lastRenderedPageBreak/>
        <w:t>de acceso a la información, únicamente porque la información fue generada por otro sujeto obligado o porque dicha información también obra en los archivos de ese sujeto obligado distinto, va en contra del derecho de acceso a la información</w:t>
      </w:r>
      <w:r w:rsidR="00B32C2D">
        <w:rPr>
          <w:rFonts w:ascii="Palatino Linotype" w:eastAsia="Calibri" w:hAnsi="Palatino Linotype" w:cs="Tahoma"/>
        </w:rPr>
        <w:t xml:space="preserve">, de tal suerte que, la resolución que nos ocupa, debió indicar que los documentos que se remiten por las instituciones públicas al OSFEM, son documentos finales, esto quiere decir, que son actos consumados por las instituciones públicas y lo que la ley permite al OSFEM es clasificar la información que ellos generan derivado de las revisiones que realizan y que podrían dar cuenta de las observaciones hasta en tanto no estén acreditadas o solventadas.  </w:t>
      </w:r>
    </w:p>
    <w:p w14:paraId="1D35634A" w14:textId="242EC448" w:rsidR="00DE05FD" w:rsidRDefault="00DE05FD" w:rsidP="00A777A9">
      <w:pPr>
        <w:spacing w:after="0" w:line="360" w:lineRule="auto"/>
        <w:ind w:right="-234"/>
        <w:contextualSpacing/>
        <w:jc w:val="both"/>
        <w:rPr>
          <w:rFonts w:ascii="Palatino Linotype" w:eastAsia="Calibri" w:hAnsi="Palatino Linotype" w:cs="Tahoma"/>
        </w:rPr>
      </w:pPr>
    </w:p>
    <w:p w14:paraId="312CD30D" w14:textId="47DCF65D" w:rsidR="00DE05FD" w:rsidRDefault="00DE05FD" w:rsidP="00A777A9">
      <w:pPr>
        <w:spacing w:after="0" w:line="360" w:lineRule="auto"/>
        <w:ind w:right="-234"/>
        <w:contextualSpacing/>
        <w:jc w:val="both"/>
        <w:rPr>
          <w:rFonts w:ascii="Palatino Linotype" w:eastAsia="Calibri" w:hAnsi="Palatino Linotype" w:cs="Tahoma"/>
        </w:rPr>
      </w:pPr>
      <w:r>
        <w:rPr>
          <w:rFonts w:ascii="Palatino Linotype" w:eastAsia="Calibri" w:hAnsi="Palatino Linotype" w:cs="Tahoma"/>
        </w:rPr>
        <w:t>Conforme a lo anterior,</w:t>
      </w:r>
      <w:r w:rsidR="00104435">
        <w:rPr>
          <w:rFonts w:ascii="Palatino Linotype" w:eastAsia="Calibri" w:hAnsi="Palatino Linotype" w:cs="Tahoma"/>
        </w:rPr>
        <w:t xml:space="preserve"> consideramos que se debió haber ordenado la entrega de la información en versión pública, toda vez que los informes trimestrales obran dentro de los archivos del Sujeto O</w:t>
      </w:r>
      <w:bookmarkStart w:id="1" w:name="_GoBack"/>
      <w:bookmarkEnd w:id="1"/>
      <w:r w:rsidR="00104435">
        <w:rPr>
          <w:rFonts w:ascii="Palatino Linotype" w:eastAsia="Calibri" w:hAnsi="Palatino Linotype" w:cs="Tahoma"/>
        </w:rPr>
        <w:t>bligado</w:t>
      </w:r>
      <w:r w:rsidR="009336AD">
        <w:rPr>
          <w:rFonts w:ascii="Palatino Linotype" w:eastAsia="Calibri" w:hAnsi="Palatino Linotype" w:cs="Tahoma"/>
        </w:rPr>
        <w:t xml:space="preserve">, además son los documentos que dan cuenta </w:t>
      </w:r>
      <w:r w:rsidR="00332148">
        <w:rPr>
          <w:rFonts w:ascii="Palatino Linotype" w:eastAsia="Calibri" w:hAnsi="Palatino Linotype" w:cs="Tahoma"/>
        </w:rPr>
        <w:t xml:space="preserve">del cumplimiento de las obligaciones de transparencia y rendición de cuentas, por lo que resulta importante tener acceso a los documentos que el Ayuntamiento de Toluca entrega al </w:t>
      </w:r>
      <w:r w:rsidR="00332148" w:rsidRPr="00332148">
        <w:rPr>
          <w:rFonts w:ascii="Palatino Linotype" w:eastAsia="Calibri" w:hAnsi="Palatino Linotype" w:cs="Tahoma"/>
        </w:rPr>
        <w:t>Órgano Superior de Fiscalización</w:t>
      </w:r>
      <w:r w:rsidR="0044437F">
        <w:rPr>
          <w:rFonts w:ascii="Palatino Linotype" w:eastAsia="Calibri" w:hAnsi="Palatino Linotype" w:cs="Tahoma"/>
        </w:rPr>
        <w:t>.</w:t>
      </w:r>
    </w:p>
    <w:p w14:paraId="02E41C77" w14:textId="0424AA12" w:rsidR="0044437F" w:rsidRDefault="0044437F" w:rsidP="00A777A9">
      <w:pPr>
        <w:spacing w:after="0" w:line="360" w:lineRule="auto"/>
        <w:ind w:right="-234"/>
        <w:contextualSpacing/>
        <w:jc w:val="both"/>
        <w:rPr>
          <w:rFonts w:ascii="Palatino Linotype" w:eastAsia="Calibri" w:hAnsi="Palatino Linotype" w:cs="Tahoma"/>
        </w:rPr>
      </w:pPr>
    </w:p>
    <w:p w14:paraId="16467BBF" w14:textId="487493A3" w:rsidR="00A3289D" w:rsidRDefault="0044437F" w:rsidP="00A777A9">
      <w:pPr>
        <w:spacing w:after="0" w:line="360" w:lineRule="auto"/>
        <w:ind w:right="-234"/>
        <w:contextualSpacing/>
        <w:jc w:val="both"/>
        <w:rPr>
          <w:rFonts w:ascii="Palatino Linotype" w:eastAsia="Calibri" w:hAnsi="Palatino Linotype" w:cs="Tahoma"/>
        </w:rPr>
      </w:pPr>
      <w:r>
        <w:rPr>
          <w:rFonts w:ascii="Palatino Linotype" w:eastAsia="Calibri" w:hAnsi="Palatino Linotype" w:cs="Tahoma"/>
        </w:rPr>
        <w:t xml:space="preserve">Robustece lo anterior, </w:t>
      </w:r>
      <w:r w:rsidR="00A3289D">
        <w:rPr>
          <w:rFonts w:ascii="Palatino Linotype" w:eastAsia="Calibri" w:hAnsi="Palatino Linotype" w:cs="Tahoma"/>
        </w:rPr>
        <w:t xml:space="preserve">la nota periodística denominada </w:t>
      </w:r>
      <w:r w:rsidR="00A3289D" w:rsidRPr="00A3289D">
        <w:rPr>
          <w:rFonts w:ascii="Palatino Linotype" w:eastAsia="Calibri" w:hAnsi="Palatino Linotype" w:cs="Tahoma"/>
          <w:b/>
          <w:bCs/>
        </w:rPr>
        <w:t xml:space="preserve">“El Infoem firmó convenio interinstitucional con el OSFEM” </w:t>
      </w:r>
      <w:r w:rsidR="00A3289D">
        <w:rPr>
          <w:rFonts w:ascii="Palatino Linotype" w:eastAsia="Calibri" w:hAnsi="Palatino Linotype" w:cs="Tahoma"/>
        </w:rPr>
        <w:t xml:space="preserve">del cinco de julio de dos mil veintidós, consultable en </w:t>
      </w:r>
      <w:hyperlink r:id="rId8" w:history="1">
        <w:r w:rsidR="00A3289D" w:rsidRPr="00CE4EB9">
          <w:rPr>
            <w:rStyle w:val="Hipervnculo"/>
            <w:rFonts w:ascii="Palatino Linotype" w:eastAsia="Calibri" w:hAnsi="Palatino Linotype" w:cs="Tahoma"/>
          </w:rPr>
          <w:t>https://www.infoem.org.mx/es/contenido/noticias/el-infoem-firm%C3%B3-convenio-interinstitucional-con-el-osfem</w:t>
        </w:r>
      </w:hyperlink>
      <w:r w:rsidR="00A3289D">
        <w:rPr>
          <w:rFonts w:ascii="Palatino Linotype" w:eastAsia="Calibri" w:hAnsi="Palatino Linotype" w:cs="Tahoma"/>
        </w:rPr>
        <w:t xml:space="preserve">, por medio de la cual se señala la revisión y análisis </w:t>
      </w:r>
      <w:r w:rsidR="004529F0">
        <w:rPr>
          <w:rFonts w:ascii="Palatino Linotype" w:eastAsia="Calibri" w:hAnsi="Palatino Linotype" w:cs="Tahoma"/>
        </w:rPr>
        <w:t>entre la posible disparidad o incongruencia de la información que las instituciones publican en sus portales de transparencia</w:t>
      </w:r>
      <w:r w:rsidR="004529F0" w:rsidRPr="004529F0">
        <w:t xml:space="preserve"> </w:t>
      </w:r>
      <w:r w:rsidR="004529F0" w:rsidRPr="004529F0">
        <w:rPr>
          <w:rFonts w:ascii="Palatino Linotype" w:eastAsia="Calibri" w:hAnsi="Palatino Linotype" w:cs="Tahoma"/>
        </w:rPr>
        <w:t>, a través del Sistema de Información Pública de Oficio Mexiquense (Ipomex)</w:t>
      </w:r>
      <w:r w:rsidR="004529F0">
        <w:rPr>
          <w:rFonts w:ascii="Palatino Linotype" w:eastAsia="Calibri" w:hAnsi="Palatino Linotype" w:cs="Tahoma"/>
        </w:rPr>
        <w:t xml:space="preserve"> y aquella que reportan al </w:t>
      </w:r>
      <w:r w:rsidR="004529F0" w:rsidRPr="004529F0">
        <w:rPr>
          <w:rFonts w:ascii="Palatino Linotype" w:eastAsia="Calibri" w:hAnsi="Palatino Linotype" w:cs="Tahoma"/>
        </w:rPr>
        <w:t>Órgano Superior de Fiscalización</w:t>
      </w:r>
      <w:r w:rsidR="004529F0">
        <w:rPr>
          <w:rFonts w:ascii="Palatino Linotype" w:eastAsia="Calibri" w:hAnsi="Palatino Linotype" w:cs="Tahoma"/>
        </w:rPr>
        <w:t>, con el fin de iniciar de manera más eficiente</w:t>
      </w:r>
      <w:r w:rsidR="000B3C62">
        <w:rPr>
          <w:rFonts w:ascii="Palatino Linotype" w:eastAsia="Calibri" w:hAnsi="Palatino Linotype" w:cs="Tahoma"/>
        </w:rPr>
        <w:t>, los procedimientos de responsabilidad administrativa que puedan existir y disminuir los índices de corrupción en servicio estatal y municipal.</w:t>
      </w:r>
    </w:p>
    <w:p w14:paraId="3B509FF8" w14:textId="1F15B913" w:rsidR="000B3C62" w:rsidRDefault="000B3C62" w:rsidP="00A777A9">
      <w:pPr>
        <w:spacing w:after="0" w:line="360" w:lineRule="auto"/>
        <w:ind w:right="-234"/>
        <w:contextualSpacing/>
        <w:jc w:val="both"/>
        <w:rPr>
          <w:rFonts w:ascii="Palatino Linotype" w:eastAsia="Calibri" w:hAnsi="Palatino Linotype" w:cs="Tahoma"/>
        </w:rPr>
      </w:pPr>
    </w:p>
    <w:p w14:paraId="72F8B36C" w14:textId="6C2D0AEB" w:rsidR="001D591B" w:rsidRPr="00201441" w:rsidRDefault="000B3C62" w:rsidP="00201441">
      <w:pPr>
        <w:spacing w:after="0" w:line="360" w:lineRule="auto"/>
        <w:ind w:right="-234"/>
        <w:contextualSpacing/>
        <w:jc w:val="both"/>
        <w:rPr>
          <w:rFonts w:ascii="Palatino Linotype" w:eastAsia="Calibri" w:hAnsi="Palatino Linotype" w:cs="Tahoma"/>
        </w:rPr>
      </w:pPr>
      <w:r>
        <w:rPr>
          <w:rFonts w:ascii="Palatino Linotype" w:eastAsia="Calibri" w:hAnsi="Palatino Linotype" w:cs="Tahoma"/>
        </w:rPr>
        <w:lastRenderedPageBreak/>
        <w:t xml:space="preserve">De lo anterior, se logra vislumbrar el interés legítimo del Particular en acceder a la </w:t>
      </w:r>
      <w:r w:rsidR="00E219D6">
        <w:rPr>
          <w:rFonts w:ascii="Palatino Linotype" w:eastAsia="Calibri" w:hAnsi="Palatino Linotype" w:cs="Tahoma"/>
        </w:rPr>
        <w:t xml:space="preserve">información tanto en posesión del Ayuntamiento de Toluca como la del </w:t>
      </w:r>
      <w:r w:rsidR="00E219D6" w:rsidRPr="00E219D6">
        <w:rPr>
          <w:rFonts w:ascii="Palatino Linotype" w:eastAsia="Calibri" w:hAnsi="Palatino Linotype" w:cs="Tahoma"/>
        </w:rPr>
        <w:t>Órgano Superior de Fiscalización</w:t>
      </w:r>
      <w:r w:rsidR="00E219D6">
        <w:rPr>
          <w:rFonts w:ascii="Palatino Linotype" w:eastAsia="Calibri" w:hAnsi="Palatino Linotype" w:cs="Tahoma"/>
        </w:rPr>
        <w:t xml:space="preserve">, a fin de verificar </w:t>
      </w:r>
      <w:r w:rsidR="00C063FF">
        <w:rPr>
          <w:rFonts w:ascii="Palatino Linotype" w:eastAsia="Calibri" w:hAnsi="Palatino Linotype" w:cs="Tahoma"/>
        </w:rPr>
        <w:t xml:space="preserve">el cumplimiento de las obligaciones de transparencia y que permiten a la ciudadanía involucrarse de manera activa en la rendición de cuentas y combate a la corrupción, de tal manera que en el presente caso debió prevalecer el principio de máxima publicidad y ordenar al </w:t>
      </w:r>
      <w:r w:rsidR="00C063FF" w:rsidRPr="00C063FF">
        <w:rPr>
          <w:rFonts w:ascii="Palatino Linotype" w:eastAsia="Calibri" w:hAnsi="Palatino Linotype" w:cs="Tahoma"/>
        </w:rPr>
        <w:t>Órgano Superior de Fiscalización</w:t>
      </w:r>
      <w:r w:rsidR="002016A5">
        <w:rPr>
          <w:rFonts w:ascii="Palatino Linotype" w:eastAsia="Calibri" w:hAnsi="Palatino Linotype" w:cs="Tahoma"/>
        </w:rPr>
        <w:t>, en versión pública</w:t>
      </w:r>
      <w:r w:rsidR="00C063FF">
        <w:rPr>
          <w:rFonts w:ascii="Palatino Linotype" w:eastAsia="Calibri" w:hAnsi="Palatino Linotype" w:cs="Tahoma"/>
        </w:rPr>
        <w:t xml:space="preserve"> la entrega </w:t>
      </w:r>
      <w:r w:rsidR="002016A5">
        <w:rPr>
          <w:rFonts w:ascii="Palatino Linotype" w:eastAsia="Calibri" w:hAnsi="Palatino Linotype" w:cs="Tahoma"/>
        </w:rPr>
        <w:t>del Informe Trimestral con la documentación de interés del particular</w:t>
      </w:r>
      <w:r w:rsidR="00201441">
        <w:rPr>
          <w:rFonts w:ascii="Palatino Linotype" w:eastAsia="Calibri" w:hAnsi="Palatino Linotype" w:cs="Tahoma"/>
        </w:rPr>
        <w:t xml:space="preserve"> y que </w:t>
      </w:r>
      <w:r w:rsidR="00D076B5" w:rsidRPr="00201441">
        <w:rPr>
          <w:rFonts w:ascii="Palatino Linotype" w:hAnsi="Palatino Linotype"/>
          <w:color w:val="000000"/>
        </w:rPr>
        <w:t>satisface</w:t>
      </w:r>
      <w:r w:rsidR="00201441" w:rsidRPr="00201441">
        <w:rPr>
          <w:rFonts w:ascii="Palatino Linotype" w:hAnsi="Palatino Linotype"/>
          <w:color w:val="000000"/>
        </w:rPr>
        <w:t>n</w:t>
      </w:r>
      <w:r w:rsidR="00D076B5" w:rsidRPr="00201441">
        <w:rPr>
          <w:rFonts w:ascii="Palatino Linotype" w:hAnsi="Palatino Linotype"/>
          <w:color w:val="000000"/>
        </w:rPr>
        <w:t xml:space="preserve"> el derecho de acceso a la información del Recurrente,  y no confirmar la</w:t>
      </w:r>
      <w:r w:rsidR="0074463A" w:rsidRPr="00201441">
        <w:rPr>
          <w:rFonts w:ascii="Palatino Linotype" w:hAnsi="Palatino Linotype"/>
          <w:color w:val="000000"/>
        </w:rPr>
        <w:t xml:space="preserve"> </w:t>
      </w:r>
      <w:r w:rsidR="00201441">
        <w:rPr>
          <w:rFonts w:ascii="Palatino Linotype" w:hAnsi="Palatino Linotype"/>
          <w:color w:val="000000"/>
        </w:rPr>
        <w:t>reserva</w:t>
      </w:r>
      <w:r w:rsidR="00D076B5" w:rsidRPr="00201441">
        <w:rPr>
          <w:rFonts w:ascii="Palatino Linotype" w:hAnsi="Palatino Linotype"/>
          <w:color w:val="000000"/>
        </w:rPr>
        <w:t xml:space="preserve"> del Sujeto Obligado</w:t>
      </w:r>
      <w:r w:rsidR="0074463A" w:rsidRPr="00201441">
        <w:rPr>
          <w:rFonts w:ascii="Palatino Linotype" w:hAnsi="Palatino Linotype"/>
          <w:color w:val="000000"/>
        </w:rPr>
        <w:t>.</w:t>
      </w:r>
    </w:p>
    <w:p w14:paraId="22689F16" w14:textId="77777777" w:rsidR="002F6D99" w:rsidRDefault="002F6D99" w:rsidP="002F6D99">
      <w:pPr>
        <w:spacing w:after="0" w:line="360" w:lineRule="auto"/>
        <w:ind w:left="567" w:right="333"/>
        <w:contextualSpacing/>
        <w:jc w:val="both"/>
        <w:rPr>
          <w:rFonts w:ascii="Palatino Linotype" w:hAnsi="Palatino Linotype"/>
          <w:i/>
          <w:color w:val="000000"/>
        </w:rPr>
      </w:pPr>
    </w:p>
    <w:p w14:paraId="76857E7E" w14:textId="177D8FC0" w:rsidR="00625997" w:rsidRDefault="00284D7A">
      <w:pPr>
        <w:spacing w:after="0" w:line="360" w:lineRule="auto"/>
        <w:jc w:val="both"/>
        <w:rPr>
          <w:rFonts w:ascii="Palatino Linotype" w:hAnsi="Palatino Linotype" w:cs="Tahoma"/>
        </w:rPr>
      </w:pPr>
      <w:r w:rsidRPr="00C03C75">
        <w:rPr>
          <w:rFonts w:ascii="Palatino Linotype" w:hAnsi="Palatino Linotype" w:cs="Tahoma"/>
        </w:rPr>
        <w:t>A</w:t>
      </w:r>
      <w:r w:rsidR="00E81338" w:rsidRPr="00C03C75">
        <w:rPr>
          <w:rFonts w:ascii="Palatino Linotype" w:hAnsi="Palatino Linotype" w:cs="Tahoma"/>
        </w:rPr>
        <w:t xml:space="preserve">sí, con base en los razonamientos expuestos, se emite el Presente Voto </w:t>
      </w:r>
      <w:r w:rsidRPr="00C03C75">
        <w:rPr>
          <w:rFonts w:ascii="Palatino Linotype" w:hAnsi="Palatino Linotype" w:cs="Tahoma"/>
        </w:rPr>
        <w:t>Disidente</w:t>
      </w:r>
      <w:r w:rsidR="00E81338" w:rsidRPr="00C03C75">
        <w:rPr>
          <w:rFonts w:ascii="Palatino Linotype" w:hAnsi="Palatino Linotype" w:cs="Tahoma"/>
        </w:rPr>
        <w:t>.</w:t>
      </w:r>
      <w:r w:rsidR="009305D2">
        <w:rPr>
          <w:rFonts w:ascii="Palatino Linotype" w:hAnsi="Palatino Linotype" w:cs="Tahoma"/>
        </w:rPr>
        <w:t>-----------------------------------------------------------------------------------------------------------------------------------</w:t>
      </w:r>
    </w:p>
    <w:p w14:paraId="4700803B" w14:textId="77777777" w:rsidR="00833E82" w:rsidRDefault="00833E82">
      <w:pPr>
        <w:spacing w:after="0" w:line="360" w:lineRule="auto"/>
        <w:jc w:val="both"/>
        <w:rPr>
          <w:rFonts w:ascii="Palatino Linotype" w:hAnsi="Palatino Linotype" w:cs="Tahoma"/>
        </w:rPr>
      </w:pPr>
    </w:p>
    <w:p w14:paraId="79443C35" w14:textId="77777777" w:rsidR="00833E82" w:rsidRDefault="00833E82">
      <w:pPr>
        <w:spacing w:after="0" w:line="360" w:lineRule="auto"/>
        <w:jc w:val="both"/>
        <w:rPr>
          <w:rFonts w:ascii="Palatino Linotype" w:hAnsi="Palatino Linotype" w:cs="Tahoma"/>
        </w:rPr>
      </w:pPr>
    </w:p>
    <w:p w14:paraId="49C6C938" w14:textId="77777777" w:rsidR="00833E82" w:rsidRDefault="00833E82">
      <w:pPr>
        <w:spacing w:after="0" w:line="360" w:lineRule="auto"/>
        <w:jc w:val="both"/>
        <w:rPr>
          <w:rFonts w:ascii="Palatino Linotype" w:hAnsi="Palatino Linotype" w:cs="Tahoma"/>
        </w:rPr>
      </w:pPr>
    </w:p>
    <w:p w14:paraId="6A224EDF" w14:textId="77777777" w:rsidR="00833E82" w:rsidRDefault="00833E82">
      <w:pPr>
        <w:spacing w:after="0" w:line="360" w:lineRule="auto"/>
        <w:jc w:val="both"/>
        <w:rPr>
          <w:rFonts w:ascii="Palatino Linotype" w:hAnsi="Palatino Linotype" w:cs="Tahoma"/>
        </w:rPr>
      </w:pPr>
    </w:p>
    <w:p w14:paraId="41389F92" w14:textId="77777777" w:rsidR="00833E82" w:rsidRDefault="00833E82">
      <w:pPr>
        <w:spacing w:after="0" w:line="360" w:lineRule="auto"/>
        <w:jc w:val="both"/>
        <w:rPr>
          <w:rFonts w:ascii="Palatino Linotype" w:hAnsi="Palatino Linotype" w:cs="Tahoma"/>
        </w:rPr>
      </w:pPr>
    </w:p>
    <w:p w14:paraId="344E86B8" w14:textId="77777777" w:rsidR="00833E82" w:rsidRDefault="00833E82">
      <w:pPr>
        <w:spacing w:after="0" w:line="360" w:lineRule="auto"/>
        <w:jc w:val="both"/>
        <w:rPr>
          <w:rFonts w:ascii="Palatino Linotype" w:hAnsi="Palatino Linotype" w:cs="Tahoma"/>
        </w:rPr>
      </w:pPr>
    </w:p>
    <w:p w14:paraId="43932326" w14:textId="77777777" w:rsidR="00833E82" w:rsidRDefault="00833E82">
      <w:pPr>
        <w:spacing w:after="0" w:line="360" w:lineRule="auto"/>
        <w:jc w:val="both"/>
        <w:rPr>
          <w:rFonts w:ascii="Palatino Linotype" w:hAnsi="Palatino Linotype" w:cs="Tahoma"/>
        </w:rPr>
      </w:pPr>
    </w:p>
    <w:p w14:paraId="7EB84EA1" w14:textId="77777777" w:rsidR="00833E82" w:rsidRDefault="00833E82">
      <w:pPr>
        <w:spacing w:after="0" w:line="360" w:lineRule="auto"/>
        <w:jc w:val="both"/>
        <w:rPr>
          <w:rFonts w:ascii="Palatino Linotype" w:hAnsi="Palatino Linotype" w:cs="Tahoma"/>
        </w:rPr>
      </w:pPr>
    </w:p>
    <w:p w14:paraId="7FAD70EB" w14:textId="77777777" w:rsidR="00833E82" w:rsidRDefault="00833E82">
      <w:pPr>
        <w:spacing w:after="0" w:line="360" w:lineRule="auto"/>
        <w:jc w:val="both"/>
        <w:rPr>
          <w:rFonts w:ascii="Palatino Linotype" w:hAnsi="Palatino Linotype" w:cs="Tahoma"/>
        </w:rPr>
      </w:pPr>
    </w:p>
    <w:p w14:paraId="3BD1E015" w14:textId="77777777" w:rsidR="00833E82" w:rsidRDefault="00833E82">
      <w:pPr>
        <w:spacing w:after="0" w:line="360" w:lineRule="auto"/>
        <w:jc w:val="both"/>
        <w:rPr>
          <w:rFonts w:ascii="Palatino Linotype" w:hAnsi="Palatino Linotype" w:cs="Tahoma"/>
        </w:rPr>
      </w:pPr>
    </w:p>
    <w:p w14:paraId="7D8E5114" w14:textId="77777777" w:rsidR="00833E82" w:rsidRDefault="00833E82">
      <w:pPr>
        <w:spacing w:after="0" w:line="360" w:lineRule="auto"/>
        <w:jc w:val="both"/>
        <w:rPr>
          <w:rFonts w:ascii="Palatino Linotype" w:hAnsi="Palatino Linotype" w:cs="Tahoma"/>
        </w:rPr>
      </w:pPr>
    </w:p>
    <w:p w14:paraId="57C96918" w14:textId="77777777" w:rsidR="00833E82" w:rsidRDefault="00833E82">
      <w:pPr>
        <w:spacing w:after="0" w:line="360" w:lineRule="auto"/>
        <w:jc w:val="both"/>
        <w:rPr>
          <w:rFonts w:ascii="Palatino Linotype" w:hAnsi="Palatino Linotype" w:cs="Tahoma"/>
        </w:rPr>
      </w:pPr>
    </w:p>
    <w:p w14:paraId="64D1AF3C" w14:textId="77777777" w:rsidR="00833E82" w:rsidRDefault="00833E82">
      <w:pPr>
        <w:spacing w:after="0" w:line="360" w:lineRule="auto"/>
        <w:jc w:val="both"/>
        <w:rPr>
          <w:rFonts w:ascii="Palatino Linotype" w:hAnsi="Palatino Linotype" w:cs="Tahoma"/>
        </w:rPr>
      </w:pPr>
    </w:p>
    <w:p w14:paraId="5B3C71C1" w14:textId="77777777" w:rsidR="00833E82" w:rsidRDefault="00833E82">
      <w:pPr>
        <w:spacing w:after="0" w:line="360" w:lineRule="auto"/>
        <w:jc w:val="both"/>
        <w:rPr>
          <w:rFonts w:ascii="Palatino Linotype" w:hAnsi="Palatino Linotype" w:cs="Tahoma"/>
        </w:rPr>
      </w:pPr>
    </w:p>
    <w:p w14:paraId="38E4D49A" w14:textId="77777777" w:rsidR="00833E82" w:rsidRDefault="00833E82">
      <w:pPr>
        <w:spacing w:after="0" w:line="360" w:lineRule="auto"/>
        <w:jc w:val="both"/>
        <w:rPr>
          <w:rFonts w:ascii="Palatino Linotype" w:hAnsi="Palatino Linotype" w:cs="Tahoma"/>
        </w:rPr>
      </w:pPr>
    </w:p>
    <w:p w14:paraId="3DBCE978" w14:textId="77777777" w:rsidR="00833E82" w:rsidRDefault="00833E82">
      <w:pPr>
        <w:spacing w:after="0" w:line="360" w:lineRule="auto"/>
        <w:jc w:val="both"/>
        <w:rPr>
          <w:rFonts w:ascii="Palatino Linotype" w:hAnsi="Palatino Linotype" w:cs="Tahoma"/>
        </w:rPr>
      </w:pPr>
    </w:p>
    <w:p w14:paraId="13556C0D" w14:textId="77777777" w:rsidR="00833E82" w:rsidRDefault="00833E82">
      <w:pPr>
        <w:spacing w:after="0" w:line="360" w:lineRule="auto"/>
        <w:jc w:val="both"/>
        <w:rPr>
          <w:rFonts w:ascii="Palatino Linotype" w:hAnsi="Palatino Linotype" w:cs="Tahoma"/>
        </w:rPr>
      </w:pPr>
    </w:p>
    <w:p w14:paraId="4F1EDED3" w14:textId="77777777" w:rsidR="00833E82" w:rsidRDefault="00833E82">
      <w:pPr>
        <w:spacing w:after="0" w:line="360" w:lineRule="auto"/>
        <w:jc w:val="both"/>
        <w:rPr>
          <w:rFonts w:ascii="Palatino Linotype" w:hAnsi="Palatino Linotype" w:cs="Tahoma"/>
        </w:rPr>
      </w:pPr>
    </w:p>
    <w:p w14:paraId="6E573604" w14:textId="77777777" w:rsidR="00833E82" w:rsidRDefault="00833E82">
      <w:pPr>
        <w:spacing w:after="0" w:line="360" w:lineRule="auto"/>
        <w:jc w:val="both"/>
        <w:rPr>
          <w:rFonts w:ascii="Palatino Linotype" w:hAnsi="Palatino Linotype" w:cs="Tahoma"/>
        </w:rPr>
      </w:pPr>
    </w:p>
    <w:p w14:paraId="22C030D7" w14:textId="77777777" w:rsidR="00833E82" w:rsidRDefault="00833E82">
      <w:pPr>
        <w:spacing w:after="0" w:line="360" w:lineRule="auto"/>
        <w:jc w:val="both"/>
        <w:rPr>
          <w:rFonts w:ascii="Palatino Linotype" w:hAnsi="Palatino Linotype" w:cs="Tahoma"/>
        </w:rPr>
      </w:pPr>
    </w:p>
    <w:p w14:paraId="421E6579" w14:textId="77777777" w:rsidR="00833E82" w:rsidRDefault="00833E82">
      <w:pPr>
        <w:spacing w:after="0" w:line="360" w:lineRule="auto"/>
        <w:jc w:val="both"/>
        <w:rPr>
          <w:rFonts w:ascii="Palatino Linotype" w:hAnsi="Palatino Linotype" w:cs="Tahoma"/>
        </w:rPr>
      </w:pPr>
    </w:p>
    <w:p w14:paraId="2327A3BB" w14:textId="77777777" w:rsidR="00833E82" w:rsidRPr="00C03C75" w:rsidRDefault="00833E82">
      <w:pPr>
        <w:spacing w:after="0" w:line="360" w:lineRule="auto"/>
        <w:jc w:val="both"/>
        <w:rPr>
          <w:rFonts w:ascii="Palatino Linotype" w:hAnsi="Palatino Linotype" w:cs="Tahoma"/>
        </w:rPr>
      </w:pPr>
    </w:p>
    <w:sectPr w:rsidR="00833E82" w:rsidRPr="00C03C75"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EDE00" w14:textId="77777777" w:rsidR="00765AD2" w:rsidRDefault="00765AD2" w:rsidP="00EE29F6">
      <w:pPr>
        <w:spacing w:after="0" w:line="240" w:lineRule="auto"/>
      </w:pPr>
      <w:r>
        <w:separator/>
      </w:r>
    </w:p>
  </w:endnote>
  <w:endnote w:type="continuationSeparator" w:id="0">
    <w:p w14:paraId="4D197A6E" w14:textId="77777777" w:rsidR="00765AD2" w:rsidRDefault="00765AD2"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CF12643"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E17AFE">
              <w:rPr>
                <w:b/>
                <w:bCs/>
                <w:noProof/>
              </w:rPr>
              <w:t>8</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E17AFE">
              <w:rPr>
                <w:b/>
                <w:bCs/>
                <w:noProof/>
              </w:rPr>
              <w:t>8</w:t>
            </w:r>
            <w:r w:rsidR="0005256C">
              <w:rPr>
                <w:b/>
                <w:bCs/>
                <w:sz w:val="24"/>
                <w:szCs w:val="24"/>
              </w:rPr>
              <w:fldChar w:fldCharType="end"/>
            </w:r>
          </w:p>
        </w:sdtContent>
      </w:sdt>
    </w:sdtContent>
  </w:sdt>
  <w:p w14:paraId="1A557E2E"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F2870" w14:textId="77777777" w:rsidR="00765AD2" w:rsidRDefault="00765AD2" w:rsidP="00EE29F6">
      <w:pPr>
        <w:spacing w:after="0" w:line="240" w:lineRule="auto"/>
      </w:pPr>
      <w:r>
        <w:separator/>
      </w:r>
    </w:p>
  </w:footnote>
  <w:footnote w:type="continuationSeparator" w:id="0">
    <w:p w14:paraId="300A6EAD" w14:textId="77777777" w:rsidR="00765AD2" w:rsidRDefault="00765AD2"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7C746BF7" w14:textId="77777777" w:rsidTr="00AE5BB7">
      <w:trPr>
        <w:trHeight w:val="1843"/>
      </w:trPr>
      <w:tc>
        <w:tcPr>
          <w:tcW w:w="3119" w:type="dxa"/>
          <w:vAlign w:val="bottom"/>
        </w:tcPr>
        <w:p w14:paraId="6016D2B8" w14:textId="33DF32A0"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601639C7" wp14:editId="4FB36E2B">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r w:rsidR="00833E82">
            <w:t xml:space="preserve"> </w:t>
          </w:r>
        </w:p>
        <w:p w14:paraId="669EBCAD" w14:textId="77777777" w:rsidR="00A1524E" w:rsidRDefault="00A1524E" w:rsidP="0077694E">
          <w:pPr>
            <w:pStyle w:val="Encabezado"/>
            <w:tabs>
              <w:tab w:val="clear" w:pos="4252"/>
              <w:tab w:val="center" w:pos="2614"/>
            </w:tabs>
          </w:pPr>
        </w:p>
      </w:tc>
      <w:tc>
        <w:tcPr>
          <w:tcW w:w="5812" w:type="dxa"/>
          <w:vAlign w:val="center"/>
        </w:tcPr>
        <w:p w14:paraId="72B91EE6"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0E7A9F">
            <w:rPr>
              <w:rFonts w:ascii="Palatino Linotype" w:hAnsi="Palatino Linotype" w:cs="Tahoma"/>
              <w:b/>
            </w:rPr>
            <w:t>Disidente</w:t>
          </w:r>
        </w:p>
        <w:p w14:paraId="4A5904F8" w14:textId="77777777" w:rsidR="00AE5BB7" w:rsidRDefault="001106EA" w:rsidP="00D524F5">
          <w:pPr>
            <w:pStyle w:val="Encabezado"/>
            <w:ind w:left="-108" w:right="31"/>
            <w:jc w:val="both"/>
            <w:rPr>
              <w:rFonts w:ascii="Palatino Linotype" w:hAnsi="Palatino Linotype" w:cs="Tahoma"/>
              <w:b/>
            </w:rPr>
          </w:pPr>
          <w:r w:rsidRPr="00B9745A">
            <w:rPr>
              <w:rFonts w:ascii="Palatino Linotype" w:hAnsi="Palatino Linotype" w:cs="Tahoma"/>
              <w:b/>
            </w:rPr>
            <w:t xml:space="preserve">Recurso de Revisión: </w:t>
          </w:r>
          <w:r w:rsidR="00AE5BB7" w:rsidRPr="00AE5BB7">
            <w:rPr>
              <w:rFonts w:ascii="Palatino Linotype" w:hAnsi="Palatino Linotype" w:cs="Tahoma"/>
              <w:bCs/>
            </w:rPr>
            <w:t>11207/INFOEM/IP/RR/2022</w:t>
          </w:r>
        </w:p>
        <w:p w14:paraId="24159551" w14:textId="3350F2DA" w:rsidR="00801E58" w:rsidRPr="00B9745A" w:rsidRDefault="00801E58" w:rsidP="00D524F5">
          <w:pPr>
            <w:pStyle w:val="Encabezado"/>
            <w:ind w:left="-108" w:right="31"/>
            <w:jc w:val="both"/>
            <w:rPr>
              <w:rFonts w:ascii="Palatino Linotype" w:hAnsi="Palatino Linotype" w:cs="Tahoma"/>
              <w:b/>
            </w:rPr>
          </w:pPr>
          <w:r>
            <w:rPr>
              <w:rFonts w:ascii="Palatino Linotype" w:hAnsi="Palatino Linotype" w:cs="Tahoma"/>
              <w:b/>
            </w:rPr>
            <w:t xml:space="preserve">Sujeto Obligado: </w:t>
          </w:r>
          <w:r w:rsidR="00AE5BB7" w:rsidRPr="00AE5BB7">
            <w:rPr>
              <w:rFonts w:ascii="Palatino Linotype" w:hAnsi="Palatino Linotype" w:cs="Tahoma"/>
            </w:rPr>
            <w:t>Poder Legislativo</w:t>
          </w:r>
        </w:p>
        <w:p w14:paraId="6B0E09F5" w14:textId="36856DBE" w:rsidR="006F754E" w:rsidRPr="00AE5BB7" w:rsidRDefault="006F754E" w:rsidP="008A56FC">
          <w:pPr>
            <w:pStyle w:val="Encabezado"/>
            <w:ind w:left="-108" w:right="-250"/>
            <w:jc w:val="both"/>
            <w:rPr>
              <w:rFonts w:ascii="Palatino Linotype" w:hAnsi="Palatino Linotype"/>
              <w:bCs/>
              <w:lang w:val="es-ES_tradnl"/>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AE5BB7" w:rsidRPr="00AE5BB7">
            <w:rPr>
              <w:rFonts w:ascii="Palatino Linotype" w:hAnsi="Palatino Linotype" w:cs="Tahoma"/>
              <w:bCs/>
            </w:rPr>
            <w:t>Sharon Cristina Morales Martínez</w:t>
          </w:r>
        </w:p>
        <w:p w14:paraId="14A0EB6D" w14:textId="77777777" w:rsidR="00112D5D" w:rsidRPr="001106EA" w:rsidRDefault="00112D5D" w:rsidP="008A56FC">
          <w:pPr>
            <w:pStyle w:val="Encabezado"/>
            <w:ind w:left="-108" w:right="-250"/>
            <w:jc w:val="both"/>
            <w:rPr>
              <w:rFonts w:ascii="Tahoma" w:hAnsi="Tahoma" w:cs="Tahoma"/>
            </w:rPr>
          </w:pPr>
        </w:p>
      </w:tc>
    </w:tr>
  </w:tbl>
  <w:p w14:paraId="195EEBDA" w14:textId="251E6F81"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913B51"/>
    <w:multiLevelType w:val="hybridMultilevel"/>
    <w:tmpl w:val="91EA4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C35F19"/>
    <w:multiLevelType w:val="hybridMultilevel"/>
    <w:tmpl w:val="A580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253D8B"/>
    <w:multiLevelType w:val="hybridMultilevel"/>
    <w:tmpl w:val="EAD21A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1">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CB034C"/>
    <w:multiLevelType w:val="hybridMultilevel"/>
    <w:tmpl w:val="50E83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7"/>
  </w:num>
  <w:num w:numId="4">
    <w:abstractNumId w:val="0"/>
  </w:num>
  <w:num w:numId="5">
    <w:abstractNumId w:val="15"/>
  </w:num>
  <w:num w:numId="6">
    <w:abstractNumId w:val="6"/>
  </w:num>
  <w:num w:numId="7">
    <w:abstractNumId w:val="13"/>
  </w:num>
  <w:num w:numId="8">
    <w:abstractNumId w:val="21"/>
  </w:num>
  <w:num w:numId="9">
    <w:abstractNumId w:val="16"/>
  </w:num>
  <w:num w:numId="10">
    <w:abstractNumId w:val="17"/>
  </w:num>
  <w:num w:numId="11">
    <w:abstractNumId w:val="19"/>
  </w:num>
  <w:num w:numId="12">
    <w:abstractNumId w:val="1"/>
  </w:num>
  <w:num w:numId="13">
    <w:abstractNumId w:val="10"/>
  </w:num>
  <w:num w:numId="14">
    <w:abstractNumId w:val="23"/>
  </w:num>
  <w:num w:numId="15">
    <w:abstractNumId w:val="20"/>
  </w:num>
  <w:num w:numId="16">
    <w:abstractNumId w:val="2"/>
  </w:num>
  <w:num w:numId="17">
    <w:abstractNumId w:val="5"/>
  </w:num>
  <w:num w:numId="18">
    <w:abstractNumId w:val="18"/>
  </w:num>
  <w:num w:numId="19">
    <w:abstractNumId w:val="12"/>
  </w:num>
  <w:num w:numId="20">
    <w:abstractNumId w:val="9"/>
  </w:num>
  <w:num w:numId="21">
    <w:abstractNumId w:val="8"/>
  </w:num>
  <w:num w:numId="22">
    <w:abstractNumId w:val="22"/>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576A"/>
    <w:rsid w:val="00006F73"/>
    <w:rsid w:val="00011BCD"/>
    <w:rsid w:val="000145B2"/>
    <w:rsid w:val="00017788"/>
    <w:rsid w:val="00020D08"/>
    <w:rsid w:val="00021E2D"/>
    <w:rsid w:val="0002627D"/>
    <w:rsid w:val="00026846"/>
    <w:rsid w:val="0002759D"/>
    <w:rsid w:val="000301C6"/>
    <w:rsid w:val="00031240"/>
    <w:rsid w:val="00041B19"/>
    <w:rsid w:val="00042A63"/>
    <w:rsid w:val="00046497"/>
    <w:rsid w:val="0005256C"/>
    <w:rsid w:val="00055AB6"/>
    <w:rsid w:val="00060F74"/>
    <w:rsid w:val="000612E1"/>
    <w:rsid w:val="0006561A"/>
    <w:rsid w:val="00082543"/>
    <w:rsid w:val="00087AC8"/>
    <w:rsid w:val="00097988"/>
    <w:rsid w:val="000A65BC"/>
    <w:rsid w:val="000B235B"/>
    <w:rsid w:val="000B3C62"/>
    <w:rsid w:val="000B7F6F"/>
    <w:rsid w:val="000C10B7"/>
    <w:rsid w:val="000C5469"/>
    <w:rsid w:val="000D0645"/>
    <w:rsid w:val="000D186F"/>
    <w:rsid w:val="000E7A9F"/>
    <w:rsid w:val="000F5649"/>
    <w:rsid w:val="000F7079"/>
    <w:rsid w:val="00103FFF"/>
    <w:rsid w:val="00104435"/>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2325"/>
    <w:rsid w:val="0016348D"/>
    <w:rsid w:val="00164625"/>
    <w:rsid w:val="00164BFE"/>
    <w:rsid w:val="00166D27"/>
    <w:rsid w:val="0018472D"/>
    <w:rsid w:val="001923F0"/>
    <w:rsid w:val="00192A6D"/>
    <w:rsid w:val="00193AA8"/>
    <w:rsid w:val="00197A72"/>
    <w:rsid w:val="001A145C"/>
    <w:rsid w:val="001A1C9F"/>
    <w:rsid w:val="001A6BD9"/>
    <w:rsid w:val="001C1C64"/>
    <w:rsid w:val="001C2D5C"/>
    <w:rsid w:val="001C65B2"/>
    <w:rsid w:val="001C6E0B"/>
    <w:rsid w:val="001D0B7E"/>
    <w:rsid w:val="001D591B"/>
    <w:rsid w:val="001E2FC8"/>
    <w:rsid w:val="001F5016"/>
    <w:rsid w:val="001F667B"/>
    <w:rsid w:val="001F6A82"/>
    <w:rsid w:val="00201441"/>
    <w:rsid w:val="002016A5"/>
    <w:rsid w:val="002151E7"/>
    <w:rsid w:val="00216BC4"/>
    <w:rsid w:val="0021743D"/>
    <w:rsid w:val="0022066B"/>
    <w:rsid w:val="00223F64"/>
    <w:rsid w:val="00231B68"/>
    <w:rsid w:val="00242C75"/>
    <w:rsid w:val="00243617"/>
    <w:rsid w:val="00243A13"/>
    <w:rsid w:val="00245ACA"/>
    <w:rsid w:val="00246FAF"/>
    <w:rsid w:val="00250CBE"/>
    <w:rsid w:val="00263234"/>
    <w:rsid w:val="00266E13"/>
    <w:rsid w:val="0028037C"/>
    <w:rsid w:val="00280A9C"/>
    <w:rsid w:val="002816CB"/>
    <w:rsid w:val="0028479D"/>
    <w:rsid w:val="00284D7A"/>
    <w:rsid w:val="00286D20"/>
    <w:rsid w:val="00286F1F"/>
    <w:rsid w:val="00293A91"/>
    <w:rsid w:val="00295BA5"/>
    <w:rsid w:val="002A138B"/>
    <w:rsid w:val="002A16CE"/>
    <w:rsid w:val="002A1727"/>
    <w:rsid w:val="002A2EE7"/>
    <w:rsid w:val="002B3447"/>
    <w:rsid w:val="002B4442"/>
    <w:rsid w:val="002B6A00"/>
    <w:rsid w:val="002C2405"/>
    <w:rsid w:val="002C289B"/>
    <w:rsid w:val="002D7AB8"/>
    <w:rsid w:val="002E2EA3"/>
    <w:rsid w:val="002E5A1A"/>
    <w:rsid w:val="002F356C"/>
    <w:rsid w:val="002F4E95"/>
    <w:rsid w:val="002F6D99"/>
    <w:rsid w:val="00300C04"/>
    <w:rsid w:val="00320769"/>
    <w:rsid w:val="00322675"/>
    <w:rsid w:val="00326D16"/>
    <w:rsid w:val="00332148"/>
    <w:rsid w:val="00333724"/>
    <w:rsid w:val="00333B7A"/>
    <w:rsid w:val="0033623E"/>
    <w:rsid w:val="003364E4"/>
    <w:rsid w:val="003512C9"/>
    <w:rsid w:val="0036006F"/>
    <w:rsid w:val="0037159A"/>
    <w:rsid w:val="00374017"/>
    <w:rsid w:val="00374B7B"/>
    <w:rsid w:val="00381EAE"/>
    <w:rsid w:val="00384924"/>
    <w:rsid w:val="003A6218"/>
    <w:rsid w:val="003B1F42"/>
    <w:rsid w:val="003B6547"/>
    <w:rsid w:val="003B7A5E"/>
    <w:rsid w:val="003C0474"/>
    <w:rsid w:val="003C15F3"/>
    <w:rsid w:val="003D23E5"/>
    <w:rsid w:val="003F2426"/>
    <w:rsid w:val="003F48C2"/>
    <w:rsid w:val="0040139C"/>
    <w:rsid w:val="00401601"/>
    <w:rsid w:val="004127DC"/>
    <w:rsid w:val="00412CB2"/>
    <w:rsid w:val="004211BB"/>
    <w:rsid w:val="00421252"/>
    <w:rsid w:val="00426C3C"/>
    <w:rsid w:val="00433746"/>
    <w:rsid w:val="00434C88"/>
    <w:rsid w:val="00435E69"/>
    <w:rsid w:val="00436361"/>
    <w:rsid w:val="0043730D"/>
    <w:rsid w:val="004438F6"/>
    <w:rsid w:val="0044437F"/>
    <w:rsid w:val="00444DD6"/>
    <w:rsid w:val="00445BDF"/>
    <w:rsid w:val="00447F6F"/>
    <w:rsid w:val="00450945"/>
    <w:rsid w:val="0045183E"/>
    <w:rsid w:val="004529F0"/>
    <w:rsid w:val="004536B0"/>
    <w:rsid w:val="00460A2D"/>
    <w:rsid w:val="0047538D"/>
    <w:rsid w:val="00476633"/>
    <w:rsid w:val="0048424A"/>
    <w:rsid w:val="00490F50"/>
    <w:rsid w:val="004970E4"/>
    <w:rsid w:val="004A4555"/>
    <w:rsid w:val="004A555E"/>
    <w:rsid w:val="004A5C04"/>
    <w:rsid w:val="004B08C4"/>
    <w:rsid w:val="004B532B"/>
    <w:rsid w:val="004B541F"/>
    <w:rsid w:val="004B7028"/>
    <w:rsid w:val="004C4912"/>
    <w:rsid w:val="004C5A6B"/>
    <w:rsid w:val="004C6E57"/>
    <w:rsid w:val="004E1B2F"/>
    <w:rsid w:val="004E3AA1"/>
    <w:rsid w:val="004E7007"/>
    <w:rsid w:val="004F08C6"/>
    <w:rsid w:val="00500949"/>
    <w:rsid w:val="00511238"/>
    <w:rsid w:val="005143BC"/>
    <w:rsid w:val="005228CE"/>
    <w:rsid w:val="00524DA5"/>
    <w:rsid w:val="00526DBD"/>
    <w:rsid w:val="00543DF4"/>
    <w:rsid w:val="00544812"/>
    <w:rsid w:val="005520D2"/>
    <w:rsid w:val="00553ADE"/>
    <w:rsid w:val="005560E7"/>
    <w:rsid w:val="00560A41"/>
    <w:rsid w:val="0056120D"/>
    <w:rsid w:val="0056308F"/>
    <w:rsid w:val="0056593F"/>
    <w:rsid w:val="005714AE"/>
    <w:rsid w:val="00572FBB"/>
    <w:rsid w:val="00576423"/>
    <w:rsid w:val="00582CCB"/>
    <w:rsid w:val="00584D73"/>
    <w:rsid w:val="005870A6"/>
    <w:rsid w:val="0059329D"/>
    <w:rsid w:val="005A2510"/>
    <w:rsid w:val="005A2E49"/>
    <w:rsid w:val="005B09A4"/>
    <w:rsid w:val="005B1BC6"/>
    <w:rsid w:val="005B6967"/>
    <w:rsid w:val="005C094E"/>
    <w:rsid w:val="005C6DCD"/>
    <w:rsid w:val="005C73EE"/>
    <w:rsid w:val="005D11C8"/>
    <w:rsid w:val="005D26CE"/>
    <w:rsid w:val="005E2798"/>
    <w:rsid w:val="005E48EE"/>
    <w:rsid w:val="005E661B"/>
    <w:rsid w:val="00600164"/>
    <w:rsid w:val="00605683"/>
    <w:rsid w:val="0061370E"/>
    <w:rsid w:val="00614CC4"/>
    <w:rsid w:val="006248F2"/>
    <w:rsid w:val="00624DE5"/>
    <w:rsid w:val="00625997"/>
    <w:rsid w:val="00637E94"/>
    <w:rsid w:val="00641B78"/>
    <w:rsid w:val="00645087"/>
    <w:rsid w:val="00645497"/>
    <w:rsid w:val="006504FD"/>
    <w:rsid w:val="00652B0E"/>
    <w:rsid w:val="00654ACD"/>
    <w:rsid w:val="006567CA"/>
    <w:rsid w:val="00657396"/>
    <w:rsid w:val="00664D9C"/>
    <w:rsid w:val="006712A1"/>
    <w:rsid w:val="00672FC0"/>
    <w:rsid w:val="00681338"/>
    <w:rsid w:val="00682003"/>
    <w:rsid w:val="00684B16"/>
    <w:rsid w:val="00691E2A"/>
    <w:rsid w:val="00693432"/>
    <w:rsid w:val="006971B1"/>
    <w:rsid w:val="006A3E2E"/>
    <w:rsid w:val="006B3AED"/>
    <w:rsid w:val="006C24E8"/>
    <w:rsid w:val="006C76CB"/>
    <w:rsid w:val="006E1E37"/>
    <w:rsid w:val="006E7483"/>
    <w:rsid w:val="006F0FD4"/>
    <w:rsid w:val="006F3F40"/>
    <w:rsid w:val="006F45AE"/>
    <w:rsid w:val="006F5316"/>
    <w:rsid w:val="006F754E"/>
    <w:rsid w:val="007070EE"/>
    <w:rsid w:val="007073B4"/>
    <w:rsid w:val="00724F08"/>
    <w:rsid w:val="00730CD7"/>
    <w:rsid w:val="007378E2"/>
    <w:rsid w:val="00742A15"/>
    <w:rsid w:val="00742E50"/>
    <w:rsid w:val="00744068"/>
    <w:rsid w:val="0074463A"/>
    <w:rsid w:val="007468D5"/>
    <w:rsid w:val="00755BBF"/>
    <w:rsid w:val="00762956"/>
    <w:rsid w:val="007632F3"/>
    <w:rsid w:val="00765AD2"/>
    <w:rsid w:val="00765B4E"/>
    <w:rsid w:val="00767DA9"/>
    <w:rsid w:val="0077694E"/>
    <w:rsid w:val="0078072F"/>
    <w:rsid w:val="00780F20"/>
    <w:rsid w:val="00782502"/>
    <w:rsid w:val="00790695"/>
    <w:rsid w:val="00793961"/>
    <w:rsid w:val="00796A29"/>
    <w:rsid w:val="007A2C83"/>
    <w:rsid w:val="007A2D13"/>
    <w:rsid w:val="007A440E"/>
    <w:rsid w:val="007D3257"/>
    <w:rsid w:val="007D5347"/>
    <w:rsid w:val="007D68AF"/>
    <w:rsid w:val="007E0BC9"/>
    <w:rsid w:val="007F0B75"/>
    <w:rsid w:val="007F124B"/>
    <w:rsid w:val="007F16D4"/>
    <w:rsid w:val="007F18F1"/>
    <w:rsid w:val="007F1C1D"/>
    <w:rsid w:val="007F7D80"/>
    <w:rsid w:val="00801E58"/>
    <w:rsid w:val="00807185"/>
    <w:rsid w:val="00810663"/>
    <w:rsid w:val="00822F7D"/>
    <w:rsid w:val="00826381"/>
    <w:rsid w:val="00830F69"/>
    <w:rsid w:val="00831362"/>
    <w:rsid w:val="0083166F"/>
    <w:rsid w:val="00833E82"/>
    <w:rsid w:val="00836BC2"/>
    <w:rsid w:val="00845D0A"/>
    <w:rsid w:val="00852676"/>
    <w:rsid w:val="00856E29"/>
    <w:rsid w:val="00861757"/>
    <w:rsid w:val="008727EF"/>
    <w:rsid w:val="00881454"/>
    <w:rsid w:val="008875A0"/>
    <w:rsid w:val="00891412"/>
    <w:rsid w:val="008A0447"/>
    <w:rsid w:val="008A1DE1"/>
    <w:rsid w:val="008A3DA9"/>
    <w:rsid w:val="008A56FC"/>
    <w:rsid w:val="008B08C9"/>
    <w:rsid w:val="008D12B5"/>
    <w:rsid w:val="008E3C3E"/>
    <w:rsid w:val="008E54E2"/>
    <w:rsid w:val="008F0C2D"/>
    <w:rsid w:val="008F3B5A"/>
    <w:rsid w:val="009039FE"/>
    <w:rsid w:val="009078CF"/>
    <w:rsid w:val="00910C2D"/>
    <w:rsid w:val="00913252"/>
    <w:rsid w:val="0091435C"/>
    <w:rsid w:val="00922B2E"/>
    <w:rsid w:val="009247AA"/>
    <w:rsid w:val="00925B57"/>
    <w:rsid w:val="00927BD1"/>
    <w:rsid w:val="009305D2"/>
    <w:rsid w:val="009324E3"/>
    <w:rsid w:val="009336AD"/>
    <w:rsid w:val="0093480E"/>
    <w:rsid w:val="00940F42"/>
    <w:rsid w:val="00944E5E"/>
    <w:rsid w:val="0094785F"/>
    <w:rsid w:val="00950355"/>
    <w:rsid w:val="00950F56"/>
    <w:rsid w:val="00952B06"/>
    <w:rsid w:val="00954115"/>
    <w:rsid w:val="0095455B"/>
    <w:rsid w:val="00954BF1"/>
    <w:rsid w:val="00960472"/>
    <w:rsid w:val="00961459"/>
    <w:rsid w:val="00962B86"/>
    <w:rsid w:val="00964A2B"/>
    <w:rsid w:val="00974836"/>
    <w:rsid w:val="00975949"/>
    <w:rsid w:val="009859F3"/>
    <w:rsid w:val="009943E1"/>
    <w:rsid w:val="00997CC5"/>
    <w:rsid w:val="009B22ED"/>
    <w:rsid w:val="009B2C0B"/>
    <w:rsid w:val="009B4297"/>
    <w:rsid w:val="009C0313"/>
    <w:rsid w:val="009D07E2"/>
    <w:rsid w:val="009D49BE"/>
    <w:rsid w:val="009E0861"/>
    <w:rsid w:val="009E30F4"/>
    <w:rsid w:val="009E3540"/>
    <w:rsid w:val="009E41F7"/>
    <w:rsid w:val="009E704F"/>
    <w:rsid w:val="009F0953"/>
    <w:rsid w:val="009F6E4A"/>
    <w:rsid w:val="00A02F7A"/>
    <w:rsid w:val="00A1524E"/>
    <w:rsid w:val="00A17333"/>
    <w:rsid w:val="00A20000"/>
    <w:rsid w:val="00A277B1"/>
    <w:rsid w:val="00A3289D"/>
    <w:rsid w:val="00A364BA"/>
    <w:rsid w:val="00A368F1"/>
    <w:rsid w:val="00A41E5E"/>
    <w:rsid w:val="00A42B23"/>
    <w:rsid w:val="00A4669C"/>
    <w:rsid w:val="00A5061A"/>
    <w:rsid w:val="00A5658F"/>
    <w:rsid w:val="00A56747"/>
    <w:rsid w:val="00A67498"/>
    <w:rsid w:val="00A742D1"/>
    <w:rsid w:val="00A74475"/>
    <w:rsid w:val="00A77118"/>
    <w:rsid w:val="00A777A9"/>
    <w:rsid w:val="00A821FE"/>
    <w:rsid w:val="00A87924"/>
    <w:rsid w:val="00A96933"/>
    <w:rsid w:val="00AA090B"/>
    <w:rsid w:val="00AA3A4D"/>
    <w:rsid w:val="00AB3E26"/>
    <w:rsid w:val="00AC333A"/>
    <w:rsid w:val="00AD25D5"/>
    <w:rsid w:val="00AD3C54"/>
    <w:rsid w:val="00AD65AE"/>
    <w:rsid w:val="00AE0B64"/>
    <w:rsid w:val="00AE5BB7"/>
    <w:rsid w:val="00AF3B6B"/>
    <w:rsid w:val="00B068A1"/>
    <w:rsid w:val="00B16BBC"/>
    <w:rsid w:val="00B2616C"/>
    <w:rsid w:val="00B263C5"/>
    <w:rsid w:val="00B32C2D"/>
    <w:rsid w:val="00B433B0"/>
    <w:rsid w:val="00B52DF3"/>
    <w:rsid w:val="00B57565"/>
    <w:rsid w:val="00B67355"/>
    <w:rsid w:val="00B7041D"/>
    <w:rsid w:val="00B7393F"/>
    <w:rsid w:val="00B761B1"/>
    <w:rsid w:val="00B87612"/>
    <w:rsid w:val="00B9465A"/>
    <w:rsid w:val="00B9588B"/>
    <w:rsid w:val="00B9745A"/>
    <w:rsid w:val="00BB3551"/>
    <w:rsid w:val="00BB3D5D"/>
    <w:rsid w:val="00BB6EE3"/>
    <w:rsid w:val="00BC4882"/>
    <w:rsid w:val="00BC55D2"/>
    <w:rsid w:val="00BD06FC"/>
    <w:rsid w:val="00BD4705"/>
    <w:rsid w:val="00BD5DBE"/>
    <w:rsid w:val="00BD7354"/>
    <w:rsid w:val="00BF1384"/>
    <w:rsid w:val="00BF4B21"/>
    <w:rsid w:val="00C011EB"/>
    <w:rsid w:val="00C0131C"/>
    <w:rsid w:val="00C03C75"/>
    <w:rsid w:val="00C0425F"/>
    <w:rsid w:val="00C056BD"/>
    <w:rsid w:val="00C063FF"/>
    <w:rsid w:val="00C11AFF"/>
    <w:rsid w:val="00C1209F"/>
    <w:rsid w:val="00C15A60"/>
    <w:rsid w:val="00C23A77"/>
    <w:rsid w:val="00C30FD6"/>
    <w:rsid w:val="00C31FEE"/>
    <w:rsid w:val="00C42640"/>
    <w:rsid w:val="00C42FC3"/>
    <w:rsid w:val="00C55FFC"/>
    <w:rsid w:val="00C67608"/>
    <w:rsid w:val="00C75CE0"/>
    <w:rsid w:val="00C76331"/>
    <w:rsid w:val="00C800C1"/>
    <w:rsid w:val="00C866D8"/>
    <w:rsid w:val="00CA0F76"/>
    <w:rsid w:val="00CA7627"/>
    <w:rsid w:val="00CC66DA"/>
    <w:rsid w:val="00CC68E1"/>
    <w:rsid w:val="00CD4339"/>
    <w:rsid w:val="00CE343C"/>
    <w:rsid w:val="00CE4462"/>
    <w:rsid w:val="00CE50F9"/>
    <w:rsid w:val="00CF11EE"/>
    <w:rsid w:val="00CF5734"/>
    <w:rsid w:val="00D0281E"/>
    <w:rsid w:val="00D02D93"/>
    <w:rsid w:val="00D05740"/>
    <w:rsid w:val="00D076B5"/>
    <w:rsid w:val="00D1200E"/>
    <w:rsid w:val="00D13875"/>
    <w:rsid w:val="00D15D07"/>
    <w:rsid w:val="00D160F2"/>
    <w:rsid w:val="00D170A7"/>
    <w:rsid w:val="00D32C2C"/>
    <w:rsid w:val="00D357E1"/>
    <w:rsid w:val="00D368A8"/>
    <w:rsid w:val="00D37CDC"/>
    <w:rsid w:val="00D45BDF"/>
    <w:rsid w:val="00D50D8F"/>
    <w:rsid w:val="00D51426"/>
    <w:rsid w:val="00D524F5"/>
    <w:rsid w:val="00D55429"/>
    <w:rsid w:val="00D65D0C"/>
    <w:rsid w:val="00D666D4"/>
    <w:rsid w:val="00D7239D"/>
    <w:rsid w:val="00D75FAE"/>
    <w:rsid w:val="00D77F63"/>
    <w:rsid w:val="00D80130"/>
    <w:rsid w:val="00D83B63"/>
    <w:rsid w:val="00D87D7F"/>
    <w:rsid w:val="00D9114A"/>
    <w:rsid w:val="00D96166"/>
    <w:rsid w:val="00DA11C0"/>
    <w:rsid w:val="00DB1EF4"/>
    <w:rsid w:val="00DC4A9C"/>
    <w:rsid w:val="00DD69B0"/>
    <w:rsid w:val="00DE05FD"/>
    <w:rsid w:val="00DE22C6"/>
    <w:rsid w:val="00DE7641"/>
    <w:rsid w:val="00DF3893"/>
    <w:rsid w:val="00DF47E7"/>
    <w:rsid w:val="00DF6CA0"/>
    <w:rsid w:val="00E043F7"/>
    <w:rsid w:val="00E06F9E"/>
    <w:rsid w:val="00E11DB1"/>
    <w:rsid w:val="00E145E1"/>
    <w:rsid w:val="00E17AFE"/>
    <w:rsid w:val="00E219D6"/>
    <w:rsid w:val="00E26123"/>
    <w:rsid w:val="00E26DFC"/>
    <w:rsid w:val="00E34559"/>
    <w:rsid w:val="00E345D1"/>
    <w:rsid w:val="00E41481"/>
    <w:rsid w:val="00E416F8"/>
    <w:rsid w:val="00E45036"/>
    <w:rsid w:val="00E472AD"/>
    <w:rsid w:val="00E5434C"/>
    <w:rsid w:val="00E54506"/>
    <w:rsid w:val="00E569A6"/>
    <w:rsid w:val="00E645AC"/>
    <w:rsid w:val="00E652E8"/>
    <w:rsid w:val="00E656C1"/>
    <w:rsid w:val="00E738F3"/>
    <w:rsid w:val="00E7538D"/>
    <w:rsid w:val="00E80551"/>
    <w:rsid w:val="00E81338"/>
    <w:rsid w:val="00E82F77"/>
    <w:rsid w:val="00E83683"/>
    <w:rsid w:val="00E8492D"/>
    <w:rsid w:val="00E92722"/>
    <w:rsid w:val="00E93F81"/>
    <w:rsid w:val="00EA208C"/>
    <w:rsid w:val="00EA37F5"/>
    <w:rsid w:val="00EA7E26"/>
    <w:rsid w:val="00EB6F97"/>
    <w:rsid w:val="00EB7128"/>
    <w:rsid w:val="00EC3160"/>
    <w:rsid w:val="00EC6DDF"/>
    <w:rsid w:val="00ED3946"/>
    <w:rsid w:val="00EE0949"/>
    <w:rsid w:val="00EE29F6"/>
    <w:rsid w:val="00EE32D0"/>
    <w:rsid w:val="00EE3C1F"/>
    <w:rsid w:val="00EF482C"/>
    <w:rsid w:val="00F011F6"/>
    <w:rsid w:val="00F12AE6"/>
    <w:rsid w:val="00F14384"/>
    <w:rsid w:val="00F16606"/>
    <w:rsid w:val="00F23C14"/>
    <w:rsid w:val="00F27D0B"/>
    <w:rsid w:val="00F3116F"/>
    <w:rsid w:val="00F3298A"/>
    <w:rsid w:val="00F32B83"/>
    <w:rsid w:val="00F35B7B"/>
    <w:rsid w:val="00F4155E"/>
    <w:rsid w:val="00F43ECC"/>
    <w:rsid w:val="00F44AC3"/>
    <w:rsid w:val="00F5512C"/>
    <w:rsid w:val="00F5795E"/>
    <w:rsid w:val="00F60843"/>
    <w:rsid w:val="00F8452E"/>
    <w:rsid w:val="00F928B5"/>
    <w:rsid w:val="00F955B8"/>
    <w:rsid w:val="00F97621"/>
    <w:rsid w:val="00FA177C"/>
    <w:rsid w:val="00FB3044"/>
    <w:rsid w:val="00FB566D"/>
    <w:rsid w:val="00FB59D6"/>
    <w:rsid w:val="00FB5C13"/>
    <w:rsid w:val="00FB789E"/>
    <w:rsid w:val="00FB7E62"/>
    <w:rsid w:val="00FC105C"/>
    <w:rsid w:val="00FC1D9D"/>
    <w:rsid w:val="00FC1F32"/>
    <w:rsid w:val="00FD1849"/>
    <w:rsid w:val="00FD3150"/>
    <w:rsid w:val="00FD530D"/>
    <w:rsid w:val="00FE2942"/>
    <w:rsid w:val="00FE4726"/>
    <w:rsid w:val="00FF22F6"/>
    <w:rsid w:val="00FF59CC"/>
    <w:rsid w:val="00FF6013"/>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BE38B"/>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UnresolvedMention">
    <w:name w:val="Unresolved Mention"/>
    <w:basedOn w:val="Fuentedeprrafopredeter"/>
    <w:uiPriority w:val="99"/>
    <w:semiHidden/>
    <w:unhideWhenUsed/>
    <w:rsid w:val="00A32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noticias/el-infoem-firm%C3%B3-convenio-interinstitucional-con-el-osf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4F276-F143-4A1C-A143-EFD8A688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1897</Words>
  <Characters>10435</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Usuario</cp:lastModifiedBy>
  <cp:revision>7</cp:revision>
  <cp:lastPrinted>2020-01-27T21:17:00Z</cp:lastPrinted>
  <dcterms:created xsi:type="dcterms:W3CDTF">2022-09-05T12:28:00Z</dcterms:created>
  <dcterms:modified xsi:type="dcterms:W3CDTF">2022-09-05T20:34:00Z</dcterms:modified>
</cp:coreProperties>
</file>