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B5A1" w14:textId="77777777" w:rsidR="00A0486D" w:rsidRDefault="00A0486D" w:rsidP="00F2424F">
      <w:pPr>
        <w:pStyle w:val="Encabezado"/>
        <w:spacing w:line="360" w:lineRule="auto"/>
        <w:jc w:val="both"/>
        <w:rPr>
          <w:rFonts w:ascii="Palatino Linotype" w:hAnsi="Palatino Linotype" w:cs="Tahoma"/>
          <w:b/>
        </w:rPr>
      </w:pPr>
    </w:p>
    <w:p w14:paraId="736D340D" w14:textId="2132439E" w:rsidR="006E1E37" w:rsidRPr="004F2589" w:rsidRDefault="009E0861" w:rsidP="00F2424F">
      <w:pPr>
        <w:pStyle w:val="Encabezado"/>
        <w:spacing w:line="360" w:lineRule="auto"/>
        <w:jc w:val="both"/>
        <w:rPr>
          <w:rFonts w:ascii="Palatino Linotype" w:hAnsi="Palatino Linotype" w:cs="Tahoma"/>
          <w:b/>
        </w:rPr>
      </w:pPr>
      <w:r w:rsidRPr="006A7606">
        <w:rPr>
          <w:rFonts w:ascii="Palatino Linotype" w:hAnsi="Palatino Linotype" w:cs="Tahoma"/>
          <w:b/>
        </w:rPr>
        <w:t>VOTO PARTICULAR QUE FORMULA EL COMISIONAD</w:t>
      </w:r>
      <w:r w:rsidR="00320769" w:rsidRPr="006A7606">
        <w:rPr>
          <w:rFonts w:ascii="Palatino Linotype" w:hAnsi="Palatino Linotype" w:cs="Tahoma"/>
          <w:b/>
        </w:rPr>
        <w:t>O LUIS GUSTAVO PARRA NORIEGA, A</w:t>
      </w:r>
      <w:r w:rsidRPr="006A7606">
        <w:rPr>
          <w:rFonts w:ascii="Palatino Linotype" w:hAnsi="Palatino Linotype" w:cs="Tahoma"/>
          <w:b/>
        </w:rPr>
        <w:t xml:space="preserve"> LA RESO</w:t>
      </w:r>
      <w:r w:rsidR="00D32C2C" w:rsidRPr="006A7606">
        <w:rPr>
          <w:rFonts w:ascii="Palatino Linotype" w:hAnsi="Palatino Linotype" w:cs="Tahoma"/>
          <w:b/>
        </w:rPr>
        <w:t xml:space="preserve">LUCIÓN DEL RECURSO DE REVISIÓN </w:t>
      </w:r>
      <w:r w:rsidR="004F2589" w:rsidRPr="004F2589">
        <w:rPr>
          <w:rFonts w:ascii="Palatino Linotype" w:hAnsi="Palatino Linotype" w:cs="Arial"/>
          <w:b/>
          <w:bCs/>
          <w:lang w:eastAsia="es-MX"/>
        </w:rPr>
        <w:t>0</w:t>
      </w:r>
      <w:r w:rsidR="00E1044A">
        <w:rPr>
          <w:rFonts w:ascii="Palatino Linotype" w:hAnsi="Palatino Linotype" w:cs="Arial"/>
          <w:b/>
          <w:bCs/>
          <w:lang w:eastAsia="es-MX"/>
        </w:rPr>
        <w:t>3979</w:t>
      </w:r>
      <w:r w:rsidR="004F2589" w:rsidRPr="004F2589">
        <w:rPr>
          <w:rFonts w:ascii="Palatino Linotype" w:hAnsi="Palatino Linotype" w:cs="Arial"/>
          <w:b/>
          <w:bCs/>
          <w:lang w:eastAsia="es-MX"/>
        </w:rPr>
        <w:t>/INFOEM/IP/RR/2021</w:t>
      </w:r>
      <w:r w:rsidR="00994D26" w:rsidRPr="006A7606">
        <w:rPr>
          <w:rFonts w:ascii="Palatino Linotype" w:hAnsi="Palatino Linotype" w:cs="Tahoma"/>
          <w:b/>
        </w:rPr>
        <w:t xml:space="preserve">, PROMOVIDO EN </w:t>
      </w:r>
      <w:r w:rsidR="004F2589" w:rsidRPr="006A7606">
        <w:rPr>
          <w:rFonts w:ascii="Palatino Linotype" w:hAnsi="Palatino Linotype" w:cs="Tahoma"/>
          <w:b/>
        </w:rPr>
        <w:t xml:space="preserve">CONTRA </w:t>
      </w:r>
      <w:r w:rsidR="00A8746F">
        <w:rPr>
          <w:rFonts w:ascii="Palatino Linotype" w:hAnsi="Palatino Linotype" w:cs="Tahoma"/>
          <w:b/>
        </w:rPr>
        <w:t xml:space="preserve">DEL AYUNTAMIENTO DE </w:t>
      </w:r>
      <w:r w:rsidR="00E1044A">
        <w:rPr>
          <w:rFonts w:ascii="Palatino Linotype" w:hAnsi="Palatino Linotype" w:cs="Tahoma"/>
          <w:b/>
        </w:rPr>
        <w:t>CUAUTITL</w:t>
      </w:r>
      <w:r w:rsidR="00E1044A">
        <w:rPr>
          <w:rFonts w:ascii="Palatino Linotype" w:hAnsi="Palatino Linotype" w:cs="Tahoma"/>
          <w:b/>
          <w:lang w:val="x-none"/>
        </w:rPr>
        <w:t>ÁN IZCALLI</w:t>
      </w:r>
      <w:r w:rsidR="004F2589" w:rsidRPr="004F2589">
        <w:rPr>
          <w:rFonts w:ascii="Palatino Linotype" w:hAnsi="Palatino Linotype" w:cs="Tahoma"/>
          <w:b/>
        </w:rPr>
        <w:t>.</w:t>
      </w:r>
    </w:p>
    <w:p w14:paraId="2CAF43DD" w14:textId="77777777" w:rsidR="004F2589" w:rsidRPr="004F2589" w:rsidRDefault="004F2589" w:rsidP="004F2589">
      <w:pPr>
        <w:pStyle w:val="Encabezado"/>
        <w:spacing w:line="360" w:lineRule="auto"/>
        <w:ind w:right="-250"/>
        <w:jc w:val="both"/>
        <w:rPr>
          <w:rFonts w:ascii="Palatino Linotype" w:hAnsi="Palatino Linotype" w:cs="Tahoma"/>
          <w:b/>
        </w:rPr>
      </w:pPr>
    </w:p>
    <w:p w14:paraId="1B547878" w14:textId="43FB317F" w:rsidR="00E1044A" w:rsidRPr="00A66247" w:rsidRDefault="00E1044A" w:rsidP="00E1044A">
      <w:pPr>
        <w:spacing w:after="0" w:line="360" w:lineRule="auto"/>
        <w:jc w:val="both"/>
        <w:rPr>
          <w:rFonts w:ascii="Palatino Linotype" w:hAnsi="Palatino Linotype" w:cs="Tahoma"/>
        </w:rPr>
      </w:pPr>
      <w:r w:rsidRPr="00A66247">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Pr>
          <w:rFonts w:ascii="Palatino Linotype" w:hAnsi="Palatino Linotype" w:cs="Tahoma"/>
        </w:rPr>
        <w:t xml:space="preserve"> 2°, fracción XIX,</w:t>
      </w:r>
      <w:r w:rsidRPr="00A66247">
        <w:rPr>
          <w:rFonts w:ascii="Palatino Linotype" w:hAnsi="Palatino Linotype" w:cs="Tahoma"/>
        </w:rPr>
        <w:t xml:space="preserve"> 45 y 48, fracción </w:t>
      </w:r>
      <w:r>
        <w:rPr>
          <w:rFonts w:ascii="Palatino Linotype" w:hAnsi="Palatino Linotype" w:cs="Tahoma"/>
        </w:rPr>
        <w:t>I</w:t>
      </w:r>
      <w:r w:rsidRPr="00A66247">
        <w:rPr>
          <w:rFonts w:ascii="Palatino Linotype" w:hAnsi="Palatino Linotype" w:cs="Tahoma"/>
        </w:rPr>
        <w:t xml:space="preserve">I, de los Lineamientos para el funcionamiento del Pleno y las Comisiones del Instituto de Transparencia, Acceso a la Información Pública y Protección de Datos Personales del Estado de México y Municipios, emito el presente </w:t>
      </w:r>
      <w:r w:rsidRPr="00A66247">
        <w:rPr>
          <w:rFonts w:ascii="Palatino Linotype" w:hAnsi="Palatino Linotype" w:cs="Tahoma"/>
          <w:b/>
        </w:rPr>
        <w:t>Voto Disidente</w:t>
      </w:r>
      <w:r w:rsidRPr="00A66247">
        <w:rPr>
          <w:rFonts w:ascii="Palatino Linotype" w:hAnsi="Palatino Linotype" w:cs="Tahoma"/>
        </w:rPr>
        <w:t xml:space="preserve"> por no compartir el sentido de la Resolución del Recurso de Revisión </w:t>
      </w:r>
      <w:r w:rsidRPr="00F43488">
        <w:rPr>
          <w:rFonts w:ascii="Palatino Linotype" w:hAnsi="Palatino Linotype" w:cs="Tahoma"/>
        </w:rPr>
        <w:t>0</w:t>
      </w:r>
      <w:r>
        <w:rPr>
          <w:rFonts w:ascii="Palatino Linotype" w:hAnsi="Palatino Linotype" w:cs="Tahoma"/>
        </w:rPr>
        <w:t>3979</w:t>
      </w:r>
      <w:r w:rsidRPr="00F43488">
        <w:rPr>
          <w:rFonts w:ascii="Palatino Linotype" w:hAnsi="Palatino Linotype" w:cs="Tahoma"/>
        </w:rPr>
        <w:t>/INFOEM/IP/RR/2021</w:t>
      </w:r>
      <w:r>
        <w:rPr>
          <w:rFonts w:ascii="Palatino Linotype" w:hAnsi="Palatino Linotype" w:cs="Tahoma"/>
        </w:rPr>
        <w:t>, conforme a lo siguiente:</w:t>
      </w:r>
    </w:p>
    <w:p w14:paraId="31FA074D" w14:textId="77777777" w:rsidR="00B7176A" w:rsidRPr="006A7606" w:rsidRDefault="00B7176A" w:rsidP="003A0DE6">
      <w:pPr>
        <w:spacing w:after="0" w:line="360" w:lineRule="auto"/>
        <w:jc w:val="both"/>
        <w:rPr>
          <w:rFonts w:ascii="Palatino Linotype" w:hAnsi="Palatino Linotype" w:cs="Tahoma"/>
        </w:rPr>
      </w:pPr>
    </w:p>
    <w:p w14:paraId="1414D8AD" w14:textId="56BA9BD5" w:rsidR="00E1044A" w:rsidRPr="00E87CEE" w:rsidRDefault="00E1044A" w:rsidP="00E1044A">
      <w:pPr>
        <w:spacing w:after="0" w:line="360" w:lineRule="auto"/>
        <w:jc w:val="both"/>
        <w:rPr>
          <w:rFonts w:ascii="Palatino Linotype" w:hAnsi="Palatino Linotype" w:cs="Tahoma"/>
        </w:rPr>
      </w:pPr>
      <w:r w:rsidRPr="00A66247">
        <w:rPr>
          <w:rFonts w:ascii="Palatino Linotype" w:hAnsi="Palatino Linotype" w:cs="Tahoma"/>
        </w:rPr>
        <w:t xml:space="preserve">Como se desprende de la Resolución que nos ocupa, </w:t>
      </w:r>
      <w:r>
        <w:rPr>
          <w:rFonts w:ascii="Palatino Linotype" w:hAnsi="Palatino Linotype" w:cs="Tahoma"/>
        </w:rPr>
        <w:t xml:space="preserve">la mayoría del Pleno de este Instituto, consideró procedente </w:t>
      </w:r>
      <w:r>
        <w:rPr>
          <w:rFonts w:ascii="Palatino Linotype" w:hAnsi="Palatino Linotype" w:cs="Tahoma"/>
          <w:b/>
          <w:bCs/>
        </w:rPr>
        <w:t xml:space="preserve">CONFIRMAR </w:t>
      </w:r>
      <w:r>
        <w:rPr>
          <w:rFonts w:ascii="Palatino Linotype" w:hAnsi="Palatino Linotype" w:cs="Tahoma"/>
        </w:rPr>
        <w:t xml:space="preserve">la respuesta entregada por </w:t>
      </w:r>
      <w:r w:rsidR="00B526EF">
        <w:rPr>
          <w:rFonts w:ascii="Palatino Linotype" w:hAnsi="Palatino Linotype" w:cs="Tahoma"/>
        </w:rPr>
        <w:t>el Ayuntamiento de Cuautitlán</w:t>
      </w:r>
      <w:r w:rsidR="00B526EF">
        <w:rPr>
          <w:rFonts w:ascii="Palatino Linotype" w:hAnsi="Palatino Linotype" w:cs="Tahoma"/>
          <w:lang w:val="x-none"/>
        </w:rPr>
        <w:t xml:space="preserve"> Izcalli</w:t>
      </w:r>
      <w:r>
        <w:rPr>
          <w:rFonts w:ascii="Palatino Linotype" w:hAnsi="Palatino Linotype" w:cs="Tahoma"/>
        </w:rPr>
        <w:t>, en la que se confirmó la clasificación de</w:t>
      </w:r>
      <w:r w:rsidR="005B3290">
        <w:rPr>
          <w:rFonts w:ascii="Palatino Linotype" w:hAnsi="Palatino Linotype" w:cs="Tahoma"/>
        </w:rPr>
        <w:t>l Estado de Fuerza e información</w:t>
      </w:r>
      <w:r w:rsidR="005B3290">
        <w:rPr>
          <w:rFonts w:ascii="Palatino Linotype" w:hAnsi="Palatino Linotype" w:cs="Tahoma"/>
          <w:lang w:val="x-none"/>
        </w:rPr>
        <w:t xml:space="preserve"> estadística respecto al número de vehículos con los que cuenta el </w:t>
      </w:r>
      <w:r w:rsidR="0027739B">
        <w:rPr>
          <w:rFonts w:ascii="Palatino Linotype" w:hAnsi="Palatino Linotype" w:cs="Tahoma"/>
        </w:rPr>
        <w:t>á</w:t>
      </w:r>
      <w:r w:rsidR="005B3290">
        <w:rPr>
          <w:rFonts w:ascii="Palatino Linotype" w:hAnsi="Palatino Linotype" w:cs="Tahoma"/>
          <w:lang w:val="x-none"/>
        </w:rPr>
        <w:t>rea de Seguridad Pública</w:t>
      </w:r>
      <w:r w:rsidR="0027739B">
        <w:rPr>
          <w:rFonts w:ascii="Palatino Linotype" w:hAnsi="Palatino Linotype" w:cs="Tahoma"/>
        </w:rPr>
        <w:t xml:space="preserve"> del Ayuntamiento</w:t>
      </w:r>
      <w:r>
        <w:rPr>
          <w:rFonts w:ascii="Palatino Linotype" w:hAnsi="Palatino Linotype" w:cs="Tahoma"/>
        </w:rPr>
        <w:t>, mediante Acuerdo del Comité de Transparencia ACT/SECOGEM/EXT/COMT/9ª/2021/SEGUNDO, en términos del artículo 14</w:t>
      </w:r>
      <w:r w:rsidR="005B3290">
        <w:rPr>
          <w:rFonts w:ascii="Palatino Linotype" w:hAnsi="Palatino Linotype" w:cs="Tahoma"/>
        </w:rPr>
        <w:t xml:space="preserve">0 </w:t>
      </w:r>
      <w:r>
        <w:rPr>
          <w:rFonts w:ascii="Palatino Linotype" w:hAnsi="Palatino Linotype" w:cs="Tahoma"/>
        </w:rPr>
        <w:t>de la Ley de Transparencia y Acceso a la Información Pública del Estado de México y Municipios</w:t>
      </w:r>
      <w:r w:rsidR="005B3290">
        <w:rPr>
          <w:rFonts w:ascii="Palatino Linotype" w:hAnsi="Palatino Linotype" w:cs="Tahoma"/>
        </w:rPr>
        <w:t>.</w:t>
      </w:r>
    </w:p>
    <w:p w14:paraId="253005C9" w14:textId="312C8FD0" w:rsidR="00852D5B" w:rsidRDefault="00852D5B" w:rsidP="003A0DE6">
      <w:pPr>
        <w:spacing w:after="0" w:line="360" w:lineRule="auto"/>
        <w:jc w:val="both"/>
        <w:rPr>
          <w:rFonts w:ascii="Palatino Linotype" w:hAnsi="Palatino Linotype" w:cs="Tahoma"/>
        </w:rPr>
      </w:pPr>
    </w:p>
    <w:p w14:paraId="1595DD35" w14:textId="20BA7432" w:rsidR="005B3290" w:rsidRDefault="005B3290" w:rsidP="003A0DE6">
      <w:pPr>
        <w:spacing w:after="0" w:line="360" w:lineRule="auto"/>
        <w:jc w:val="both"/>
        <w:rPr>
          <w:rFonts w:ascii="Palatino Linotype" w:hAnsi="Palatino Linotype" w:cs="Tahoma"/>
        </w:rPr>
      </w:pPr>
      <w:r>
        <w:rPr>
          <w:rFonts w:ascii="Palatino Linotype" w:hAnsi="Palatino Linotype" w:cs="Tahoma"/>
        </w:rPr>
        <w:t xml:space="preserve">En ese sentido, no comparto el sentido de la </w:t>
      </w:r>
      <w:r w:rsidR="00220E21">
        <w:rPr>
          <w:rFonts w:ascii="Palatino Linotype" w:hAnsi="Palatino Linotype" w:cs="Tahoma"/>
        </w:rPr>
        <w:t>Resolución</w:t>
      </w:r>
      <w:r>
        <w:rPr>
          <w:rFonts w:ascii="Palatino Linotype" w:hAnsi="Palatino Linotype" w:cs="Tahoma"/>
          <w:lang w:val="x-none"/>
        </w:rPr>
        <w:t xml:space="preserve">, pues </w:t>
      </w:r>
      <w:r w:rsidR="00DC4DB6">
        <w:rPr>
          <w:rFonts w:ascii="Palatino Linotype" w:hAnsi="Palatino Linotype" w:cs="Tahoma"/>
          <w:lang w:val="x-none"/>
        </w:rPr>
        <w:t xml:space="preserve">desde mi punto de vista, no es posible actualizar la reserva de la información solicitada, </w:t>
      </w:r>
      <w:r w:rsidR="0027739B">
        <w:rPr>
          <w:rFonts w:ascii="Palatino Linotype" w:hAnsi="Palatino Linotype" w:cs="Tahoma"/>
        </w:rPr>
        <w:t>ya que</w:t>
      </w:r>
      <w:r w:rsidR="00DC4DB6">
        <w:rPr>
          <w:rFonts w:ascii="Palatino Linotype" w:hAnsi="Palatino Linotype" w:cs="Tahoma"/>
          <w:lang w:val="x-none"/>
        </w:rPr>
        <w:t xml:space="preserve"> no actualiza las causales establecidas en el artículo 140 de la Ley de la materia, aunado a que el Acuerdo validado, </w:t>
      </w:r>
      <w:r w:rsidR="00DC4DB6">
        <w:rPr>
          <w:rFonts w:ascii="Palatino Linotype" w:hAnsi="Palatino Linotype" w:cs="Tahoma"/>
          <w:lang w:val="x-none"/>
        </w:rPr>
        <w:lastRenderedPageBreak/>
        <w:t xml:space="preserve">no cumple ni con las formalidades de forma </w:t>
      </w:r>
      <w:r w:rsidR="0027739B">
        <w:rPr>
          <w:rFonts w:ascii="Palatino Linotype" w:hAnsi="Palatino Linotype" w:cs="Tahoma"/>
        </w:rPr>
        <w:t>ni de</w:t>
      </w:r>
      <w:r w:rsidR="00DC4DB6">
        <w:rPr>
          <w:rFonts w:ascii="Palatino Linotype" w:hAnsi="Palatino Linotype" w:cs="Tahoma"/>
          <w:lang w:val="x-none"/>
        </w:rPr>
        <w:t xml:space="preserve"> fondo que establece la normatividad aplicable, conforme a las siguientes consideraciones.</w:t>
      </w:r>
    </w:p>
    <w:p w14:paraId="1D284D64" w14:textId="77777777" w:rsidR="00CE657A" w:rsidRPr="00CE657A" w:rsidRDefault="00CE657A" w:rsidP="00CE657A">
      <w:pPr>
        <w:spacing w:after="0" w:line="360" w:lineRule="auto"/>
        <w:jc w:val="both"/>
        <w:rPr>
          <w:rFonts w:ascii="Palatino Linotype" w:eastAsia="Calibri" w:hAnsi="Palatino Linotype" w:cs="Tahoma"/>
        </w:rPr>
      </w:pPr>
    </w:p>
    <w:p w14:paraId="4096D2F4" w14:textId="4637EA3D" w:rsidR="00CE657A" w:rsidRPr="00CE657A" w:rsidRDefault="00DC4DB6" w:rsidP="00CE657A">
      <w:pPr>
        <w:spacing w:after="0" w:line="360" w:lineRule="auto"/>
        <w:jc w:val="both"/>
        <w:rPr>
          <w:rFonts w:ascii="Palatino Linotype" w:eastAsia="Calibri" w:hAnsi="Palatino Linotype" w:cs="Tahoma"/>
          <w:lang w:val="es-ES_tradnl"/>
        </w:rPr>
      </w:pPr>
      <w:r>
        <w:rPr>
          <w:rFonts w:ascii="Palatino Linotype" w:eastAsia="Calibri" w:hAnsi="Palatino Linotype" w:cs="Tahoma"/>
          <w:iCs/>
          <w:lang w:eastAsia="es-ES_tradnl"/>
        </w:rPr>
        <w:t>En principio</w:t>
      </w:r>
      <w:r w:rsidR="00CE657A" w:rsidRPr="00CE657A">
        <w:rPr>
          <w:rFonts w:ascii="Palatino Linotype" w:eastAsia="Calibri" w:hAnsi="Palatino Linotype" w:cs="Tahoma"/>
          <w:iCs/>
          <w:lang w:eastAsia="es-ES_tradnl"/>
        </w:rPr>
        <w:t>, el artículo 1.8, fracciones IX y XIII del Código Administrativo del Estado de México, establece que para que tenga validez, todo acto administrativo deberá guardar congruencia con lo solicitado y deberá resolver todos los puntos propuestos por los interesados.</w:t>
      </w:r>
      <w:r w:rsidR="0027739B">
        <w:rPr>
          <w:rFonts w:ascii="Palatino Linotype" w:eastAsia="Calibri" w:hAnsi="Palatino Linotype" w:cs="Tahoma"/>
          <w:iCs/>
          <w:lang w:eastAsia="es-ES_tradnl"/>
        </w:rPr>
        <w:t xml:space="preserve"> </w:t>
      </w:r>
      <w:r w:rsidR="00CE657A" w:rsidRPr="00CE657A">
        <w:rPr>
          <w:rFonts w:ascii="Palatino Linotype" w:eastAsia="Calibri" w:hAnsi="Palatino Linotype" w:cs="Tahoma"/>
          <w:iCs/>
          <w:lang w:eastAsia="es-ES_tradnl"/>
        </w:rPr>
        <w:t xml:space="preserve">Así, cada determinación que se toma, </w:t>
      </w:r>
      <w:r w:rsidR="00CE657A" w:rsidRPr="00CE657A">
        <w:rPr>
          <w:rFonts w:ascii="Palatino Linotype" w:eastAsia="Calibri" w:hAnsi="Palatino Linotype" w:cs="Tahoma"/>
          <w:lang w:val="es-ES_tradnl"/>
        </w:rPr>
        <w:t xml:space="preserve">debe apegarse al </w:t>
      </w:r>
      <w:r w:rsidR="00CE657A" w:rsidRPr="00CE657A">
        <w:rPr>
          <w:rFonts w:ascii="Palatino Linotype" w:eastAsia="Calibri" w:hAnsi="Palatino Linotype" w:cs="Tahoma"/>
          <w:b/>
          <w:lang w:val="es-ES_tradnl"/>
        </w:rPr>
        <w:t>principio de exhaustividad</w:t>
      </w:r>
      <w:r w:rsidR="00CE657A" w:rsidRPr="00CE657A">
        <w:rPr>
          <w:rFonts w:ascii="Palatino Linotype" w:eastAsia="Calibri" w:hAnsi="Palatino Linotype" w:cs="Tahoma"/>
          <w:lang w:val="es-ES_tradnl"/>
        </w:rPr>
        <w:t>, entendiendo por este que se pronuncie expresamente sobre cada uno de los puntos requeridos, lo cual en materia de transparencia y acceso a la información pública se traduce en que</w:t>
      </w:r>
      <w:r w:rsidR="00CE657A" w:rsidRPr="00CE657A">
        <w:rPr>
          <w:rFonts w:ascii="Palatino Linotype" w:eastAsia="Calibri" w:hAnsi="Palatino Linotype" w:cs="Tahoma"/>
          <w:b/>
          <w:lang w:val="es-ES_tradnl"/>
        </w:rPr>
        <w:t xml:space="preserve"> las resoluciones de los Órganos Garantes, </w:t>
      </w:r>
      <w:r w:rsidR="00CE657A" w:rsidRPr="00CE657A">
        <w:rPr>
          <w:rFonts w:ascii="Palatino Linotype" w:eastAsia="Calibri" w:hAnsi="Palatino Linotype" w:cs="Tahoma"/>
          <w:lang w:val="es-ES_tradnl"/>
        </w:rPr>
        <w:t>deben guardar una relación lógica con lo solicitado y los agravios mediante un análisis, con el fin de decidir de manera íntegra, sobre cada uno de los requerimientos solicitados, de manera fundada y motivada, a fin de garantizar el derecho de acceso a la información.</w:t>
      </w:r>
    </w:p>
    <w:p w14:paraId="7527BAEC"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103AD93D" w14:textId="77777777" w:rsidR="00CE657A" w:rsidRPr="00CE657A" w:rsidRDefault="00CE657A" w:rsidP="00CE657A">
      <w:pPr>
        <w:spacing w:after="0" w:line="360" w:lineRule="auto"/>
        <w:jc w:val="both"/>
        <w:rPr>
          <w:rFonts w:ascii="Palatino Linotype" w:eastAsia="Calibri" w:hAnsi="Palatino Linotype" w:cs="Tahoma"/>
          <w:lang w:val="es-ES_tradnl"/>
        </w:rPr>
      </w:pPr>
      <w:r w:rsidRPr="00CE657A">
        <w:rPr>
          <w:rFonts w:ascii="Palatino Linotype" w:eastAsia="Calibri" w:hAnsi="Palatino Linotype" w:cs="Tahoma"/>
          <w:lang w:val="es-ES_tradnl"/>
        </w:rPr>
        <w:t>A mayor abundamiento, resulta aplicable la tesis I.4o.C.2 K (10a.), emitida por Tribunales Colegiados de Circuito, publicada en la Gaceta del Semanario Judicial de la Federación, Tomo II, Libro 4, Página 1772, de marzo de dos mil catorce, Décima Época, materia constitucional, que establece lo siguiente:</w:t>
      </w:r>
    </w:p>
    <w:p w14:paraId="3CACA30C"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45F7CB71" w14:textId="77777777" w:rsidR="00CE657A" w:rsidRPr="00CE657A" w:rsidRDefault="00CE657A" w:rsidP="00CE657A">
      <w:pPr>
        <w:spacing w:after="0" w:line="360" w:lineRule="auto"/>
        <w:ind w:left="567" w:right="567"/>
        <w:jc w:val="both"/>
        <w:rPr>
          <w:rFonts w:ascii="Palatino Linotype" w:eastAsia="Calibri" w:hAnsi="Palatino Linotype" w:cs="Tahoma"/>
          <w:i/>
          <w:sz w:val="20"/>
          <w:szCs w:val="20"/>
          <w:lang w:val="es-ES_tradnl"/>
        </w:rPr>
      </w:pPr>
      <w:r w:rsidRPr="00CE657A">
        <w:rPr>
          <w:rFonts w:ascii="Palatino Linotype" w:eastAsia="Calibri" w:hAnsi="Palatino Linotype" w:cs="Tahoma"/>
          <w:i/>
          <w:sz w:val="20"/>
          <w:szCs w:val="20"/>
          <w:lang w:val="es-ES_tradnl"/>
        </w:rPr>
        <w:t>“</w:t>
      </w:r>
      <w:r w:rsidRPr="00CE657A">
        <w:rPr>
          <w:rFonts w:ascii="Palatino Linotype" w:eastAsia="Calibri" w:hAnsi="Palatino Linotype" w:cs="Tahoma"/>
          <w:b/>
          <w:i/>
          <w:sz w:val="20"/>
          <w:szCs w:val="20"/>
          <w:lang w:val="es-ES_tradnl"/>
        </w:rPr>
        <w:t xml:space="preserve">EXHAUSTIVIDAD. SU EXIGENCIA IMPLICA LA MAYOR CALIDAD POSIBLE DE LAS SENTENCIAS, PARA CUMPLIR CON LA PLENITUD EXIGIDA POR EL ARTÍCULO 17 CONSTITUCIONAL. </w:t>
      </w:r>
      <w:r w:rsidRPr="00CE657A">
        <w:rPr>
          <w:rFonts w:ascii="Palatino Linotype" w:eastAsia="Calibri" w:hAnsi="Palatino Linotype" w:cs="Tahoma"/>
          <w:i/>
          <w:sz w:val="20"/>
          <w:szCs w:val="20"/>
          <w:lang w:val="es-ES_tradnl"/>
        </w:rPr>
        <w:t xml:space="preserve">El artículo 17 constitucional consigna los principios rectores de la impartición de justicia, para hacer efectivo el derecho a la jurisdicción. Uno de estos principios es el de la completitud, que </w:t>
      </w:r>
      <w:r w:rsidRPr="00CE657A">
        <w:rPr>
          <w:rFonts w:ascii="Palatino Linotype" w:eastAsia="Calibri" w:hAnsi="Palatino Linotype" w:cs="Tahoma"/>
          <w:b/>
          <w:i/>
          <w:sz w:val="20"/>
          <w:szCs w:val="20"/>
          <w:u w:val="single"/>
          <w:lang w:val="es-ES_tradnl"/>
        </w:rPr>
        <w:t>impone al</w:t>
      </w:r>
      <w:r w:rsidRPr="00CE657A">
        <w:rPr>
          <w:rFonts w:ascii="Palatino Linotype" w:eastAsia="Calibri" w:hAnsi="Palatino Linotype" w:cs="Tahoma"/>
          <w:i/>
          <w:sz w:val="20"/>
          <w:szCs w:val="20"/>
          <w:lang w:val="es-ES_tradnl"/>
        </w:rPr>
        <w:t xml:space="preserve"> </w:t>
      </w:r>
      <w:r w:rsidRPr="00CE657A">
        <w:rPr>
          <w:rFonts w:ascii="Palatino Linotype" w:eastAsia="Calibri" w:hAnsi="Palatino Linotype" w:cs="Tahoma"/>
          <w:b/>
          <w:i/>
          <w:sz w:val="20"/>
          <w:szCs w:val="20"/>
          <w:u w:val="single"/>
          <w:lang w:val="es-ES_tradnl"/>
        </w:rPr>
        <w:t>juzgador la obligación de resolver todos los litigios que se presenten para su conocimiento en su integridad, sin dejar nada pendiente</w:t>
      </w:r>
      <w:r w:rsidRPr="00CE657A">
        <w:rPr>
          <w:rFonts w:ascii="Palatino Linotype" w:eastAsia="Calibri" w:hAnsi="Palatino Linotype" w:cs="Tahoma"/>
          <w:i/>
          <w:sz w:val="20"/>
          <w:szCs w:val="20"/>
          <w:lang w:val="es-ES_tradnl"/>
        </w:rPr>
        <w:t xml:space="preserve">, con el objeto de que el fallo que se dicte declare el derecho y deje abierto el camino franco para su ejecución o cumplimiento, sin necesidad de nuevos procedimientos judiciales o </w:t>
      </w:r>
      <w:r w:rsidRPr="00CE657A">
        <w:rPr>
          <w:rFonts w:ascii="Palatino Linotype" w:eastAsia="Calibri" w:hAnsi="Palatino Linotype" w:cs="Tahoma"/>
          <w:i/>
          <w:sz w:val="20"/>
          <w:szCs w:val="20"/>
          <w:lang w:val="es-ES_tradnl"/>
        </w:rPr>
        <w:lastRenderedPageBreak/>
        <w:t xml:space="preserve">administrativos. Para cumplir cabalmente con la completitud exigida por la Constitución, </w:t>
      </w:r>
      <w:r w:rsidRPr="00CE657A">
        <w:rPr>
          <w:rFonts w:ascii="Palatino Linotype" w:eastAsia="Calibri" w:hAnsi="Palatino Linotype" w:cs="Tahoma"/>
          <w:b/>
          <w:i/>
          <w:sz w:val="20"/>
          <w:szCs w:val="20"/>
          <w:u w:val="single"/>
          <w:lang w:val="es-ES_tradnl"/>
        </w:rPr>
        <w:t>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w:t>
      </w:r>
      <w:r w:rsidRPr="00CE657A">
        <w:rPr>
          <w:rFonts w:ascii="Palatino Linotype" w:eastAsia="Calibri" w:hAnsi="Palatino Linotype" w:cs="Tahoma"/>
          <w:i/>
          <w:sz w:val="20"/>
          <w:szCs w:val="20"/>
          <w:lang w:val="es-ES_tradnl"/>
        </w:rPr>
        <w:t xml:space="preserve">.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w:t>
      </w:r>
      <w:r w:rsidRPr="00CE657A">
        <w:rPr>
          <w:rFonts w:ascii="Palatino Linotype" w:eastAsia="Calibri" w:hAnsi="Palatino Linotype" w:cs="Tahoma"/>
          <w:b/>
          <w:i/>
          <w:sz w:val="20"/>
          <w:szCs w:val="20"/>
          <w:u w:val="single"/>
          <w:lang w:val="es-ES_tradnl"/>
        </w:rPr>
        <w:t>el juzgador no sólo se ocupe de cada cuestión planteada en el litigio, de una manera o forma cualquiera, sino que lo haga a profundidad</w:t>
      </w:r>
      <w:r w:rsidRPr="00CE657A">
        <w:rPr>
          <w:rFonts w:ascii="Palatino Linotype" w:eastAsia="Calibri" w:hAnsi="Palatino Linotype" w:cs="Tahoma"/>
          <w:i/>
          <w:sz w:val="20"/>
          <w:szCs w:val="20"/>
          <w:lang w:val="es-ES_tradnl"/>
        </w:rPr>
        <w:t xml:space="preserve">,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w:t>
      </w:r>
      <w:r w:rsidRPr="00CE657A">
        <w:rPr>
          <w:rFonts w:ascii="Palatino Linotype" w:eastAsia="Calibri" w:hAnsi="Palatino Linotype" w:cs="Tahoma"/>
          <w:b/>
          <w:i/>
          <w:sz w:val="20"/>
          <w:szCs w:val="20"/>
          <w:u w:val="single"/>
          <w:lang w:val="es-ES_tradnl"/>
        </w:rPr>
        <w:t>valorar el material probatorio</w:t>
      </w:r>
      <w:r w:rsidRPr="00CE657A">
        <w:rPr>
          <w:rFonts w:ascii="Palatino Linotype" w:eastAsia="Calibri" w:hAnsi="Palatino Linotype" w:cs="Tahoma"/>
          <w:i/>
          <w:sz w:val="20"/>
          <w:szCs w:val="20"/>
          <w:lang w:val="es-ES_tradnl"/>
        </w:rPr>
        <w:t>,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14:paraId="4E447DD9"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349CD8D5" w14:textId="77777777" w:rsidR="00CE657A" w:rsidRPr="00CE657A" w:rsidRDefault="00CE657A" w:rsidP="00CE657A">
      <w:pPr>
        <w:spacing w:after="0" w:line="360" w:lineRule="auto"/>
        <w:jc w:val="both"/>
        <w:rPr>
          <w:rFonts w:ascii="Palatino Linotype" w:eastAsia="Calibri" w:hAnsi="Palatino Linotype" w:cs="Tahoma"/>
          <w:lang w:val="es-ES_tradnl"/>
        </w:rPr>
      </w:pPr>
      <w:r w:rsidRPr="00CE657A">
        <w:rPr>
          <w:rFonts w:ascii="Palatino Linotype" w:eastAsia="Calibri" w:hAnsi="Palatino Linotype" w:cs="Tahoma"/>
          <w:lang w:val="es-ES_tradnl"/>
        </w:rPr>
        <w:lastRenderedPageBreak/>
        <w:t xml:space="preserve">De lo anterior, se desprende que el artículo 17 de la Carta Magna consigna los principios rectores de la impartición de justicia, para hacer efectivo el derecho a la jurisdicción, entre ellos el de completitud, el cual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w:t>
      </w:r>
    </w:p>
    <w:p w14:paraId="0037258B" w14:textId="77777777" w:rsidR="00CE657A" w:rsidRPr="00CE657A" w:rsidRDefault="00CE657A" w:rsidP="00CE657A">
      <w:pPr>
        <w:spacing w:after="0" w:line="360" w:lineRule="auto"/>
        <w:jc w:val="both"/>
        <w:rPr>
          <w:rFonts w:ascii="Palatino Linotype" w:eastAsia="Calibri" w:hAnsi="Palatino Linotype" w:cs="Tahoma"/>
          <w:lang w:val="es-ES_tradnl"/>
        </w:rPr>
      </w:pPr>
    </w:p>
    <w:p w14:paraId="5EA807E2" w14:textId="4E38E947" w:rsidR="00CE657A" w:rsidRPr="00CE657A" w:rsidRDefault="00CE657A" w:rsidP="001D0324">
      <w:pPr>
        <w:spacing w:after="0" w:line="360" w:lineRule="auto"/>
        <w:jc w:val="both"/>
        <w:rPr>
          <w:rFonts w:ascii="Palatino Linotype" w:eastAsia="Calibri" w:hAnsi="Palatino Linotype" w:cs="Tahoma"/>
          <w:b/>
          <w:bCs/>
          <w:lang w:val="es-ES_tradnl"/>
        </w:rPr>
      </w:pPr>
      <w:r w:rsidRPr="00CE657A">
        <w:rPr>
          <w:rFonts w:ascii="Palatino Linotype" w:eastAsia="Calibri" w:hAnsi="Palatino Linotype" w:cs="Tahoma"/>
          <w:lang w:val="es-ES_tradnl"/>
        </w:rPr>
        <w:t xml:space="preserve">Así, para cumplir cabalmente con la completitud exigida por la Constitución, se debe examinar con exhaustividad todas las cuestiones atinentes al proceso, a través de </w:t>
      </w:r>
      <w:r w:rsidRPr="00CE657A">
        <w:rPr>
          <w:rFonts w:ascii="Palatino Linotype" w:eastAsia="Calibri" w:hAnsi="Palatino Linotype" w:cs="Tahoma"/>
          <w:b/>
          <w:lang w:val="es-ES_tradnl"/>
        </w:rPr>
        <w:t>un examen acucioso, detenido, profundo,</w:t>
      </w:r>
      <w:r w:rsidRPr="00CE657A">
        <w:rPr>
          <w:rFonts w:ascii="Palatino Linotype" w:eastAsia="Calibri" w:hAnsi="Palatino Linotype" w:cs="Tahoma"/>
          <w:lang w:val="es-ES_tradnl"/>
        </w:rPr>
        <w:t xml:space="preserve"> al que no escape nada de lo que pueda ser significativo para encontrar la verdad sobre los hechos controvertidos, o de las posibilidades que ofrezca cada medio probatorio; </w:t>
      </w:r>
      <w:r w:rsidR="00DC4DB6">
        <w:rPr>
          <w:rFonts w:ascii="Palatino Linotype" w:eastAsia="Calibri" w:hAnsi="Palatino Linotype" w:cs="Tahoma"/>
          <w:lang w:val="es-ES_tradnl"/>
        </w:rPr>
        <w:t>por lo que, consider</w:t>
      </w:r>
      <w:r w:rsidR="00DC4DB6">
        <w:rPr>
          <w:rFonts w:ascii="Palatino Linotype" w:eastAsia="Calibri" w:hAnsi="Palatino Linotype" w:cs="Tahoma"/>
          <w:lang w:val="x-none"/>
        </w:rPr>
        <w:t>o que toda resolución emitida por este Instituto debe estar fundada y motivada, para lo cual, desde mi punto de vista, es necesario analizar de manera profunda la información proporcionada por el Sujeto Obligado</w:t>
      </w:r>
      <w:r w:rsidR="008C1158">
        <w:rPr>
          <w:rFonts w:ascii="Palatino Linotype" w:eastAsia="Calibri" w:hAnsi="Palatino Linotype" w:cs="Tahoma"/>
          <w:lang w:val="x-none"/>
        </w:rPr>
        <w:t xml:space="preserve">, en específico del Acuerdo de Clasificación del Comité de </w:t>
      </w:r>
      <w:r w:rsidR="00220E21">
        <w:rPr>
          <w:rFonts w:ascii="Palatino Linotype" w:eastAsia="Calibri" w:hAnsi="Palatino Linotype" w:cs="Tahoma"/>
          <w:lang w:val="x-none"/>
        </w:rPr>
        <w:t>Transparencia</w:t>
      </w:r>
      <w:r w:rsidR="008C1158">
        <w:rPr>
          <w:rFonts w:ascii="Palatino Linotype" w:eastAsia="Calibri" w:hAnsi="Palatino Linotype" w:cs="Tahoma"/>
          <w:lang w:val="x-none"/>
        </w:rPr>
        <w:t>.</w:t>
      </w:r>
    </w:p>
    <w:p w14:paraId="5DACDFFB" w14:textId="77777777" w:rsidR="00CE657A" w:rsidRPr="00CE657A" w:rsidRDefault="00CE657A" w:rsidP="00CE657A">
      <w:pPr>
        <w:widowControl w:val="0"/>
        <w:spacing w:after="0" w:line="360" w:lineRule="auto"/>
        <w:jc w:val="both"/>
        <w:rPr>
          <w:rFonts w:ascii="Palatino Linotype" w:eastAsia="Calibri" w:hAnsi="Palatino Linotype" w:cs="Tahoma"/>
        </w:rPr>
      </w:pPr>
    </w:p>
    <w:p w14:paraId="355F0700" w14:textId="41942A7D" w:rsidR="00CE657A" w:rsidRPr="00CE657A" w:rsidRDefault="008C1158" w:rsidP="00CE657A">
      <w:pPr>
        <w:spacing w:after="0" w:line="360" w:lineRule="auto"/>
        <w:jc w:val="both"/>
        <w:rPr>
          <w:rFonts w:ascii="Palatino Linotype" w:eastAsia="Times New Roman" w:hAnsi="Palatino Linotype" w:cs="Tahoma"/>
          <w:lang w:eastAsia="es-MX"/>
        </w:rPr>
      </w:pPr>
      <w:r>
        <w:rPr>
          <w:rFonts w:ascii="Palatino Linotype" w:eastAsia="Times New Roman" w:hAnsi="Palatino Linotype" w:cs="Tahoma"/>
          <w:lang w:val="es-MX" w:eastAsia="es-MX"/>
        </w:rPr>
        <w:t>En ese contexto, debo señalar</w:t>
      </w:r>
      <w:r w:rsidR="00CE657A" w:rsidRPr="00CE657A">
        <w:rPr>
          <w:rFonts w:ascii="Palatino Linotype" w:eastAsia="Times New Roman" w:hAnsi="Palatino Linotype" w:cs="Tahoma"/>
          <w:lang w:val="es-MX" w:eastAsia="es-MX"/>
        </w:rPr>
        <w:t>,</w:t>
      </w:r>
      <w:r>
        <w:rPr>
          <w:rFonts w:ascii="Palatino Linotype" w:eastAsia="Times New Roman" w:hAnsi="Palatino Linotype" w:cs="Tahoma"/>
          <w:lang w:val="es-MX" w:eastAsia="es-MX"/>
        </w:rPr>
        <w:t xml:space="preserve"> que</w:t>
      </w:r>
      <w:r w:rsidR="00CE657A" w:rsidRPr="00CE657A">
        <w:rPr>
          <w:rFonts w:ascii="Palatino Linotype" w:eastAsia="Times New Roman" w:hAnsi="Palatino Linotype" w:cs="Tahoma"/>
          <w:lang w:val="es-MX" w:eastAsia="es-MX"/>
        </w:rPr>
        <w:t xml:space="preserve"> los artículos 122, 128 y 130 de la Ley de la materia, prevén que </w:t>
      </w:r>
      <w:r w:rsidR="00CE657A" w:rsidRPr="00CE657A">
        <w:rPr>
          <w:rFonts w:ascii="Palatino Linotype" w:eastAsia="Times New Roman" w:hAnsi="Palatino Linotype" w:cs="Tahoma"/>
          <w:b/>
          <w:lang w:val="es-MX" w:eastAsia="es-MX"/>
        </w:rPr>
        <w:t xml:space="preserve">la clasificación </w:t>
      </w:r>
      <w:r w:rsidR="00CE657A" w:rsidRPr="00CE657A">
        <w:rPr>
          <w:rFonts w:ascii="Palatino Linotype" w:eastAsia="Times New Roman" w:hAnsi="Palatino Linotype" w:cs="Tahoma"/>
          <w:lang w:val="es-MX" w:eastAsia="es-MX"/>
        </w:rPr>
        <w:t xml:space="preserve">es el proceso mediante el cual los sujetos obligados determinan que la información en su </w:t>
      </w:r>
      <w:r w:rsidR="001D6281" w:rsidRPr="00CE657A">
        <w:rPr>
          <w:rFonts w:ascii="Palatino Linotype" w:eastAsia="Times New Roman" w:hAnsi="Palatino Linotype" w:cs="Tahoma"/>
          <w:lang w:val="es-MX" w:eastAsia="es-MX"/>
        </w:rPr>
        <w:t>poder</w:t>
      </w:r>
      <w:r w:rsidR="001D6281">
        <w:rPr>
          <w:rFonts w:ascii="Palatino Linotype" w:eastAsia="Times New Roman" w:hAnsi="Palatino Linotype" w:cs="Tahoma"/>
          <w:lang w:val="es-MX" w:eastAsia="es-MX"/>
        </w:rPr>
        <w:t>,</w:t>
      </w:r>
      <w:r w:rsidR="00CE657A" w:rsidRPr="00CE657A">
        <w:rPr>
          <w:rFonts w:ascii="Palatino Linotype" w:eastAsia="Times New Roman" w:hAnsi="Palatino Linotype" w:cs="Tahoma"/>
          <w:lang w:val="es-MX" w:eastAsia="es-MX"/>
        </w:rPr>
        <w:t xml:space="preserve"> actualiza alguno de los supuestos de reserva o confidencialidad. </w:t>
      </w:r>
      <w:r w:rsidR="00CE657A" w:rsidRPr="00CE657A">
        <w:rPr>
          <w:rFonts w:ascii="Palatino Linotype" w:eastAsia="Times New Roman" w:hAnsi="Palatino Linotype" w:cs="Tahoma"/>
          <w:lang w:eastAsia="es-MX"/>
        </w:rPr>
        <w:t>Además, que dichos entes deberán aplicar de manera restrictiva y limitada, las excepciones al derecho de acceso a la información, por lo que, tendrán que acreditar la procedencia.</w:t>
      </w:r>
    </w:p>
    <w:p w14:paraId="199C5EB3" w14:textId="77777777" w:rsidR="00CE657A" w:rsidRPr="00CE657A" w:rsidRDefault="00CE657A" w:rsidP="00CE657A">
      <w:pPr>
        <w:spacing w:after="0" w:line="360" w:lineRule="auto"/>
        <w:jc w:val="both"/>
        <w:rPr>
          <w:rFonts w:ascii="Palatino Linotype" w:eastAsia="Times New Roman" w:hAnsi="Palatino Linotype" w:cs="Tahoma"/>
          <w:lang w:val="es-MX" w:eastAsia="es-MX"/>
        </w:rPr>
      </w:pPr>
    </w:p>
    <w:p w14:paraId="1EE9A862" w14:textId="77777777" w:rsidR="00CE657A" w:rsidRPr="00CE657A" w:rsidRDefault="00CE657A" w:rsidP="00CE657A">
      <w:pPr>
        <w:spacing w:after="0" w:line="360" w:lineRule="auto"/>
        <w:jc w:val="both"/>
        <w:rPr>
          <w:rFonts w:ascii="Palatino Linotype" w:eastAsia="Times New Roman" w:hAnsi="Palatino Linotype" w:cs="Tahoma"/>
          <w:lang w:eastAsia="es-MX"/>
        </w:rPr>
      </w:pPr>
      <w:r w:rsidRPr="00CE657A">
        <w:rPr>
          <w:rFonts w:ascii="Palatino Linotype" w:eastAsia="Times New Roman" w:hAnsi="Palatino Linotype" w:cs="Tahoma"/>
          <w:lang w:eastAsia="es-MX"/>
        </w:rPr>
        <w:t xml:space="preserve">Por lo cual, en los casos en que se niegue el acceso a la información, por actualizarse alguno de los supuestos de clasificación, </w:t>
      </w:r>
      <w:r w:rsidRPr="00CE657A">
        <w:rPr>
          <w:rFonts w:ascii="Palatino Linotype" w:eastAsia="Times New Roman" w:hAnsi="Palatino Linotype" w:cs="Tahoma"/>
          <w:b/>
          <w:lang w:eastAsia="es-MX"/>
        </w:rPr>
        <w:t xml:space="preserve">el Comité de Transparencia deberá confirmar, modificar o revocar la decisión; </w:t>
      </w:r>
      <w:r w:rsidRPr="00CE657A">
        <w:rPr>
          <w:rFonts w:ascii="Palatino Linotype" w:eastAsia="Times New Roman" w:hAnsi="Palatino Linotype" w:cs="Tahoma"/>
          <w:lang w:eastAsia="es-MX"/>
        </w:rPr>
        <w:t xml:space="preserve">además, deberá motivar la confirmación de dicha situación, señalando las razones, motivos o circunstancias especiales que llevaron al sujeto obligado a concluir </w:t>
      </w:r>
      <w:r w:rsidRPr="00CE657A">
        <w:rPr>
          <w:rFonts w:ascii="Palatino Linotype" w:eastAsia="Times New Roman" w:hAnsi="Palatino Linotype" w:cs="Tahoma"/>
          <w:lang w:eastAsia="es-MX"/>
        </w:rPr>
        <w:lastRenderedPageBreak/>
        <w:t>que en el caso particular se ajusta al supuesto previsto por la norma legal invocada como fundamento.</w:t>
      </w:r>
    </w:p>
    <w:p w14:paraId="04ED89A7" w14:textId="77777777" w:rsidR="00CE657A" w:rsidRPr="00CE657A" w:rsidRDefault="00CE657A" w:rsidP="00CE657A">
      <w:pPr>
        <w:spacing w:after="0" w:line="360" w:lineRule="auto"/>
        <w:jc w:val="both"/>
        <w:rPr>
          <w:rFonts w:ascii="Palatino Linotype" w:eastAsia="Times New Roman" w:hAnsi="Palatino Linotype" w:cs="Tahoma"/>
          <w:lang w:eastAsia="es-MX"/>
        </w:rPr>
      </w:pPr>
    </w:p>
    <w:p w14:paraId="27C67B2D" w14:textId="77777777" w:rsidR="00CE657A" w:rsidRPr="00CE657A" w:rsidRDefault="00CE657A" w:rsidP="00CE657A">
      <w:pPr>
        <w:spacing w:after="0" w:line="360" w:lineRule="auto"/>
        <w:jc w:val="both"/>
        <w:rPr>
          <w:rFonts w:ascii="Palatino Linotype" w:eastAsia="Times New Roman" w:hAnsi="Palatino Linotype" w:cs="Arial"/>
          <w:b/>
          <w:bCs/>
          <w:lang w:val="es-MX" w:eastAsia="es-ES"/>
        </w:rPr>
      </w:pPr>
      <w:r w:rsidRPr="00CE657A">
        <w:rPr>
          <w:rFonts w:ascii="Palatino Linotype" w:eastAsia="Times New Roman" w:hAnsi="Palatino Linotype" w:cs="Tahoma"/>
          <w:lang w:eastAsia="es-ES"/>
        </w:rPr>
        <w:t xml:space="preserve">En ese sentido, </w:t>
      </w:r>
      <w:r w:rsidRPr="00CE657A">
        <w:rPr>
          <w:rFonts w:ascii="Palatino Linotype" w:eastAsia="Times New Roman" w:hAnsi="Palatino Linotype" w:cs="Arial"/>
          <w:bCs/>
          <w:lang w:val="es-MX" w:eastAsia="es-ES"/>
        </w:rPr>
        <w:t xml:space="preserve">según Bonifaz, Leticia (2016), en la “Ley General de Transparencia y Acceso a la Información Pública Comentada” (p. 342), la </w:t>
      </w:r>
      <w:r w:rsidRPr="00CE657A">
        <w:rPr>
          <w:rFonts w:ascii="Palatino Linotype" w:eastAsia="Times New Roman" w:hAnsi="Palatino Linotype" w:cs="Arial"/>
          <w:b/>
          <w:bCs/>
          <w:lang w:val="es-MX" w:eastAsia="es-ES"/>
        </w:rPr>
        <w:t>clasificación de la información</w:t>
      </w:r>
      <w:r w:rsidRPr="00CE657A">
        <w:rPr>
          <w:rFonts w:ascii="Palatino Linotype" w:eastAsia="Times New Roman" w:hAnsi="Palatino Linotype" w:cs="Arial"/>
          <w:bCs/>
          <w:lang w:val="es-MX"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CE657A">
        <w:rPr>
          <w:rFonts w:ascii="Palatino Linotype" w:eastAsia="Times New Roman" w:hAnsi="Palatino Linotype" w:cs="Arial"/>
          <w:b/>
          <w:bCs/>
          <w:lang w:val="es-MX" w:eastAsia="es-ES"/>
        </w:rPr>
        <w:t>de manera adecuada la negativa de información.</w:t>
      </w:r>
    </w:p>
    <w:p w14:paraId="047026F9" w14:textId="77777777" w:rsidR="00CE657A" w:rsidRPr="00CE657A" w:rsidRDefault="00CE657A" w:rsidP="00CE657A">
      <w:pPr>
        <w:spacing w:after="0" w:line="360" w:lineRule="auto"/>
        <w:jc w:val="both"/>
        <w:rPr>
          <w:rFonts w:ascii="Palatino Linotype" w:eastAsia="Calibri" w:hAnsi="Palatino Linotype" w:cs="Tahoma"/>
          <w:bCs/>
          <w:lang w:val="es-MX"/>
        </w:rPr>
      </w:pPr>
    </w:p>
    <w:p w14:paraId="10C95F69"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
          <w:lang w:val="es-MX" w:eastAsia="es-ES"/>
        </w:rPr>
      </w:pPr>
      <w:r w:rsidRPr="00CE657A">
        <w:rPr>
          <w:rFonts w:ascii="Palatino Linotype" w:eastAsia="Times New Roman" w:hAnsi="Palatino Linotype" w:cs="Tahoma"/>
          <w:lang w:val="es-MX" w:eastAsia="es-ES"/>
        </w:rPr>
        <w:t xml:space="preserve">En ese sentido,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E657A">
        <w:rPr>
          <w:rFonts w:ascii="Palatino Linotype" w:eastAsia="Times New Roman" w:hAnsi="Palatino Linotype" w:cs="Tahoma"/>
          <w:b/>
          <w:lang w:val="es-MX" w:eastAsia="es-ES"/>
        </w:rPr>
        <w:t>análisis caso por caso.</w:t>
      </w:r>
    </w:p>
    <w:p w14:paraId="185E0C8C" w14:textId="6F05E638" w:rsidR="00CE657A" w:rsidRDefault="00CE657A" w:rsidP="00CE657A">
      <w:pPr>
        <w:spacing w:after="0" w:line="360" w:lineRule="auto"/>
        <w:jc w:val="both"/>
        <w:rPr>
          <w:rFonts w:ascii="Palatino Linotype" w:eastAsia="Calibri" w:hAnsi="Palatino Linotype" w:cs="Tahoma"/>
        </w:rPr>
      </w:pPr>
    </w:p>
    <w:p w14:paraId="505DE32F" w14:textId="5A1EB9C7" w:rsidR="008C1158" w:rsidRDefault="008C1158" w:rsidP="00CE657A">
      <w:pPr>
        <w:spacing w:after="0" w:line="360" w:lineRule="auto"/>
        <w:jc w:val="both"/>
        <w:rPr>
          <w:rFonts w:ascii="Palatino Linotype" w:eastAsia="Calibri" w:hAnsi="Palatino Linotype" w:cs="Tahoma"/>
          <w:lang w:val="x-none"/>
        </w:rPr>
      </w:pPr>
      <w:r>
        <w:rPr>
          <w:rFonts w:ascii="Palatino Linotype" w:eastAsia="Calibri" w:hAnsi="Palatino Linotype" w:cs="Tahoma"/>
        </w:rPr>
        <w:t>Sobre esta situación</w:t>
      </w:r>
      <w:r>
        <w:rPr>
          <w:rFonts w:ascii="Palatino Linotype" w:eastAsia="Calibri" w:hAnsi="Palatino Linotype" w:cs="Tahoma"/>
          <w:lang w:val="x-none"/>
        </w:rPr>
        <w:t>, debo señalar que en el presente caso, la parte Recurrente, solicitó información actualizada a la fecha de la solicitud, es decir, referente al ejercicio fiscal dos mil veintiuno; mientras que el Acuerdo proporcionado en respuesta, reserva información del ejercicio fiscal dos mil diecinueve, al ser emitida en dicho año.</w:t>
      </w:r>
    </w:p>
    <w:p w14:paraId="36727800" w14:textId="607279C8" w:rsidR="008C1158" w:rsidRDefault="008C1158" w:rsidP="00CE657A">
      <w:pPr>
        <w:spacing w:after="0" w:line="360" w:lineRule="auto"/>
        <w:jc w:val="both"/>
        <w:rPr>
          <w:rFonts w:ascii="Palatino Linotype" w:eastAsia="Calibri" w:hAnsi="Palatino Linotype" w:cs="Tahoma"/>
        </w:rPr>
      </w:pPr>
    </w:p>
    <w:p w14:paraId="22B6C912" w14:textId="2B4B5087" w:rsidR="008C1158" w:rsidRDefault="008C1158" w:rsidP="00CE657A">
      <w:pPr>
        <w:spacing w:after="0" w:line="360" w:lineRule="auto"/>
        <w:jc w:val="both"/>
        <w:rPr>
          <w:rFonts w:ascii="Palatino Linotype" w:eastAsia="Calibri" w:hAnsi="Palatino Linotype" w:cs="Tahoma"/>
        </w:rPr>
      </w:pPr>
      <w:r>
        <w:rPr>
          <w:rFonts w:ascii="Palatino Linotype" w:eastAsia="Calibri" w:hAnsi="Palatino Linotype" w:cs="Tahoma"/>
        </w:rPr>
        <w:t>Conforme a lo anterior, consideró</w:t>
      </w:r>
      <w:r>
        <w:rPr>
          <w:rFonts w:ascii="Palatino Linotype" w:eastAsia="Calibri" w:hAnsi="Palatino Linotype" w:cs="Tahoma"/>
          <w:lang w:val="x-none"/>
        </w:rPr>
        <w:t>, en primera instancia, que dicho Acuerdo no era aplicable para la información peticionada, pues no se puede reservar información que, a la fecha de acreditación de la clasificación, aún no existía, pues la clasificación y la inexistencia son figuras jurídicas distintas que no puede coexistir.</w:t>
      </w:r>
    </w:p>
    <w:p w14:paraId="00B9EC7A" w14:textId="54005AF6" w:rsidR="008C1158" w:rsidRPr="008C1158" w:rsidRDefault="008C1158" w:rsidP="008C1158">
      <w:pPr>
        <w:spacing w:after="0" w:line="360" w:lineRule="auto"/>
        <w:jc w:val="both"/>
        <w:rPr>
          <w:rFonts w:ascii="Palatino Linotype" w:eastAsia="Calibri" w:hAnsi="Palatino Linotype" w:cs="Tahoma"/>
        </w:rPr>
      </w:pPr>
      <w:r>
        <w:rPr>
          <w:rFonts w:ascii="Palatino Linotype" w:eastAsia="Calibri" w:hAnsi="Palatino Linotype" w:cs="Tahoma"/>
        </w:rPr>
        <w:lastRenderedPageBreak/>
        <w:t>Por otra parte, debo señalar que el Acuerdo no estaba firmado por los</w:t>
      </w:r>
      <w:r w:rsidR="00BD49A6">
        <w:rPr>
          <w:rFonts w:ascii="Palatino Linotype" w:eastAsia="Calibri" w:hAnsi="Palatino Linotype" w:cs="Tahoma"/>
        </w:rPr>
        <w:t xml:space="preserve"> integrantes del </w:t>
      </w:r>
      <w:r>
        <w:rPr>
          <w:rFonts w:ascii="Palatino Linotype" w:eastAsia="Calibri" w:hAnsi="Palatino Linotype" w:cs="Tahoma"/>
        </w:rPr>
        <w:t>Comit</w:t>
      </w:r>
      <w:r>
        <w:rPr>
          <w:rFonts w:ascii="Palatino Linotype" w:eastAsia="Calibri" w:hAnsi="Palatino Linotype" w:cs="Tahoma"/>
          <w:lang w:val="x-none"/>
        </w:rPr>
        <w:t>é de Transparencia</w:t>
      </w:r>
      <w:r w:rsidR="00BD49A6">
        <w:rPr>
          <w:rFonts w:ascii="Palatino Linotype" w:eastAsia="Calibri" w:hAnsi="Palatino Linotype" w:cs="Tahoma"/>
        </w:rPr>
        <w:t xml:space="preserve"> que participaron en la reunión</w:t>
      </w:r>
      <w:r>
        <w:rPr>
          <w:rFonts w:ascii="Palatino Linotype" w:eastAsia="Calibri" w:hAnsi="Palatino Linotype" w:cs="Tahoma"/>
          <w:lang w:val="x-none"/>
        </w:rPr>
        <w:t xml:space="preserve">, para actualizar la reserva; </w:t>
      </w:r>
      <w:r w:rsidR="007A44AF">
        <w:rPr>
          <w:rFonts w:ascii="Palatino Linotype" w:eastAsia="Calibri" w:hAnsi="Palatino Linotype" w:cs="Tahoma"/>
        </w:rPr>
        <w:t>al</w:t>
      </w:r>
      <w:r w:rsidRPr="008C1158">
        <w:rPr>
          <w:rFonts w:ascii="Palatino Linotype" w:eastAsia="Times New Roman" w:hAnsi="Palatino Linotype" w:cs="Tahoma"/>
          <w:lang w:val="es-MX" w:eastAsia="es-ES"/>
        </w:rPr>
        <w:t xml:space="preserve"> respecto, el artículo 1.8, fracción VI, del Código Administrativo del Estado de México, establece que para que tenga validez, un acto administrativo deberá constar por escrito o de manera digital, en donde se establezca la autoridad que lo emane y la firma autógrafa, electrónica o sello del servidor público. De la misma manera la Jurisprudencia número 2a./J. 195/2007, emitida por la Segunda Sala, Novena Época, publicada en el Semanario Judicial de la Federación, Tomo XXVI, octubre dos mil siete, (p. 243), cuyo rubro es “</w:t>
      </w:r>
      <w:r w:rsidRPr="008C1158">
        <w:rPr>
          <w:rFonts w:ascii="Palatino Linotype" w:eastAsia="Times New Roman" w:hAnsi="Palatino Linotype" w:cs="Tahoma"/>
          <w:i/>
          <w:lang w:val="es-MX" w:eastAsia="es-ES"/>
        </w:rPr>
        <w:t xml:space="preserve">FIRMA AUTÓGRAFA. LA CARGA DE LA PRUEBA CORRESPONDE A LA AUTORIDAD QUE EMITIÓ EL ACTO IMPUGNADO, SIEMPRE QUE EN LA CONTESTACIÓN A LA DEMANDA AFIRME QUE ÉSTE LA CONTIENE.”, </w:t>
      </w:r>
      <w:r w:rsidRPr="008C1158">
        <w:rPr>
          <w:rFonts w:ascii="Palatino Linotype" w:eastAsia="Times New Roman" w:hAnsi="Palatino Linotype" w:cs="Tahoma"/>
          <w:lang w:val="es-MX" w:eastAsia="es-ES"/>
        </w:rPr>
        <w:t>misma que se trae por analogía, precisa que todo acto administrativo para que sea válido, debe contener la firma autógrafa.</w:t>
      </w:r>
    </w:p>
    <w:p w14:paraId="77B1A8A8" w14:textId="77777777" w:rsidR="008C1158" w:rsidRPr="008C1158" w:rsidRDefault="008C1158" w:rsidP="008C1158">
      <w:pPr>
        <w:spacing w:after="0" w:line="360" w:lineRule="auto"/>
        <w:jc w:val="both"/>
        <w:rPr>
          <w:rFonts w:ascii="Palatino Linotype" w:eastAsia="Times New Roman" w:hAnsi="Palatino Linotype" w:cs="Tahoma"/>
          <w:lang w:val="es-MX" w:eastAsia="es-ES"/>
        </w:rPr>
      </w:pPr>
    </w:p>
    <w:p w14:paraId="6B1422AF" w14:textId="751ED03C" w:rsidR="00CE657A" w:rsidRPr="00CE657A" w:rsidRDefault="007A44AF" w:rsidP="00BD49A6">
      <w:pPr>
        <w:spacing w:after="0" w:line="360" w:lineRule="auto"/>
        <w:jc w:val="both"/>
        <w:rPr>
          <w:rFonts w:ascii="Palatino Linotype" w:eastAsia="Times New Roman" w:hAnsi="Palatino Linotype" w:cs="Tahoma"/>
          <w:lang w:val="es-MX" w:eastAsia="es-ES"/>
        </w:rPr>
      </w:pPr>
      <w:r>
        <w:rPr>
          <w:rFonts w:ascii="Palatino Linotype" w:eastAsia="Times New Roman" w:hAnsi="Palatino Linotype" w:cs="Tahoma"/>
          <w:lang w:val="es-MX" w:eastAsia="es-ES"/>
        </w:rPr>
        <w:t>Conforme a lo anterior, consider</w:t>
      </w:r>
      <w:r w:rsidR="00BD49A6">
        <w:rPr>
          <w:rFonts w:ascii="Palatino Linotype" w:eastAsia="Times New Roman" w:hAnsi="Palatino Linotype" w:cs="Tahoma"/>
          <w:lang w:eastAsia="es-ES"/>
        </w:rPr>
        <w:t>o</w:t>
      </w:r>
      <w:r>
        <w:rPr>
          <w:rFonts w:ascii="Palatino Linotype" w:eastAsia="Times New Roman" w:hAnsi="Palatino Linotype" w:cs="Tahoma"/>
          <w:lang w:val="x-none" w:eastAsia="es-ES"/>
        </w:rPr>
        <w:t xml:space="preserve"> que no se puede tener por valido el Acuerdo del Comité de Transparencia, pues no cumple con las formalidades establecidas en la normatividad aplicable y por lo tanto, no se podía confirmar la respuesta primigenia.</w:t>
      </w:r>
      <w:r w:rsidR="00BD49A6">
        <w:rPr>
          <w:rFonts w:ascii="Palatino Linotype" w:eastAsia="Times New Roman" w:hAnsi="Palatino Linotype" w:cs="Tahoma"/>
          <w:lang w:eastAsia="es-ES"/>
        </w:rPr>
        <w:t xml:space="preserve"> </w:t>
      </w:r>
      <w:r>
        <w:rPr>
          <w:rFonts w:ascii="Palatino Linotype" w:eastAsia="Times New Roman" w:hAnsi="Palatino Linotype" w:cs="Tahoma"/>
          <w:lang w:val="es-MX" w:eastAsia="es-ES"/>
        </w:rPr>
        <w:t>Ahora bien</w:t>
      </w:r>
      <w:r w:rsidR="00CE657A" w:rsidRPr="00CE657A">
        <w:rPr>
          <w:rFonts w:ascii="Palatino Linotype" w:eastAsia="Times New Roman" w:hAnsi="Palatino Linotype" w:cs="Tahoma"/>
          <w:lang w:val="es-MX" w:eastAsia="es-ES"/>
        </w:rPr>
        <w:t xml:space="preserve">, el artículo 105 de la Ley de General de Transparencia y Acceso a la Información Pública y 131 de la Ley de Transparencia y Acceso a la Información Pública del Estado de México y Municipios, así como el Quinto de los Lineamientos Generales, establecen que los sujetos obligados </w:t>
      </w:r>
      <w:r w:rsidR="00CE657A" w:rsidRPr="00CE657A">
        <w:rPr>
          <w:rFonts w:ascii="Palatino Linotype" w:eastAsia="Times New Roman" w:hAnsi="Palatino Linotype" w:cs="Tahoma"/>
          <w:b/>
          <w:lang w:val="es-MX" w:eastAsia="es-ES"/>
        </w:rPr>
        <w:t>deberán fundar y motivar</w:t>
      </w:r>
      <w:r w:rsidR="00CE657A" w:rsidRPr="00CE657A">
        <w:rPr>
          <w:rFonts w:ascii="Palatino Linotype" w:eastAsia="Times New Roman" w:hAnsi="Palatino Linotype" w:cs="Tahoma"/>
          <w:lang w:val="es-MX" w:eastAsia="es-ES"/>
        </w:rPr>
        <w:t xml:space="preserve"> debidamente la clasificación de la información.</w:t>
      </w:r>
    </w:p>
    <w:p w14:paraId="7E838CE1"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
          <w:lang w:val="es-MX" w:eastAsia="es-ES"/>
        </w:rPr>
      </w:pPr>
    </w:p>
    <w:p w14:paraId="17C096F1"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Cs/>
          <w:iCs/>
          <w:lang w:val="es-MX" w:eastAsia="es-ES"/>
        </w:rPr>
      </w:pPr>
      <w:r w:rsidRPr="00CE657A">
        <w:rPr>
          <w:rFonts w:ascii="Palatino Linotype" w:eastAsia="Times New Roman" w:hAnsi="Palatino Linotype" w:cs="Tahoma"/>
          <w:lang w:val="es-MX" w:eastAsia="es-ES"/>
        </w:rPr>
        <w:t>Al respecto, e</w:t>
      </w:r>
      <w:r w:rsidRPr="00CE657A">
        <w:rPr>
          <w:rFonts w:ascii="Palatino Linotype" w:eastAsia="Times New Roman" w:hAnsi="Palatino Linotype" w:cs="Tahoma"/>
          <w:bCs/>
          <w:iCs/>
          <w:lang w:val="es-MX" w:eastAsia="es-ES"/>
        </w:rPr>
        <w:t>l Octavo de los Lineamientos Generales, precisa lo siguiente:</w:t>
      </w:r>
    </w:p>
    <w:p w14:paraId="526B5120"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Cs/>
          <w:iCs/>
          <w:lang w:val="es-MX" w:eastAsia="es-ES"/>
        </w:rPr>
      </w:pPr>
    </w:p>
    <w:p w14:paraId="7A140D97" w14:textId="77777777" w:rsidR="00CE657A" w:rsidRPr="00CE657A" w:rsidRDefault="00CE657A" w:rsidP="00CE657A">
      <w:pPr>
        <w:numPr>
          <w:ilvl w:val="0"/>
          <w:numId w:val="24"/>
        </w:numPr>
        <w:shd w:val="clear" w:color="auto" w:fill="FFFFFF"/>
        <w:spacing w:after="0" w:line="360" w:lineRule="auto"/>
        <w:jc w:val="both"/>
        <w:rPr>
          <w:rFonts w:ascii="Palatino Linotype" w:eastAsia="Times New Roman" w:hAnsi="Palatino Linotype" w:cs="Tahoma"/>
          <w:bCs/>
          <w:lang w:val="es-MX" w:eastAsia="es-ES"/>
        </w:rPr>
      </w:pPr>
      <w:r w:rsidRPr="00CE657A">
        <w:rPr>
          <w:rFonts w:ascii="Palatino Linotype" w:eastAsia="Times New Roman" w:hAnsi="Palatino Linotype" w:cs="Tahoma"/>
          <w:b/>
          <w:bCs/>
          <w:lang w:val="es-MX" w:eastAsia="es-ES"/>
        </w:rPr>
        <w:t>Para fundar la clasificación</w:t>
      </w:r>
      <w:r w:rsidRPr="00CE657A">
        <w:rPr>
          <w:rFonts w:ascii="Palatino Linotype" w:eastAsia="Times New Roman" w:hAnsi="Palatino Linotype" w:cs="Tahoma"/>
          <w:bCs/>
          <w:lang w:val="es-MX" w:eastAsia="es-ES"/>
        </w:rPr>
        <w:t xml:space="preserve"> de la información se deberán señalar el artículo, fracción, inciso, párrafo o numeral de la Ley aplicable, y</w:t>
      </w:r>
    </w:p>
    <w:p w14:paraId="6E5A594E"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bCs/>
          <w:lang w:val="es-MX" w:eastAsia="es-ES"/>
        </w:rPr>
      </w:pPr>
    </w:p>
    <w:p w14:paraId="1B21047E" w14:textId="77777777" w:rsidR="00CE657A" w:rsidRPr="00CE657A" w:rsidRDefault="00CE657A" w:rsidP="00CE657A">
      <w:pPr>
        <w:numPr>
          <w:ilvl w:val="0"/>
          <w:numId w:val="24"/>
        </w:numPr>
        <w:shd w:val="clear" w:color="auto" w:fill="FFFFFF"/>
        <w:spacing w:after="0" w:line="360" w:lineRule="auto"/>
        <w:jc w:val="both"/>
        <w:rPr>
          <w:rFonts w:ascii="Palatino Linotype" w:eastAsia="Times New Roman" w:hAnsi="Palatino Linotype" w:cs="Tahoma"/>
          <w:bCs/>
          <w:lang w:val="es-MX" w:eastAsia="es-ES"/>
        </w:rPr>
      </w:pPr>
      <w:r w:rsidRPr="00CE657A">
        <w:rPr>
          <w:rFonts w:ascii="Palatino Linotype" w:eastAsia="Times New Roman" w:hAnsi="Palatino Linotype" w:cs="Tahoma"/>
          <w:b/>
          <w:bCs/>
          <w:lang w:val="es-MX" w:eastAsia="es-ES"/>
        </w:rPr>
        <w:lastRenderedPageBreak/>
        <w:t>Para motivar la clasificación</w:t>
      </w:r>
      <w:r w:rsidRPr="00CE657A">
        <w:rPr>
          <w:rFonts w:ascii="Palatino Linotype" w:eastAsia="Times New Roman" w:hAnsi="Palatino Linotype" w:cs="Tahoma"/>
          <w:bCs/>
          <w:lang w:val="es-MX"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CB612B0" w14:textId="790E7126" w:rsidR="00CE657A" w:rsidRDefault="00CE657A" w:rsidP="00CE657A">
      <w:pPr>
        <w:spacing w:after="0" w:line="360" w:lineRule="auto"/>
        <w:ind w:left="720"/>
        <w:contextualSpacing/>
        <w:rPr>
          <w:rFonts w:ascii="Palatino Linotype" w:eastAsia="Times New Roman" w:hAnsi="Palatino Linotype" w:cs="Tahoma"/>
          <w:bCs/>
          <w:lang w:val="es-MX" w:eastAsia="es-ES"/>
        </w:rPr>
      </w:pPr>
    </w:p>
    <w:p w14:paraId="4FF7DDA0"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t xml:space="preserve">Lo anterior, toma sustento en la fracción VII, del artículo 1.8, del Código Administrativo del Estado de México, que establece que todo acto administrativo, </w:t>
      </w:r>
      <w:r w:rsidRPr="00CE657A">
        <w:rPr>
          <w:rFonts w:ascii="Palatino Linotype" w:eastAsia="Times New Roman" w:hAnsi="Palatino Linotype" w:cs="Tahoma"/>
          <w:b/>
          <w:lang w:val="es-MX" w:eastAsia="es-ES"/>
        </w:rPr>
        <w:t>debe estar fundado y motivado,</w:t>
      </w:r>
      <w:r w:rsidRPr="00CE657A">
        <w:rPr>
          <w:rFonts w:ascii="Palatino Linotype" w:eastAsia="Times New Roman" w:hAnsi="Palatino Linotype" w:cs="Tahoma"/>
          <w:lang w:val="es-MX" w:eastAsia="es-ES"/>
        </w:rPr>
        <w:t xml:space="preserve">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72FE2E58"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1C44E367" w14:textId="77777777" w:rsidR="00CE657A" w:rsidRPr="00CE657A" w:rsidRDefault="00CE657A" w:rsidP="00CE657A">
      <w:pPr>
        <w:shd w:val="clear" w:color="auto" w:fill="FFFFFF"/>
        <w:spacing w:after="0" w:line="360" w:lineRule="auto"/>
        <w:ind w:left="567" w:right="567"/>
        <w:jc w:val="both"/>
        <w:rPr>
          <w:rFonts w:ascii="Palatino Linotype" w:eastAsia="Times New Roman" w:hAnsi="Palatino Linotype" w:cs="Tahoma"/>
          <w:i/>
          <w:sz w:val="20"/>
          <w:szCs w:val="20"/>
          <w:lang w:val="es-MX" w:eastAsia="es-ES"/>
        </w:rPr>
      </w:pPr>
      <w:r w:rsidRPr="00CE657A">
        <w:rPr>
          <w:rFonts w:ascii="Palatino Linotype" w:eastAsia="Times New Roman" w:hAnsi="Palatino Linotype" w:cs="Tahoma"/>
          <w:b/>
          <w:i/>
          <w:sz w:val="20"/>
          <w:szCs w:val="20"/>
          <w:lang w:val="es-MX" w:eastAsia="es-ES"/>
        </w:rPr>
        <w:t xml:space="preserve">“FUNDAMENTACION Y MOTIVACION, CONCEPTO DE. </w:t>
      </w:r>
      <w:r w:rsidRPr="00CE657A">
        <w:rPr>
          <w:rFonts w:ascii="Palatino Linotype" w:eastAsia="Times New Roman" w:hAnsi="Palatino Linotype" w:cs="Tahoma"/>
          <w:i/>
          <w:sz w:val="20"/>
          <w:szCs w:val="20"/>
          <w:lang w:val="es-MX"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19D49C98"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0C883336"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t>Conforme a lo anterior, se advierte lo siguiente:</w:t>
      </w:r>
    </w:p>
    <w:p w14:paraId="602156BD"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7A096C5F" w14:textId="77777777" w:rsidR="00CE657A" w:rsidRPr="00CE657A" w:rsidRDefault="00CE657A" w:rsidP="00CE657A">
      <w:pPr>
        <w:numPr>
          <w:ilvl w:val="0"/>
          <w:numId w:val="25"/>
        </w:numPr>
        <w:shd w:val="clear" w:color="auto" w:fill="FFFFFF"/>
        <w:spacing w:line="360" w:lineRule="auto"/>
        <w:contextualSpacing/>
        <w:jc w:val="both"/>
        <w:rPr>
          <w:rFonts w:ascii="Palatino Linotype" w:eastAsia="Times New Roman" w:hAnsi="Palatino Linotype" w:cs="Tahoma"/>
          <w:b/>
          <w:lang w:val="es-MX" w:eastAsia="es-ES"/>
        </w:rPr>
      </w:pPr>
      <w:r w:rsidRPr="00CE657A">
        <w:rPr>
          <w:rFonts w:ascii="Palatino Linotype" w:eastAsia="Times New Roman" w:hAnsi="Palatino Linotype" w:cs="Tahoma"/>
          <w:b/>
          <w:lang w:val="es-MX" w:eastAsia="es-ES"/>
        </w:rPr>
        <w:t xml:space="preserve">Fundamentación: </w:t>
      </w:r>
      <w:r w:rsidRPr="00CE657A">
        <w:rPr>
          <w:rFonts w:ascii="Palatino Linotype" w:eastAsia="Times New Roman" w:hAnsi="Palatino Linotype" w:cs="Tahoma"/>
          <w:lang w:val="es-MX" w:eastAsia="es-ES"/>
        </w:rPr>
        <w:t>Obligación de la autoridad que emite un acto, para citar los preceptos legales, sustantivos y adjetivos, en que se apoye para la determinación tomada.</w:t>
      </w:r>
    </w:p>
    <w:p w14:paraId="568F5EF0" w14:textId="77777777" w:rsidR="00CE657A" w:rsidRPr="00CE657A" w:rsidRDefault="00CE657A" w:rsidP="00CE657A">
      <w:pPr>
        <w:shd w:val="clear" w:color="auto" w:fill="FFFFFF"/>
        <w:spacing w:after="0" w:line="360" w:lineRule="auto"/>
        <w:ind w:left="720"/>
        <w:contextualSpacing/>
        <w:jc w:val="both"/>
        <w:rPr>
          <w:rFonts w:ascii="Palatino Linotype" w:eastAsia="Times New Roman" w:hAnsi="Palatino Linotype" w:cs="Tahoma"/>
          <w:b/>
          <w:lang w:val="es-MX" w:eastAsia="es-ES"/>
        </w:rPr>
      </w:pPr>
    </w:p>
    <w:p w14:paraId="553A02B7" w14:textId="77777777" w:rsidR="00CE657A" w:rsidRPr="00CE657A" w:rsidRDefault="00CE657A" w:rsidP="00CE657A">
      <w:pPr>
        <w:numPr>
          <w:ilvl w:val="0"/>
          <w:numId w:val="25"/>
        </w:numPr>
        <w:shd w:val="clear" w:color="auto" w:fill="FFFFFF"/>
        <w:spacing w:line="360" w:lineRule="auto"/>
        <w:contextualSpacing/>
        <w:jc w:val="both"/>
        <w:rPr>
          <w:rFonts w:ascii="Palatino Linotype" w:eastAsia="Times New Roman" w:hAnsi="Palatino Linotype" w:cs="Tahoma"/>
          <w:b/>
          <w:lang w:val="es-MX" w:eastAsia="es-ES"/>
        </w:rPr>
      </w:pPr>
      <w:r w:rsidRPr="00CE657A">
        <w:rPr>
          <w:rFonts w:ascii="Palatino Linotype" w:eastAsia="Times New Roman" w:hAnsi="Palatino Linotype" w:cs="Tahoma"/>
          <w:b/>
          <w:lang w:val="es-MX" w:eastAsia="es-ES"/>
        </w:rPr>
        <w:lastRenderedPageBreak/>
        <w:t xml:space="preserve">Motivación: </w:t>
      </w:r>
      <w:r w:rsidRPr="00CE657A">
        <w:rPr>
          <w:rFonts w:ascii="Palatino Linotype" w:eastAsia="Times New Roman" w:hAnsi="Palatino Linotype" w:cs="Tahoma"/>
          <w:lang w:val="es-MX" w:eastAsia="es-ES"/>
        </w:rPr>
        <w:t>Razonamientos lógico-jurídicos sobre porque se consideró en el caso en concreto, que se ajusta a la hipótesis normativa.</w:t>
      </w:r>
    </w:p>
    <w:p w14:paraId="2D87050B" w14:textId="77777777" w:rsidR="00CE657A" w:rsidRPr="00CE657A" w:rsidRDefault="00CE657A" w:rsidP="00CE657A">
      <w:pPr>
        <w:shd w:val="clear" w:color="auto" w:fill="FFFFFF"/>
        <w:spacing w:after="0" w:line="360" w:lineRule="auto"/>
        <w:jc w:val="both"/>
        <w:rPr>
          <w:rFonts w:ascii="Palatino Linotype" w:eastAsia="Times New Roman" w:hAnsi="Palatino Linotype" w:cs="Tahoma"/>
          <w:lang w:val="es-MX" w:eastAsia="es-ES"/>
        </w:rPr>
      </w:pPr>
    </w:p>
    <w:p w14:paraId="2FD93351" w14:textId="77777777" w:rsidR="00CE657A" w:rsidRPr="00CE657A" w:rsidRDefault="00CE657A" w:rsidP="00CE657A">
      <w:pPr>
        <w:spacing w:after="0" w:line="360" w:lineRule="auto"/>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En ese orden de ideas, el Trigésimo tercero de los Lineamientos Generales, establece la forma en que se debe fundamentar y motivar la reserva de la información, es decir, a través del desarrollo de la prueba de daño, que se conforma de la siguiente manera:</w:t>
      </w:r>
    </w:p>
    <w:p w14:paraId="3A92665E" w14:textId="77777777" w:rsidR="00CE657A" w:rsidRPr="00CE657A" w:rsidRDefault="00CE657A" w:rsidP="00CE657A">
      <w:pPr>
        <w:spacing w:after="0" w:line="360" w:lineRule="auto"/>
        <w:jc w:val="both"/>
        <w:rPr>
          <w:rFonts w:ascii="Palatino Linotype" w:eastAsia="Times New Roman" w:hAnsi="Palatino Linotype" w:cs="Tahoma"/>
          <w:sz w:val="20"/>
          <w:lang w:val="es-MX" w:eastAsia="es-ES"/>
        </w:rPr>
      </w:pPr>
    </w:p>
    <w:p w14:paraId="1D6E09FA"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val="es-MX" w:eastAsia="es-ES"/>
        </w:rPr>
      </w:pPr>
      <w:r w:rsidRPr="00CE657A">
        <w:rPr>
          <w:rFonts w:ascii="Palatino Linotype" w:eastAsia="Times New Roman" w:hAnsi="Palatino Linotype" w:cs="Tahoma"/>
          <w:lang w:val="es-MX" w:eastAsia="es-E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21818FE4" w14:textId="77777777" w:rsidR="00CE657A" w:rsidRPr="00CE657A" w:rsidRDefault="00CE657A" w:rsidP="00CE657A">
      <w:pPr>
        <w:spacing w:after="0" w:line="360" w:lineRule="auto"/>
        <w:ind w:left="720"/>
        <w:contextualSpacing/>
        <w:jc w:val="both"/>
        <w:rPr>
          <w:rFonts w:ascii="Palatino Linotype" w:eastAsia="Times New Roman" w:hAnsi="Palatino Linotype" w:cs="Tahoma"/>
          <w:lang w:val="es-MX" w:eastAsia="es-ES"/>
        </w:rPr>
      </w:pPr>
    </w:p>
    <w:p w14:paraId="0279F007"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deberá demostrar que la publicidad de la información generaría un riesgo de perjuicio, que rebasa el interés público;</w:t>
      </w:r>
    </w:p>
    <w:p w14:paraId="1AF9F9FD"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02F8104B"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acreditará el vínculo entre la difusión de la información y la afectación del interés jurídico tutelado;</w:t>
      </w:r>
    </w:p>
    <w:p w14:paraId="0195CC44"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61143D49"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precisará las razones objetivas por las que la apertura de la información generaría una afectación, por medio del riesgo real, demostrable e identificable;</w:t>
      </w:r>
    </w:p>
    <w:p w14:paraId="60800557"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2A59C30F"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deberán señalar las circunstancias de modo, tiempo y lugar del daño, y</w:t>
      </w:r>
    </w:p>
    <w:p w14:paraId="509CD1DE" w14:textId="77777777" w:rsidR="00CE657A" w:rsidRPr="00CE657A" w:rsidRDefault="00CE657A" w:rsidP="00CE657A">
      <w:pPr>
        <w:spacing w:line="256" w:lineRule="auto"/>
        <w:ind w:left="720"/>
        <w:contextualSpacing/>
        <w:rPr>
          <w:rFonts w:ascii="Palatino Linotype" w:eastAsia="Times New Roman" w:hAnsi="Palatino Linotype" w:cs="Tahoma"/>
          <w:lang w:eastAsia="es-ES"/>
        </w:rPr>
      </w:pPr>
    </w:p>
    <w:p w14:paraId="2B2C0D10" w14:textId="77777777" w:rsidR="00CE657A" w:rsidRPr="00CE657A" w:rsidRDefault="00CE657A" w:rsidP="00CE657A">
      <w:pPr>
        <w:numPr>
          <w:ilvl w:val="0"/>
          <w:numId w:val="26"/>
        </w:numPr>
        <w:spacing w:line="360" w:lineRule="auto"/>
        <w:contextualSpacing/>
        <w:jc w:val="both"/>
        <w:rPr>
          <w:rFonts w:ascii="Palatino Linotype" w:eastAsia="Times New Roman" w:hAnsi="Palatino Linotype" w:cs="Tahoma"/>
          <w:lang w:eastAsia="es-ES"/>
        </w:rPr>
      </w:pPr>
      <w:r w:rsidRPr="00CE657A">
        <w:rPr>
          <w:rFonts w:ascii="Palatino Linotype" w:eastAsia="Times New Roman" w:hAnsi="Palatino Linotype" w:cs="Tahoma"/>
          <w:lang w:eastAsia="es-ES"/>
        </w:rPr>
        <w:t>Se elegirá la opción de excepción al acceso a la información que menos restrinja, la cual será adecuada y proporcional para la protección del interés público.</w:t>
      </w:r>
    </w:p>
    <w:p w14:paraId="53FDE95E" w14:textId="77777777" w:rsidR="00CE657A" w:rsidRPr="00CE657A" w:rsidRDefault="00CE657A" w:rsidP="00CE657A">
      <w:pPr>
        <w:spacing w:after="0" w:line="360" w:lineRule="auto"/>
        <w:jc w:val="both"/>
        <w:rPr>
          <w:rFonts w:ascii="Palatino Linotype" w:eastAsia="Calibri" w:hAnsi="Palatino Linotype" w:cs="Tahoma"/>
        </w:rPr>
      </w:pPr>
    </w:p>
    <w:p w14:paraId="4EEE8AB9"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lastRenderedPageBreak/>
        <w:t>Además, los artículos 104 y 114 de la Ley General, así como, los diversos 129 y 141 de la Ley Local, establecen que las causales de reserva se deberán fundar y motivar, a través de la aplicación de la prueba de daño, la cual se debe justificar de la siguiente manera:</w:t>
      </w:r>
    </w:p>
    <w:p w14:paraId="304CB14D" w14:textId="1FB19AAC" w:rsidR="00CE657A" w:rsidRDefault="00CE657A" w:rsidP="00CE657A">
      <w:pPr>
        <w:spacing w:after="0" w:line="360" w:lineRule="auto"/>
        <w:jc w:val="both"/>
        <w:rPr>
          <w:rFonts w:ascii="Palatino Linotype" w:eastAsia="Calibri" w:hAnsi="Palatino Linotype" w:cs="Tahoma"/>
        </w:rPr>
      </w:pPr>
    </w:p>
    <w:p w14:paraId="093AA580" w14:textId="77777777" w:rsidR="00CE657A" w:rsidRPr="00CE657A" w:rsidRDefault="00CE657A" w:rsidP="00CE657A">
      <w:pPr>
        <w:numPr>
          <w:ilvl w:val="0"/>
          <w:numId w:val="27"/>
        </w:numPr>
        <w:tabs>
          <w:tab w:val="left" w:pos="4962"/>
        </w:tabs>
        <w:spacing w:after="0" w:line="360" w:lineRule="auto"/>
        <w:contextualSpacing/>
        <w:jc w:val="both"/>
        <w:rPr>
          <w:rFonts w:ascii="Palatino Linotype" w:eastAsia="Calibri" w:hAnsi="Palatino Linotype" w:cs="Tahoma"/>
          <w:iCs/>
          <w:lang w:val="es-ES_tradnl" w:eastAsia="es-ES_tradnl"/>
        </w:rPr>
      </w:pPr>
      <w:r w:rsidRPr="00CE657A">
        <w:rPr>
          <w:rFonts w:ascii="Palatino Linotype" w:eastAsia="Calibri" w:hAnsi="Palatino Linotype" w:cs="Tahoma"/>
          <w:iCs/>
          <w:lang w:val="es-ES_tradnl" w:eastAsia="es-ES_tradnl"/>
        </w:rPr>
        <w:t>La divulgación de la información representa un riesgo real, demostrable e identificable de perjuicio significativo al interés público o a la seguridad nacional.</w:t>
      </w:r>
    </w:p>
    <w:p w14:paraId="29EBE0C4" w14:textId="77777777" w:rsidR="00CE657A" w:rsidRPr="00CE657A" w:rsidRDefault="00CE657A" w:rsidP="00CE657A">
      <w:pPr>
        <w:tabs>
          <w:tab w:val="left" w:pos="4962"/>
        </w:tabs>
        <w:spacing w:after="0" w:line="360" w:lineRule="auto"/>
        <w:jc w:val="both"/>
        <w:rPr>
          <w:rFonts w:ascii="Palatino Linotype" w:eastAsia="Calibri" w:hAnsi="Palatino Linotype" w:cs="Tahoma"/>
          <w:iCs/>
          <w:lang w:val="es-ES_tradnl" w:eastAsia="es-ES_tradnl"/>
        </w:rPr>
      </w:pPr>
    </w:p>
    <w:p w14:paraId="591A7AB2" w14:textId="77777777" w:rsidR="00CE657A" w:rsidRPr="00CE657A" w:rsidRDefault="00CE657A" w:rsidP="00CE657A">
      <w:pPr>
        <w:numPr>
          <w:ilvl w:val="0"/>
          <w:numId w:val="27"/>
        </w:numPr>
        <w:tabs>
          <w:tab w:val="left" w:pos="4962"/>
        </w:tabs>
        <w:spacing w:after="0" w:line="360" w:lineRule="auto"/>
        <w:contextualSpacing/>
        <w:jc w:val="both"/>
        <w:rPr>
          <w:rFonts w:ascii="Palatino Linotype" w:eastAsia="Calibri" w:hAnsi="Palatino Linotype" w:cs="Tahoma"/>
          <w:iCs/>
          <w:lang w:val="es-ES_tradnl" w:eastAsia="es-ES_tradnl"/>
        </w:rPr>
      </w:pPr>
      <w:r w:rsidRPr="00CE657A">
        <w:rPr>
          <w:rFonts w:ascii="Palatino Linotype" w:eastAsia="Calibri" w:hAnsi="Palatino Linotype" w:cs="Tahoma"/>
          <w:iCs/>
          <w:lang w:val="es-ES_tradnl" w:eastAsia="es-ES_tradnl"/>
        </w:rPr>
        <w:t>El riesgo de perjuicio supera el interés público general de que se difunda.</w:t>
      </w:r>
    </w:p>
    <w:p w14:paraId="67E1E10B" w14:textId="77777777" w:rsidR="00CE657A" w:rsidRPr="00CE657A" w:rsidRDefault="00CE657A" w:rsidP="00CE657A">
      <w:pPr>
        <w:tabs>
          <w:tab w:val="left" w:pos="4962"/>
        </w:tabs>
        <w:spacing w:after="0" w:line="360" w:lineRule="auto"/>
        <w:jc w:val="both"/>
        <w:rPr>
          <w:rFonts w:ascii="Palatino Linotype" w:eastAsia="Calibri" w:hAnsi="Palatino Linotype" w:cs="Tahoma"/>
          <w:iCs/>
          <w:lang w:val="es-ES_tradnl" w:eastAsia="es-ES_tradnl"/>
        </w:rPr>
      </w:pPr>
    </w:p>
    <w:p w14:paraId="5F834FCA" w14:textId="77777777" w:rsidR="00CE657A" w:rsidRPr="00CE657A" w:rsidRDefault="00CE657A" w:rsidP="00CE657A">
      <w:pPr>
        <w:numPr>
          <w:ilvl w:val="0"/>
          <w:numId w:val="27"/>
        </w:numPr>
        <w:tabs>
          <w:tab w:val="left" w:pos="4962"/>
        </w:tabs>
        <w:spacing w:after="0" w:line="360" w:lineRule="auto"/>
        <w:contextualSpacing/>
        <w:jc w:val="both"/>
        <w:rPr>
          <w:rFonts w:ascii="Palatino Linotype" w:eastAsia="Calibri" w:hAnsi="Palatino Linotype" w:cs="Tahoma"/>
          <w:iCs/>
          <w:lang w:val="es-ES_tradnl" w:eastAsia="es-ES_tradnl"/>
        </w:rPr>
      </w:pPr>
      <w:r w:rsidRPr="00CE657A">
        <w:rPr>
          <w:rFonts w:ascii="Palatino Linotype" w:eastAsia="Calibri" w:hAnsi="Palatino Linotype" w:cs="Tahoma"/>
          <w:iCs/>
          <w:lang w:val="es-ES_tradnl" w:eastAsia="es-ES_tradnl"/>
        </w:rPr>
        <w:t>Que la limitación se adecua al principio de proporcionalidad y representa el medio menos restrictivo disponible para evitar el perjuicio.</w:t>
      </w:r>
    </w:p>
    <w:p w14:paraId="4B98EEB2" w14:textId="77777777" w:rsidR="00CE657A" w:rsidRPr="00CE657A" w:rsidRDefault="00CE657A" w:rsidP="00CE657A">
      <w:pPr>
        <w:spacing w:after="0" w:line="360" w:lineRule="auto"/>
        <w:jc w:val="both"/>
        <w:rPr>
          <w:rFonts w:ascii="Palatino Linotype" w:eastAsia="Calibri" w:hAnsi="Palatino Linotype" w:cs="Tahoma"/>
        </w:rPr>
      </w:pPr>
    </w:p>
    <w:p w14:paraId="4509F53C"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Así, se logra observar que, para acreditar cualquier causal de reserva, </w:t>
      </w:r>
      <w:r w:rsidRPr="00CE657A">
        <w:rPr>
          <w:rFonts w:ascii="Palatino Linotype" w:eastAsia="Calibri" w:hAnsi="Palatino Linotype" w:cs="Tahoma"/>
          <w:b/>
          <w:bCs/>
          <w:u w:val="single"/>
        </w:rPr>
        <w:t>es necesario desarrollar la respectiva prueba de daño</w:t>
      </w:r>
      <w:r w:rsidRPr="00CE657A">
        <w:rPr>
          <w:rFonts w:ascii="Palatino Linotype" w:eastAsia="Calibri" w:hAnsi="Palatino Linotype" w:cs="Tahoma"/>
        </w:rPr>
        <w:t xml:space="preserve">, pues de lo contrario se estaría acreditando una clasificación, </w:t>
      </w:r>
      <w:r w:rsidRPr="00CE657A">
        <w:rPr>
          <w:rFonts w:ascii="Palatino Linotype" w:eastAsia="Calibri" w:hAnsi="Palatino Linotype" w:cs="Tahoma"/>
          <w:b/>
          <w:bCs/>
        </w:rPr>
        <w:t>sin fundar y motivar la misma; con lo cual, se estaría violentando lo establecido en la Ley General, la Ley Local y los Lineamientos Generales.</w:t>
      </w:r>
    </w:p>
    <w:p w14:paraId="2A11DF15" w14:textId="77777777" w:rsidR="00CE657A" w:rsidRPr="00CE657A" w:rsidRDefault="00CE657A" w:rsidP="00CE657A">
      <w:pPr>
        <w:spacing w:after="0" w:line="360" w:lineRule="auto"/>
        <w:jc w:val="both"/>
        <w:rPr>
          <w:rFonts w:ascii="Palatino Linotype" w:eastAsia="Calibri" w:hAnsi="Palatino Linotype" w:cs="Tahoma"/>
        </w:rPr>
      </w:pPr>
    </w:p>
    <w:p w14:paraId="0AA7EBC5" w14:textId="73FC004F"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Ahora bien, es de hacer hincapié que la normatividad referida, establece que la prueba de daño la deben de elaborar los sujetos obligados, para acreditar una clasificación; sin embargo, es de señalar que si bien, no existe supuesto, que establezca la Obligación para que los Comisionados y Ponencias realicen dicha prueba, también lo es, que la única forma de acreditar la reserva de la información, como ya lo señale, es a través de est</w:t>
      </w:r>
      <w:r w:rsidR="00BD49A6">
        <w:rPr>
          <w:rFonts w:ascii="Palatino Linotype" w:eastAsia="Calibri" w:hAnsi="Palatino Linotype" w:cs="Tahoma"/>
        </w:rPr>
        <w:t>a</w:t>
      </w:r>
      <w:r w:rsidRPr="00CE657A">
        <w:rPr>
          <w:rFonts w:ascii="Palatino Linotype" w:eastAsia="Calibri" w:hAnsi="Palatino Linotype" w:cs="Tahoma"/>
        </w:rPr>
        <w:t xml:space="preserve"> situación.</w:t>
      </w:r>
    </w:p>
    <w:p w14:paraId="670C8E73" w14:textId="77777777" w:rsidR="00CE657A" w:rsidRPr="00CE657A" w:rsidRDefault="00CE657A" w:rsidP="00CE657A">
      <w:pPr>
        <w:spacing w:after="0" w:line="360" w:lineRule="auto"/>
        <w:jc w:val="both"/>
        <w:rPr>
          <w:rFonts w:ascii="Palatino Linotype" w:eastAsia="Calibri" w:hAnsi="Palatino Linotype" w:cs="Tahoma"/>
        </w:rPr>
      </w:pPr>
    </w:p>
    <w:p w14:paraId="67C1C038" w14:textId="065A70B6" w:rsidR="00CE657A" w:rsidRPr="00CE657A" w:rsidRDefault="00CE657A" w:rsidP="00CE657A">
      <w:pPr>
        <w:spacing w:after="0" w:line="360" w:lineRule="auto"/>
        <w:jc w:val="both"/>
        <w:rPr>
          <w:rFonts w:ascii="Palatino Linotype" w:eastAsia="Calibri" w:hAnsi="Palatino Linotype" w:cs="Tahoma"/>
          <w:b/>
          <w:bCs/>
        </w:rPr>
      </w:pPr>
      <w:r w:rsidRPr="00CE657A">
        <w:rPr>
          <w:rFonts w:ascii="Palatino Linotype" w:eastAsia="Calibri" w:hAnsi="Palatino Linotype" w:cs="Tahoma"/>
        </w:rPr>
        <w:t xml:space="preserve">Inclusive, la Suprema Corte de Justicia de la Nación, se ha pronunciado respecto al análisis de la reserva de la información, a través de las Sentencias en las Acciones de Inconstitucionalidad 73/2017 y 66/2019, en donde ha señalado que para poder configurar información como reservada, </w:t>
      </w:r>
      <w:r w:rsidR="00BD49A6">
        <w:rPr>
          <w:rFonts w:ascii="Palatino Linotype" w:eastAsia="Calibri" w:hAnsi="Palatino Linotype" w:cs="Tahoma"/>
        </w:rPr>
        <w:t xml:space="preserve">se </w:t>
      </w:r>
      <w:r w:rsidRPr="00CE657A">
        <w:rPr>
          <w:rFonts w:ascii="Palatino Linotype" w:eastAsia="Calibri" w:hAnsi="Palatino Linotype" w:cs="Tahoma"/>
        </w:rPr>
        <w:t xml:space="preserve">debe realizar un examen casuístico y de justificación </w:t>
      </w:r>
      <w:r w:rsidRPr="00CE657A">
        <w:rPr>
          <w:rFonts w:ascii="Palatino Linotype" w:eastAsia="Calibri" w:hAnsi="Palatino Linotype" w:cs="Tahoma"/>
        </w:rPr>
        <w:lastRenderedPageBreak/>
        <w:t xml:space="preserve">fundado y motivado, así como, una </w:t>
      </w:r>
      <w:r w:rsidRPr="00CE657A">
        <w:rPr>
          <w:rFonts w:ascii="Palatino Linotype" w:eastAsia="Calibri" w:hAnsi="Palatino Linotype" w:cs="Tahoma"/>
          <w:b/>
          <w:bCs/>
        </w:rPr>
        <w:t xml:space="preserve">prueba de daño, </w:t>
      </w:r>
      <w:r w:rsidRPr="00CE657A">
        <w:rPr>
          <w:rFonts w:ascii="Palatino Linotype" w:eastAsia="Calibri" w:hAnsi="Palatino Linotype" w:cs="Tahoma"/>
        </w:rPr>
        <w:t>que la ponderación de la divulgación de la información, frente a la actualización de un posible daño al interés o principio que se busca proteger.</w:t>
      </w:r>
    </w:p>
    <w:p w14:paraId="0EF81A82" w14:textId="77777777" w:rsidR="00CE657A" w:rsidRPr="00CE657A" w:rsidRDefault="00CE657A" w:rsidP="00CE657A">
      <w:pPr>
        <w:spacing w:after="0" w:line="360" w:lineRule="auto"/>
        <w:jc w:val="both"/>
        <w:rPr>
          <w:rFonts w:ascii="Palatino Linotype" w:eastAsia="Calibri" w:hAnsi="Palatino Linotype" w:cs="Tahoma"/>
        </w:rPr>
      </w:pPr>
    </w:p>
    <w:p w14:paraId="5F1DB1DC" w14:textId="7777777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Además, a través de las Resoluciones de los Recursos de Inconformidad </w:t>
      </w:r>
      <w:r w:rsidRPr="00CE657A">
        <w:rPr>
          <w:rFonts w:ascii="Palatino Linotype" w:eastAsia="Calibri" w:hAnsi="Palatino Linotype" w:cs="Tahoma"/>
          <w:b/>
          <w:bCs/>
        </w:rPr>
        <w:t xml:space="preserve">RIA 0118/18, RIA 0124/19 </w:t>
      </w:r>
      <w:r w:rsidRPr="00CE657A">
        <w:rPr>
          <w:rFonts w:ascii="Palatino Linotype" w:eastAsia="Calibri" w:hAnsi="Palatino Linotype" w:cs="Tahoma"/>
        </w:rPr>
        <w:t>y</w:t>
      </w:r>
      <w:r w:rsidRPr="00CE657A">
        <w:rPr>
          <w:rFonts w:ascii="Palatino Linotype" w:eastAsia="Calibri" w:hAnsi="Palatino Linotype" w:cs="Tahoma"/>
          <w:b/>
          <w:bCs/>
        </w:rPr>
        <w:t xml:space="preserve"> RIA 0118/19, </w:t>
      </w:r>
      <w:r w:rsidRPr="00CE657A">
        <w:rPr>
          <w:rFonts w:ascii="Palatino Linotype" w:eastAsia="Calibri" w:hAnsi="Palatino Linotype" w:cs="Tahoma"/>
        </w:rPr>
        <w:t xml:space="preserve">el Instituto Nacional de Transparencia, Acceso a la Información y Protección de Datos Personales, ha </w:t>
      </w:r>
      <w:r w:rsidRPr="00CE657A">
        <w:rPr>
          <w:rFonts w:ascii="Palatino Linotype" w:eastAsia="Calibri" w:hAnsi="Palatino Linotype" w:cs="Tahoma"/>
          <w:b/>
          <w:bCs/>
        </w:rPr>
        <w:t xml:space="preserve">ORDENADO, </w:t>
      </w:r>
      <w:r w:rsidRPr="00CE657A">
        <w:rPr>
          <w:rFonts w:ascii="Palatino Linotype" w:eastAsia="Calibri" w:hAnsi="Palatino Linotype" w:cs="Tahoma"/>
        </w:rPr>
        <w:t>al Pleno del Instituto de Transparencia, Acceso a la Información Pública y Protección de Datos Personales a realizar análisis exhaustivos y profundos sobre la clasificación de información reservada, que incluye la elaboración de la prueba de daño respectiva, pues el estudio no debe ceñirse únicamente a verificar cuestiones de forma, sino también la argumentación de las razones por las cuales la información se adecua a la hipótesis normativa. Dicho criterio, no solo aplica a este Órgano Garante, sino a todos los Institutos de Transparencia, que existen en el país.</w:t>
      </w:r>
    </w:p>
    <w:p w14:paraId="73055729" w14:textId="77777777" w:rsidR="00CE657A" w:rsidRPr="00CE657A" w:rsidRDefault="00CE657A" w:rsidP="00CE657A">
      <w:pPr>
        <w:spacing w:after="0" w:line="360" w:lineRule="auto"/>
        <w:jc w:val="both"/>
        <w:rPr>
          <w:rFonts w:ascii="Palatino Linotype" w:eastAsia="Calibri" w:hAnsi="Palatino Linotype" w:cs="Tahoma"/>
        </w:rPr>
      </w:pPr>
    </w:p>
    <w:p w14:paraId="2EEDBD8D" w14:textId="5407BE27" w:rsidR="00CE657A" w:rsidRPr="00CE657A" w:rsidRDefault="00CE657A" w:rsidP="00CE657A">
      <w:pPr>
        <w:spacing w:after="0" w:line="360" w:lineRule="auto"/>
        <w:jc w:val="both"/>
        <w:rPr>
          <w:rFonts w:ascii="Palatino Linotype" w:eastAsia="Calibri" w:hAnsi="Palatino Linotype" w:cs="Tahoma"/>
        </w:rPr>
      </w:pPr>
      <w:r w:rsidRPr="00CE657A">
        <w:rPr>
          <w:rFonts w:ascii="Palatino Linotype" w:eastAsia="Calibri" w:hAnsi="Palatino Linotype" w:cs="Tahoma"/>
        </w:rPr>
        <w:t xml:space="preserve">Por lo que, al tratarse </w:t>
      </w:r>
      <w:r w:rsidR="0050457B">
        <w:rPr>
          <w:rFonts w:ascii="Palatino Linotype" w:eastAsia="Calibri" w:hAnsi="Palatino Linotype" w:cs="Tahoma"/>
        </w:rPr>
        <w:t>de información posiblemente</w:t>
      </w:r>
      <w:r w:rsidRPr="00CE657A">
        <w:rPr>
          <w:rFonts w:ascii="Palatino Linotype" w:eastAsia="Calibri" w:hAnsi="Palatino Linotype" w:cs="Tahoma"/>
        </w:rPr>
        <w:t xml:space="preserve"> reservada, se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casuístico y profundo de los elementos de forma y fondo que establecen la Ley General de Transparencia y Acceso a la Información Pública, Ley de Transparencia y Acceso a la Información Pública del Estado de México y Municipios y los Lineamientos Generales.</w:t>
      </w:r>
    </w:p>
    <w:p w14:paraId="718D9539" w14:textId="6FC74385" w:rsidR="00CE657A" w:rsidRDefault="00CE657A" w:rsidP="00CE657A">
      <w:pPr>
        <w:spacing w:after="0" w:line="360" w:lineRule="auto"/>
        <w:jc w:val="both"/>
        <w:rPr>
          <w:rFonts w:ascii="Palatino Linotype" w:eastAsia="Calibri" w:hAnsi="Palatino Linotype" w:cs="Tahoma"/>
        </w:rPr>
      </w:pPr>
    </w:p>
    <w:p w14:paraId="4A763436" w14:textId="3BD2010D" w:rsidR="007A44AF" w:rsidRDefault="007A44AF" w:rsidP="00CE657A">
      <w:pPr>
        <w:spacing w:after="0" w:line="360" w:lineRule="auto"/>
        <w:jc w:val="both"/>
        <w:rPr>
          <w:rFonts w:ascii="Palatino Linotype" w:eastAsia="Calibri" w:hAnsi="Palatino Linotype" w:cs="Tahoma"/>
          <w:lang w:val="x-none"/>
        </w:rPr>
      </w:pPr>
      <w:r>
        <w:rPr>
          <w:rFonts w:ascii="Palatino Linotype" w:eastAsia="Calibri" w:hAnsi="Palatino Linotype" w:cs="Tahoma"/>
        </w:rPr>
        <w:t>En ese contexto, consider</w:t>
      </w:r>
      <w:r w:rsidR="00BD49A6">
        <w:rPr>
          <w:rFonts w:ascii="Palatino Linotype" w:eastAsia="Calibri" w:hAnsi="Palatino Linotype" w:cs="Tahoma"/>
        </w:rPr>
        <w:t>o</w:t>
      </w:r>
      <w:r>
        <w:rPr>
          <w:rFonts w:ascii="Palatino Linotype" w:eastAsia="Calibri" w:hAnsi="Palatino Linotype" w:cs="Tahoma"/>
          <w:lang w:val="x-none"/>
        </w:rPr>
        <w:t xml:space="preserve"> que era necesario fundar y motivar la reserva aludida por el Sujeto Obligado, situación que toma relevancia, pues en el presente caso, la información solicitada es de carácter público y no puede ser clasificada, pues se trata de información </w:t>
      </w:r>
      <w:r>
        <w:rPr>
          <w:rFonts w:ascii="Palatino Linotype" w:eastAsia="Calibri" w:hAnsi="Palatino Linotype" w:cs="Tahoma"/>
          <w:lang w:val="x-none"/>
        </w:rPr>
        <w:lastRenderedPageBreak/>
        <w:t>estadística que de ninguna manera pone en peligro la seguridad del Municipio, la vida, salud y seguridad de las personas, ni afecta las actividades de prevención o persecución de delitos.</w:t>
      </w:r>
    </w:p>
    <w:p w14:paraId="168222D3" w14:textId="197EAB3B" w:rsidR="007A44AF" w:rsidRDefault="007A44AF" w:rsidP="00CE657A">
      <w:pPr>
        <w:spacing w:after="0" w:line="360" w:lineRule="auto"/>
        <w:jc w:val="both"/>
        <w:rPr>
          <w:rFonts w:ascii="Palatino Linotype" w:eastAsia="Calibri" w:hAnsi="Palatino Linotype" w:cs="Tahoma"/>
        </w:rPr>
      </w:pPr>
    </w:p>
    <w:p w14:paraId="2B7BC137" w14:textId="29C38FDA" w:rsidR="007A44AF" w:rsidRDefault="007A44AF" w:rsidP="00CE657A">
      <w:pPr>
        <w:spacing w:after="0" w:line="360" w:lineRule="auto"/>
        <w:jc w:val="both"/>
        <w:rPr>
          <w:rFonts w:ascii="Palatino Linotype" w:eastAsia="Calibri" w:hAnsi="Palatino Linotype" w:cs="Tahoma"/>
          <w:lang w:val="x-none"/>
        </w:rPr>
      </w:pPr>
      <w:r>
        <w:rPr>
          <w:rFonts w:ascii="Palatino Linotype" w:eastAsia="Calibri" w:hAnsi="Palatino Linotype" w:cs="Tahoma"/>
        </w:rPr>
        <w:t>Situación</w:t>
      </w:r>
      <w:r>
        <w:rPr>
          <w:rFonts w:ascii="Palatino Linotype" w:eastAsia="Calibri" w:hAnsi="Palatino Linotype" w:cs="Tahoma"/>
          <w:lang w:val="x-none"/>
        </w:rPr>
        <w:t xml:space="preserve"> que toma sustento, con el Criterio </w:t>
      </w:r>
      <w:r w:rsidR="00A664D4">
        <w:rPr>
          <w:rFonts w:ascii="Palatino Linotype" w:eastAsia="Calibri" w:hAnsi="Palatino Linotype" w:cs="Tahoma"/>
          <w:lang w:val="x-none"/>
        </w:rPr>
        <w:t>11/09 emitido por el Pleno del entonces Instituto Federal de Acceso a la Información Pública, el cual precisa lo siguiente:</w:t>
      </w:r>
    </w:p>
    <w:p w14:paraId="3A769932" w14:textId="72DFEB34" w:rsidR="007A44AF" w:rsidRDefault="007A44AF" w:rsidP="00CE657A">
      <w:pPr>
        <w:spacing w:after="0" w:line="360" w:lineRule="auto"/>
        <w:jc w:val="both"/>
        <w:rPr>
          <w:rFonts w:ascii="Palatino Linotype" w:eastAsia="Calibri" w:hAnsi="Palatino Linotype" w:cs="Tahoma"/>
        </w:rPr>
      </w:pPr>
    </w:p>
    <w:p w14:paraId="5BC4726E" w14:textId="38794056" w:rsidR="007A44AF" w:rsidRPr="007A44AF" w:rsidRDefault="004D7C85" w:rsidP="007A44AF">
      <w:pPr>
        <w:shd w:val="clear" w:color="auto" w:fill="FFFFFF"/>
        <w:spacing w:after="0" w:line="360" w:lineRule="auto"/>
        <w:ind w:left="567" w:right="567"/>
        <w:jc w:val="both"/>
        <w:rPr>
          <w:rFonts w:ascii="Palatino Linotype" w:eastAsia="Times New Roman" w:hAnsi="Palatino Linotype" w:cs="Tahoma"/>
          <w:i/>
          <w:sz w:val="20"/>
          <w:szCs w:val="20"/>
          <w:lang w:val="es-MX" w:eastAsia="es-ES"/>
        </w:rPr>
      </w:pPr>
      <w:r>
        <w:rPr>
          <w:rFonts w:ascii="Palatino Linotype" w:eastAsia="Times New Roman" w:hAnsi="Palatino Linotype" w:cs="Tahoma"/>
          <w:b/>
          <w:i/>
          <w:sz w:val="20"/>
          <w:szCs w:val="20"/>
          <w:lang w:val="es-MX" w:eastAsia="es-ES"/>
        </w:rPr>
        <w:t>“</w:t>
      </w:r>
      <w:r w:rsidR="007A44AF" w:rsidRPr="007A44AF">
        <w:rPr>
          <w:rFonts w:ascii="Palatino Linotype" w:eastAsia="Times New Roman" w:hAnsi="Palatino Linotype" w:cs="Tahoma"/>
          <w:b/>
          <w:i/>
          <w:sz w:val="20"/>
          <w:szCs w:val="20"/>
          <w:lang w:val="es-MX" w:eastAsia="es-ES"/>
        </w:rPr>
        <w:t xml:space="preserve">La información estadística es de naturaleza pública, independientemente de la  materia  con  la  que  se encuentre  vinculada. </w:t>
      </w:r>
      <w:r w:rsidR="007A44AF" w:rsidRPr="007A44AF">
        <w:rPr>
          <w:rFonts w:ascii="Palatino Linotype" w:eastAsia="Times New Roman" w:hAnsi="Palatino Linotype" w:cs="Tahoma"/>
          <w:i/>
          <w:sz w:val="20"/>
          <w:szCs w:val="20"/>
          <w:lang w:val="es-MX" w:eastAsia="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eastAsia="Times New Roman" w:hAnsi="Palatino Linotype" w:cs="Tahoma"/>
          <w:i/>
          <w:sz w:val="20"/>
          <w:szCs w:val="20"/>
          <w:lang w:val="es-MX" w:eastAsia="es-ES"/>
        </w:rPr>
        <w:t>”</w:t>
      </w:r>
    </w:p>
    <w:p w14:paraId="134F1424" w14:textId="77777777" w:rsidR="007A44AF" w:rsidRPr="00CE657A" w:rsidRDefault="007A44AF" w:rsidP="00CE657A">
      <w:pPr>
        <w:spacing w:after="0" w:line="360" w:lineRule="auto"/>
        <w:jc w:val="both"/>
        <w:rPr>
          <w:rFonts w:ascii="Palatino Linotype" w:eastAsia="Calibri" w:hAnsi="Palatino Linotype" w:cs="Tahoma"/>
        </w:rPr>
      </w:pPr>
    </w:p>
    <w:p w14:paraId="7DA44715" w14:textId="0B290DE2" w:rsidR="00CE657A" w:rsidRDefault="00A664D4" w:rsidP="00CE657A">
      <w:pPr>
        <w:spacing w:after="0" w:line="360" w:lineRule="auto"/>
        <w:ind w:right="-93"/>
        <w:jc w:val="both"/>
        <w:rPr>
          <w:rFonts w:ascii="Palatino Linotype" w:eastAsia="Calibri" w:hAnsi="Palatino Linotype" w:cs="Tahoma"/>
          <w:bCs/>
          <w:lang w:val="x-none"/>
        </w:rPr>
      </w:pPr>
      <w:r>
        <w:rPr>
          <w:rFonts w:ascii="Palatino Linotype" w:eastAsia="Calibri" w:hAnsi="Palatino Linotype" w:cs="Tahoma"/>
          <w:bCs/>
        </w:rPr>
        <w:t>Conforme a dicho criterio se logra vislumbrar que toda información</w:t>
      </w:r>
      <w:r>
        <w:rPr>
          <w:rFonts w:ascii="Palatino Linotype" w:eastAsia="Calibri" w:hAnsi="Palatino Linotype" w:cs="Tahoma"/>
          <w:bCs/>
          <w:lang w:val="x-none"/>
        </w:rPr>
        <w:t xml:space="preserve"> estadística, guarda el carácter de pública, al ser el producto de un conjunto de resultados cuantitativos, aunado a que estos no se encuentran individualizados o personalizados a casos o situaciones específicas que pudieran llegar a justificar su clasificación. </w:t>
      </w:r>
    </w:p>
    <w:p w14:paraId="109C97B7" w14:textId="77777777" w:rsidR="007A44AF" w:rsidRPr="00CE657A" w:rsidRDefault="007A44AF" w:rsidP="00CE657A">
      <w:pPr>
        <w:spacing w:after="0" w:line="360" w:lineRule="auto"/>
        <w:ind w:right="-93"/>
        <w:jc w:val="both"/>
        <w:rPr>
          <w:rFonts w:ascii="Palatino Linotype" w:eastAsia="Calibri" w:hAnsi="Palatino Linotype" w:cs="Tahoma"/>
          <w:bCs/>
        </w:rPr>
      </w:pPr>
    </w:p>
    <w:p w14:paraId="49BB1FD8" w14:textId="0B0037CC" w:rsidR="00A664D4" w:rsidRDefault="00A664D4" w:rsidP="00A664D4">
      <w:pPr>
        <w:tabs>
          <w:tab w:val="left" w:pos="4962"/>
        </w:tabs>
        <w:spacing w:after="0" w:line="360" w:lineRule="auto"/>
        <w:jc w:val="both"/>
        <w:rPr>
          <w:rFonts w:ascii="Palatino Linotype" w:eastAsia="Calibri" w:hAnsi="Palatino Linotype" w:cs="Tahoma"/>
          <w:iCs/>
          <w:lang w:eastAsia="es-ES_tradnl"/>
        </w:rPr>
      </w:pPr>
      <w:r w:rsidRPr="004B0F0F">
        <w:rPr>
          <w:rFonts w:ascii="Palatino Linotype" w:eastAsia="Calibri" w:hAnsi="Palatino Linotype" w:cs="Tahoma"/>
          <w:iCs/>
          <w:lang w:eastAsia="es-ES_tradnl"/>
        </w:rPr>
        <w:t>Con base en lo expuesto</w:t>
      </w:r>
      <w:r>
        <w:rPr>
          <w:rFonts w:ascii="Palatino Linotype" w:eastAsia="Calibri" w:hAnsi="Palatino Linotype" w:cs="Tahoma"/>
          <w:iCs/>
          <w:lang w:eastAsia="es-ES_tradnl"/>
        </w:rPr>
        <w:t xml:space="preserve">, por una parte, </w:t>
      </w:r>
      <w:r w:rsidR="00BD49A6">
        <w:rPr>
          <w:rFonts w:ascii="Palatino Linotype" w:eastAsia="Calibri" w:hAnsi="Palatino Linotype" w:cs="Tahoma"/>
          <w:iCs/>
          <w:lang w:eastAsia="es-ES_tradnl"/>
        </w:rPr>
        <w:t>se advierte</w:t>
      </w:r>
      <w:r>
        <w:rPr>
          <w:rFonts w:ascii="Palatino Linotype" w:eastAsia="Calibri" w:hAnsi="Palatino Linotype" w:cs="Tahoma"/>
          <w:iCs/>
          <w:lang w:val="x-none" w:eastAsia="es-ES_tradnl"/>
        </w:rPr>
        <w:t xml:space="preserve"> que</w:t>
      </w:r>
      <w:r>
        <w:rPr>
          <w:rFonts w:ascii="Palatino Linotype" w:eastAsia="Calibri" w:hAnsi="Palatino Linotype" w:cs="Tahoma"/>
          <w:iCs/>
          <w:lang w:eastAsia="es-ES_tradnl"/>
        </w:rPr>
        <w:t xml:space="preserve"> el Acuerdo del Comit</w:t>
      </w:r>
      <w:r>
        <w:rPr>
          <w:rFonts w:ascii="Palatino Linotype" w:eastAsia="Calibri" w:hAnsi="Palatino Linotype" w:cs="Tahoma"/>
          <w:iCs/>
          <w:lang w:val="x-none" w:eastAsia="es-ES_tradnl"/>
        </w:rPr>
        <w:t xml:space="preserve">é de Transparencia, no cumplía con los requisitos de forma y fondo, para poder acreditar la reserva de la información peticionada y, por otra parte, la información requerida, es </w:t>
      </w:r>
      <w:r>
        <w:rPr>
          <w:rFonts w:ascii="Palatino Linotype" w:eastAsia="Calibri" w:hAnsi="Palatino Linotype" w:cs="Tahoma"/>
          <w:iCs/>
          <w:lang w:val="x-none" w:eastAsia="es-ES_tradnl"/>
        </w:rPr>
        <w:lastRenderedPageBreak/>
        <w:t>meramente estadística y por dicha naturaleza, no puede actualizar ninguna causal de clasificación</w:t>
      </w:r>
      <w:r w:rsidR="00BD49A6">
        <w:rPr>
          <w:rFonts w:ascii="Palatino Linotype" w:eastAsia="Calibri" w:hAnsi="Palatino Linotype" w:cs="Tahoma"/>
          <w:iCs/>
          <w:lang w:eastAsia="es-ES_tradnl"/>
        </w:rPr>
        <w:t xml:space="preserve">, ello sin dejar de lado que incluso el número de patrulla  motos debe poder desprenderse de los </w:t>
      </w:r>
      <w:r w:rsidR="00C92A41">
        <w:rPr>
          <w:rFonts w:ascii="Palatino Linotype" w:eastAsia="Calibri" w:hAnsi="Palatino Linotype" w:cs="Tahoma"/>
          <w:iCs/>
          <w:lang w:eastAsia="es-ES_tradnl"/>
        </w:rPr>
        <w:t>inventarios de bienes muebles que corresponde a las obligaciones de transparencia, de acuerdo al artículo 92, fracción XXXVIII, de la Ley de Transparencia y Acceso a la Información Pública del Estado de México</w:t>
      </w:r>
      <w:r>
        <w:rPr>
          <w:rFonts w:ascii="Palatino Linotype" w:eastAsia="Calibri" w:hAnsi="Palatino Linotype" w:cs="Tahoma"/>
          <w:iCs/>
          <w:lang w:val="x-none" w:eastAsia="es-ES_tradnl"/>
        </w:rPr>
        <w:t>.</w:t>
      </w:r>
    </w:p>
    <w:p w14:paraId="2AC177F0" w14:textId="77777777" w:rsidR="00A664D4" w:rsidRDefault="00A664D4" w:rsidP="00A664D4">
      <w:pPr>
        <w:tabs>
          <w:tab w:val="left" w:pos="4962"/>
        </w:tabs>
        <w:spacing w:after="0" w:line="360" w:lineRule="auto"/>
        <w:jc w:val="both"/>
        <w:rPr>
          <w:rFonts w:ascii="Palatino Linotype" w:eastAsia="Calibri" w:hAnsi="Palatino Linotype" w:cs="Tahoma"/>
          <w:iCs/>
          <w:lang w:eastAsia="es-ES_tradnl"/>
        </w:rPr>
      </w:pPr>
    </w:p>
    <w:p w14:paraId="730019D1" w14:textId="731B9F49" w:rsidR="000960D6" w:rsidRPr="00A664D4" w:rsidRDefault="00A664D4" w:rsidP="00030460">
      <w:pPr>
        <w:tabs>
          <w:tab w:val="left" w:pos="4962"/>
        </w:tabs>
        <w:spacing w:after="0" w:line="360" w:lineRule="auto"/>
        <w:jc w:val="both"/>
        <w:rPr>
          <w:rFonts w:ascii="Palatino Linotype" w:eastAsia="Calibri" w:hAnsi="Palatino Linotype" w:cs="Tahoma"/>
          <w:iCs/>
          <w:lang w:eastAsia="es-ES_tradnl"/>
        </w:rPr>
      </w:pPr>
      <w:r>
        <w:rPr>
          <w:rFonts w:ascii="Palatino Linotype" w:hAnsi="Palatino Linotype" w:cs="Tahoma"/>
          <w:bCs/>
          <w:szCs w:val="24"/>
        </w:rPr>
        <w:t>En</w:t>
      </w:r>
      <w:r w:rsidRPr="004B0F0F">
        <w:rPr>
          <w:rFonts w:ascii="Palatino Linotype" w:hAnsi="Palatino Linotype" w:cs="Tahoma"/>
          <w:bCs/>
          <w:szCs w:val="24"/>
        </w:rPr>
        <w:t xml:space="preserve"> conclusión, </w:t>
      </w:r>
      <w:r>
        <w:rPr>
          <w:rFonts w:ascii="Palatino Linotype" w:hAnsi="Palatino Linotype" w:cs="Tahoma"/>
          <w:bCs/>
          <w:szCs w:val="24"/>
        </w:rPr>
        <w:t xml:space="preserve">en el presente caso, no </w:t>
      </w:r>
      <w:r w:rsidR="00C92A41">
        <w:rPr>
          <w:rFonts w:ascii="Palatino Linotype" w:hAnsi="Palatino Linotype" w:cs="Tahoma"/>
          <w:bCs/>
          <w:szCs w:val="24"/>
        </w:rPr>
        <w:t>era</w:t>
      </w:r>
      <w:r>
        <w:rPr>
          <w:rFonts w:ascii="Palatino Linotype" w:hAnsi="Palatino Linotype" w:cs="Tahoma"/>
          <w:bCs/>
          <w:szCs w:val="24"/>
        </w:rPr>
        <w:t xml:space="preserve"> po</w:t>
      </w:r>
      <w:r w:rsidR="00C92A41">
        <w:rPr>
          <w:rFonts w:ascii="Palatino Linotype" w:hAnsi="Palatino Linotype" w:cs="Tahoma"/>
          <w:bCs/>
          <w:szCs w:val="24"/>
        </w:rPr>
        <w:t>sible</w:t>
      </w:r>
      <w:r>
        <w:rPr>
          <w:rFonts w:ascii="Palatino Linotype" w:hAnsi="Palatino Linotype" w:cs="Tahoma"/>
          <w:bCs/>
          <w:szCs w:val="24"/>
          <w:lang w:val="x-none"/>
        </w:rPr>
        <w:t xml:space="preserve"> CONFIRMAR la respuesta del Sujeto Obligado, pues la naturaleza de la información es pública y, por lo tanto, no se actualizaba ninguna de las causales de reserva aludidas por el Ayuntamiento</w:t>
      </w:r>
      <w:r w:rsidR="00C92A41">
        <w:rPr>
          <w:rFonts w:ascii="Palatino Linotype" w:hAnsi="Palatino Linotype" w:cs="Tahoma"/>
          <w:bCs/>
          <w:szCs w:val="24"/>
        </w:rPr>
        <w:t xml:space="preserve"> en un acuerdo de clasificación realizado en fecha distinta y si las firmas de los servidores públicos que le dan validez</w:t>
      </w:r>
      <w:r>
        <w:rPr>
          <w:rFonts w:ascii="Palatino Linotype" w:hAnsi="Palatino Linotype" w:cs="Tahoma"/>
          <w:bCs/>
          <w:szCs w:val="24"/>
          <w:lang w:val="x-none"/>
        </w:rPr>
        <w:t xml:space="preserve">, por dicha razón, </w:t>
      </w:r>
      <w:r>
        <w:rPr>
          <w:rFonts w:ascii="Palatino Linotype" w:hAnsi="Palatino Linotype" w:cs="Tahoma"/>
          <w:bCs/>
          <w:szCs w:val="24"/>
        </w:rPr>
        <w:t xml:space="preserve">es que emito el presente </w:t>
      </w:r>
      <w:r w:rsidRPr="009809A5">
        <w:rPr>
          <w:rFonts w:ascii="Palatino Linotype" w:hAnsi="Palatino Linotype" w:cs="Tahoma"/>
          <w:b/>
          <w:szCs w:val="24"/>
        </w:rPr>
        <w:t>voto disidente.</w:t>
      </w:r>
      <w:r>
        <w:rPr>
          <w:rFonts w:ascii="Palatino Linotype" w:eastAsia="Calibri" w:hAnsi="Palatino Linotype" w:cs="Tahoma"/>
          <w:iCs/>
          <w:lang w:eastAsia="es-ES_tradnl"/>
        </w:rPr>
        <w:t xml:space="preserve"> </w:t>
      </w:r>
      <w:r w:rsidR="009017CB">
        <w:rPr>
          <w:rFonts w:ascii="Palatino Linotype" w:hAnsi="Palatino Linotype" w:cs="Arial"/>
        </w:rPr>
        <w:t>-----------------------------------------------------------------------------------------------------------------------------------------------------------------------------------------------------------------------------------</w:t>
      </w:r>
      <w:r w:rsidR="00FE73F3">
        <w:rPr>
          <w:rFonts w:ascii="Palatino Linotype" w:hAnsi="Palatino Linotype" w:cs="Arial"/>
        </w:rPr>
        <w:t>----------------------------------------------------------------------------------------------------------------------------------------------------------------------------------------------------------------------------------------------------------------------------------------------------------------------------------------------------------------------------------------------------------------------------------------------------------------------------------------------------------------------------------------------</w:t>
      </w:r>
    </w:p>
    <w:p w14:paraId="6B533DD8" w14:textId="73788293" w:rsidR="00C54625" w:rsidRDefault="00C54625" w:rsidP="003A0DE6">
      <w:pPr>
        <w:spacing w:after="0" w:line="360" w:lineRule="auto"/>
        <w:jc w:val="both"/>
        <w:rPr>
          <w:rFonts w:ascii="Palatino Linotype" w:hAnsi="Palatino Linotype" w:cs="Arial"/>
        </w:rPr>
      </w:pPr>
    </w:p>
    <w:p w14:paraId="71362C06" w14:textId="77777777" w:rsidR="00C54625" w:rsidRDefault="00C54625" w:rsidP="003A0DE6">
      <w:pPr>
        <w:spacing w:after="0" w:line="360" w:lineRule="auto"/>
        <w:jc w:val="both"/>
        <w:rPr>
          <w:rFonts w:ascii="Palatino Linotype" w:hAnsi="Palatino Linotype" w:cs="Arial"/>
        </w:rPr>
      </w:pPr>
    </w:p>
    <w:sectPr w:rsidR="00C54625" w:rsidSect="009017CB">
      <w:headerReference w:type="default" r:id="rId8"/>
      <w:footerReference w:type="default" r:id="rId9"/>
      <w:pgSz w:w="12240" w:h="15840" w:code="1"/>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3045" w14:textId="77777777" w:rsidR="005F62D6" w:rsidRDefault="005F62D6" w:rsidP="00EE29F6">
      <w:pPr>
        <w:spacing w:after="0" w:line="240" w:lineRule="auto"/>
      </w:pPr>
      <w:r>
        <w:separator/>
      </w:r>
    </w:p>
  </w:endnote>
  <w:endnote w:type="continuationSeparator" w:id="0">
    <w:p w14:paraId="1467E7AC" w14:textId="77777777" w:rsidR="005F62D6" w:rsidRDefault="005F62D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3EDD11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E82D9C">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E82D9C">
              <w:rPr>
                <w:b/>
                <w:bCs/>
                <w:noProof/>
              </w:rPr>
              <w:t>8</w:t>
            </w:r>
            <w:r w:rsidR="0005256C">
              <w:rPr>
                <w:b/>
                <w:bCs/>
                <w:sz w:val="24"/>
                <w:szCs w:val="24"/>
              </w:rPr>
              <w:fldChar w:fldCharType="end"/>
            </w:r>
          </w:p>
        </w:sdtContent>
      </w:sdt>
    </w:sdtContent>
  </w:sdt>
  <w:p w14:paraId="257B23FE"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7500" w14:textId="77777777" w:rsidR="005F62D6" w:rsidRDefault="005F62D6" w:rsidP="00EE29F6">
      <w:pPr>
        <w:spacing w:after="0" w:line="240" w:lineRule="auto"/>
      </w:pPr>
      <w:r>
        <w:separator/>
      </w:r>
    </w:p>
  </w:footnote>
  <w:footnote w:type="continuationSeparator" w:id="0">
    <w:p w14:paraId="74F9581D" w14:textId="77777777" w:rsidR="005F62D6" w:rsidRDefault="005F62D6"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61"/>
    </w:tblGrid>
    <w:tr w:rsidR="0077694E" w:rsidRPr="001106EA" w14:paraId="0B0A3516" w14:textId="77777777" w:rsidTr="00852D5B">
      <w:trPr>
        <w:trHeight w:val="1843"/>
      </w:trPr>
      <w:tc>
        <w:tcPr>
          <w:tcW w:w="3828" w:type="dxa"/>
          <w:vAlign w:val="bottom"/>
        </w:tcPr>
        <w:p w14:paraId="47A2BFCC"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2D1DC032" wp14:editId="3A8E678F">
                <wp:simplePos x="0" y="0"/>
                <wp:positionH relativeFrom="column">
                  <wp:posOffset>-379095</wp:posOffset>
                </wp:positionH>
                <wp:positionV relativeFrom="paragraph">
                  <wp:posOffset>-838200</wp:posOffset>
                </wp:positionV>
                <wp:extent cx="1873250" cy="11264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9A4D265" w14:textId="77777777" w:rsidR="0077694E" w:rsidRDefault="0077694E" w:rsidP="0077694E">
          <w:pPr>
            <w:pStyle w:val="Encabezado"/>
            <w:tabs>
              <w:tab w:val="clear" w:pos="4252"/>
              <w:tab w:val="center" w:pos="2614"/>
            </w:tabs>
          </w:pPr>
        </w:p>
      </w:tc>
      <w:tc>
        <w:tcPr>
          <w:tcW w:w="4961" w:type="dxa"/>
          <w:vAlign w:val="center"/>
        </w:tcPr>
        <w:p w14:paraId="3B5BF294" w14:textId="77777777" w:rsidR="00411EA2" w:rsidRDefault="00411EA2" w:rsidP="00852D5B">
          <w:pPr>
            <w:pStyle w:val="Encabezado"/>
            <w:ind w:left="-115" w:right="-250"/>
            <w:jc w:val="both"/>
            <w:rPr>
              <w:rFonts w:ascii="Palatino Linotype" w:hAnsi="Palatino Linotype" w:cs="Tahoma"/>
              <w:b/>
            </w:rPr>
          </w:pPr>
        </w:p>
        <w:p w14:paraId="22C38A83" w14:textId="77777777" w:rsidR="00411EA2" w:rsidRDefault="00411EA2" w:rsidP="00852D5B">
          <w:pPr>
            <w:pStyle w:val="Encabezado"/>
            <w:ind w:left="-115" w:right="-250"/>
            <w:jc w:val="both"/>
            <w:rPr>
              <w:rFonts w:ascii="Palatino Linotype" w:hAnsi="Palatino Linotype" w:cs="Tahoma"/>
              <w:b/>
            </w:rPr>
          </w:pPr>
        </w:p>
        <w:p w14:paraId="4BF877A3" w14:textId="7DD6568E" w:rsidR="001106EA" w:rsidRPr="00B9745A" w:rsidRDefault="001106EA" w:rsidP="00852D5B">
          <w:pPr>
            <w:pStyle w:val="Encabezado"/>
            <w:ind w:left="-115" w:right="-250"/>
            <w:jc w:val="both"/>
            <w:rPr>
              <w:rFonts w:ascii="Palatino Linotype" w:hAnsi="Palatino Linotype" w:cs="Tahoma"/>
              <w:b/>
            </w:rPr>
          </w:pPr>
          <w:r w:rsidRPr="00B9745A">
            <w:rPr>
              <w:rFonts w:ascii="Palatino Linotype" w:hAnsi="Palatino Linotype" w:cs="Tahoma"/>
              <w:b/>
            </w:rPr>
            <w:t>Voto Particular</w:t>
          </w:r>
        </w:p>
        <w:p w14:paraId="161287AD" w14:textId="4BCE5BD4" w:rsidR="009D36B8" w:rsidRDefault="001106EA" w:rsidP="00852D5B">
          <w:pPr>
            <w:pStyle w:val="Encabezado"/>
            <w:ind w:left="-115" w:right="-110"/>
            <w:jc w:val="both"/>
            <w:rPr>
              <w:rFonts w:ascii="Palatino Linotype" w:hAnsi="Palatino Linotype"/>
              <w:b/>
              <w:lang w:val="es-ES_tradnl"/>
            </w:rPr>
          </w:pPr>
          <w:r w:rsidRPr="00B9745A">
            <w:rPr>
              <w:rFonts w:ascii="Palatino Linotype" w:hAnsi="Palatino Linotype" w:cs="Tahoma"/>
              <w:b/>
            </w:rPr>
            <w:t xml:space="preserve">Recurso de Revisión: </w:t>
          </w:r>
          <w:r w:rsidR="004F2589" w:rsidRPr="004F2589">
            <w:rPr>
              <w:rFonts w:ascii="Palatino Linotype" w:hAnsi="Palatino Linotype"/>
              <w:b/>
              <w:lang w:val="es-ES_tradnl"/>
            </w:rPr>
            <w:t>0</w:t>
          </w:r>
          <w:r w:rsidR="00E1044A">
            <w:rPr>
              <w:rFonts w:ascii="Palatino Linotype" w:hAnsi="Palatino Linotype"/>
              <w:b/>
              <w:lang w:val="es-ES_tradnl"/>
            </w:rPr>
            <w:t>3979</w:t>
          </w:r>
          <w:r w:rsidR="004F2589" w:rsidRPr="004F2589">
            <w:rPr>
              <w:rFonts w:ascii="Palatino Linotype" w:hAnsi="Palatino Linotype"/>
              <w:b/>
              <w:lang w:val="es-ES_tradnl"/>
            </w:rPr>
            <w:t>/INFOEM/IP/RR/2021</w:t>
          </w:r>
        </w:p>
        <w:p w14:paraId="5FEBBB0F" w14:textId="268420DD" w:rsidR="00C14D5C" w:rsidRDefault="00C14D5C" w:rsidP="00852D5B">
          <w:pPr>
            <w:pStyle w:val="Encabezado"/>
            <w:ind w:left="-115" w:right="-102"/>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A8746F">
            <w:rPr>
              <w:rFonts w:ascii="Palatino Linotype" w:hAnsi="Palatino Linotype"/>
              <w:b/>
            </w:rPr>
            <w:t xml:space="preserve">Ayuntamiento de </w:t>
          </w:r>
          <w:r w:rsidR="00E1044A">
            <w:rPr>
              <w:rFonts w:ascii="Palatino Linotype" w:hAnsi="Palatino Linotype"/>
              <w:b/>
            </w:rPr>
            <w:t>Cuautitlán</w:t>
          </w:r>
          <w:r w:rsidR="00A0486D">
            <w:rPr>
              <w:rFonts w:ascii="Palatino Linotype" w:hAnsi="Palatino Linotype"/>
              <w:b/>
            </w:rPr>
            <w:t xml:space="preserve"> </w:t>
          </w:r>
          <w:r w:rsidR="00E1044A">
            <w:rPr>
              <w:rFonts w:ascii="Palatino Linotype" w:hAnsi="Palatino Linotype"/>
              <w:b/>
              <w:lang w:val="x-none"/>
            </w:rPr>
            <w:t>Izcalli</w:t>
          </w:r>
        </w:p>
        <w:p w14:paraId="6A353E79" w14:textId="7B2ED058" w:rsidR="006F754E" w:rsidRDefault="006F754E" w:rsidP="00852D5B">
          <w:pPr>
            <w:pStyle w:val="Encabezado"/>
            <w:ind w:left="-115" w:right="-250"/>
            <w:jc w:val="both"/>
            <w:rPr>
              <w:rFonts w:ascii="Palatino Linotype" w:hAnsi="Palatino Linotype"/>
              <w:b/>
              <w:lang w:val="es-ES_tradnl"/>
            </w:rPr>
          </w:pPr>
          <w:r w:rsidRPr="00B9745A">
            <w:rPr>
              <w:rFonts w:ascii="Palatino Linotype" w:hAnsi="Palatino Linotype" w:cs="Tahoma"/>
              <w:b/>
            </w:rPr>
            <w:t>Comisionad</w:t>
          </w:r>
          <w:r w:rsidR="00411EA2">
            <w:rPr>
              <w:rFonts w:ascii="Palatino Linotype" w:hAnsi="Palatino Linotype" w:cs="Tahoma"/>
              <w:b/>
            </w:rPr>
            <w:t>a</w:t>
          </w:r>
          <w:r w:rsidRPr="00B9745A">
            <w:rPr>
              <w:rFonts w:ascii="Palatino Linotype" w:hAnsi="Palatino Linotype" w:cs="Tahoma"/>
              <w:b/>
            </w:rPr>
            <w:t xml:space="preserve"> Ponente: </w:t>
          </w:r>
          <w:r w:rsidR="00A8746F">
            <w:rPr>
              <w:rFonts w:ascii="Palatino Linotype" w:hAnsi="Palatino Linotype"/>
              <w:b/>
            </w:rPr>
            <w:t>Guadalupe Ramírez Peña</w:t>
          </w:r>
        </w:p>
        <w:p w14:paraId="717405AA" w14:textId="17AA8E29" w:rsidR="00411EA2" w:rsidRPr="001106EA" w:rsidRDefault="00411EA2" w:rsidP="00852D5B">
          <w:pPr>
            <w:pStyle w:val="Encabezado"/>
            <w:ind w:left="-115" w:right="-250"/>
            <w:jc w:val="both"/>
            <w:rPr>
              <w:rFonts w:ascii="Tahoma" w:hAnsi="Tahoma" w:cs="Tahoma"/>
            </w:rPr>
          </w:pPr>
        </w:p>
      </w:tc>
    </w:tr>
  </w:tbl>
  <w:p w14:paraId="21A336E1"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B7E19D6"/>
    <w:multiLevelType w:val="hybridMultilevel"/>
    <w:tmpl w:val="87BE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ABD6812"/>
    <w:multiLevelType w:val="hybridMultilevel"/>
    <w:tmpl w:val="6C00DD7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49B791D"/>
    <w:multiLevelType w:val="hybridMultilevel"/>
    <w:tmpl w:val="BD308EDC"/>
    <w:lvl w:ilvl="0" w:tplc="12B4CAB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CD6C2D"/>
    <w:multiLevelType w:val="hybridMultilevel"/>
    <w:tmpl w:val="EF3A05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855639"/>
    <w:multiLevelType w:val="hybridMultilevel"/>
    <w:tmpl w:val="2CC85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0"/>
  </w:num>
  <w:num w:numId="5">
    <w:abstractNumId w:val="22"/>
  </w:num>
  <w:num w:numId="6">
    <w:abstractNumId w:val="6"/>
  </w:num>
  <w:num w:numId="7">
    <w:abstractNumId w:val="19"/>
  </w:num>
  <w:num w:numId="8">
    <w:abstractNumId w:val="30"/>
  </w:num>
  <w:num w:numId="9">
    <w:abstractNumId w:val="24"/>
  </w:num>
  <w:num w:numId="10">
    <w:abstractNumId w:val="25"/>
  </w:num>
  <w:num w:numId="11">
    <w:abstractNumId w:val="26"/>
  </w:num>
  <w:num w:numId="12">
    <w:abstractNumId w:val="1"/>
  </w:num>
  <w:num w:numId="13">
    <w:abstractNumId w:val="15"/>
  </w:num>
  <w:num w:numId="14">
    <w:abstractNumId w:val="31"/>
  </w:num>
  <w:num w:numId="15">
    <w:abstractNumId w:val="27"/>
  </w:num>
  <w:num w:numId="16">
    <w:abstractNumId w:val="2"/>
  </w:num>
  <w:num w:numId="17">
    <w:abstractNumId w:val="8"/>
  </w:num>
  <w:num w:numId="18">
    <w:abstractNumId w:val="29"/>
  </w:num>
  <w:num w:numId="19">
    <w:abstractNumId w:val="23"/>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12"/>
  </w:num>
  <w:num w:numId="26">
    <w:abstractNumId w:val="21"/>
  </w:num>
  <w:num w:numId="27">
    <w:abstractNumId w:val="28"/>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07B9D"/>
    <w:rsid w:val="00020D08"/>
    <w:rsid w:val="00021E2D"/>
    <w:rsid w:val="0002476B"/>
    <w:rsid w:val="0002627D"/>
    <w:rsid w:val="00026846"/>
    <w:rsid w:val="0002759D"/>
    <w:rsid w:val="000301C6"/>
    <w:rsid w:val="00030460"/>
    <w:rsid w:val="00031240"/>
    <w:rsid w:val="00035DED"/>
    <w:rsid w:val="00041B19"/>
    <w:rsid w:val="00042A63"/>
    <w:rsid w:val="000433F6"/>
    <w:rsid w:val="0005256C"/>
    <w:rsid w:val="00060F74"/>
    <w:rsid w:val="0006561A"/>
    <w:rsid w:val="0007394A"/>
    <w:rsid w:val="00080B59"/>
    <w:rsid w:val="00082543"/>
    <w:rsid w:val="00083453"/>
    <w:rsid w:val="00087AC8"/>
    <w:rsid w:val="00095B52"/>
    <w:rsid w:val="000960D6"/>
    <w:rsid w:val="00097988"/>
    <w:rsid w:val="000A65BC"/>
    <w:rsid w:val="000B235B"/>
    <w:rsid w:val="000B7BA8"/>
    <w:rsid w:val="000B7F6F"/>
    <w:rsid w:val="000C10B7"/>
    <w:rsid w:val="000C5469"/>
    <w:rsid w:val="000D186F"/>
    <w:rsid w:val="000E2B8F"/>
    <w:rsid w:val="000F7A9D"/>
    <w:rsid w:val="00103FFF"/>
    <w:rsid w:val="0010688C"/>
    <w:rsid w:val="001106EA"/>
    <w:rsid w:val="00110BC3"/>
    <w:rsid w:val="001159DC"/>
    <w:rsid w:val="00116C1F"/>
    <w:rsid w:val="00116E1A"/>
    <w:rsid w:val="001247C3"/>
    <w:rsid w:val="00136AD8"/>
    <w:rsid w:val="0014038B"/>
    <w:rsid w:val="00140A57"/>
    <w:rsid w:val="0014736A"/>
    <w:rsid w:val="00154DF0"/>
    <w:rsid w:val="00161209"/>
    <w:rsid w:val="00162325"/>
    <w:rsid w:val="00164625"/>
    <w:rsid w:val="00164BFE"/>
    <w:rsid w:val="001749E8"/>
    <w:rsid w:val="0018472D"/>
    <w:rsid w:val="00190982"/>
    <w:rsid w:val="00191BF6"/>
    <w:rsid w:val="00192A6D"/>
    <w:rsid w:val="00193AA8"/>
    <w:rsid w:val="00197A72"/>
    <w:rsid w:val="001A145C"/>
    <w:rsid w:val="001A6BD9"/>
    <w:rsid w:val="001C1C64"/>
    <w:rsid w:val="001C2D5C"/>
    <w:rsid w:val="001D0324"/>
    <w:rsid w:val="001D6281"/>
    <w:rsid w:val="001E2FC8"/>
    <w:rsid w:val="001E3540"/>
    <w:rsid w:val="001F667B"/>
    <w:rsid w:val="001F6A82"/>
    <w:rsid w:val="00204F18"/>
    <w:rsid w:val="0021522D"/>
    <w:rsid w:val="00216BC4"/>
    <w:rsid w:val="002179D6"/>
    <w:rsid w:val="00217F4A"/>
    <w:rsid w:val="00220E21"/>
    <w:rsid w:val="00223F64"/>
    <w:rsid w:val="00231B68"/>
    <w:rsid w:val="00240815"/>
    <w:rsid w:val="00242C75"/>
    <w:rsid w:val="00243617"/>
    <w:rsid w:val="00243A13"/>
    <w:rsid w:val="00245ACA"/>
    <w:rsid w:val="00246FAF"/>
    <w:rsid w:val="00257BAB"/>
    <w:rsid w:val="00262F92"/>
    <w:rsid w:val="0026665E"/>
    <w:rsid w:val="0027739B"/>
    <w:rsid w:val="00277E88"/>
    <w:rsid w:val="0028037C"/>
    <w:rsid w:val="00280A9C"/>
    <w:rsid w:val="002816CB"/>
    <w:rsid w:val="00291974"/>
    <w:rsid w:val="00295BA5"/>
    <w:rsid w:val="002A138B"/>
    <w:rsid w:val="002A16CE"/>
    <w:rsid w:val="002A1727"/>
    <w:rsid w:val="002A27BC"/>
    <w:rsid w:val="002A2EE7"/>
    <w:rsid w:val="002B1D44"/>
    <w:rsid w:val="002B5249"/>
    <w:rsid w:val="002C2405"/>
    <w:rsid w:val="002E0069"/>
    <w:rsid w:val="002E5A1A"/>
    <w:rsid w:val="002F4E95"/>
    <w:rsid w:val="003041CE"/>
    <w:rsid w:val="00317023"/>
    <w:rsid w:val="003179BF"/>
    <w:rsid w:val="0032025D"/>
    <w:rsid w:val="00320769"/>
    <w:rsid w:val="00322675"/>
    <w:rsid w:val="00332256"/>
    <w:rsid w:val="0033241D"/>
    <w:rsid w:val="00333B7A"/>
    <w:rsid w:val="00344C6F"/>
    <w:rsid w:val="003512C9"/>
    <w:rsid w:val="0035393F"/>
    <w:rsid w:val="003541B9"/>
    <w:rsid w:val="0036006F"/>
    <w:rsid w:val="00364DD4"/>
    <w:rsid w:val="00376071"/>
    <w:rsid w:val="003765D7"/>
    <w:rsid w:val="00394183"/>
    <w:rsid w:val="003A0DE6"/>
    <w:rsid w:val="003A6218"/>
    <w:rsid w:val="003B1F42"/>
    <w:rsid w:val="003B6547"/>
    <w:rsid w:val="003B7A5E"/>
    <w:rsid w:val="003C0474"/>
    <w:rsid w:val="003C15F3"/>
    <w:rsid w:val="003D23E5"/>
    <w:rsid w:val="003D5CED"/>
    <w:rsid w:val="003F2426"/>
    <w:rsid w:val="003F48C2"/>
    <w:rsid w:val="0040139C"/>
    <w:rsid w:val="00411EA2"/>
    <w:rsid w:val="00412CB2"/>
    <w:rsid w:val="004211BB"/>
    <w:rsid w:val="00433746"/>
    <w:rsid w:val="00434C88"/>
    <w:rsid w:val="00435E69"/>
    <w:rsid w:val="00436ABE"/>
    <w:rsid w:val="0043730D"/>
    <w:rsid w:val="00444DD6"/>
    <w:rsid w:val="0044584B"/>
    <w:rsid w:val="00445BDF"/>
    <w:rsid w:val="00447F6F"/>
    <w:rsid w:val="00451621"/>
    <w:rsid w:val="0045183E"/>
    <w:rsid w:val="0046008D"/>
    <w:rsid w:val="00471F3E"/>
    <w:rsid w:val="0047538D"/>
    <w:rsid w:val="00490F50"/>
    <w:rsid w:val="00495E7C"/>
    <w:rsid w:val="004970E4"/>
    <w:rsid w:val="004A4555"/>
    <w:rsid w:val="004A555E"/>
    <w:rsid w:val="004B08C4"/>
    <w:rsid w:val="004B532B"/>
    <w:rsid w:val="004B541F"/>
    <w:rsid w:val="004B7227"/>
    <w:rsid w:val="004C4912"/>
    <w:rsid w:val="004C5A6B"/>
    <w:rsid w:val="004C6E57"/>
    <w:rsid w:val="004D30D2"/>
    <w:rsid w:val="004D7C85"/>
    <w:rsid w:val="004E7007"/>
    <w:rsid w:val="004F2589"/>
    <w:rsid w:val="00500949"/>
    <w:rsid w:val="0050457B"/>
    <w:rsid w:val="005201B3"/>
    <w:rsid w:val="005228CE"/>
    <w:rsid w:val="00524DA5"/>
    <w:rsid w:val="00525F49"/>
    <w:rsid w:val="00526DBD"/>
    <w:rsid w:val="00543DF4"/>
    <w:rsid w:val="00544812"/>
    <w:rsid w:val="00553ADE"/>
    <w:rsid w:val="00560A41"/>
    <w:rsid w:val="0056120D"/>
    <w:rsid w:val="0056593F"/>
    <w:rsid w:val="00570434"/>
    <w:rsid w:val="00572EE4"/>
    <w:rsid w:val="00572FBB"/>
    <w:rsid w:val="00576423"/>
    <w:rsid w:val="00582CCB"/>
    <w:rsid w:val="00584038"/>
    <w:rsid w:val="00584D73"/>
    <w:rsid w:val="0059329D"/>
    <w:rsid w:val="00596383"/>
    <w:rsid w:val="005A2510"/>
    <w:rsid w:val="005B1BC6"/>
    <w:rsid w:val="005B1F7F"/>
    <w:rsid w:val="005B3290"/>
    <w:rsid w:val="005B6967"/>
    <w:rsid w:val="005C094E"/>
    <w:rsid w:val="005C6EB1"/>
    <w:rsid w:val="005C73EE"/>
    <w:rsid w:val="005D11C8"/>
    <w:rsid w:val="005D26CE"/>
    <w:rsid w:val="005E2798"/>
    <w:rsid w:val="005E661B"/>
    <w:rsid w:val="005F62D6"/>
    <w:rsid w:val="005F6D21"/>
    <w:rsid w:val="00600164"/>
    <w:rsid w:val="00605683"/>
    <w:rsid w:val="0061575C"/>
    <w:rsid w:val="006248F2"/>
    <w:rsid w:val="00624DE5"/>
    <w:rsid w:val="00640407"/>
    <w:rsid w:val="0064068B"/>
    <w:rsid w:val="00645087"/>
    <w:rsid w:val="00645497"/>
    <w:rsid w:val="006463D2"/>
    <w:rsid w:val="00654ACD"/>
    <w:rsid w:val="00657396"/>
    <w:rsid w:val="0066421B"/>
    <w:rsid w:val="006760BF"/>
    <w:rsid w:val="00681338"/>
    <w:rsid w:val="00682003"/>
    <w:rsid w:val="00684B16"/>
    <w:rsid w:val="00687291"/>
    <w:rsid w:val="006A7606"/>
    <w:rsid w:val="006B7928"/>
    <w:rsid w:val="006C079B"/>
    <w:rsid w:val="006C76CB"/>
    <w:rsid w:val="006E1E37"/>
    <w:rsid w:val="006E2C84"/>
    <w:rsid w:val="006E7483"/>
    <w:rsid w:val="006F2F0D"/>
    <w:rsid w:val="006F5316"/>
    <w:rsid w:val="006F559F"/>
    <w:rsid w:val="006F754E"/>
    <w:rsid w:val="00724F08"/>
    <w:rsid w:val="00730CD7"/>
    <w:rsid w:val="00733023"/>
    <w:rsid w:val="007378E2"/>
    <w:rsid w:val="00742A15"/>
    <w:rsid w:val="007468D5"/>
    <w:rsid w:val="00752AA4"/>
    <w:rsid w:val="00755FEA"/>
    <w:rsid w:val="00767DA9"/>
    <w:rsid w:val="0077694E"/>
    <w:rsid w:val="0078072F"/>
    <w:rsid w:val="007918B3"/>
    <w:rsid w:val="00793961"/>
    <w:rsid w:val="00794C1B"/>
    <w:rsid w:val="00796A29"/>
    <w:rsid w:val="007A2D13"/>
    <w:rsid w:val="007A44AF"/>
    <w:rsid w:val="007B127F"/>
    <w:rsid w:val="007C1D2A"/>
    <w:rsid w:val="007D3257"/>
    <w:rsid w:val="007D4C16"/>
    <w:rsid w:val="007D68AF"/>
    <w:rsid w:val="007F1C1D"/>
    <w:rsid w:val="007F7C0D"/>
    <w:rsid w:val="007F7D80"/>
    <w:rsid w:val="00807185"/>
    <w:rsid w:val="00810552"/>
    <w:rsid w:val="00810663"/>
    <w:rsid w:val="0081767D"/>
    <w:rsid w:val="0082665A"/>
    <w:rsid w:val="0083166F"/>
    <w:rsid w:val="0083324E"/>
    <w:rsid w:val="00836BC2"/>
    <w:rsid w:val="00850F28"/>
    <w:rsid w:val="00852676"/>
    <w:rsid w:val="00852D5B"/>
    <w:rsid w:val="0085547C"/>
    <w:rsid w:val="00856E29"/>
    <w:rsid w:val="00861757"/>
    <w:rsid w:val="008673B7"/>
    <w:rsid w:val="00867D7F"/>
    <w:rsid w:val="00887F3B"/>
    <w:rsid w:val="00891412"/>
    <w:rsid w:val="00892E82"/>
    <w:rsid w:val="00893ACC"/>
    <w:rsid w:val="008A0447"/>
    <w:rsid w:val="008A1DE1"/>
    <w:rsid w:val="008A3C3E"/>
    <w:rsid w:val="008A3DA9"/>
    <w:rsid w:val="008A566D"/>
    <w:rsid w:val="008B08C9"/>
    <w:rsid w:val="008C1158"/>
    <w:rsid w:val="008C74EC"/>
    <w:rsid w:val="008E3C3E"/>
    <w:rsid w:val="008E54E2"/>
    <w:rsid w:val="008F3B5A"/>
    <w:rsid w:val="009017CB"/>
    <w:rsid w:val="009039FE"/>
    <w:rsid w:val="00913EA1"/>
    <w:rsid w:val="0091435C"/>
    <w:rsid w:val="00920909"/>
    <w:rsid w:val="00922B2E"/>
    <w:rsid w:val="00927BD1"/>
    <w:rsid w:val="0093480E"/>
    <w:rsid w:val="00943959"/>
    <w:rsid w:val="00950355"/>
    <w:rsid w:val="00952B06"/>
    <w:rsid w:val="00954BF1"/>
    <w:rsid w:val="00962B86"/>
    <w:rsid w:val="009731D8"/>
    <w:rsid w:val="00974836"/>
    <w:rsid w:val="009943E1"/>
    <w:rsid w:val="00994D26"/>
    <w:rsid w:val="00997CC5"/>
    <w:rsid w:val="009A3FC7"/>
    <w:rsid w:val="009B22ED"/>
    <w:rsid w:val="009B2C0B"/>
    <w:rsid w:val="009C00A0"/>
    <w:rsid w:val="009C0313"/>
    <w:rsid w:val="009D07E2"/>
    <w:rsid w:val="009D36B8"/>
    <w:rsid w:val="009D49BE"/>
    <w:rsid w:val="009D57DB"/>
    <w:rsid w:val="009D59FC"/>
    <w:rsid w:val="009E0861"/>
    <w:rsid w:val="009E0F2E"/>
    <w:rsid w:val="009E30F4"/>
    <w:rsid w:val="009E41F7"/>
    <w:rsid w:val="009E704F"/>
    <w:rsid w:val="009E79EC"/>
    <w:rsid w:val="009E7CE1"/>
    <w:rsid w:val="009F6E4A"/>
    <w:rsid w:val="00A00324"/>
    <w:rsid w:val="00A0486D"/>
    <w:rsid w:val="00A17FF9"/>
    <w:rsid w:val="00A32FAF"/>
    <w:rsid w:val="00A364BA"/>
    <w:rsid w:val="00A40629"/>
    <w:rsid w:val="00A42B23"/>
    <w:rsid w:val="00A5061A"/>
    <w:rsid w:val="00A55B1D"/>
    <w:rsid w:val="00A5658F"/>
    <w:rsid w:val="00A608BE"/>
    <w:rsid w:val="00A664D4"/>
    <w:rsid w:val="00A67498"/>
    <w:rsid w:val="00A742D1"/>
    <w:rsid w:val="00A74475"/>
    <w:rsid w:val="00A8746F"/>
    <w:rsid w:val="00A87924"/>
    <w:rsid w:val="00A96933"/>
    <w:rsid w:val="00AA090B"/>
    <w:rsid w:val="00AA3A4D"/>
    <w:rsid w:val="00AB3E26"/>
    <w:rsid w:val="00AB43A0"/>
    <w:rsid w:val="00AC333A"/>
    <w:rsid w:val="00AC798F"/>
    <w:rsid w:val="00AD25D5"/>
    <w:rsid w:val="00AE0B64"/>
    <w:rsid w:val="00AE1F39"/>
    <w:rsid w:val="00AE62A9"/>
    <w:rsid w:val="00AF3B6B"/>
    <w:rsid w:val="00AF457A"/>
    <w:rsid w:val="00B040B6"/>
    <w:rsid w:val="00B068A1"/>
    <w:rsid w:val="00B15FE7"/>
    <w:rsid w:val="00B263C5"/>
    <w:rsid w:val="00B34F83"/>
    <w:rsid w:val="00B42C85"/>
    <w:rsid w:val="00B45295"/>
    <w:rsid w:val="00B526EF"/>
    <w:rsid w:val="00B6587C"/>
    <w:rsid w:val="00B67355"/>
    <w:rsid w:val="00B7176A"/>
    <w:rsid w:val="00B7393F"/>
    <w:rsid w:val="00B761B1"/>
    <w:rsid w:val="00B9745A"/>
    <w:rsid w:val="00BA5A39"/>
    <w:rsid w:val="00BB0601"/>
    <w:rsid w:val="00BB6EE3"/>
    <w:rsid w:val="00BC4882"/>
    <w:rsid w:val="00BC55D2"/>
    <w:rsid w:val="00BD06FC"/>
    <w:rsid w:val="00BD4705"/>
    <w:rsid w:val="00BD49A6"/>
    <w:rsid w:val="00BD5DBE"/>
    <w:rsid w:val="00BE274B"/>
    <w:rsid w:val="00BE3564"/>
    <w:rsid w:val="00BE6575"/>
    <w:rsid w:val="00BE7F49"/>
    <w:rsid w:val="00BF1384"/>
    <w:rsid w:val="00BF177B"/>
    <w:rsid w:val="00C0131C"/>
    <w:rsid w:val="00C0357E"/>
    <w:rsid w:val="00C0425F"/>
    <w:rsid w:val="00C044FA"/>
    <w:rsid w:val="00C056BD"/>
    <w:rsid w:val="00C14D5C"/>
    <w:rsid w:val="00C30FD6"/>
    <w:rsid w:val="00C31FEE"/>
    <w:rsid w:val="00C53E95"/>
    <w:rsid w:val="00C543A5"/>
    <w:rsid w:val="00C54625"/>
    <w:rsid w:val="00C55FFC"/>
    <w:rsid w:val="00C57E29"/>
    <w:rsid w:val="00C623B1"/>
    <w:rsid w:val="00C67608"/>
    <w:rsid w:val="00C75CE0"/>
    <w:rsid w:val="00C85E39"/>
    <w:rsid w:val="00C92A41"/>
    <w:rsid w:val="00C960BB"/>
    <w:rsid w:val="00CA7627"/>
    <w:rsid w:val="00CC1DA0"/>
    <w:rsid w:val="00CC66DA"/>
    <w:rsid w:val="00CC68E1"/>
    <w:rsid w:val="00CD17C6"/>
    <w:rsid w:val="00CD4339"/>
    <w:rsid w:val="00CD6D1C"/>
    <w:rsid w:val="00CE343C"/>
    <w:rsid w:val="00CE50F9"/>
    <w:rsid w:val="00CE657A"/>
    <w:rsid w:val="00CE747B"/>
    <w:rsid w:val="00CF11EE"/>
    <w:rsid w:val="00D02D93"/>
    <w:rsid w:val="00D05740"/>
    <w:rsid w:val="00D13875"/>
    <w:rsid w:val="00D15D07"/>
    <w:rsid w:val="00D160F2"/>
    <w:rsid w:val="00D32C2C"/>
    <w:rsid w:val="00D357E1"/>
    <w:rsid w:val="00D368A8"/>
    <w:rsid w:val="00D378C3"/>
    <w:rsid w:val="00D37CDC"/>
    <w:rsid w:val="00D45BDF"/>
    <w:rsid w:val="00D50D8F"/>
    <w:rsid w:val="00D51426"/>
    <w:rsid w:val="00D55429"/>
    <w:rsid w:val="00D62313"/>
    <w:rsid w:val="00D65D0C"/>
    <w:rsid w:val="00D666D4"/>
    <w:rsid w:val="00D7239D"/>
    <w:rsid w:val="00D75FAE"/>
    <w:rsid w:val="00D77F63"/>
    <w:rsid w:val="00D9114A"/>
    <w:rsid w:val="00D96166"/>
    <w:rsid w:val="00DA11C0"/>
    <w:rsid w:val="00DA3468"/>
    <w:rsid w:val="00DB1585"/>
    <w:rsid w:val="00DC0586"/>
    <w:rsid w:val="00DC4A9C"/>
    <w:rsid w:val="00DC4DB6"/>
    <w:rsid w:val="00DD2991"/>
    <w:rsid w:val="00DE14A1"/>
    <w:rsid w:val="00DF30C7"/>
    <w:rsid w:val="00DF47E7"/>
    <w:rsid w:val="00DF6CA0"/>
    <w:rsid w:val="00E00FC8"/>
    <w:rsid w:val="00E030BC"/>
    <w:rsid w:val="00E1044A"/>
    <w:rsid w:val="00E11DB1"/>
    <w:rsid w:val="00E145E1"/>
    <w:rsid w:val="00E2040D"/>
    <w:rsid w:val="00E26123"/>
    <w:rsid w:val="00E26AC4"/>
    <w:rsid w:val="00E26DFC"/>
    <w:rsid w:val="00E34559"/>
    <w:rsid w:val="00E345D1"/>
    <w:rsid w:val="00E41481"/>
    <w:rsid w:val="00E416F8"/>
    <w:rsid w:val="00E45036"/>
    <w:rsid w:val="00E472AD"/>
    <w:rsid w:val="00E5412C"/>
    <w:rsid w:val="00E656C1"/>
    <w:rsid w:val="00E73BB6"/>
    <w:rsid w:val="00E7538D"/>
    <w:rsid w:val="00E82D9C"/>
    <w:rsid w:val="00E82F77"/>
    <w:rsid w:val="00E83683"/>
    <w:rsid w:val="00E8492D"/>
    <w:rsid w:val="00E93F81"/>
    <w:rsid w:val="00EA6540"/>
    <w:rsid w:val="00EA7E26"/>
    <w:rsid w:val="00EB6EEA"/>
    <w:rsid w:val="00EB7128"/>
    <w:rsid w:val="00EB72AB"/>
    <w:rsid w:val="00EC6DDF"/>
    <w:rsid w:val="00EE29F6"/>
    <w:rsid w:val="00EF482C"/>
    <w:rsid w:val="00F011F6"/>
    <w:rsid w:val="00F0218F"/>
    <w:rsid w:val="00F12E63"/>
    <w:rsid w:val="00F14384"/>
    <w:rsid w:val="00F17F34"/>
    <w:rsid w:val="00F206AF"/>
    <w:rsid w:val="00F2424F"/>
    <w:rsid w:val="00F3298A"/>
    <w:rsid w:val="00F32B83"/>
    <w:rsid w:val="00F36E2D"/>
    <w:rsid w:val="00F4155E"/>
    <w:rsid w:val="00F41611"/>
    <w:rsid w:val="00F421EC"/>
    <w:rsid w:val="00F43ECC"/>
    <w:rsid w:val="00F60843"/>
    <w:rsid w:val="00FA177C"/>
    <w:rsid w:val="00FA3D79"/>
    <w:rsid w:val="00FA7DC0"/>
    <w:rsid w:val="00FB3044"/>
    <w:rsid w:val="00FB59D6"/>
    <w:rsid w:val="00FB5C13"/>
    <w:rsid w:val="00FC051E"/>
    <w:rsid w:val="00FC1D9D"/>
    <w:rsid w:val="00FC1F32"/>
    <w:rsid w:val="00FC4F8B"/>
    <w:rsid w:val="00FC57A4"/>
    <w:rsid w:val="00FD1849"/>
    <w:rsid w:val="00FD3150"/>
    <w:rsid w:val="00FD530D"/>
    <w:rsid w:val="00FE322A"/>
    <w:rsid w:val="00FE42D2"/>
    <w:rsid w:val="00FE73F3"/>
    <w:rsid w:val="00FF1F13"/>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A751"/>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8486">
      <w:bodyDiv w:val="1"/>
      <w:marLeft w:val="0"/>
      <w:marRight w:val="0"/>
      <w:marTop w:val="0"/>
      <w:marBottom w:val="0"/>
      <w:divBdr>
        <w:top w:val="none" w:sz="0" w:space="0" w:color="auto"/>
        <w:left w:val="none" w:sz="0" w:space="0" w:color="auto"/>
        <w:bottom w:val="none" w:sz="0" w:space="0" w:color="auto"/>
        <w:right w:val="none" w:sz="0" w:space="0" w:color="auto"/>
      </w:divBdr>
    </w:div>
    <w:div w:id="123234365">
      <w:bodyDiv w:val="1"/>
      <w:marLeft w:val="0"/>
      <w:marRight w:val="0"/>
      <w:marTop w:val="0"/>
      <w:marBottom w:val="0"/>
      <w:divBdr>
        <w:top w:val="none" w:sz="0" w:space="0" w:color="auto"/>
        <w:left w:val="none" w:sz="0" w:space="0" w:color="auto"/>
        <w:bottom w:val="none" w:sz="0" w:space="0" w:color="auto"/>
        <w:right w:val="none" w:sz="0" w:space="0" w:color="auto"/>
      </w:divBdr>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77130131">
      <w:bodyDiv w:val="1"/>
      <w:marLeft w:val="0"/>
      <w:marRight w:val="0"/>
      <w:marTop w:val="0"/>
      <w:marBottom w:val="0"/>
      <w:divBdr>
        <w:top w:val="none" w:sz="0" w:space="0" w:color="auto"/>
        <w:left w:val="none" w:sz="0" w:space="0" w:color="auto"/>
        <w:bottom w:val="none" w:sz="0" w:space="0" w:color="auto"/>
        <w:right w:val="none" w:sz="0" w:space="0" w:color="auto"/>
      </w:divBdr>
    </w:div>
    <w:div w:id="641422420">
      <w:bodyDiv w:val="1"/>
      <w:marLeft w:val="0"/>
      <w:marRight w:val="0"/>
      <w:marTop w:val="0"/>
      <w:marBottom w:val="0"/>
      <w:divBdr>
        <w:top w:val="none" w:sz="0" w:space="0" w:color="auto"/>
        <w:left w:val="none" w:sz="0" w:space="0" w:color="auto"/>
        <w:bottom w:val="none" w:sz="0" w:space="0" w:color="auto"/>
        <w:right w:val="none" w:sz="0" w:space="0" w:color="auto"/>
      </w:divBdr>
    </w:div>
    <w:div w:id="668337122">
      <w:bodyDiv w:val="1"/>
      <w:marLeft w:val="0"/>
      <w:marRight w:val="0"/>
      <w:marTop w:val="0"/>
      <w:marBottom w:val="0"/>
      <w:divBdr>
        <w:top w:val="none" w:sz="0" w:space="0" w:color="auto"/>
        <w:left w:val="none" w:sz="0" w:space="0" w:color="auto"/>
        <w:bottom w:val="none" w:sz="0" w:space="0" w:color="auto"/>
        <w:right w:val="none" w:sz="0" w:space="0" w:color="auto"/>
      </w:divBdr>
    </w:div>
    <w:div w:id="728068848">
      <w:bodyDiv w:val="1"/>
      <w:marLeft w:val="0"/>
      <w:marRight w:val="0"/>
      <w:marTop w:val="0"/>
      <w:marBottom w:val="0"/>
      <w:divBdr>
        <w:top w:val="none" w:sz="0" w:space="0" w:color="auto"/>
        <w:left w:val="none" w:sz="0" w:space="0" w:color="auto"/>
        <w:bottom w:val="none" w:sz="0" w:space="0" w:color="auto"/>
        <w:right w:val="none" w:sz="0" w:space="0" w:color="auto"/>
      </w:divBdr>
    </w:div>
    <w:div w:id="751853112">
      <w:bodyDiv w:val="1"/>
      <w:marLeft w:val="0"/>
      <w:marRight w:val="0"/>
      <w:marTop w:val="0"/>
      <w:marBottom w:val="0"/>
      <w:divBdr>
        <w:top w:val="none" w:sz="0" w:space="0" w:color="auto"/>
        <w:left w:val="none" w:sz="0" w:space="0" w:color="auto"/>
        <w:bottom w:val="none" w:sz="0" w:space="0" w:color="auto"/>
        <w:right w:val="none" w:sz="0" w:space="0" w:color="auto"/>
      </w:divBdr>
    </w:div>
    <w:div w:id="1471048538">
      <w:bodyDiv w:val="1"/>
      <w:marLeft w:val="0"/>
      <w:marRight w:val="0"/>
      <w:marTop w:val="0"/>
      <w:marBottom w:val="0"/>
      <w:divBdr>
        <w:top w:val="none" w:sz="0" w:space="0" w:color="auto"/>
        <w:left w:val="none" w:sz="0" w:space="0" w:color="auto"/>
        <w:bottom w:val="none" w:sz="0" w:space="0" w:color="auto"/>
        <w:right w:val="none" w:sz="0" w:space="0" w:color="auto"/>
      </w:divBdr>
    </w:div>
    <w:div w:id="17497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06F3-3C89-5543-8128-CA626F5A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3456</Words>
  <Characters>19009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2021-07-12T22:53:00Z</cp:lastPrinted>
  <dcterms:created xsi:type="dcterms:W3CDTF">2022-01-17T18:30:00Z</dcterms:created>
  <dcterms:modified xsi:type="dcterms:W3CDTF">2022-01-17T18:30:00Z</dcterms:modified>
</cp:coreProperties>
</file>