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ABBB" w14:textId="77777777" w:rsidR="0045555F" w:rsidRPr="00005A13" w:rsidRDefault="00000000">
      <w:pPr>
        <w:spacing w:before="240" w:after="240" w:line="360" w:lineRule="auto"/>
        <w:ind w:right="139"/>
        <w:jc w:val="both"/>
        <w:rPr>
          <w:rFonts w:ascii="Palatino Linotype" w:eastAsia="Palatino Linotype" w:hAnsi="Palatino Linotype" w:cs="Palatino Linotype"/>
          <w:b/>
          <w:sz w:val="24"/>
          <w:szCs w:val="24"/>
        </w:rPr>
      </w:pPr>
      <w:bookmarkStart w:id="0" w:name="_heading=h.qevakk1gt3js" w:colFirst="0" w:colLast="0"/>
      <w:bookmarkEnd w:id="0"/>
      <w:r w:rsidRPr="00005A13">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VIGÉSIMO CUARTA SESIÓN ORDINARIA CELEBRADA EL VEINTINUEVE DE JUNIO DE DOS MIL VEINTIDÓS, EN LOS RECURSOS DE REVISIÓN 02206/INFOEM/IP/RR/2022 Y ACUMULADOS.</w:t>
      </w:r>
    </w:p>
    <w:p w14:paraId="5BE8D988" w14:textId="58B009D5" w:rsidR="0045555F" w:rsidRPr="00005A13" w:rsidRDefault="00000000">
      <w:pPr>
        <w:spacing w:before="240" w:after="240" w:line="360" w:lineRule="auto"/>
        <w:ind w:right="139"/>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w:t>
      </w:r>
      <w:r w:rsidRPr="00005A13">
        <w:rPr>
          <w:rFonts w:ascii="Palatino Linotype" w:eastAsia="Palatino Linotype" w:hAnsi="Palatino Linotype" w:cs="Palatino Linotype"/>
          <w:b/>
          <w:sz w:val="24"/>
          <w:szCs w:val="24"/>
        </w:rPr>
        <w:t xml:space="preserve">GUADALUPE RAMÍREZ PEÑA </w:t>
      </w:r>
      <w:r w:rsidRPr="00005A13">
        <w:rPr>
          <w:rFonts w:ascii="Palatino Linotype" w:eastAsia="Palatino Linotype" w:hAnsi="Palatino Linotype" w:cs="Palatino Linotype"/>
          <w:sz w:val="24"/>
          <w:szCs w:val="24"/>
        </w:rPr>
        <w:t xml:space="preserve">emite </w:t>
      </w:r>
      <w:r w:rsidRPr="00005A13">
        <w:rPr>
          <w:rFonts w:ascii="Palatino Linotype" w:eastAsia="Palatino Linotype" w:hAnsi="Palatino Linotype" w:cs="Palatino Linotype"/>
          <w:b/>
          <w:sz w:val="24"/>
          <w:szCs w:val="24"/>
        </w:rPr>
        <w:t xml:space="preserve">VOTO DISIDENTE </w:t>
      </w:r>
      <w:r w:rsidRPr="00005A13">
        <w:rPr>
          <w:rFonts w:ascii="Palatino Linotype" w:eastAsia="Palatino Linotype" w:hAnsi="Palatino Linotype" w:cs="Palatino Linotype"/>
          <w:sz w:val="24"/>
          <w:szCs w:val="24"/>
        </w:rPr>
        <w:t xml:space="preserve">respecto a la resolución dictada en los recursos de revisión </w:t>
      </w:r>
      <w:r w:rsidRPr="00005A13">
        <w:rPr>
          <w:rFonts w:ascii="Palatino Linotype" w:eastAsia="Palatino Linotype" w:hAnsi="Palatino Linotype" w:cs="Palatino Linotype"/>
          <w:b/>
          <w:sz w:val="24"/>
          <w:szCs w:val="24"/>
        </w:rPr>
        <w:t xml:space="preserve">02206/INFOEM/IP/RR/2022, 02207/INFOEM/IP/RR/2022, 02208/INFOEM/IP/RR/2022, 02210/INFOEM/IP/RR/2022, 02299/INFOEM/IP/RR/2022 y 02300/INFOEM/IP/RR/2022 </w:t>
      </w:r>
      <w:r w:rsidRPr="00005A13">
        <w:rPr>
          <w:rFonts w:ascii="Palatino Linotype" w:eastAsia="Palatino Linotype" w:hAnsi="Palatino Linotype" w:cs="Palatino Linotype"/>
          <w:sz w:val="24"/>
          <w:szCs w:val="24"/>
        </w:rPr>
        <w:t xml:space="preserve">pronunciada por el Pleno de este Instituto ante el proyecto presentado por el </w:t>
      </w:r>
      <w:r w:rsidRPr="00005A13">
        <w:rPr>
          <w:rFonts w:ascii="Palatino Linotype" w:eastAsia="Palatino Linotype" w:hAnsi="Palatino Linotype" w:cs="Palatino Linotype"/>
          <w:b/>
          <w:sz w:val="24"/>
          <w:szCs w:val="24"/>
        </w:rPr>
        <w:t>Comisionado</w:t>
      </w:r>
      <w:r w:rsidRPr="00005A13">
        <w:rPr>
          <w:rFonts w:ascii="Palatino Linotype" w:eastAsia="Palatino Linotype" w:hAnsi="Palatino Linotype" w:cs="Palatino Linotype"/>
          <w:sz w:val="24"/>
          <w:szCs w:val="24"/>
        </w:rPr>
        <w:t xml:space="preserve"> </w:t>
      </w:r>
      <w:r w:rsidRPr="00005A13">
        <w:rPr>
          <w:rFonts w:ascii="Palatino Linotype" w:eastAsia="Palatino Linotype" w:hAnsi="Palatino Linotype" w:cs="Palatino Linotype"/>
          <w:b/>
          <w:sz w:val="24"/>
          <w:szCs w:val="24"/>
        </w:rPr>
        <w:t>Luis Gustavo Parra Noriega</w:t>
      </w:r>
      <w:r w:rsidRPr="00005A13">
        <w:rPr>
          <w:rFonts w:ascii="Palatino Linotype" w:eastAsia="Palatino Linotype" w:hAnsi="Palatino Linotype" w:cs="Palatino Linotype"/>
          <w:sz w:val="24"/>
          <w:szCs w:val="24"/>
        </w:rPr>
        <w:t xml:space="preserve">, que es del tenor siguiente: </w:t>
      </w:r>
    </w:p>
    <w:p w14:paraId="0EEE23E1" w14:textId="77777777" w:rsidR="0045555F" w:rsidRPr="00005A13" w:rsidRDefault="00000000">
      <w:pPr>
        <w:spacing w:before="240" w:after="240" w:line="360" w:lineRule="auto"/>
        <w:ind w:right="139"/>
        <w:jc w:val="both"/>
        <w:rPr>
          <w:rFonts w:ascii="Palatino Linotype" w:eastAsia="Palatino Linotype" w:hAnsi="Palatino Linotype" w:cs="Palatino Linotype"/>
          <w:b/>
          <w:sz w:val="24"/>
          <w:szCs w:val="24"/>
        </w:rPr>
      </w:pPr>
      <w:r w:rsidRPr="00005A13">
        <w:rPr>
          <w:rFonts w:ascii="Palatino Linotype" w:eastAsia="Palatino Linotype" w:hAnsi="Palatino Linotype" w:cs="Palatino Linotype"/>
          <w:b/>
          <w:sz w:val="24"/>
          <w:szCs w:val="24"/>
        </w:rPr>
        <w:t>I. Antecedentes.</w:t>
      </w:r>
    </w:p>
    <w:p w14:paraId="60E330AC" w14:textId="21A1A976" w:rsidR="0045555F" w:rsidRPr="00005A13" w:rsidRDefault="00000000">
      <w:pPr>
        <w:spacing w:before="240" w:after="240" w:line="360" w:lineRule="auto"/>
        <w:ind w:right="139"/>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sz w:val="24"/>
          <w:szCs w:val="24"/>
        </w:rPr>
        <w:lastRenderedPageBreak/>
        <w:t>Como quedó debidamente asentado en la resolución, materia del presente voto disidente</w:t>
      </w:r>
      <w:r w:rsidR="006D713F" w:rsidRPr="00005A13">
        <w:rPr>
          <w:rFonts w:ascii="Palatino Linotype" w:eastAsia="Palatino Linotype" w:hAnsi="Palatino Linotype" w:cs="Palatino Linotype"/>
          <w:sz w:val="24"/>
          <w:szCs w:val="24"/>
        </w:rPr>
        <w:t xml:space="preserve">, </w:t>
      </w:r>
      <w:r w:rsidRPr="00005A13">
        <w:rPr>
          <w:rFonts w:ascii="Palatino Linotype" w:eastAsia="Palatino Linotype" w:hAnsi="Palatino Linotype" w:cs="Palatino Linotype"/>
          <w:sz w:val="24"/>
          <w:szCs w:val="24"/>
        </w:rPr>
        <w:t xml:space="preserve">el particular requirió del </w:t>
      </w:r>
      <w:r w:rsidRPr="00005A13">
        <w:rPr>
          <w:rFonts w:ascii="Palatino Linotype" w:eastAsia="Palatino Linotype" w:hAnsi="Palatino Linotype" w:cs="Palatino Linotype"/>
          <w:b/>
          <w:sz w:val="24"/>
          <w:szCs w:val="24"/>
        </w:rPr>
        <w:t>Sujeto Obligado</w:t>
      </w:r>
      <w:r w:rsidRPr="00005A13">
        <w:rPr>
          <w:rFonts w:ascii="Palatino Linotype" w:eastAsia="Palatino Linotype" w:hAnsi="Palatino Linotype" w:cs="Palatino Linotype"/>
          <w:sz w:val="24"/>
          <w:szCs w:val="24"/>
        </w:rPr>
        <w:t xml:space="preserve"> la entrega de lo siguiente:</w:t>
      </w:r>
    </w:p>
    <w:p w14:paraId="06CF30B2" w14:textId="77777777" w:rsidR="0045555F" w:rsidRPr="00005A13" w:rsidRDefault="00000000">
      <w:pPr>
        <w:spacing w:after="0" w:line="360" w:lineRule="auto"/>
        <w:ind w:left="567" w:right="567"/>
        <w:rPr>
          <w:rFonts w:ascii="Palatino Linotype" w:eastAsia="Palatino Linotype" w:hAnsi="Palatino Linotype" w:cs="Palatino Linotype"/>
          <w:i/>
          <w:sz w:val="20"/>
          <w:szCs w:val="20"/>
        </w:rPr>
      </w:pPr>
      <w:r w:rsidRPr="00005A13">
        <w:rPr>
          <w:rFonts w:ascii="Palatino Linotype" w:eastAsia="Palatino Linotype" w:hAnsi="Palatino Linotype" w:cs="Palatino Linotype"/>
          <w:b/>
          <w:sz w:val="20"/>
          <w:szCs w:val="20"/>
        </w:rPr>
        <w:t>“</w:t>
      </w:r>
      <w:r w:rsidRPr="00005A13">
        <w:rPr>
          <w:rFonts w:ascii="Palatino Linotype" w:eastAsia="Palatino Linotype" w:hAnsi="Palatino Linotype" w:cs="Palatino Linotype"/>
          <w:i/>
          <w:sz w:val="20"/>
          <w:szCs w:val="20"/>
        </w:rPr>
        <w:t xml:space="preserve">Se solicita el programa calendarizado de conservación y mantenimiento preventivo del parque vehicular, </w:t>
      </w:r>
      <w:proofErr w:type="gramStart"/>
      <w:r w:rsidRPr="00005A13">
        <w:rPr>
          <w:rFonts w:ascii="Palatino Linotype" w:eastAsia="Palatino Linotype" w:hAnsi="Palatino Linotype" w:cs="Palatino Linotype"/>
          <w:i/>
          <w:sz w:val="20"/>
          <w:szCs w:val="20"/>
        </w:rPr>
        <w:t>de acuerdo al</w:t>
      </w:r>
      <w:proofErr w:type="gramEnd"/>
      <w:r w:rsidRPr="00005A13">
        <w:rPr>
          <w:rFonts w:ascii="Palatino Linotype" w:eastAsia="Palatino Linotype" w:hAnsi="Palatino Linotype" w:cs="Palatino Linotype"/>
          <w:i/>
          <w:sz w:val="20"/>
          <w:szCs w:val="20"/>
        </w:rPr>
        <w:t xml:space="preserve"> uso y necesidades de cada vehículo de las dependencias que tuvieran asignados vehículos por parte del Municipio durante los ejercicios 2016, 2017 y 2018.” (Sic) </w:t>
      </w:r>
    </w:p>
    <w:p w14:paraId="558BD9F4" w14:textId="77777777" w:rsidR="0045555F" w:rsidRPr="00005A13" w:rsidRDefault="0045555F">
      <w:pPr>
        <w:spacing w:after="0" w:line="360" w:lineRule="auto"/>
        <w:ind w:left="567" w:right="567"/>
        <w:rPr>
          <w:rFonts w:ascii="Palatino Linotype" w:eastAsia="Palatino Linotype" w:hAnsi="Palatino Linotype" w:cs="Palatino Linotype"/>
          <w:i/>
          <w:sz w:val="20"/>
          <w:szCs w:val="20"/>
        </w:rPr>
      </w:pPr>
    </w:p>
    <w:p w14:paraId="713555CE" w14:textId="77777777" w:rsidR="0045555F" w:rsidRPr="00005A13" w:rsidRDefault="00000000">
      <w:pPr>
        <w:spacing w:after="0" w:line="360" w:lineRule="auto"/>
        <w:ind w:left="567" w:right="567"/>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“Solicito conocer si </w:t>
      </w:r>
      <w:proofErr w:type="gramStart"/>
      <w:r w:rsidRPr="00005A13">
        <w:rPr>
          <w:rFonts w:ascii="Palatino Linotype" w:eastAsia="Palatino Linotype" w:hAnsi="Palatino Linotype" w:cs="Palatino Linotype"/>
          <w:i/>
          <w:sz w:val="20"/>
          <w:szCs w:val="20"/>
        </w:rPr>
        <w:t>hubieron</w:t>
      </w:r>
      <w:proofErr w:type="gramEnd"/>
      <w:r w:rsidRPr="00005A13">
        <w:rPr>
          <w:rFonts w:ascii="Palatino Linotype" w:eastAsia="Palatino Linotype" w:hAnsi="Palatino Linotype" w:cs="Palatino Linotype"/>
          <w:i/>
          <w:sz w:val="20"/>
          <w:szCs w:val="20"/>
        </w:rPr>
        <w:t xml:space="preserve"> accidentes o siniestros de vehículos oficiales de los años 2016, 2017 y 2018.” (Sic) </w:t>
      </w:r>
    </w:p>
    <w:p w14:paraId="2629BCD1" w14:textId="77777777" w:rsidR="0045555F" w:rsidRPr="00005A13" w:rsidRDefault="0045555F">
      <w:pPr>
        <w:spacing w:after="0" w:line="360" w:lineRule="auto"/>
        <w:ind w:left="567" w:right="567"/>
        <w:rPr>
          <w:rFonts w:ascii="Palatino Linotype" w:eastAsia="Palatino Linotype" w:hAnsi="Palatino Linotype" w:cs="Palatino Linotype"/>
          <w:i/>
          <w:sz w:val="20"/>
          <w:szCs w:val="20"/>
        </w:rPr>
      </w:pPr>
    </w:p>
    <w:p w14:paraId="2A3D76DE" w14:textId="77777777" w:rsidR="0045555F" w:rsidRPr="00005A13" w:rsidRDefault="00000000">
      <w:pPr>
        <w:spacing w:after="0" w:line="360" w:lineRule="auto"/>
        <w:ind w:left="567" w:right="567"/>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“Solicito conocer los resguardos de todos los vehículos oficiales de los años 2016, 2017 y 2018.</w:t>
      </w:r>
    </w:p>
    <w:p w14:paraId="1305ED6E" w14:textId="77777777" w:rsidR="0045555F" w:rsidRPr="00005A13" w:rsidRDefault="00000000">
      <w:pPr>
        <w:spacing w:after="0" w:line="360" w:lineRule="auto"/>
        <w:ind w:left="567" w:right="567"/>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(Sic) </w:t>
      </w:r>
    </w:p>
    <w:p w14:paraId="65725313" w14:textId="77777777" w:rsidR="0045555F" w:rsidRPr="00005A13" w:rsidRDefault="0045555F">
      <w:pPr>
        <w:spacing w:after="0" w:line="360" w:lineRule="auto"/>
        <w:ind w:left="567" w:right="567"/>
        <w:rPr>
          <w:rFonts w:ascii="Palatino Linotype" w:eastAsia="Palatino Linotype" w:hAnsi="Palatino Linotype" w:cs="Palatino Linotype"/>
          <w:i/>
          <w:sz w:val="20"/>
          <w:szCs w:val="20"/>
        </w:rPr>
      </w:pPr>
    </w:p>
    <w:p w14:paraId="6DE9EFFE" w14:textId="77777777" w:rsidR="0045555F" w:rsidRPr="00005A13" w:rsidRDefault="00000000">
      <w:pPr>
        <w:spacing w:after="0"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“Tomando como referencia el artículo 5.199 del Código de Reglamentación Municipal de Metepec, se solicita copia de todos los expedientes, por cada vehículo asignado a las dependencias, de todos los responsables de control vehicular, conteniendo Nombre completo y domicilio vigente del o los usuarios del vehículo asignado; Datos generales del vehículo; Copia del o los resguardos, debidamente suscritos por el o los usuarios; Copia de la tarjeta de circulación del vehículo; Copia de la licencia para conducir vigente del o los usuarios; Copia vigente de la póliza de seguro del vehículo; en todas las dependencias municipales en los ejercicios 2016, 2017 y 2018.” (Sic) </w:t>
      </w:r>
    </w:p>
    <w:p w14:paraId="42A8D949" w14:textId="77777777" w:rsidR="0045555F" w:rsidRPr="00005A13" w:rsidRDefault="0045555F">
      <w:pPr>
        <w:spacing w:after="0" w:line="360" w:lineRule="auto"/>
        <w:ind w:left="567" w:right="567"/>
        <w:rPr>
          <w:rFonts w:ascii="Palatino Linotype" w:eastAsia="Palatino Linotype" w:hAnsi="Palatino Linotype" w:cs="Palatino Linotype"/>
          <w:i/>
          <w:sz w:val="20"/>
          <w:szCs w:val="20"/>
        </w:rPr>
      </w:pPr>
    </w:p>
    <w:p w14:paraId="62A4A2A7" w14:textId="77777777" w:rsidR="0045555F" w:rsidRPr="00005A13" w:rsidRDefault="00000000">
      <w:pPr>
        <w:spacing w:after="0"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“Se solicita atentamente el listado de vehículos particulares autorizados para uso de combustible pagado con recursos públicos. Asimismo, se requiere el listado de servidores públicos que tendrán acceso a dicho beneficio y el monto que les será autorizado por día, semana, mes o periodo de tiempo determinado o indeterminado. Lo anterior a la luz de lo aprobado el día 1 de enero de 2022 en su primera sesión ordinaria de cabildo.” (Sic) </w:t>
      </w:r>
    </w:p>
    <w:p w14:paraId="6100D867" w14:textId="77777777" w:rsidR="0045555F" w:rsidRPr="00005A13" w:rsidRDefault="0045555F">
      <w:pPr>
        <w:spacing w:after="0" w:line="360" w:lineRule="auto"/>
        <w:ind w:left="567" w:right="567"/>
        <w:rPr>
          <w:rFonts w:ascii="Palatino Linotype" w:eastAsia="Palatino Linotype" w:hAnsi="Palatino Linotype" w:cs="Palatino Linotype"/>
          <w:i/>
          <w:sz w:val="20"/>
          <w:szCs w:val="20"/>
        </w:rPr>
      </w:pPr>
    </w:p>
    <w:p w14:paraId="787ACB4B" w14:textId="77777777" w:rsidR="0045555F" w:rsidRPr="00005A13" w:rsidRDefault="00000000">
      <w:pPr>
        <w:spacing w:after="0"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“Se solicita atentamente el listado de vehículos particulares autorizados para uso de combustible pagado con recursos públicos. Asimismo, se requiere el listado de servidores públicos que tendrán acceso a dicho beneficio y el monto que les será autorizado por día, semana, mes o periodo de tiempo determinado o indeterminado.” (Sic) </w:t>
      </w:r>
    </w:p>
    <w:p w14:paraId="19D60152" w14:textId="77777777" w:rsidR="0045555F" w:rsidRPr="00005A13" w:rsidRDefault="0045555F">
      <w:pPr>
        <w:tabs>
          <w:tab w:val="left" w:pos="7513"/>
        </w:tabs>
        <w:spacing w:after="0" w:line="360" w:lineRule="auto"/>
        <w:ind w:right="49"/>
        <w:jc w:val="both"/>
        <w:rPr>
          <w:rFonts w:ascii="Palatino Linotype" w:eastAsia="Palatino Linotype" w:hAnsi="Palatino Linotype" w:cs="Palatino Linotype"/>
          <w:sz w:val="24"/>
          <w:szCs w:val="24"/>
        </w:rPr>
      </w:pPr>
    </w:p>
    <w:p w14:paraId="41FD710B" w14:textId="77777777" w:rsidR="0045555F" w:rsidRPr="00005A13" w:rsidRDefault="00000000">
      <w:pPr>
        <w:tabs>
          <w:tab w:val="left" w:pos="7513"/>
        </w:tabs>
        <w:spacing w:after="0" w:line="360" w:lineRule="auto"/>
        <w:ind w:right="49"/>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sz w:val="24"/>
          <w:szCs w:val="24"/>
        </w:rPr>
        <w:t>En respuesta a la solicitud, el Sujeto Obligado</w:t>
      </w:r>
      <w:r w:rsidRPr="00005A13">
        <w:rPr>
          <w:rFonts w:ascii="Palatino Linotype" w:eastAsia="Palatino Linotype" w:hAnsi="Palatino Linotype" w:cs="Palatino Linotype"/>
          <w:b/>
          <w:sz w:val="24"/>
          <w:szCs w:val="24"/>
        </w:rPr>
        <w:t xml:space="preserve"> </w:t>
      </w:r>
      <w:r w:rsidRPr="00005A13">
        <w:rPr>
          <w:rFonts w:ascii="Palatino Linotype" w:eastAsia="Palatino Linotype" w:hAnsi="Palatino Linotype" w:cs="Palatino Linotype"/>
          <w:sz w:val="24"/>
          <w:szCs w:val="24"/>
        </w:rPr>
        <w:t>remitió los siguientes soportes:</w:t>
      </w:r>
    </w:p>
    <w:p w14:paraId="32E68D10" w14:textId="77777777" w:rsidR="0045555F" w:rsidRPr="00005A13" w:rsidRDefault="0045555F">
      <w:pPr>
        <w:spacing w:line="360" w:lineRule="auto"/>
        <w:jc w:val="both"/>
        <w:rPr>
          <w:rFonts w:ascii="Palatino Linotype" w:eastAsia="Palatino Linotype" w:hAnsi="Palatino Linotype" w:cs="Palatino Linotype"/>
        </w:rPr>
      </w:pPr>
    </w:p>
    <w:p w14:paraId="51BE5F06" w14:textId="77777777" w:rsidR="0045555F" w:rsidRPr="00005A13" w:rsidRDefault="00000000">
      <w:pPr>
        <w:spacing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t xml:space="preserve">Oficio número: DA/0516/2022 de fecha cuatro de febrero de dos mil veintidós, el cual es suscrito por rubricado por el </w:t>
      </w:r>
      <w:proofErr w:type="gramStart"/>
      <w:r w:rsidRPr="00005A13">
        <w:rPr>
          <w:rFonts w:ascii="Palatino Linotype" w:eastAsia="Palatino Linotype" w:hAnsi="Palatino Linotype" w:cs="Palatino Linotype"/>
        </w:rPr>
        <w:t>Director</w:t>
      </w:r>
      <w:proofErr w:type="gramEnd"/>
      <w:r w:rsidRPr="00005A13">
        <w:rPr>
          <w:rFonts w:ascii="Palatino Linotype" w:eastAsia="Palatino Linotype" w:hAnsi="Palatino Linotype" w:cs="Palatino Linotype"/>
        </w:rPr>
        <w:t xml:space="preserve"> de Administración y es dirigido al Titular de la Unidad de Transparencia, por medio del cual manifiesta y expone: </w:t>
      </w:r>
    </w:p>
    <w:p w14:paraId="0F505C93"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w:t>
      </w:r>
    </w:p>
    <w:p w14:paraId="18FC1C64"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Que habiendo </w:t>
      </w:r>
      <w:proofErr w:type="gramStart"/>
      <w:r w:rsidRPr="00005A13">
        <w:rPr>
          <w:rFonts w:ascii="Palatino Linotype" w:eastAsia="Palatino Linotype" w:hAnsi="Palatino Linotype" w:cs="Palatino Linotype"/>
          <w:i/>
          <w:sz w:val="20"/>
          <w:szCs w:val="20"/>
        </w:rPr>
        <w:t>realizando</w:t>
      </w:r>
      <w:proofErr w:type="gramEnd"/>
      <w:r w:rsidRPr="00005A13">
        <w:rPr>
          <w:rFonts w:ascii="Palatino Linotype" w:eastAsia="Palatino Linotype" w:hAnsi="Palatino Linotype" w:cs="Palatino Linotype"/>
          <w:i/>
          <w:sz w:val="20"/>
          <w:szCs w:val="20"/>
        </w:rPr>
        <w:t xml:space="preserve"> una búsqueda exhaustica de la información en los archivos por parte del área correspondiente perteneciente a este Dirección, no se localizó información relacionada con lo solicitado de los años 2016 y 2017.</w:t>
      </w:r>
    </w:p>
    <w:p w14:paraId="1AD9E985"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Lo relacionado al año 2018, habiendo </w:t>
      </w:r>
      <w:proofErr w:type="gramStart"/>
      <w:r w:rsidRPr="00005A13">
        <w:rPr>
          <w:rFonts w:ascii="Palatino Linotype" w:eastAsia="Palatino Linotype" w:hAnsi="Palatino Linotype" w:cs="Palatino Linotype"/>
          <w:i/>
          <w:sz w:val="20"/>
          <w:szCs w:val="20"/>
        </w:rPr>
        <w:t>realizando</w:t>
      </w:r>
      <w:proofErr w:type="gramEnd"/>
      <w:r w:rsidRPr="00005A13">
        <w:rPr>
          <w:rFonts w:ascii="Palatino Linotype" w:eastAsia="Palatino Linotype" w:hAnsi="Palatino Linotype" w:cs="Palatino Linotype"/>
          <w:i/>
          <w:sz w:val="20"/>
          <w:szCs w:val="20"/>
        </w:rPr>
        <w:t xml:space="preserve"> una búsqueda exhaustiva de la información en los archivos por parte del área correspondiente, se </w:t>
      </w:r>
      <w:proofErr w:type="spellStart"/>
      <w:r w:rsidRPr="00005A13">
        <w:rPr>
          <w:rFonts w:ascii="Palatino Linotype" w:eastAsia="Palatino Linotype" w:hAnsi="Palatino Linotype" w:cs="Palatino Linotype"/>
          <w:i/>
          <w:sz w:val="20"/>
          <w:szCs w:val="20"/>
        </w:rPr>
        <w:t>localizo</w:t>
      </w:r>
      <w:proofErr w:type="spellEnd"/>
      <w:r w:rsidRPr="00005A13">
        <w:rPr>
          <w:rFonts w:ascii="Palatino Linotype" w:eastAsia="Palatino Linotype" w:hAnsi="Palatino Linotype" w:cs="Palatino Linotype"/>
          <w:i/>
          <w:sz w:val="20"/>
          <w:szCs w:val="20"/>
        </w:rPr>
        <w:t xml:space="preserve"> la información que se anexa al presente oficio</w:t>
      </w:r>
    </w:p>
    <w:p w14:paraId="34E047D8"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(Sic) </w:t>
      </w:r>
    </w:p>
    <w:p w14:paraId="1B30E99C" w14:textId="77777777" w:rsidR="0045555F" w:rsidRPr="00005A13" w:rsidRDefault="0045555F">
      <w:pPr>
        <w:spacing w:line="360" w:lineRule="auto"/>
        <w:jc w:val="both"/>
        <w:rPr>
          <w:rFonts w:ascii="Palatino Linotype" w:eastAsia="Palatino Linotype" w:hAnsi="Palatino Linotype" w:cs="Palatino Linotype"/>
        </w:rPr>
      </w:pPr>
    </w:p>
    <w:p w14:paraId="3E7ECBBB" w14:textId="77777777" w:rsidR="0045555F" w:rsidRPr="00005A13" w:rsidRDefault="00000000">
      <w:pPr>
        <w:spacing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t>Al oficio previamente referido, el Sujeto Obligado, adjuntó el Programa de Mantenimiento Preventivo al parque vehicular, del dos mil dieciocho.</w:t>
      </w:r>
    </w:p>
    <w:p w14:paraId="215A9868" w14:textId="77777777" w:rsidR="0045555F" w:rsidRPr="00005A13" w:rsidRDefault="0045555F">
      <w:pPr>
        <w:spacing w:line="360" w:lineRule="auto"/>
        <w:jc w:val="both"/>
        <w:rPr>
          <w:rFonts w:ascii="Palatino Linotype" w:eastAsia="Palatino Linotype" w:hAnsi="Palatino Linotype" w:cs="Palatino Linotype"/>
        </w:rPr>
      </w:pPr>
    </w:p>
    <w:p w14:paraId="2B958E99" w14:textId="77777777" w:rsidR="0045555F" w:rsidRPr="00005A13" w:rsidRDefault="00000000">
      <w:pPr>
        <w:spacing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t xml:space="preserve">i) Oficio número CJM/0159/2022 de fecha veintiséis de enero de dos mil veintidós, suscrito por el </w:t>
      </w:r>
      <w:proofErr w:type="gramStart"/>
      <w:r w:rsidRPr="00005A13">
        <w:rPr>
          <w:rFonts w:ascii="Palatino Linotype" w:eastAsia="Palatino Linotype" w:hAnsi="Palatino Linotype" w:cs="Palatino Linotype"/>
        </w:rPr>
        <w:t>Consejero</w:t>
      </w:r>
      <w:proofErr w:type="gramEnd"/>
      <w:r w:rsidRPr="00005A13">
        <w:rPr>
          <w:rFonts w:ascii="Palatino Linotype" w:eastAsia="Palatino Linotype" w:hAnsi="Palatino Linotype" w:cs="Palatino Linotype"/>
        </w:rPr>
        <w:t xml:space="preserve"> Jurídico Municipal y, es dirigido al Titular de la Unidad de Transparencia, manifestando y exponiendo lo siguiente:</w:t>
      </w:r>
    </w:p>
    <w:p w14:paraId="238C3BA1"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w:t>
      </w:r>
    </w:p>
    <w:p w14:paraId="55D8643B"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Al respecto me permito informar a Usted que: después de haber realizado una búsqueda exhaustiva y suficiente en los archivos de esta Consejería Jurídica Municipal, no se encontró información relacionada con la petición formulada</w:t>
      </w:r>
    </w:p>
    <w:p w14:paraId="698A15FB"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(Sic) </w:t>
      </w:r>
    </w:p>
    <w:p w14:paraId="717A2342" w14:textId="77777777" w:rsidR="0045555F" w:rsidRPr="00005A13" w:rsidRDefault="00000000">
      <w:pPr>
        <w:spacing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t xml:space="preserve">i) Oficio número DA/0515/2022 de fecha cuatro de febrero de dos mil veintidós, suscrito por el </w:t>
      </w:r>
      <w:proofErr w:type="gramStart"/>
      <w:r w:rsidRPr="00005A13">
        <w:rPr>
          <w:rFonts w:ascii="Palatino Linotype" w:eastAsia="Palatino Linotype" w:hAnsi="Palatino Linotype" w:cs="Palatino Linotype"/>
        </w:rPr>
        <w:t>Director</w:t>
      </w:r>
      <w:proofErr w:type="gramEnd"/>
      <w:r w:rsidRPr="00005A13">
        <w:rPr>
          <w:rFonts w:ascii="Palatino Linotype" w:eastAsia="Palatino Linotype" w:hAnsi="Palatino Linotype" w:cs="Palatino Linotype"/>
        </w:rPr>
        <w:t xml:space="preserve"> de Administración y es remitido al Titular de la Unidad de Transparencia, de cuyo análisis se advierte lo siguiente:</w:t>
      </w:r>
    </w:p>
    <w:p w14:paraId="75A79C73"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w:t>
      </w:r>
    </w:p>
    <w:p w14:paraId="3A29E32F"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Que habiendo </w:t>
      </w:r>
      <w:proofErr w:type="gramStart"/>
      <w:r w:rsidRPr="00005A13">
        <w:rPr>
          <w:rFonts w:ascii="Palatino Linotype" w:eastAsia="Palatino Linotype" w:hAnsi="Palatino Linotype" w:cs="Palatino Linotype"/>
          <w:i/>
          <w:sz w:val="20"/>
          <w:szCs w:val="20"/>
        </w:rPr>
        <w:t>realizando</w:t>
      </w:r>
      <w:proofErr w:type="gramEnd"/>
      <w:r w:rsidRPr="00005A13">
        <w:rPr>
          <w:rFonts w:ascii="Palatino Linotype" w:eastAsia="Palatino Linotype" w:hAnsi="Palatino Linotype" w:cs="Palatino Linotype"/>
          <w:i/>
          <w:sz w:val="20"/>
          <w:szCs w:val="20"/>
        </w:rPr>
        <w:t xml:space="preserve"> una búsqueda exhaustiva de la información en los archivos por parte del área correspondiente perteneciente a esta Dirección, no se </w:t>
      </w:r>
      <w:proofErr w:type="spellStart"/>
      <w:r w:rsidRPr="00005A13">
        <w:rPr>
          <w:rFonts w:ascii="Palatino Linotype" w:eastAsia="Palatino Linotype" w:hAnsi="Palatino Linotype" w:cs="Palatino Linotype"/>
          <w:i/>
          <w:sz w:val="20"/>
          <w:szCs w:val="20"/>
        </w:rPr>
        <w:t>localizo</w:t>
      </w:r>
      <w:proofErr w:type="spellEnd"/>
      <w:r w:rsidRPr="00005A13">
        <w:rPr>
          <w:rFonts w:ascii="Palatino Linotype" w:eastAsia="Palatino Linotype" w:hAnsi="Palatino Linotype" w:cs="Palatino Linotype"/>
          <w:i/>
          <w:sz w:val="20"/>
          <w:szCs w:val="20"/>
        </w:rPr>
        <w:t xml:space="preserve"> información relacionada con lo solicitado de los años 2016 y 2017.</w:t>
      </w:r>
    </w:p>
    <w:p w14:paraId="73FD6234" w14:textId="77777777" w:rsidR="0045555F" w:rsidRPr="00005A13" w:rsidRDefault="0045555F">
      <w:pPr>
        <w:spacing w:line="360" w:lineRule="auto"/>
        <w:ind w:left="567" w:right="567"/>
        <w:jc w:val="both"/>
        <w:rPr>
          <w:rFonts w:ascii="Palatino Linotype" w:eastAsia="Palatino Linotype" w:hAnsi="Palatino Linotype" w:cs="Palatino Linotype"/>
          <w:i/>
          <w:sz w:val="20"/>
          <w:szCs w:val="20"/>
        </w:rPr>
      </w:pPr>
    </w:p>
    <w:p w14:paraId="5AAD66D1"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Respecto a 2018 hago de su conocimiento que después de realizar una búsqueda exhaustiva de la información en los archivos por parte del área correspondiente, se localizó el documento que se anexa al presente oficio</w:t>
      </w:r>
    </w:p>
    <w:p w14:paraId="494E3891"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(Sic) </w:t>
      </w:r>
    </w:p>
    <w:p w14:paraId="58DCE7F1" w14:textId="77777777" w:rsidR="0045555F" w:rsidRPr="00005A13" w:rsidRDefault="00000000">
      <w:pPr>
        <w:spacing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lastRenderedPageBreak/>
        <w:t xml:space="preserve">Al oficio previamente citado, el Sujeto Obligado adjuntó la digitalización del parque vehicular activo Metepec dos mil dieciocho, del cual se reproduce un extracto: </w:t>
      </w:r>
    </w:p>
    <w:p w14:paraId="2DBAFD84" w14:textId="77777777" w:rsidR="0045555F" w:rsidRPr="00005A13" w:rsidRDefault="0045555F">
      <w:pPr>
        <w:spacing w:line="360" w:lineRule="auto"/>
        <w:jc w:val="both"/>
        <w:rPr>
          <w:rFonts w:ascii="Palatino Linotype" w:eastAsia="Palatino Linotype" w:hAnsi="Palatino Linotype" w:cs="Palatino Linotype"/>
        </w:rPr>
      </w:pPr>
    </w:p>
    <w:p w14:paraId="799C792E" w14:textId="77777777" w:rsidR="0045555F" w:rsidRPr="00005A13" w:rsidRDefault="00000000">
      <w:pPr>
        <w:spacing w:line="360" w:lineRule="auto"/>
        <w:jc w:val="center"/>
        <w:rPr>
          <w:rFonts w:ascii="Palatino Linotype" w:eastAsia="Palatino Linotype" w:hAnsi="Palatino Linotype" w:cs="Palatino Linotype"/>
          <w:sz w:val="24"/>
          <w:szCs w:val="24"/>
        </w:rPr>
      </w:pPr>
      <w:r w:rsidRPr="00005A13">
        <w:rPr>
          <w:rFonts w:ascii="Palatino Linotype" w:eastAsia="Palatino Linotype" w:hAnsi="Palatino Linotype" w:cs="Palatino Linotype"/>
          <w:noProof/>
        </w:rPr>
        <w:drawing>
          <wp:inline distT="0" distB="0" distL="0" distR="0" wp14:anchorId="7591EA41" wp14:editId="79D4AB6F">
            <wp:extent cx="3648075" cy="2009775"/>
            <wp:effectExtent l="0" t="0" r="0" b="0"/>
            <wp:docPr id="24" name="image8.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Tabla&#10;&#10;Descripción generada automáticamente"/>
                    <pic:cNvPicPr preferRelativeResize="0"/>
                  </pic:nvPicPr>
                  <pic:blipFill>
                    <a:blip r:embed="rId8"/>
                    <a:srcRect/>
                    <a:stretch>
                      <a:fillRect/>
                    </a:stretch>
                  </pic:blipFill>
                  <pic:spPr>
                    <a:xfrm>
                      <a:off x="0" y="0"/>
                      <a:ext cx="3648075" cy="2009775"/>
                    </a:xfrm>
                    <a:prstGeom prst="rect">
                      <a:avLst/>
                    </a:prstGeom>
                    <a:ln/>
                  </pic:spPr>
                </pic:pic>
              </a:graphicData>
            </a:graphic>
          </wp:inline>
        </w:drawing>
      </w:r>
    </w:p>
    <w:p w14:paraId="02E1DDD0" w14:textId="77777777" w:rsidR="0045555F" w:rsidRPr="00005A13" w:rsidRDefault="00000000">
      <w:pPr>
        <w:spacing w:line="360" w:lineRule="auto"/>
        <w:jc w:val="center"/>
        <w:rPr>
          <w:rFonts w:ascii="Palatino Linotype" w:eastAsia="Palatino Linotype" w:hAnsi="Palatino Linotype" w:cs="Palatino Linotype"/>
        </w:rPr>
      </w:pPr>
      <w:r w:rsidRPr="00005A13">
        <w:rPr>
          <w:rFonts w:ascii="Palatino Linotype" w:eastAsia="Palatino Linotype" w:hAnsi="Palatino Linotype" w:cs="Palatino Linotype"/>
          <w:noProof/>
        </w:rPr>
        <w:drawing>
          <wp:inline distT="0" distB="0" distL="0" distR="0" wp14:anchorId="6EC1A9D9" wp14:editId="169DD2A9">
            <wp:extent cx="3600450" cy="600075"/>
            <wp:effectExtent l="0" t="0" r="0" b="0"/>
            <wp:docPr id="26" name="image9.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9.png" descr="Tabla&#10;&#10;Descripción generada automáticamente"/>
                    <pic:cNvPicPr preferRelativeResize="0"/>
                  </pic:nvPicPr>
                  <pic:blipFill>
                    <a:blip r:embed="rId9"/>
                    <a:srcRect/>
                    <a:stretch>
                      <a:fillRect/>
                    </a:stretch>
                  </pic:blipFill>
                  <pic:spPr>
                    <a:xfrm>
                      <a:off x="0" y="0"/>
                      <a:ext cx="3600450" cy="600075"/>
                    </a:xfrm>
                    <a:prstGeom prst="rect">
                      <a:avLst/>
                    </a:prstGeom>
                    <a:ln/>
                  </pic:spPr>
                </pic:pic>
              </a:graphicData>
            </a:graphic>
          </wp:inline>
        </w:drawing>
      </w:r>
    </w:p>
    <w:p w14:paraId="2E073108" w14:textId="77777777" w:rsidR="0045555F" w:rsidRPr="00005A13" w:rsidRDefault="0045555F">
      <w:pPr>
        <w:spacing w:line="360" w:lineRule="auto"/>
        <w:jc w:val="both"/>
        <w:rPr>
          <w:rFonts w:ascii="Palatino Linotype" w:eastAsia="Palatino Linotype" w:hAnsi="Palatino Linotype" w:cs="Palatino Linotype"/>
        </w:rPr>
      </w:pPr>
    </w:p>
    <w:p w14:paraId="64F0C9C9" w14:textId="77777777" w:rsidR="0045555F" w:rsidRPr="00005A13" w:rsidRDefault="00000000">
      <w:pPr>
        <w:spacing w:line="360" w:lineRule="auto"/>
        <w:jc w:val="both"/>
        <w:rPr>
          <w:rFonts w:ascii="Palatino Linotype" w:eastAsia="Palatino Linotype" w:hAnsi="Palatino Linotype" w:cs="Palatino Linotype"/>
          <w:b/>
        </w:rPr>
      </w:pPr>
      <w:r w:rsidRPr="00005A13">
        <w:rPr>
          <w:rFonts w:ascii="Palatino Linotype" w:eastAsia="Palatino Linotype" w:hAnsi="Palatino Linotype" w:cs="Palatino Linotype"/>
          <w:b/>
        </w:rPr>
        <w:t>Respuesta a la solicitud de Información pública 00369/METEPEC/IP/2022</w:t>
      </w:r>
    </w:p>
    <w:p w14:paraId="047A189D" w14:textId="77777777" w:rsidR="0045555F" w:rsidRPr="00005A13" w:rsidRDefault="0045555F">
      <w:pPr>
        <w:spacing w:line="360" w:lineRule="auto"/>
        <w:jc w:val="both"/>
        <w:rPr>
          <w:rFonts w:ascii="Palatino Linotype" w:eastAsia="Palatino Linotype" w:hAnsi="Palatino Linotype" w:cs="Palatino Linotype"/>
        </w:rPr>
      </w:pPr>
    </w:p>
    <w:p w14:paraId="5B0EE46C" w14:textId="77777777" w:rsidR="0045555F" w:rsidRPr="00005A13" w:rsidRDefault="00000000">
      <w:pPr>
        <w:spacing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t xml:space="preserve">i) Oficio número: DA/0492/2022 de fecha cuatro de febrero de dos mil veintidós, suscrito por el </w:t>
      </w:r>
      <w:proofErr w:type="gramStart"/>
      <w:r w:rsidRPr="00005A13">
        <w:rPr>
          <w:rFonts w:ascii="Palatino Linotype" w:eastAsia="Palatino Linotype" w:hAnsi="Palatino Linotype" w:cs="Palatino Linotype"/>
        </w:rPr>
        <w:t>Director</w:t>
      </w:r>
      <w:proofErr w:type="gramEnd"/>
      <w:r w:rsidRPr="00005A13">
        <w:rPr>
          <w:rFonts w:ascii="Palatino Linotype" w:eastAsia="Palatino Linotype" w:hAnsi="Palatino Linotype" w:cs="Palatino Linotype"/>
        </w:rPr>
        <w:t xml:space="preserve"> de Administración y remitido al Titular de la Unidad de Transparencia, del cual se advierte lo siguiente: </w:t>
      </w:r>
    </w:p>
    <w:p w14:paraId="655DF593"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w:t>
      </w:r>
    </w:p>
    <w:p w14:paraId="60A2E948"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lastRenderedPageBreak/>
        <w:t xml:space="preserve">Por este medio me permito hacer de su conocimiento que derivado de las 19 solicitudes de acceso a la información pública que versan en los medular respecto a documentos de conformidad con lo señalado en los artículos 5.194, 5.195, 5.197, 5.199, 5.200 y 5.21 del Código de Reglamentación Mundial, mismas que a continuación se enlistan: </w:t>
      </w:r>
    </w:p>
    <w:p w14:paraId="64DC6A09" w14:textId="77777777" w:rsidR="0045555F" w:rsidRPr="00005A13" w:rsidRDefault="0045555F">
      <w:pPr>
        <w:spacing w:line="360" w:lineRule="auto"/>
        <w:ind w:left="567" w:right="567"/>
        <w:jc w:val="both"/>
        <w:rPr>
          <w:rFonts w:ascii="Palatino Linotype" w:eastAsia="Palatino Linotype" w:hAnsi="Palatino Linotype" w:cs="Palatino Linotype"/>
          <w:i/>
          <w:sz w:val="20"/>
          <w:szCs w:val="20"/>
        </w:rPr>
      </w:pPr>
    </w:p>
    <w:p w14:paraId="76DCD746" w14:textId="77777777" w:rsidR="0045555F" w:rsidRPr="00005A13" w:rsidRDefault="00000000">
      <w:pPr>
        <w:spacing w:line="360" w:lineRule="auto"/>
        <w:ind w:left="567" w:right="567"/>
        <w:jc w:val="center"/>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noProof/>
          <w:sz w:val="20"/>
          <w:szCs w:val="20"/>
        </w:rPr>
        <w:drawing>
          <wp:inline distT="0" distB="0" distL="0" distR="0" wp14:anchorId="3FA7555E" wp14:editId="1182C4ED">
            <wp:extent cx="5010150" cy="800100"/>
            <wp:effectExtent l="0" t="0" r="0" b="0"/>
            <wp:docPr id="25" name="image4.png" descr="Imagen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png" descr="Imagen en blanco y negro&#10;&#10;Descripción generada automáticamente con confianza media"/>
                    <pic:cNvPicPr preferRelativeResize="0"/>
                  </pic:nvPicPr>
                  <pic:blipFill>
                    <a:blip r:embed="rId10"/>
                    <a:srcRect/>
                    <a:stretch>
                      <a:fillRect/>
                    </a:stretch>
                  </pic:blipFill>
                  <pic:spPr>
                    <a:xfrm>
                      <a:off x="0" y="0"/>
                      <a:ext cx="5010150" cy="800100"/>
                    </a:xfrm>
                    <a:prstGeom prst="rect">
                      <a:avLst/>
                    </a:prstGeom>
                    <a:ln/>
                  </pic:spPr>
                </pic:pic>
              </a:graphicData>
            </a:graphic>
          </wp:inline>
        </w:drawing>
      </w:r>
    </w:p>
    <w:p w14:paraId="113B89E0" w14:textId="77777777" w:rsidR="0045555F" w:rsidRPr="00005A13" w:rsidRDefault="0045555F">
      <w:pPr>
        <w:spacing w:line="360" w:lineRule="auto"/>
        <w:ind w:left="567" w:right="567"/>
        <w:jc w:val="both"/>
        <w:rPr>
          <w:rFonts w:ascii="Palatino Linotype" w:eastAsia="Palatino Linotype" w:hAnsi="Palatino Linotype" w:cs="Palatino Linotype"/>
          <w:i/>
          <w:sz w:val="20"/>
          <w:szCs w:val="20"/>
        </w:rPr>
      </w:pPr>
    </w:p>
    <w:p w14:paraId="34250A27"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Como es evidente que todas y cada una de las solicitudes antes referidas versa sobre una misma función: “documentos de conformidad con lo señalado en los artículos 5.194, 5.195, 5.196, 5.197, 5.199, 5.200 y 5.201 del Código de Reglamentación Municipal”, esta Dirección considera pertinente la ACUMULACIÓN de las mismas, al determinar que son solicitudes iguales y conexas, resultando conveniente el </w:t>
      </w:r>
      <w:proofErr w:type="spellStart"/>
      <w:r w:rsidRPr="00005A13">
        <w:rPr>
          <w:rFonts w:ascii="Palatino Linotype" w:eastAsia="Palatino Linotype" w:hAnsi="Palatino Linotype" w:cs="Palatino Linotype"/>
          <w:i/>
          <w:sz w:val="20"/>
          <w:szCs w:val="20"/>
        </w:rPr>
        <w:t>tramite</w:t>
      </w:r>
      <w:proofErr w:type="spellEnd"/>
      <w:r w:rsidRPr="00005A13">
        <w:rPr>
          <w:rFonts w:ascii="Palatino Linotype" w:eastAsia="Palatino Linotype" w:hAnsi="Palatino Linotype" w:cs="Palatino Linotype"/>
          <w:i/>
          <w:sz w:val="20"/>
          <w:szCs w:val="20"/>
        </w:rPr>
        <w:t xml:space="preserve"> unificado de las mismas para evitar respuestas contradictorias, con lo que se garantiza el derecho de acceso a la información pública al solicitante otorgándole certeza jurídica esto de conformidad en lo dispuesto en el artículo 6 de la Constitución Política del Estado Libre y Soberano de México, así como lo señalado en el artículo 18 del Código de Procedimientos Administrativos del Estado de México.</w:t>
      </w:r>
    </w:p>
    <w:p w14:paraId="0C03415A" w14:textId="77777777" w:rsidR="0045555F" w:rsidRPr="00005A13" w:rsidRDefault="0045555F">
      <w:pPr>
        <w:spacing w:line="360" w:lineRule="auto"/>
        <w:ind w:left="567" w:right="567"/>
        <w:jc w:val="both"/>
        <w:rPr>
          <w:rFonts w:ascii="Palatino Linotype" w:eastAsia="Palatino Linotype" w:hAnsi="Palatino Linotype" w:cs="Palatino Linotype"/>
          <w:i/>
          <w:sz w:val="20"/>
          <w:szCs w:val="20"/>
        </w:rPr>
      </w:pPr>
    </w:p>
    <w:p w14:paraId="73EEE299"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De igual forma y derivado del cambio de administración municipal, efectuado el día primero de enero de dos mil veintidós, conforme a los artículos 16 y 19 de la Ley Orgánica Municipal del Estado de México y Municipios, y con fundamento en el artículo 158 de la Ley de la Materia, es que al día de la fecha, no se cuenta con los medios técnicos, administrativos y humanos suficientes </w:t>
      </w:r>
      <w:r w:rsidRPr="00005A13">
        <w:rPr>
          <w:rFonts w:ascii="Palatino Linotype" w:eastAsia="Palatino Linotype" w:hAnsi="Palatino Linotype" w:cs="Palatino Linotype"/>
          <w:i/>
          <w:sz w:val="20"/>
          <w:szCs w:val="20"/>
        </w:rPr>
        <w:lastRenderedPageBreak/>
        <w:t xml:space="preserve">para atender el requerimiento dentro del plazo señalado en el artículo 164 de la Ley, por lo tanto y con la finalidad de no conculcar los derechos del ciudadano, es que se solicita el cambio de modalidad a consulta directa, calendarizando la entrega de la información de la siguiente manera: </w:t>
      </w:r>
    </w:p>
    <w:p w14:paraId="2E77FDAC" w14:textId="77777777" w:rsidR="0045555F" w:rsidRPr="00005A13" w:rsidRDefault="0045555F">
      <w:pPr>
        <w:spacing w:line="360" w:lineRule="auto"/>
        <w:ind w:left="567" w:right="567"/>
        <w:jc w:val="both"/>
        <w:rPr>
          <w:rFonts w:ascii="Palatino Linotype" w:eastAsia="Palatino Linotype" w:hAnsi="Palatino Linotype" w:cs="Palatino Linotype"/>
          <w:i/>
          <w:sz w:val="20"/>
          <w:szCs w:val="20"/>
        </w:rPr>
      </w:pPr>
    </w:p>
    <w:p w14:paraId="4C4B6D26" w14:textId="77777777" w:rsidR="0045555F" w:rsidRPr="00005A13" w:rsidRDefault="00000000">
      <w:pPr>
        <w:spacing w:line="360" w:lineRule="auto"/>
        <w:ind w:left="567" w:right="567"/>
        <w:jc w:val="center"/>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noProof/>
          <w:sz w:val="20"/>
          <w:szCs w:val="20"/>
        </w:rPr>
        <w:drawing>
          <wp:inline distT="0" distB="0" distL="0" distR="0" wp14:anchorId="60C98067" wp14:editId="2D4FD420">
            <wp:extent cx="5057775" cy="962025"/>
            <wp:effectExtent l="0" t="0" r="0" b="0"/>
            <wp:docPr id="28" name="image5.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Texto&#10;&#10;Descripción generada automáticamente"/>
                    <pic:cNvPicPr preferRelativeResize="0"/>
                  </pic:nvPicPr>
                  <pic:blipFill>
                    <a:blip r:embed="rId11"/>
                    <a:srcRect/>
                    <a:stretch>
                      <a:fillRect/>
                    </a:stretch>
                  </pic:blipFill>
                  <pic:spPr>
                    <a:xfrm>
                      <a:off x="0" y="0"/>
                      <a:ext cx="5057775" cy="962025"/>
                    </a:xfrm>
                    <a:prstGeom prst="rect">
                      <a:avLst/>
                    </a:prstGeom>
                    <a:ln/>
                  </pic:spPr>
                </pic:pic>
              </a:graphicData>
            </a:graphic>
          </wp:inline>
        </w:drawing>
      </w:r>
    </w:p>
    <w:p w14:paraId="04A73774" w14:textId="77777777" w:rsidR="0045555F" w:rsidRPr="00005A13" w:rsidRDefault="0045555F">
      <w:pPr>
        <w:spacing w:line="360" w:lineRule="auto"/>
        <w:ind w:left="567" w:right="567"/>
        <w:jc w:val="both"/>
        <w:rPr>
          <w:rFonts w:ascii="Palatino Linotype" w:eastAsia="Palatino Linotype" w:hAnsi="Palatino Linotype" w:cs="Palatino Linotype"/>
          <w:i/>
          <w:sz w:val="20"/>
          <w:szCs w:val="20"/>
        </w:rPr>
      </w:pPr>
    </w:p>
    <w:p w14:paraId="1E071F28"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Par ejercer el derecho de acceso a la información deberá acudir el solicitante a las oficinas ubicadas en calle Matamoros s/n, Barrio de San Mateo, en Metepec, México donde será atendió por el servidor público Edgar Trujillo Flores.</w:t>
      </w:r>
    </w:p>
    <w:p w14:paraId="1242F5FC" w14:textId="77777777" w:rsidR="0045555F" w:rsidRPr="00005A13" w:rsidRDefault="0045555F">
      <w:pPr>
        <w:spacing w:line="360" w:lineRule="auto"/>
        <w:ind w:left="567" w:right="567"/>
        <w:jc w:val="both"/>
        <w:rPr>
          <w:rFonts w:ascii="Palatino Linotype" w:eastAsia="Palatino Linotype" w:hAnsi="Palatino Linotype" w:cs="Palatino Linotype"/>
          <w:i/>
          <w:sz w:val="20"/>
          <w:szCs w:val="20"/>
        </w:rPr>
      </w:pPr>
    </w:p>
    <w:p w14:paraId="2DE37DB8"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Aunado a lo anterior y en virtud de que la información solicitada contiene datos personales, la entrega se realizara en versión pública, solicitando al Comité de Transparencia su aprobación</w:t>
      </w:r>
    </w:p>
    <w:p w14:paraId="0B5AC607"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(Sic) </w:t>
      </w:r>
    </w:p>
    <w:p w14:paraId="346BA747" w14:textId="77777777" w:rsidR="0045555F" w:rsidRPr="00005A13" w:rsidRDefault="00000000">
      <w:pPr>
        <w:spacing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t xml:space="preserve">i) Oficio número DA/0468/2022 de fecha cuatro de febrero de dos mil veintidós suscrito por el </w:t>
      </w:r>
      <w:proofErr w:type="gramStart"/>
      <w:r w:rsidRPr="00005A13">
        <w:rPr>
          <w:rFonts w:ascii="Palatino Linotype" w:eastAsia="Palatino Linotype" w:hAnsi="Palatino Linotype" w:cs="Palatino Linotype"/>
        </w:rPr>
        <w:t>Director</w:t>
      </w:r>
      <w:proofErr w:type="gramEnd"/>
      <w:r w:rsidRPr="00005A13">
        <w:rPr>
          <w:rFonts w:ascii="Palatino Linotype" w:eastAsia="Palatino Linotype" w:hAnsi="Palatino Linotype" w:cs="Palatino Linotype"/>
        </w:rPr>
        <w:t xml:space="preserve"> de Administración, y es dirigido al Titular de la Unidad de Transparencia, de cuyo contenido es el siguiente:</w:t>
      </w:r>
    </w:p>
    <w:p w14:paraId="20FD1321" w14:textId="77777777" w:rsidR="0045555F" w:rsidRPr="00005A13" w:rsidRDefault="0045555F">
      <w:pPr>
        <w:spacing w:line="360" w:lineRule="auto"/>
        <w:jc w:val="both"/>
        <w:rPr>
          <w:rFonts w:ascii="Palatino Linotype" w:eastAsia="Palatino Linotype" w:hAnsi="Palatino Linotype" w:cs="Palatino Linotype"/>
        </w:rPr>
      </w:pPr>
    </w:p>
    <w:p w14:paraId="27D3A5A4"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w:t>
      </w:r>
    </w:p>
    <w:p w14:paraId="7D865772"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proofErr w:type="gramStart"/>
      <w:r w:rsidRPr="00005A13">
        <w:rPr>
          <w:rFonts w:ascii="Palatino Linotype" w:eastAsia="Palatino Linotype" w:hAnsi="Palatino Linotype" w:cs="Palatino Linotype"/>
          <w:i/>
          <w:sz w:val="20"/>
          <w:szCs w:val="20"/>
        </w:rPr>
        <w:lastRenderedPageBreak/>
        <w:t>Que</w:t>
      </w:r>
      <w:proofErr w:type="gramEnd"/>
      <w:r w:rsidRPr="00005A13">
        <w:rPr>
          <w:rFonts w:ascii="Palatino Linotype" w:eastAsia="Palatino Linotype" w:hAnsi="Palatino Linotype" w:cs="Palatino Linotype"/>
          <w:i/>
          <w:sz w:val="20"/>
          <w:szCs w:val="20"/>
        </w:rPr>
        <w:t xml:space="preserve"> habiendo realizado una búsqueda exhaustiva de la información en los archivos por parte del área correspondiente perteneciente a esta Dirección, no se localizó información relacionada con lo solicitado. </w:t>
      </w:r>
    </w:p>
    <w:p w14:paraId="25D5AC92"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(Sic) </w:t>
      </w:r>
    </w:p>
    <w:p w14:paraId="114A3622" w14:textId="77777777" w:rsidR="0045555F" w:rsidRPr="00005A13" w:rsidRDefault="0045555F">
      <w:pPr>
        <w:spacing w:line="360" w:lineRule="auto"/>
        <w:jc w:val="both"/>
        <w:rPr>
          <w:rFonts w:ascii="Palatino Linotype" w:eastAsia="Palatino Linotype" w:hAnsi="Palatino Linotype" w:cs="Palatino Linotype"/>
        </w:rPr>
      </w:pPr>
    </w:p>
    <w:p w14:paraId="670B68B4" w14:textId="77777777" w:rsidR="0045555F" w:rsidRPr="00005A13" w:rsidRDefault="00000000">
      <w:pPr>
        <w:spacing w:line="360" w:lineRule="auto"/>
        <w:jc w:val="both"/>
        <w:rPr>
          <w:rFonts w:ascii="Palatino Linotype" w:eastAsia="Palatino Linotype" w:hAnsi="Palatino Linotype" w:cs="Palatino Linotype"/>
        </w:rPr>
      </w:pPr>
      <w:proofErr w:type="spellStart"/>
      <w:r w:rsidRPr="00005A13">
        <w:rPr>
          <w:rFonts w:ascii="Palatino Linotype" w:eastAsia="Palatino Linotype" w:hAnsi="Palatino Linotype" w:cs="Palatino Linotype"/>
        </w:rPr>
        <w:t>ii</w:t>
      </w:r>
      <w:proofErr w:type="spellEnd"/>
      <w:r w:rsidRPr="00005A13">
        <w:rPr>
          <w:rFonts w:ascii="Palatino Linotype" w:eastAsia="Palatino Linotype" w:hAnsi="Palatino Linotype" w:cs="Palatino Linotype"/>
        </w:rPr>
        <w:t xml:space="preserve">) Oficio número: TM/0303/2022 de fecha treinta y uno de enero de dos mil veintidós, rubricado por el Tesorero Municipal y es remitido al Titular de la Unidad de Transparencia, por medio del cual señala: </w:t>
      </w:r>
    </w:p>
    <w:p w14:paraId="3BBC9DA1" w14:textId="77777777" w:rsidR="0045555F" w:rsidRPr="00005A13" w:rsidRDefault="0045555F">
      <w:pPr>
        <w:spacing w:line="360" w:lineRule="auto"/>
        <w:jc w:val="both"/>
        <w:rPr>
          <w:rFonts w:ascii="Palatino Linotype" w:eastAsia="Palatino Linotype" w:hAnsi="Palatino Linotype" w:cs="Palatino Linotype"/>
        </w:rPr>
      </w:pPr>
    </w:p>
    <w:p w14:paraId="4DF7F3F7"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w:t>
      </w:r>
    </w:p>
    <w:p w14:paraId="3C5739B3"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Me permito informar a usted que, la información solicita no le corresponde a esta Tesorería Municipal</w:t>
      </w:r>
    </w:p>
    <w:p w14:paraId="794D623D"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(Sic) </w:t>
      </w:r>
    </w:p>
    <w:p w14:paraId="28BEB2AD" w14:textId="77777777" w:rsidR="0045555F" w:rsidRPr="00005A13" w:rsidRDefault="0045555F">
      <w:pPr>
        <w:spacing w:line="360" w:lineRule="auto"/>
        <w:jc w:val="both"/>
        <w:rPr>
          <w:rFonts w:ascii="Palatino Linotype" w:eastAsia="Palatino Linotype" w:hAnsi="Palatino Linotype" w:cs="Palatino Linotype"/>
        </w:rPr>
      </w:pPr>
    </w:p>
    <w:p w14:paraId="36D95BB5" w14:textId="77777777" w:rsidR="0045555F" w:rsidRPr="00005A13" w:rsidRDefault="00000000">
      <w:pPr>
        <w:spacing w:line="360" w:lineRule="auto"/>
        <w:jc w:val="both"/>
        <w:rPr>
          <w:rFonts w:ascii="Palatino Linotype" w:eastAsia="Palatino Linotype" w:hAnsi="Palatino Linotype" w:cs="Palatino Linotype"/>
        </w:rPr>
      </w:pPr>
      <w:proofErr w:type="spellStart"/>
      <w:r w:rsidRPr="00005A13">
        <w:rPr>
          <w:rFonts w:ascii="Palatino Linotype" w:eastAsia="Palatino Linotype" w:hAnsi="Palatino Linotype" w:cs="Palatino Linotype"/>
        </w:rPr>
        <w:t>iii</w:t>
      </w:r>
      <w:proofErr w:type="spellEnd"/>
      <w:r w:rsidRPr="00005A13">
        <w:rPr>
          <w:rFonts w:ascii="Palatino Linotype" w:eastAsia="Palatino Linotype" w:hAnsi="Palatino Linotype" w:cs="Palatino Linotype"/>
        </w:rPr>
        <w:t xml:space="preserve">) Acta de la Sesión de Instalación y Primera Ordinaria del Ayuntamiento de Metepec, de cuyo contenido destaca lo siguiente: </w:t>
      </w:r>
    </w:p>
    <w:p w14:paraId="4BA005D2" w14:textId="77777777" w:rsidR="0045555F" w:rsidRPr="00005A13" w:rsidRDefault="0045555F">
      <w:pPr>
        <w:spacing w:line="360" w:lineRule="auto"/>
        <w:jc w:val="both"/>
        <w:rPr>
          <w:rFonts w:ascii="Palatino Linotype" w:eastAsia="Palatino Linotype" w:hAnsi="Palatino Linotype" w:cs="Palatino Linotype"/>
        </w:rPr>
      </w:pPr>
    </w:p>
    <w:p w14:paraId="550C25AD" w14:textId="77777777" w:rsidR="0045555F" w:rsidRPr="00005A13" w:rsidRDefault="00000000">
      <w:pPr>
        <w:spacing w:line="360" w:lineRule="auto"/>
        <w:jc w:val="center"/>
        <w:rPr>
          <w:rFonts w:ascii="Palatino Linotype" w:eastAsia="Palatino Linotype" w:hAnsi="Palatino Linotype" w:cs="Palatino Linotype"/>
        </w:rPr>
      </w:pPr>
      <w:r w:rsidRPr="00005A13">
        <w:rPr>
          <w:rFonts w:ascii="Palatino Linotype" w:eastAsia="Palatino Linotype" w:hAnsi="Palatino Linotype" w:cs="Palatino Linotype"/>
          <w:noProof/>
        </w:rPr>
        <w:lastRenderedPageBreak/>
        <w:drawing>
          <wp:inline distT="0" distB="0" distL="0" distR="0" wp14:anchorId="6A8987E5" wp14:editId="392F45D7">
            <wp:extent cx="3533775" cy="2343150"/>
            <wp:effectExtent l="0" t="0" r="0" b="0"/>
            <wp:docPr id="27" name="image3.png" descr="Una captura de pantalla de un celular&#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Una captura de pantalla de un celular&#10;&#10;Descripción generada automáticamente con confianza media"/>
                    <pic:cNvPicPr preferRelativeResize="0"/>
                  </pic:nvPicPr>
                  <pic:blipFill>
                    <a:blip r:embed="rId12"/>
                    <a:srcRect/>
                    <a:stretch>
                      <a:fillRect/>
                    </a:stretch>
                  </pic:blipFill>
                  <pic:spPr>
                    <a:xfrm>
                      <a:off x="0" y="0"/>
                      <a:ext cx="3533775" cy="2343150"/>
                    </a:xfrm>
                    <a:prstGeom prst="rect">
                      <a:avLst/>
                    </a:prstGeom>
                    <a:ln/>
                  </pic:spPr>
                </pic:pic>
              </a:graphicData>
            </a:graphic>
          </wp:inline>
        </w:drawing>
      </w:r>
    </w:p>
    <w:p w14:paraId="4E0E3643" w14:textId="77777777" w:rsidR="0045555F" w:rsidRPr="00005A13" w:rsidRDefault="00000000">
      <w:pPr>
        <w:spacing w:line="360" w:lineRule="auto"/>
        <w:jc w:val="center"/>
        <w:rPr>
          <w:rFonts w:ascii="Palatino Linotype" w:eastAsia="Palatino Linotype" w:hAnsi="Palatino Linotype" w:cs="Palatino Linotype"/>
        </w:rPr>
      </w:pPr>
      <w:r w:rsidRPr="00005A13">
        <w:rPr>
          <w:rFonts w:ascii="Palatino Linotype" w:eastAsia="Palatino Linotype" w:hAnsi="Palatino Linotype" w:cs="Palatino Linotype"/>
          <w:noProof/>
        </w:rPr>
        <w:drawing>
          <wp:inline distT="0" distB="0" distL="0" distR="0" wp14:anchorId="6597274A" wp14:editId="72CB2815">
            <wp:extent cx="3543300" cy="800100"/>
            <wp:effectExtent l="0" t="0" r="0" b="0"/>
            <wp:docPr id="30" name="image7.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Texto&#10;&#10;Descripción generada automáticamente"/>
                    <pic:cNvPicPr preferRelativeResize="0"/>
                  </pic:nvPicPr>
                  <pic:blipFill>
                    <a:blip r:embed="rId13"/>
                    <a:srcRect/>
                    <a:stretch>
                      <a:fillRect/>
                    </a:stretch>
                  </pic:blipFill>
                  <pic:spPr>
                    <a:xfrm>
                      <a:off x="0" y="0"/>
                      <a:ext cx="3543300" cy="800100"/>
                    </a:xfrm>
                    <a:prstGeom prst="rect">
                      <a:avLst/>
                    </a:prstGeom>
                    <a:ln/>
                  </pic:spPr>
                </pic:pic>
              </a:graphicData>
            </a:graphic>
          </wp:inline>
        </w:drawing>
      </w:r>
    </w:p>
    <w:p w14:paraId="12448F12" w14:textId="77777777" w:rsidR="0045555F" w:rsidRPr="00005A13" w:rsidRDefault="00000000">
      <w:pPr>
        <w:spacing w:line="360" w:lineRule="auto"/>
        <w:jc w:val="center"/>
        <w:rPr>
          <w:rFonts w:ascii="Palatino Linotype" w:eastAsia="Palatino Linotype" w:hAnsi="Palatino Linotype" w:cs="Palatino Linotype"/>
        </w:rPr>
      </w:pPr>
      <w:r w:rsidRPr="00005A13">
        <w:rPr>
          <w:rFonts w:ascii="Palatino Linotype" w:eastAsia="Palatino Linotype" w:hAnsi="Palatino Linotype" w:cs="Palatino Linotype"/>
          <w:noProof/>
        </w:rPr>
        <w:drawing>
          <wp:inline distT="0" distB="0" distL="0" distR="0" wp14:anchorId="76CDA489" wp14:editId="4A2E2629">
            <wp:extent cx="3533775" cy="2628900"/>
            <wp:effectExtent l="0" t="0" r="0" b="0"/>
            <wp:docPr id="29" name="image1.png" descr="Un periódico con texto e imágene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Un periódico con texto e imágenes&#10;&#10;Descripción generada automáticamente con confianza media"/>
                    <pic:cNvPicPr preferRelativeResize="0"/>
                  </pic:nvPicPr>
                  <pic:blipFill>
                    <a:blip r:embed="rId14"/>
                    <a:srcRect/>
                    <a:stretch>
                      <a:fillRect/>
                    </a:stretch>
                  </pic:blipFill>
                  <pic:spPr>
                    <a:xfrm>
                      <a:off x="0" y="0"/>
                      <a:ext cx="3533775" cy="2628900"/>
                    </a:xfrm>
                    <a:prstGeom prst="rect">
                      <a:avLst/>
                    </a:prstGeom>
                    <a:ln/>
                  </pic:spPr>
                </pic:pic>
              </a:graphicData>
            </a:graphic>
          </wp:inline>
        </w:drawing>
      </w:r>
    </w:p>
    <w:p w14:paraId="6B315A23" w14:textId="77777777" w:rsidR="0045555F" w:rsidRPr="00005A13" w:rsidRDefault="0045555F">
      <w:pPr>
        <w:spacing w:line="360" w:lineRule="auto"/>
        <w:jc w:val="both"/>
        <w:rPr>
          <w:rFonts w:ascii="Palatino Linotype" w:eastAsia="Palatino Linotype" w:hAnsi="Palatino Linotype" w:cs="Palatino Linotype"/>
        </w:rPr>
      </w:pPr>
    </w:p>
    <w:p w14:paraId="5F5BDE2F" w14:textId="77777777" w:rsidR="0045555F" w:rsidRPr="00005A13" w:rsidRDefault="00000000">
      <w:pPr>
        <w:spacing w:line="360" w:lineRule="auto"/>
        <w:jc w:val="center"/>
        <w:rPr>
          <w:rFonts w:ascii="Palatino Linotype" w:eastAsia="Palatino Linotype" w:hAnsi="Palatino Linotype" w:cs="Palatino Linotype"/>
        </w:rPr>
      </w:pPr>
      <w:r w:rsidRPr="00005A13">
        <w:rPr>
          <w:rFonts w:ascii="Palatino Linotype" w:eastAsia="Palatino Linotype" w:hAnsi="Palatino Linotype" w:cs="Palatino Linotype"/>
          <w:noProof/>
        </w:rPr>
        <w:lastRenderedPageBreak/>
        <w:drawing>
          <wp:inline distT="0" distB="0" distL="0" distR="0" wp14:anchorId="677ADF9D" wp14:editId="6FE17960">
            <wp:extent cx="3686175" cy="1390650"/>
            <wp:effectExtent l="0" t="0" r="0" b="0"/>
            <wp:docPr id="31" name="image6.png" descr="Imagen en blanco y negro de periódico con 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6.png" descr="Imagen en blanco y negro de periódico con texto&#10;&#10;Descripción generada automáticamente con confianza baja"/>
                    <pic:cNvPicPr preferRelativeResize="0"/>
                  </pic:nvPicPr>
                  <pic:blipFill>
                    <a:blip r:embed="rId15"/>
                    <a:srcRect/>
                    <a:stretch>
                      <a:fillRect/>
                    </a:stretch>
                  </pic:blipFill>
                  <pic:spPr>
                    <a:xfrm>
                      <a:off x="0" y="0"/>
                      <a:ext cx="3686175" cy="1390650"/>
                    </a:xfrm>
                    <a:prstGeom prst="rect">
                      <a:avLst/>
                    </a:prstGeom>
                    <a:ln/>
                  </pic:spPr>
                </pic:pic>
              </a:graphicData>
            </a:graphic>
          </wp:inline>
        </w:drawing>
      </w:r>
    </w:p>
    <w:p w14:paraId="62679973" w14:textId="77777777" w:rsidR="0045555F" w:rsidRPr="00005A13" w:rsidRDefault="0045555F">
      <w:pPr>
        <w:spacing w:line="360" w:lineRule="auto"/>
        <w:jc w:val="both"/>
        <w:rPr>
          <w:rFonts w:ascii="Palatino Linotype" w:eastAsia="Palatino Linotype" w:hAnsi="Palatino Linotype" w:cs="Palatino Linotype"/>
          <w:b/>
        </w:rPr>
      </w:pPr>
    </w:p>
    <w:p w14:paraId="3B76AB97" w14:textId="77777777" w:rsidR="0045555F" w:rsidRPr="00005A13" w:rsidRDefault="00000000">
      <w:pPr>
        <w:spacing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t xml:space="preserve">i) Oficio número: DA/0458/2022 de fecha cuatro de febrero de dos mil veintidós, suscrito por el </w:t>
      </w:r>
      <w:proofErr w:type="gramStart"/>
      <w:r w:rsidRPr="00005A13">
        <w:rPr>
          <w:rFonts w:ascii="Palatino Linotype" w:eastAsia="Palatino Linotype" w:hAnsi="Palatino Linotype" w:cs="Palatino Linotype"/>
        </w:rPr>
        <w:t>Director</w:t>
      </w:r>
      <w:proofErr w:type="gramEnd"/>
      <w:r w:rsidRPr="00005A13">
        <w:rPr>
          <w:rFonts w:ascii="Palatino Linotype" w:eastAsia="Palatino Linotype" w:hAnsi="Palatino Linotype" w:cs="Palatino Linotype"/>
        </w:rPr>
        <w:t xml:space="preserve"> de Administración y es remitido al Titular de la Unidad de Transparencia, por medio del cual manifiesta y expone: </w:t>
      </w:r>
    </w:p>
    <w:p w14:paraId="52A19F63"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w:t>
      </w:r>
    </w:p>
    <w:p w14:paraId="1D6C8982"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proofErr w:type="gramStart"/>
      <w:r w:rsidRPr="00005A13">
        <w:rPr>
          <w:rFonts w:ascii="Palatino Linotype" w:eastAsia="Palatino Linotype" w:hAnsi="Palatino Linotype" w:cs="Palatino Linotype"/>
          <w:i/>
          <w:sz w:val="20"/>
          <w:szCs w:val="20"/>
        </w:rPr>
        <w:t>Que</w:t>
      </w:r>
      <w:proofErr w:type="gramEnd"/>
      <w:r w:rsidRPr="00005A13">
        <w:rPr>
          <w:rFonts w:ascii="Palatino Linotype" w:eastAsia="Palatino Linotype" w:hAnsi="Palatino Linotype" w:cs="Palatino Linotype"/>
          <w:i/>
          <w:sz w:val="20"/>
          <w:szCs w:val="20"/>
        </w:rPr>
        <w:t xml:space="preserve"> habiendo realizado una búsqueda exhaustiva de la información en los archivos por parte del área correspondiente perteneciente a esta Dirección, no se localizó información relacionada con lo solicitado. </w:t>
      </w:r>
    </w:p>
    <w:p w14:paraId="67E41352"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 xml:space="preserve">…” (Sic) </w:t>
      </w:r>
    </w:p>
    <w:p w14:paraId="33C61B7D" w14:textId="77777777" w:rsidR="0045555F" w:rsidRPr="00005A13" w:rsidRDefault="0045555F">
      <w:pPr>
        <w:spacing w:line="360" w:lineRule="auto"/>
        <w:jc w:val="both"/>
        <w:rPr>
          <w:rFonts w:ascii="Palatino Linotype" w:eastAsia="Palatino Linotype" w:hAnsi="Palatino Linotype" w:cs="Palatino Linotype"/>
        </w:rPr>
      </w:pPr>
    </w:p>
    <w:p w14:paraId="52195710" w14:textId="77777777" w:rsidR="0045555F" w:rsidRPr="00005A13" w:rsidRDefault="00000000">
      <w:pPr>
        <w:spacing w:line="360" w:lineRule="auto"/>
        <w:jc w:val="both"/>
        <w:rPr>
          <w:rFonts w:ascii="Palatino Linotype" w:eastAsia="Palatino Linotype" w:hAnsi="Palatino Linotype" w:cs="Palatino Linotype"/>
        </w:rPr>
      </w:pPr>
      <w:proofErr w:type="spellStart"/>
      <w:r w:rsidRPr="00005A13">
        <w:rPr>
          <w:rFonts w:ascii="Palatino Linotype" w:eastAsia="Palatino Linotype" w:hAnsi="Palatino Linotype" w:cs="Palatino Linotype"/>
        </w:rPr>
        <w:t>ii</w:t>
      </w:r>
      <w:proofErr w:type="spellEnd"/>
      <w:r w:rsidRPr="00005A13">
        <w:rPr>
          <w:rFonts w:ascii="Palatino Linotype" w:eastAsia="Palatino Linotype" w:hAnsi="Palatino Linotype" w:cs="Palatino Linotype"/>
        </w:rPr>
        <w:t xml:space="preserve">) Oficio número: TM/0302/2022 de fecha treinta y uno de enero de dos mil veintidós, rubricado por el Tesorero Municipal y es remitido al Titular de la Unidad de Transparencia, por medio del cual señala: </w:t>
      </w:r>
    </w:p>
    <w:p w14:paraId="312DD3AF"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w:t>
      </w:r>
    </w:p>
    <w:p w14:paraId="461EB65E"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t>Me permito informar a usted que, la información solicita no le corresponde a esta Tesorería Municipal</w:t>
      </w:r>
    </w:p>
    <w:p w14:paraId="23470D2A" w14:textId="77777777" w:rsidR="0045555F" w:rsidRPr="00005A13" w:rsidRDefault="00000000">
      <w:pPr>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sz w:val="20"/>
          <w:szCs w:val="20"/>
        </w:rPr>
        <w:lastRenderedPageBreak/>
        <w:t xml:space="preserve">…” (Sic) </w:t>
      </w:r>
    </w:p>
    <w:p w14:paraId="77D0D600" w14:textId="77777777" w:rsidR="0045555F" w:rsidRPr="00005A13" w:rsidRDefault="00000000">
      <w:pPr>
        <w:tabs>
          <w:tab w:val="left" w:pos="7513"/>
        </w:tabs>
        <w:spacing w:before="120" w:after="120" w:line="360" w:lineRule="auto"/>
        <w:ind w:right="-3"/>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sz w:val="24"/>
          <w:szCs w:val="24"/>
        </w:rPr>
        <w:t xml:space="preserve">Una vez conocida la respuesta del Sujeto Obligado, el ahora Recurrente interpuso el medio de impugnación citado al rubro, expresando lo siguiente: </w:t>
      </w:r>
    </w:p>
    <w:p w14:paraId="21AEC4B9" w14:textId="77777777" w:rsidR="0045555F" w:rsidRPr="00005A13" w:rsidRDefault="0045555F">
      <w:pPr>
        <w:spacing w:line="360" w:lineRule="auto"/>
        <w:jc w:val="both"/>
        <w:rPr>
          <w:rFonts w:ascii="Palatino Linotype" w:eastAsia="Palatino Linotype" w:hAnsi="Palatino Linotype" w:cs="Palatino Linotype"/>
        </w:rPr>
      </w:pPr>
      <w:bookmarkStart w:id="1" w:name="_heading=h.30j0zll" w:colFirst="0" w:colLast="0"/>
      <w:bookmarkEnd w:id="1"/>
    </w:p>
    <w:p w14:paraId="48BDB776" w14:textId="77777777" w:rsidR="0045555F" w:rsidRPr="00005A13" w:rsidRDefault="00000000">
      <w:pPr>
        <w:tabs>
          <w:tab w:val="left" w:pos="4667"/>
        </w:tabs>
        <w:spacing w:line="360" w:lineRule="auto"/>
        <w:ind w:left="567" w:right="567"/>
        <w:jc w:val="both"/>
        <w:rPr>
          <w:rFonts w:ascii="Palatino Linotype" w:eastAsia="Palatino Linotype" w:hAnsi="Palatino Linotype" w:cs="Palatino Linotype"/>
          <w:b/>
          <w:i/>
          <w:sz w:val="20"/>
          <w:szCs w:val="20"/>
        </w:rPr>
      </w:pPr>
      <w:r w:rsidRPr="00005A13">
        <w:rPr>
          <w:rFonts w:ascii="Palatino Linotype" w:eastAsia="Palatino Linotype" w:hAnsi="Palatino Linotype" w:cs="Palatino Linotype"/>
          <w:b/>
          <w:i/>
          <w:sz w:val="20"/>
          <w:szCs w:val="20"/>
        </w:rPr>
        <w:t>“ACTO IMPUGNADO</w:t>
      </w:r>
    </w:p>
    <w:p w14:paraId="313403EF" w14:textId="77777777" w:rsidR="0045555F" w:rsidRPr="00005A13" w:rsidRDefault="00000000">
      <w:pPr>
        <w:tabs>
          <w:tab w:val="left" w:pos="4667"/>
        </w:tabs>
        <w:spacing w:line="360" w:lineRule="auto"/>
        <w:ind w:left="567" w:right="567"/>
        <w:jc w:val="both"/>
        <w:rPr>
          <w:rFonts w:ascii="Palatino Linotype" w:eastAsia="Palatino Linotype" w:hAnsi="Palatino Linotype" w:cs="Palatino Linotype"/>
          <w:i/>
          <w:sz w:val="20"/>
          <w:szCs w:val="20"/>
        </w:rPr>
      </w:pPr>
      <w:r w:rsidRPr="00005A13">
        <w:rPr>
          <w:rFonts w:ascii="Palatino Linotype" w:eastAsia="Palatino Linotype" w:hAnsi="Palatino Linotype" w:cs="Palatino Linotype"/>
          <w:i/>
          <w:color w:val="000000"/>
          <w:sz w:val="20"/>
          <w:szCs w:val="20"/>
        </w:rPr>
        <w:t>La respuesta proporcionada por el Sujeto Obligado</w:t>
      </w:r>
      <w:r w:rsidRPr="00005A13">
        <w:rPr>
          <w:rFonts w:ascii="Palatino Linotype" w:eastAsia="Palatino Linotype" w:hAnsi="Palatino Linotype" w:cs="Palatino Linotype"/>
          <w:i/>
          <w:sz w:val="20"/>
          <w:szCs w:val="20"/>
        </w:rPr>
        <w:t>.” (Sic.)</w:t>
      </w:r>
    </w:p>
    <w:p w14:paraId="3387A80A" w14:textId="77777777" w:rsidR="0045555F" w:rsidRPr="00005A13" w:rsidRDefault="0045555F">
      <w:pPr>
        <w:tabs>
          <w:tab w:val="left" w:pos="4667"/>
        </w:tabs>
        <w:spacing w:line="360" w:lineRule="auto"/>
        <w:ind w:left="567" w:right="567"/>
        <w:jc w:val="both"/>
        <w:rPr>
          <w:rFonts w:ascii="Palatino Linotype" w:eastAsia="Palatino Linotype" w:hAnsi="Palatino Linotype" w:cs="Palatino Linotype"/>
          <w:b/>
          <w:i/>
          <w:sz w:val="20"/>
          <w:szCs w:val="20"/>
        </w:rPr>
      </w:pPr>
    </w:p>
    <w:p w14:paraId="764654A8" w14:textId="77777777" w:rsidR="0045555F" w:rsidRPr="00005A13" w:rsidRDefault="00000000">
      <w:pPr>
        <w:tabs>
          <w:tab w:val="left" w:pos="4667"/>
        </w:tabs>
        <w:spacing w:line="360" w:lineRule="auto"/>
        <w:ind w:left="567" w:right="567"/>
        <w:jc w:val="both"/>
        <w:rPr>
          <w:rFonts w:ascii="Palatino Linotype" w:eastAsia="Palatino Linotype" w:hAnsi="Palatino Linotype" w:cs="Palatino Linotype"/>
          <w:b/>
          <w:i/>
          <w:sz w:val="20"/>
          <w:szCs w:val="20"/>
        </w:rPr>
      </w:pPr>
      <w:r w:rsidRPr="00005A13">
        <w:rPr>
          <w:rFonts w:ascii="Palatino Linotype" w:eastAsia="Palatino Linotype" w:hAnsi="Palatino Linotype" w:cs="Palatino Linotype"/>
          <w:b/>
          <w:i/>
          <w:sz w:val="20"/>
          <w:szCs w:val="20"/>
        </w:rPr>
        <w:t>“RAZONES O MOTIVOS DE LA INCONFORMIDAD</w:t>
      </w:r>
    </w:p>
    <w:p w14:paraId="032AA6BF" w14:textId="77777777" w:rsidR="0045555F" w:rsidRPr="00005A13" w:rsidRDefault="00000000">
      <w:pPr>
        <w:spacing w:line="360" w:lineRule="auto"/>
        <w:ind w:left="567" w:right="567"/>
        <w:jc w:val="both"/>
        <w:rPr>
          <w:rFonts w:ascii="Palatino Linotype" w:eastAsia="Palatino Linotype" w:hAnsi="Palatino Linotype" w:cs="Palatino Linotype"/>
          <w:i/>
          <w:color w:val="000000"/>
          <w:sz w:val="20"/>
          <w:szCs w:val="20"/>
        </w:rPr>
      </w:pPr>
      <w:r w:rsidRPr="00005A13">
        <w:rPr>
          <w:rFonts w:ascii="Palatino Linotype" w:eastAsia="Palatino Linotype" w:hAnsi="Palatino Linotype" w:cs="Palatino Linotype"/>
          <w:i/>
          <w:color w:val="000000"/>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w:t>
      </w:r>
      <w:r w:rsidRPr="00005A13">
        <w:rPr>
          <w:rFonts w:ascii="Palatino Linotype" w:eastAsia="Palatino Linotype" w:hAnsi="Palatino Linotype" w:cs="Palatino Linotype"/>
          <w:i/>
          <w:color w:val="000000"/>
          <w:sz w:val="20"/>
          <w:szCs w:val="20"/>
        </w:rPr>
        <w:lastRenderedPageBreak/>
        <w:t xml:space="preserve">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005A13">
        <w:rPr>
          <w:rFonts w:ascii="Palatino Linotype" w:eastAsia="Palatino Linotype" w:hAnsi="Palatino Linotype" w:cs="Palatino Linotype"/>
          <w:i/>
          <w:color w:val="000000"/>
          <w:sz w:val="20"/>
          <w:szCs w:val="20"/>
        </w:rPr>
        <w:t>de acuerdo a</w:t>
      </w:r>
      <w:proofErr w:type="gramEnd"/>
      <w:r w:rsidRPr="00005A13">
        <w:rPr>
          <w:rFonts w:ascii="Palatino Linotype" w:eastAsia="Palatino Linotype" w:hAnsi="Palatino Linotype" w:cs="Palatino Linotype"/>
          <w:i/>
          <w:color w:val="000000"/>
          <w:sz w:val="20"/>
          <w:szCs w:val="20"/>
        </w:rPr>
        <w:t xml:space="preserve"> lo señalado por el artículo 177 de la ley en mención.” (Sic) </w:t>
      </w:r>
    </w:p>
    <w:p w14:paraId="164BAEA7" w14:textId="77777777" w:rsidR="0045555F" w:rsidRPr="00005A13" w:rsidRDefault="0045555F">
      <w:pPr>
        <w:spacing w:after="0" w:line="240" w:lineRule="auto"/>
        <w:ind w:left="850"/>
        <w:rPr>
          <w:rFonts w:ascii="Palatino Linotype" w:eastAsia="Palatino Linotype" w:hAnsi="Palatino Linotype" w:cs="Palatino Linotype"/>
          <w:i/>
        </w:rPr>
      </w:pPr>
    </w:p>
    <w:p w14:paraId="7077F829" w14:textId="77777777" w:rsidR="0045555F" w:rsidRPr="00005A13" w:rsidRDefault="0045555F">
      <w:pPr>
        <w:spacing w:after="0" w:line="240" w:lineRule="auto"/>
        <w:ind w:left="850"/>
        <w:rPr>
          <w:rFonts w:ascii="Palatino Linotype" w:eastAsia="Palatino Linotype" w:hAnsi="Palatino Linotype" w:cs="Palatino Linotype"/>
          <w:i/>
        </w:rPr>
      </w:pPr>
    </w:p>
    <w:p w14:paraId="45783647" w14:textId="77777777" w:rsidR="0045555F" w:rsidRPr="00005A13" w:rsidRDefault="00000000">
      <w:pPr>
        <w:spacing w:before="120" w:after="120" w:line="360" w:lineRule="auto"/>
        <w:jc w:val="both"/>
        <w:rPr>
          <w:rFonts w:ascii="Palatino Linotype" w:eastAsia="Palatino Linotype" w:hAnsi="Palatino Linotype" w:cs="Palatino Linotype"/>
        </w:rPr>
      </w:pPr>
      <w:r w:rsidRPr="00005A13">
        <w:rPr>
          <w:rFonts w:ascii="Palatino Linotype" w:eastAsia="Palatino Linotype" w:hAnsi="Palatino Linotype" w:cs="Palatino Linotype"/>
        </w:rPr>
        <w:t xml:space="preserve">Mediante informe justificado, el Sujeto Obligado, ratifica en términos generales su </w:t>
      </w:r>
      <w:proofErr w:type="gramStart"/>
      <w:r w:rsidRPr="00005A13">
        <w:rPr>
          <w:rFonts w:ascii="Palatino Linotype" w:eastAsia="Palatino Linotype" w:hAnsi="Palatino Linotype" w:cs="Palatino Linotype"/>
        </w:rPr>
        <w:t>respuesta  y</w:t>
      </w:r>
      <w:proofErr w:type="gramEnd"/>
      <w:r w:rsidRPr="00005A13">
        <w:rPr>
          <w:rFonts w:ascii="Palatino Linotype" w:eastAsia="Palatino Linotype" w:hAnsi="Palatino Linotype" w:cs="Palatino Linotype"/>
        </w:rPr>
        <w:t xml:space="preserve"> solicita se sobresea debido al número excesivo de estas, mismas que sobrepasan las capacidades técnicas, administrativas y humanas del sujeto obligado, para cumplir con las solicitudes en los plazos establecidos.</w:t>
      </w:r>
    </w:p>
    <w:p w14:paraId="2FC72586" w14:textId="77777777" w:rsidR="0045555F" w:rsidRPr="00005A13" w:rsidRDefault="0045555F">
      <w:pPr>
        <w:spacing w:before="120" w:after="120" w:line="360" w:lineRule="auto"/>
        <w:jc w:val="both"/>
        <w:rPr>
          <w:rFonts w:ascii="Palatino Linotype" w:eastAsia="Palatino Linotype" w:hAnsi="Palatino Linotype" w:cs="Palatino Linotype"/>
        </w:rPr>
      </w:pPr>
    </w:p>
    <w:p w14:paraId="05F75675" w14:textId="77777777" w:rsidR="0045555F" w:rsidRPr="00005A13" w:rsidRDefault="00000000">
      <w:pPr>
        <w:spacing w:before="120" w:after="120" w:line="360" w:lineRule="auto"/>
        <w:ind w:right="-3"/>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sz w:val="24"/>
          <w:szCs w:val="24"/>
        </w:rPr>
        <w:t xml:space="preserve">Así las cosas, el Comisionado Ponente </w:t>
      </w:r>
      <w:r w:rsidRPr="00005A13">
        <w:rPr>
          <w:rFonts w:ascii="Palatino Linotype" w:eastAsia="Palatino Linotype" w:hAnsi="Palatino Linotype" w:cs="Palatino Linotype"/>
          <w:b/>
          <w:sz w:val="24"/>
          <w:szCs w:val="24"/>
          <w:u w:val="single"/>
        </w:rPr>
        <w:t>determinó confirmar, modificar y revocar las respuestas del Sujeto Obligado</w:t>
      </w:r>
      <w:r w:rsidRPr="00005A13">
        <w:rPr>
          <w:rFonts w:ascii="Palatino Linotype" w:eastAsia="Palatino Linotype" w:hAnsi="Palatino Linotype" w:cs="Palatino Linotype"/>
          <w:sz w:val="24"/>
          <w:szCs w:val="24"/>
        </w:rPr>
        <w:t xml:space="preserve"> y ordenar la entrega de lo siguiente:  </w:t>
      </w:r>
    </w:p>
    <w:p w14:paraId="7CBC72A2" w14:textId="77777777"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“Se ORDENA al Sujeto Obligado, a efecto de que, previa búsqueda exhaustiva y razonable en todas las unidades administrativas competentes, entregue, a través del Sistema de Acceso a la Información Mexiquense (SAIMEX), en su caso, en versión pública, respecto a los ejercicios fiscales dos mil dieciséis, dos mil diecisiete y dos mil dieciocho, los documentos donde conste lo siguiente:</w:t>
      </w:r>
    </w:p>
    <w:p w14:paraId="6486B087" w14:textId="77777777" w:rsidR="0045555F" w:rsidRPr="00005A13" w:rsidRDefault="0045555F">
      <w:pPr>
        <w:spacing w:before="120" w:after="120" w:line="276" w:lineRule="auto"/>
        <w:ind w:left="567" w:right="990"/>
        <w:jc w:val="both"/>
        <w:rPr>
          <w:rFonts w:ascii="Palatino Linotype" w:eastAsia="Palatino Linotype" w:hAnsi="Palatino Linotype" w:cs="Palatino Linotype"/>
          <w:i/>
        </w:rPr>
      </w:pPr>
    </w:p>
    <w:p w14:paraId="1E2F18AA" w14:textId="77777777"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a)</w:t>
      </w:r>
      <w:r w:rsidRPr="00005A13">
        <w:rPr>
          <w:rFonts w:ascii="Palatino Linotype" w:eastAsia="Palatino Linotype" w:hAnsi="Palatino Linotype" w:cs="Palatino Linotype"/>
          <w:i/>
        </w:rPr>
        <w:tab/>
        <w:t xml:space="preserve">Los resguardos de vehículos oficiales; </w:t>
      </w:r>
    </w:p>
    <w:p w14:paraId="0FD201A2" w14:textId="77777777" w:rsidR="0045555F" w:rsidRPr="00005A13" w:rsidRDefault="0045555F">
      <w:pPr>
        <w:spacing w:before="120" w:after="120" w:line="276" w:lineRule="auto"/>
        <w:ind w:left="567" w:right="990"/>
        <w:jc w:val="both"/>
        <w:rPr>
          <w:rFonts w:ascii="Palatino Linotype" w:eastAsia="Palatino Linotype" w:hAnsi="Palatino Linotype" w:cs="Palatino Linotype"/>
          <w:i/>
        </w:rPr>
      </w:pPr>
    </w:p>
    <w:p w14:paraId="06956F75" w14:textId="77777777"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b)</w:t>
      </w:r>
      <w:r w:rsidRPr="00005A13">
        <w:rPr>
          <w:rFonts w:ascii="Palatino Linotype" w:eastAsia="Palatino Linotype" w:hAnsi="Palatino Linotype" w:cs="Palatino Linotype"/>
          <w:i/>
        </w:rPr>
        <w:tab/>
        <w:t>Los expedientes de los vehículos oficiales;</w:t>
      </w:r>
    </w:p>
    <w:p w14:paraId="2DE1998C" w14:textId="77777777" w:rsidR="0045555F" w:rsidRPr="00005A13" w:rsidRDefault="0045555F">
      <w:pPr>
        <w:spacing w:before="120" w:after="120" w:line="276" w:lineRule="auto"/>
        <w:ind w:left="567" w:right="990"/>
        <w:jc w:val="both"/>
        <w:rPr>
          <w:rFonts w:ascii="Palatino Linotype" w:eastAsia="Palatino Linotype" w:hAnsi="Palatino Linotype" w:cs="Palatino Linotype"/>
          <w:i/>
        </w:rPr>
      </w:pPr>
    </w:p>
    <w:p w14:paraId="42CC529F" w14:textId="77777777"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c)</w:t>
      </w:r>
      <w:r w:rsidRPr="00005A13">
        <w:rPr>
          <w:rFonts w:ascii="Palatino Linotype" w:eastAsia="Palatino Linotype" w:hAnsi="Palatino Linotype" w:cs="Palatino Linotype"/>
          <w:i/>
        </w:rPr>
        <w:tab/>
        <w:t>El Plan Anual de Mantenimiento al Parque Vehicular de dos mil dieciséis y diecisiete, y</w:t>
      </w:r>
    </w:p>
    <w:p w14:paraId="338A7188" w14:textId="77777777"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d)</w:t>
      </w:r>
      <w:r w:rsidRPr="00005A13">
        <w:rPr>
          <w:rFonts w:ascii="Palatino Linotype" w:eastAsia="Palatino Linotype" w:hAnsi="Palatino Linotype" w:cs="Palatino Linotype"/>
          <w:i/>
        </w:rPr>
        <w:tab/>
        <w:t>El número total de siniestros que hayan tenido los vehículos oficiales.</w:t>
      </w:r>
    </w:p>
    <w:p w14:paraId="61324B17" w14:textId="77777777" w:rsidR="0045555F" w:rsidRPr="00005A13" w:rsidRDefault="0045555F">
      <w:pPr>
        <w:spacing w:before="120" w:after="120" w:line="276" w:lineRule="auto"/>
        <w:ind w:left="567" w:right="990"/>
        <w:jc w:val="both"/>
        <w:rPr>
          <w:rFonts w:ascii="Palatino Linotype" w:eastAsia="Palatino Linotype" w:hAnsi="Palatino Linotype" w:cs="Palatino Linotype"/>
          <w:i/>
        </w:rPr>
      </w:pPr>
    </w:p>
    <w:p w14:paraId="6177A5A4" w14:textId="77777777"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461A812F" w14:textId="77777777" w:rsidR="0045555F" w:rsidRPr="00005A13" w:rsidRDefault="0045555F">
      <w:pPr>
        <w:spacing w:before="120" w:after="120" w:line="276" w:lineRule="auto"/>
        <w:ind w:left="567" w:right="990"/>
        <w:jc w:val="both"/>
        <w:rPr>
          <w:rFonts w:ascii="Palatino Linotype" w:eastAsia="Palatino Linotype" w:hAnsi="Palatino Linotype" w:cs="Palatino Linotype"/>
          <w:i/>
        </w:rPr>
      </w:pPr>
    </w:p>
    <w:p w14:paraId="01DAC48A" w14:textId="77777777"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 xml:space="preserve">Para el caso, de no contar con los documentos que den cuenta de los incisos a), b) y c), deberá proporcionar el Acuerdo del Comité de Transparencia, donde confirme la </w:t>
      </w:r>
      <w:r w:rsidRPr="00005A13">
        <w:rPr>
          <w:rFonts w:ascii="Palatino Linotype" w:eastAsia="Palatino Linotype" w:hAnsi="Palatino Linotype" w:cs="Palatino Linotype"/>
          <w:i/>
        </w:rPr>
        <w:lastRenderedPageBreak/>
        <w:t>inexistencia de este, conforme a lo establecido en el artículo 19, párrafo tercero, 169 y 170, de la Ley de Transparencia y Acceso a la Información Pública del Estado de México y Municipios.</w:t>
      </w:r>
    </w:p>
    <w:p w14:paraId="40B29B27" w14:textId="77777777" w:rsidR="0045555F" w:rsidRPr="00005A13" w:rsidRDefault="0045555F">
      <w:pPr>
        <w:spacing w:before="120" w:after="120" w:line="276" w:lineRule="auto"/>
        <w:ind w:left="567" w:right="990"/>
        <w:jc w:val="both"/>
        <w:rPr>
          <w:rFonts w:ascii="Palatino Linotype" w:eastAsia="Palatino Linotype" w:hAnsi="Palatino Linotype" w:cs="Palatino Linotype"/>
          <w:i/>
        </w:rPr>
      </w:pPr>
    </w:p>
    <w:p w14:paraId="1EF709C7" w14:textId="77777777"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Para el supuesto, respecto al inciso d, que no haya habido algún siniestro con vehículos oficiales, deberá hacerlo del conocimiento de manera clara y precisa.</w:t>
      </w:r>
    </w:p>
    <w:p w14:paraId="063EE346" w14:textId="77777777" w:rsidR="0045555F" w:rsidRPr="00005A13" w:rsidRDefault="0045555F">
      <w:pPr>
        <w:spacing w:before="120" w:after="120" w:line="276" w:lineRule="auto"/>
        <w:ind w:left="567" w:right="990"/>
        <w:jc w:val="both"/>
        <w:rPr>
          <w:rFonts w:ascii="Palatino Linotype" w:eastAsia="Palatino Linotype" w:hAnsi="Palatino Linotype" w:cs="Palatino Linotype"/>
          <w:i/>
        </w:rPr>
      </w:pPr>
    </w:p>
    <w:p w14:paraId="35A1AEF3" w14:textId="7D4A62F5" w:rsidR="0045555F" w:rsidRPr="00005A13" w:rsidRDefault="00000000">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 xml:space="preserve">Para el caso de que exista algún impedimento para proporcionar la documentación que dé cuenta de lo solicitado de los puntos a y b, a través del Sistema de Acceso a la Información Mexiquense (SAIMEX), conforme a lo señalado en el Considerando QUINTO, deberá informárselo al ahora Recurrente, de manera fundada y motivada, así como, poner a disposición la información en otras modalidades, en atención al formato en que se encuentre la documentación, tales como, correo electrónico, en un vínculo electrónico, disco compacto, dispositivo de almacenamiento, copias simples o certificadas, con posibilidad de entrega en la Unidad de Transparencia o a domicilio por correo certificado, previo pago de los derechos correspondientes. En su caso podrá acceder de manera gratuita a la información si proporciona el medio electrónico y recoge la información en la Unidad de </w:t>
      </w:r>
      <w:proofErr w:type="gramStart"/>
      <w:r w:rsidRPr="00005A13">
        <w:rPr>
          <w:rFonts w:ascii="Palatino Linotype" w:eastAsia="Palatino Linotype" w:hAnsi="Palatino Linotype" w:cs="Palatino Linotype"/>
          <w:i/>
        </w:rPr>
        <w:t>Transparencia..</w:t>
      </w:r>
      <w:proofErr w:type="gramEnd"/>
      <w:r w:rsidRPr="00005A13">
        <w:rPr>
          <w:rFonts w:ascii="Palatino Linotype" w:eastAsia="Palatino Linotype" w:hAnsi="Palatino Linotype" w:cs="Palatino Linotype"/>
          <w:i/>
        </w:rPr>
        <w:t>”</w:t>
      </w:r>
    </w:p>
    <w:p w14:paraId="29C34D63" w14:textId="447C9685" w:rsidR="001F5463" w:rsidRPr="00005A13" w:rsidRDefault="001F5463">
      <w:pPr>
        <w:spacing w:before="120" w:after="120" w:line="276" w:lineRule="auto"/>
        <w:ind w:left="567" w:right="990"/>
        <w:jc w:val="both"/>
        <w:rPr>
          <w:rFonts w:ascii="Palatino Linotype" w:eastAsia="Palatino Linotype" w:hAnsi="Palatino Linotype" w:cs="Palatino Linotype"/>
          <w:i/>
        </w:rPr>
      </w:pPr>
    </w:p>
    <w:p w14:paraId="28AAE70F" w14:textId="11079325" w:rsidR="001F5463" w:rsidRPr="00005A13" w:rsidRDefault="001F5463" w:rsidP="001F5463">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t>“</w:t>
      </w:r>
      <w:r w:rsidRPr="00005A13">
        <w:rPr>
          <w:rFonts w:ascii="Palatino Linotype" w:eastAsia="Palatino Linotype" w:hAnsi="Palatino Linotype" w:cs="Palatino Linotype"/>
          <w:i/>
        </w:rPr>
        <w:t>QUINTO. NOTIFÍQUESE la presente resolución al Titular de la Unidad de Transparencia del</w:t>
      </w:r>
      <w:r w:rsidRPr="00005A13">
        <w:rPr>
          <w:rFonts w:ascii="Palatino Linotype" w:eastAsia="Palatino Linotype" w:hAnsi="Palatino Linotype" w:cs="Palatino Linotype"/>
          <w:i/>
        </w:rPr>
        <w:t xml:space="preserve"> </w:t>
      </w:r>
      <w:r w:rsidRPr="00005A13">
        <w:rPr>
          <w:rFonts w:ascii="Palatino Linotype" w:eastAsia="Palatino Linotype" w:hAnsi="Palatino Linotype" w:cs="Palatino Linotype"/>
          <w:i/>
        </w:rPr>
        <w:t>Sujeto Obligado, para que conforme al artículo 186 último párrafo, 189 segundo párrafo y</w:t>
      </w:r>
      <w:r w:rsidRPr="00005A13">
        <w:rPr>
          <w:rFonts w:ascii="Palatino Linotype" w:eastAsia="Palatino Linotype" w:hAnsi="Palatino Linotype" w:cs="Palatino Linotype"/>
          <w:i/>
        </w:rPr>
        <w:t xml:space="preserve"> </w:t>
      </w:r>
      <w:r w:rsidRPr="00005A13">
        <w:rPr>
          <w:rFonts w:ascii="Palatino Linotype" w:eastAsia="Palatino Linotype" w:hAnsi="Palatino Linotype" w:cs="Palatino Linotype"/>
          <w:i/>
        </w:rPr>
        <w:t>194 de la Ley de Transparencia y Acceso a la Información Pública del Estado de México y</w:t>
      </w:r>
      <w:r w:rsidRPr="00005A13">
        <w:rPr>
          <w:rFonts w:ascii="Palatino Linotype" w:eastAsia="Palatino Linotype" w:hAnsi="Palatino Linotype" w:cs="Palatino Linotype"/>
          <w:i/>
        </w:rPr>
        <w:t xml:space="preserve"> </w:t>
      </w:r>
      <w:r w:rsidRPr="00005A13">
        <w:rPr>
          <w:rFonts w:ascii="Palatino Linotype" w:eastAsia="Palatino Linotype" w:hAnsi="Palatino Linotype" w:cs="Palatino Linotype"/>
          <w:i/>
        </w:rPr>
        <w:t>Municipios; dé cumplimiento a lo ordenado dentro del plazo de treinta días hábiles, e</w:t>
      </w:r>
      <w:r w:rsidRPr="00005A13">
        <w:rPr>
          <w:rFonts w:ascii="Palatino Linotype" w:eastAsia="Palatino Linotype" w:hAnsi="Palatino Linotype" w:cs="Palatino Linotype"/>
          <w:i/>
        </w:rPr>
        <w:t xml:space="preserve"> </w:t>
      </w:r>
      <w:r w:rsidRPr="00005A13">
        <w:rPr>
          <w:rFonts w:ascii="Palatino Linotype" w:eastAsia="Palatino Linotype" w:hAnsi="Palatino Linotype" w:cs="Palatino Linotype"/>
          <w:i/>
        </w:rPr>
        <w:t>informe a este Instituto en un plazo de tres días hábiles siguientes sobre el cumplimiento</w:t>
      </w:r>
      <w:r w:rsidRPr="00005A13">
        <w:rPr>
          <w:rFonts w:ascii="Palatino Linotype" w:eastAsia="Palatino Linotype" w:hAnsi="Palatino Linotype" w:cs="Palatino Linotype"/>
          <w:i/>
        </w:rPr>
        <w:t xml:space="preserve"> </w:t>
      </w:r>
      <w:r w:rsidRPr="00005A13">
        <w:rPr>
          <w:rFonts w:ascii="Palatino Linotype" w:eastAsia="Palatino Linotype" w:hAnsi="Palatino Linotype" w:cs="Palatino Linotype"/>
          <w:i/>
        </w:rPr>
        <w:t>dado a la presente.</w:t>
      </w:r>
    </w:p>
    <w:p w14:paraId="3F6F050A" w14:textId="77777777" w:rsidR="001F5463" w:rsidRPr="00005A13" w:rsidRDefault="001F5463" w:rsidP="001F5463">
      <w:pPr>
        <w:spacing w:before="120" w:after="120" w:line="276" w:lineRule="auto"/>
        <w:ind w:left="567" w:right="990"/>
        <w:jc w:val="both"/>
        <w:rPr>
          <w:rFonts w:ascii="Palatino Linotype" w:eastAsia="Palatino Linotype" w:hAnsi="Palatino Linotype" w:cs="Palatino Linotype"/>
          <w:i/>
        </w:rPr>
      </w:pPr>
    </w:p>
    <w:p w14:paraId="7AA7580F" w14:textId="46F561F5" w:rsidR="001F5463" w:rsidRPr="00005A13" w:rsidRDefault="001F5463" w:rsidP="001F5463">
      <w:pPr>
        <w:spacing w:before="120" w:after="120" w:line="276" w:lineRule="auto"/>
        <w:ind w:left="567" w:right="990"/>
        <w:jc w:val="both"/>
        <w:rPr>
          <w:rFonts w:ascii="Palatino Linotype" w:eastAsia="Palatino Linotype" w:hAnsi="Palatino Linotype" w:cs="Palatino Linotype"/>
          <w:i/>
        </w:rPr>
      </w:pPr>
      <w:r w:rsidRPr="00005A13">
        <w:rPr>
          <w:rFonts w:ascii="Palatino Linotype" w:eastAsia="Palatino Linotype" w:hAnsi="Palatino Linotype" w:cs="Palatino Linotype"/>
          <w:i/>
        </w:rPr>
        <w:lastRenderedPageBreak/>
        <w:t>De conformidad con el artículo 198 de la Ley de Transparencia y Acceso a la Información</w:t>
      </w:r>
      <w:r w:rsidRPr="00005A13">
        <w:rPr>
          <w:rFonts w:ascii="Palatino Linotype" w:eastAsia="Palatino Linotype" w:hAnsi="Palatino Linotype" w:cs="Palatino Linotype"/>
          <w:i/>
        </w:rPr>
        <w:t xml:space="preserve"> </w:t>
      </w:r>
      <w:r w:rsidRPr="00005A13">
        <w:rPr>
          <w:rFonts w:ascii="Palatino Linotype" w:eastAsia="Palatino Linotype" w:hAnsi="Palatino Linotype" w:cs="Palatino Linotype"/>
          <w:i/>
        </w:rPr>
        <w:t>Pública del Estado de México y Municipios, de considerarlo procedente, el Sujeto Obligado</w:t>
      </w:r>
      <w:r w:rsidRPr="00005A13">
        <w:rPr>
          <w:rFonts w:ascii="Palatino Linotype" w:eastAsia="Palatino Linotype" w:hAnsi="Palatino Linotype" w:cs="Palatino Linotype"/>
          <w:i/>
        </w:rPr>
        <w:t xml:space="preserve"> </w:t>
      </w:r>
      <w:r w:rsidRPr="00005A13">
        <w:rPr>
          <w:rFonts w:ascii="Palatino Linotype" w:eastAsia="Palatino Linotype" w:hAnsi="Palatino Linotype" w:cs="Palatino Linotype"/>
          <w:i/>
        </w:rPr>
        <w:t>de manera fundada y motivada, podrá solicitar una ampliación de plazo para el</w:t>
      </w:r>
      <w:r w:rsidRPr="00005A13">
        <w:rPr>
          <w:rFonts w:ascii="Palatino Linotype" w:eastAsia="Palatino Linotype" w:hAnsi="Palatino Linotype" w:cs="Palatino Linotype"/>
          <w:i/>
        </w:rPr>
        <w:t xml:space="preserve"> </w:t>
      </w:r>
      <w:r w:rsidRPr="00005A13">
        <w:rPr>
          <w:rFonts w:ascii="Palatino Linotype" w:eastAsia="Palatino Linotype" w:hAnsi="Palatino Linotype" w:cs="Palatino Linotype"/>
          <w:i/>
        </w:rPr>
        <w:t>cumplimiento de la presente Resolución.</w:t>
      </w:r>
      <w:r w:rsidRPr="00005A13">
        <w:rPr>
          <w:rFonts w:ascii="Palatino Linotype" w:eastAsia="Palatino Linotype" w:hAnsi="Palatino Linotype" w:cs="Palatino Linotype"/>
          <w:i/>
        </w:rPr>
        <w:t>”</w:t>
      </w:r>
    </w:p>
    <w:p w14:paraId="27C03631" w14:textId="6D9417AB" w:rsidR="0045555F" w:rsidRPr="00005A13" w:rsidRDefault="00000000">
      <w:pPr>
        <w:numPr>
          <w:ilvl w:val="0"/>
          <w:numId w:val="1"/>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b/>
          <w:sz w:val="24"/>
          <w:szCs w:val="24"/>
        </w:rPr>
      </w:pPr>
      <w:r w:rsidRPr="00005A13">
        <w:rPr>
          <w:rFonts w:ascii="Palatino Linotype" w:eastAsia="Palatino Linotype" w:hAnsi="Palatino Linotype" w:cs="Palatino Linotype"/>
          <w:b/>
          <w:sz w:val="24"/>
          <w:szCs w:val="24"/>
        </w:rPr>
        <w:t xml:space="preserve">Razones del Voto Disidente. </w:t>
      </w:r>
    </w:p>
    <w:p w14:paraId="13EBCFCB"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 xml:space="preserve">No obstante, si bien la suscrita coincide en que </w:t>
      </w:r>
      <w:r w:rsidRPr="00005A13">
        <w:rPr>
          <w:rFonts w:ascii="Palatino Linotype" w:eastAsia="Palatino Linotype" w:hAnsi="Palatino Linotype" w:cs="Palatino Linotype"/>
          <w:sz w:val="24"/>
          <w:szCs w:val="24"/>
        </w:rPr>
        <w:t>se debe otorgar el acceso a</w:t>
      </w:r>
      <w:r w:rsidRPr="00005A13">
        <w:rPr>
          <w:rFonts w:ascii="Palatino Linotype" w:eastAsia="Palatino Linotype" w:hAnsi="Palatino Linotype" w:cs="Palatino Linotype"/>
          <w:color w:val="000000"/>
          <w:sz w:val="24"/>
          <w:szCs w:val="24"/>
        </w:rPr>
        <w:t xml:space="preserve"> los documentos requeridos</w:t>
      </w:r>
      <w:r w:rsidRPr="00005A13">
        <w:rPr>
          <w:rFonts w:ascii="Palatino Linotype" w:eastAsia="Palatino Linotype" w:hAnsi="Palatino Linotype" w:cs="Palatino Linotype"/>
          <w:sz w:val="24"/>
          <w:szCs w:val="24"/>
        </w:rPr>
        <w:t xml:space="preserve"> o que den cuenta de lo solicitado </w:t>
      </w:r>
      <w:r w:rsidRPr="00005A13">
        <w:rPr>
          <w:rFonts w:ascii="Palatino Linotype" w:eastAsia="Palatino Linotype" w:hAnsi="Palatino Linotype" w:cs="Palatino Linotype"/>
          <w:color w:val="000000"/>
          <w:sz w:val="24"/>
          <w:szCs w:val="24"/>
        </w:rPr>
        <w:t>por</w:t>
      </w:r>
      <w:r w:rsidRPr="00005A13">
        <w:rPr>
          <w:rFonts w:ascii="Palatino Linotype" w:eastAsia="Palatino Linotype" w:hAnsi="Palatino Linotype" w:cs="Palatino Linotype"/>
          <w:sz w:val="24"/>
          <w:szCs w:val="24"/>
        </w:rPr>
        <w:t xml:space="preserve"> </w:t>
      </w:r>
      <w:r w:rsidRPr="00005A13">
        <w:rPr>
          <w:rFonts w:ascii="Palatino Linotype" w:eastAsia="Palatino Linotype" w:hAnsi="Palatino Linotype" w:cs="Palatino Linotype"/>
          <w:color w:val="000000"/>
          <w:sz w:val="24"/>
          <w:szCs w:val="24"/>
        </w:rPr>
        <w:t>el particular de manera específica, también consideran que se debió con</w:t>
      </w:r>
      <w:r w:rsidRPr="00005A13">
        <w:rPr>
          <w:rFonts w:ascii="Palatino Linotype" w:eastAsia="Palatino Linotype" w:hAnsi="Palatino Linotype" w:cs="Palatino Linotype"/>
          <w:sz w:val="24"/>
          <w:szCs w:val="24"/>
        </w:rPr>
        <w:t xml:space="preserve">siderar </w:t>
      </w:r>
      <w:r w:rsidRPr="00005A13">
        <w:rPr>
          <w:rFonts w:ascii="Palatino Linotype" w:eastAsia="Palatino Linotype" w:hAnsi="Palatino Linotype" w:cs="Palatino Linotype"/>
          <w:color w:val="000000"/>
          <w:sz w:val="24"/>
          <w:szCs w:val="24"/>
        </w:rPr>
        <w:t>ponderar la reserva de datos de identificación de</w:t>
      </w:r>
      <w:r w:rsidRPr="00005A13">
        <w:rPr>
          <w:rFonts w:ascii="Palatino Linotype" w:eastAsia="Palatino Linotype" w:hAnsi="Palatino Linotype" w:cs="Palatino Linotype"/>
          <w:sz w:val="24"/>
          <w:szCs w:val="24"/>
        </w:rPr>
        <w:t xml:space="preserve"> los vehículos de los que se solicita información</w:t>
      </w:r>
      <w:r w:rsidRPr="00005A13">
        <w:rPr>
          <w:rFonts w:ascii="Palatino Linotype" w:eastAsia="Palatino Linotype" w:hAnsi="Palatino Linotype" w:cs="Palatino Linotype"/>
          <w:color w:val="000000"/>
          <w:sz w:val="24"/>
          <w:szCs w:val="24"/>
        </w:rPr>
        <w:t>, concretamente respecto del número de placa, ya que este dato hace plenamente identificable a un vehículo, siendo altamente posible identificar también a sus tripulantes.</w:t>
      </w:r>
    </w:p>
    <w:p w14:paraId="588F57FD" w14:textId="600653A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 xml:space="preserve">Lo anterior, conforme a lo establecido en la Ley de Transparencia y Acceso a la Información Pública del Estado de México y Municipios, ya que prevé que la clasificación de la información es el proceso mediante el cual el </w:t>
      </w:r>
      <w:r w:rsidRPr="00005A13">
        <w:rPr>
          <w:rFonts w:ascii="Palatino Linotype" w:eastAsia="Palatino Linotype" w:hAnsi="Palatino Linotype" w:cs="Palatino Linotype"/>
          <w:b/>
          <w:color w:val="000000"/>
          <w:sz w:val="24"/>
          <w:szCs w:val="24"/>
        </w:rPr>
        <w:t xml:space="preserve">Sujeto Obligado </w:t>
      </w:r>
      <w:r w:rsidRPr="00005A13">
        <w:rPr>
          <w:rFonts w:ascii="Palatino Linotype" w:eastAsia="Palatino Linotype" w:hAnsi="Palatino Linotype" w:cs="Palatino Linotype"/>
          <w:color w:val="000000"/>
          <w:sz w:val="24"/>
          <w:szCs w:val="24"/>
        </w:rPr>
        <w:t xml:space="preserve">determina que la información en su </w:t>
      </w:r>
      <w:r w:rsidR="009556FB" w:rsidRPr="00005A13">
        <w:rPr>
          <w:rFonts w:ascii="Palatino Linotype" w:eastAsia="Palatino Linotype" w:hAnsi="Palatino Linotype" w:cs="Palatino Linotype"/>
          <w:color w:val="000000"/>
          <w:sz w:val="24"/>
          <w:szCs w:val="24"/>
        </w:rPr>
        <w:t xml:space="preserve">poder, </w:t>
      </w:r>
      <w:r w:rsidRPr="00005A13">
        <w:rPr>
          <w:rFonts w:ascii="Palatino Linotype" w:eastAsia="Palatino Linotype" w:hAnsi="Palatino Linotype" w:cs="Palatino Linotype"/>
          <w:color w:val="000000"/>
          <w:sz w:val="24"/>
          <w:szCs w:val="24"/>
        </w:rPr>
        <w:t>actualiza alguno de los supuestos de reserva o confidencialidad.</w:t>
      </w:r>
    </w:p>
    <w:p w14:paraId="0E2F7C6D"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14:paraId="4EC50A35"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lastRenderedPageBreak/>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14:paraId="78257E53"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En tanto que se clasificará como información confidencial, entre otras y atendiendo al caso que nos ocupa, la información privada, datos personales concernientes a una persona física o jurídico colectiva identificada o identificable.</w:t>
      </w:r>
    </w:p>
    <w:p w14:paraId="516C25A5" w14:textId="4C59C648"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De acuerdo a lo anterior y conforme a la resolución del recurso de revisión que motiva el presente voto disidente, la información que</w:t>
      </w:r>
      <w:r w:rsidRPr="00005A13">
        <w:rPr>
          <w:rFonts w:ascii="Palatino Linotype" w:eastAsia="Palatino Linotype" w:hAnsi="Palatino Linotype" w:cs="Palatino Linotype"/>
          <w:color w:val="FF0000"/>
          <w:sz w:val="24"/>
          <w:szCs w:val="24"/>
        </w:rPr>
        <w:t xml:space="preserve"> </w:t>
      </w:r>
      <w:r w:rsidRPr="00005A13">
        <w:rPr>
          <w:rFonts w:ascii="Palatino Linotype" w:eastAsia="Palatino Linotype" w:hAnsi="Palatino Linotype" w:cs="Palatino Linotype"/>
          <w:sz w:val="24"/>
          <w:szCs w:val="24"/>
        </w:rPr>
        <w:t>en su caso proporcionará el S</w:t>
      </w:r>
      <w:r w:rsidR="000E3704" w:rsidRPr="00005A13">
        <w:rPr>
          <w:rFonts w:ascii="Palatino Linotype" w:eastAsia="Palatino Linotype" w:hAnsi="Palatino Linotype" w:cs="Palatino Linotype"/>
          <w:sz w:val="24"/>
          <w:szCs w:val="24"/>
        </w:rPr>
        <w:t xml:space="preserve">ujeto </w:t>
      </w:r>
      <w:r w:rsidRPr="00005A13">
        <w:rPr>
          <w:rFonts w:ascii="Palatino Linotype" w:eastAsia="Palatino Linotype" w:hAnsi="Palatino Linotype" w:cs="Palatino Linotype"/>
          <w:sz w:val="24"/>
          <w:szCs w:val="24"/>
        </w:rPr>
        <w:t>O</w:t>
      </w:r>
      <w:r w:rsidR="000E3704" w:rsidRPr="00005A13">
        <w:rPr>
          <w:rFonts w:ascii="Palatino Linotype" w:eastAsia="Palatino Linotype" w:hAnsi="Palatino Linotype" w:cs="Palatino Linotype"/>
          <w:sz w:val="24"/>
          <w:szCs w:val="24"/>
        </w:rPr>
        <w:t>bligado</w:t>
      </w:r>
      <w:r w:rsidRPr="00005A13">
        <w:rPr>
          <w:rFonts w:ascii="Palatino Linotype" w:eastAsia="Palatino Linotype" w:hAnsi="Palatino Linotype" w:cs="Palatino Linotype"/>
          <w:sz w:val="24"/>
          <w:szCs w:val="24"/>
        </w:rPr>
        <w:t xml:space="preserve"> </w:t>
      </w:r>
      <w:r w:rsidR="000E3704" w:rsidRPr="00005A13">
        <w:rPr>
          <w:rFonts w:ascii="Palatino Linotype" w:eastAsia="Palatino Linotype" w:hAnsi="Palatino Linotype" w:cs="Palatino Linotype"/>
          <w:sz w:val="24"/>
          <w:szCs w:val="24"/>
        </w:rPr>
        <w:t>concerniente a los resguardos y expedientes vehiculares</w:t>
      </w:r>
      <w:r w:rsidR="00831888" w:rsidRPr="00005A13">
        <w:rPr>
          <w:rFonts w:ascii="Palatino Linotype" w:eastAsia="Palatino Linotype" w:hAnsi="Palatino Linotype" w:cs="Palatino Linotype"/>
          <w:sz w:val="24"/>
          <w:szCs w:val="24"/>
        </w:rPr>
        <w:t xml:space="preserve">, mismos que pueden contener los </w:t>
      </w:r>
      <w:r w:rsidRPr="00005A13">
        <w:rPr>
          <w:rFonts w:ascii="Palatino Linotype" w:eastAsia="Palatino Linotype" w:hAnsi="Palatino Linotype" w:cs="Palatino Linotype"/>
          <w:color w:val="000000"/>
          <w:sz w:val="24"/>
          <w:szCs w:val="24"/>
        </w:rPr>
        <w:t xml:space="preserve">datos de identificación de vehículos que son utilizados por servidores públicos adscritos al </w:t>
      </w:r>
      <w:r w:rsidRPr="00005A13">
        <w:rPr>
          <w:rFonts w:ascii="Palatino Linotype" w:eastAsia="Palatino Linotype" w:hAnsi="Palatino Linotype" w:cs="Palatino Linotype"/>
          <w:b/>
          <w:color w:val="000000"/>
          <w:sz w:val="24"/>
          <w:szCs w:val="24"/>
        </w:rPr>
        <w:t xml:space="preserve">Sujeto Obligado </w:t>
      </w:r>
      <w:r w:rsidRPr="00005A13">
        <w:rPr>
          <w:rFonts w:ascii="Palatino Linotype" w:eastAsia="Palatino Linotype" w:hAnsi="Palatino Linotype" w:cs="Palatino Linotype"/>
          <w:color w:val="000000"/>
          <w:sz w:val="24"/>
          <w:szCs w:val="24"/>
        </w:rPr>
        <w:t>para el desarrollo de sus funciones; por lo que, originariamente, dicha información es pública; sin embargo, excepcionalmente esa información podrá ser reservada si se acredita alguna de las causales señaladas en el artículo 140 de la Ley de la materia.</w:t>
      </w:r>
    </w:p>
    <w:p w14:paraId="3CED0F92"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 xml:space="preserve">Al respecto, es de precisar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w:t>
      </w:r>
      <w:r w:rsidRPr="00005A13">
        <w:rPr>
          <w:rFonts w:ascii="Palatino Linotype" w:eastAsia="Palatino Linotype" w:hAnsi="Palatino Linotype" w:cs="Palatino Linotype"/>
          <w:color w:val="000000"/>
          <w:sz w:val="24"/>
          <w:szCs w:val="24"/>
        </w:rPr>
        <w:lastRenderedPageBreak/>
        <w:t>vehículo utilitario, en ellos asisten a eventos públicos derivados de sus funciones y se trasladan de sus oficinas a sus domicilios.</w:t>
      </w:r>
    </w:p>
    <w:p w14:paraId="6D7B2BB4"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Por lo que, proporcionar la información de identificación de un vehículo como el número de placas, aun perteneciendo al servicio público, atenta contra la seguridad de los servidores públicos que en ellos se trasladan, máxime de aquellos que a nivel Estatal representan a la autoridad; incluso, se pone en riesgo a su familia, al vulnerar su esfera privada.</w:t>
      </w:r>
    </w:p>
    <w:p w14:paraId="2948862A"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14:paraId="5E4FB0C7"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t xml:space="preserve">Sirve de apoyo a lo anterior, el Criterio 9/2008 que sustenta por unanimidad de votos, el Comité de Acceso a la Información y de Protección de Datos Personales </w:t>
      </w:r>
      <w:r w:rsidRPr="00005A13">
        <w:rPr>
          <w:rFonts w:ascii="Palatino Linotype" w:eastAsia="Palatino Linotype" w:hAnsi="Palatino Linotype" w:cs="Palatino Linotype"/>
          <w:color w:val="000000"/>
          <w:sz w:val="24"/>
          <w:szCs w:val="24"/>
        </w:rPr>
        <w:lastRenderedPageBreak/>
        <w:t>de la Suprema Corte de Justicia de la Nación, que cuenta con el siguiente rubro SERVIDORES PÚBLICOS DE LA SUPREMA CORTE DE JUSTICIA DE LA NACIÓN. LA INFORMACIÓN RELATIVA A LOS VEHÍCULOS QUE LES SON ASIGNADOS ES PÚBLICA SALVO POR LO QUE SE REFIERE A LOS DATOS QUE PERMITAN IDENTIFICAR CUÁL CORRESPONDE A CADA UNO DE ELLOS, la cual señala:</w:t>
      </w:r>
    </w:p>
    <w:p w14:paraId="323DB2FC" w14:textId="77777777" w:rsidR="0045555F" w:rsidRPr="00005A13" w:rsidRDefault="00000000">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rPr>
      </w:pPr>
      <w:r w:rsidRPr="00005A13">
        <w:rPr>
          <w:rFonts w:ascii="Palatino Linotype" w:eastAsia="Palatino Linotype" w:hAnsi="Palatino Linotype" w:cs="Palatino Linotype"/>
          <w:i/>
          <w:color w:val="00000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w:t>
      </w:r>
      <w:proofErr w:type="gramStart"/>
      <w:r w:rsidRPr="00005A13">
        <w:rPr>
          <w:rFonts w:ascii="Palatino Linotype" w:eastAsia="Palatino Linotype" w:hAnsi="Palatino Linotype" w:cs="Palatino Linotype"/>
          <w:i/>
          <w:color w:val="000000"/>
        </w:rPr>
        <w:t>la misma</w:t>
      </w:r>
      <w:proofErr w:type="gramEnd"/>
      <w:r w:rsidRPr="00005A13">
        <w:rPr>
          <w:rFonts w:ascii="Palatino Linotype" w:eastAsia="Palatino Linotype" w:hAnsi="Palatino Linotype" w:cs="Palatino Linotype"/>
          <w:i/>
          <w:color w:val="000000"/>
        </w:rPr>
        <w:t xml:space="preserve">), en razón del ejercicio de su cargo, son públicos, en términos de lo dispuesto en los artículos 2° y 7°, fracciones IV y IX, de la Ley Federal de Transparencia y Acceso a la Información Pública Gubernamental. No obstante, </w:t>
      </w:r>
      <w:r w:rsidRPr="00005A13">
        <w:rPr>
          <w:rFonts w:ascii="Palatino Linotype" w:eastAsia="Palatino Linotype" w:hAnsi="Palatino Linotype" w:cs="Palatino Linotype"/>
          <w:b/>
          <w:i/>
          <w:color w:val="000000"/>
        </w:rPr>
        <w:t>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RPr="00005A13">
        <w:rPr>
          <w:rFonts w:ascii="Palatino Linotype" w:eastAsia="Palatino Linotype" w:hAnsi="Palatino Linotype" w:cs="Palatino Linotype"/>
          <w:i/>
          <w:color w:val="000000"/>
        </w:rPr>
        <w:t>. Por lo tanto, el dato de su nombre relacionado con el de los vehículos de su asignación constituye un dato personal que trasciende a su vida privada que debe ser objeto de protección, ya que su difusión pondría en riesgo el derecho fundamental a la vida privada.”</w:t>
      </w:r>
    </w:p>
    <w:p w14:paraId="04084E95" w14:textId="28DEF9CD"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005A13">
        <w:rPr>
          <w:rFonts w:ascii="Palatino Linotype" w:eastAsia="Palatino Linotype" w:hAnsi="Palatino Linotype" w:cs="Palatino Linotype"/>
          <w:color w:val="000000"/>
          <w:sz w:val="24"/>
          <w:szCs w:val="24"/>
        </w:rPr>
        <w:lastRenderedPageBreak/>
        <w:t xml:space="preserve">Del criterio en cita, </w:t>
      </w:r>
      <w:r w:rsidR="009556FB" w:rsidRPr="00005A13">
        <w:rPr>
          <w:rFonts w:ascii="Palatino Linotype" w:eastAsia="Palatino Linotype" w:hAnsi="Palatino Linotype" w:cs="Palatino Linotype"/>
          <w:sz w:val="24"/>
          <w:szCs w:val="24"/>
        </w:rPr>
        <w:t>la suscrita considera</w:t>
      </w:r>
      <w:r w:rsidR="009556FB" w:rsidRPr="00005A13">
        <w:rPr>
          <w:rFonts w:ascii="Palatino Linotype" w:eastAsia="Palatino Linotype" w:hAnsi="Palatino Linotype" w:cs="Palatino Linotype"/>
          <w:color w:val="000000"/>
          <w:sz w:val="24"/>
          <w:szCs w:val="24"/>
        </w:rPr>
        <w:t xml:space="preserve"> </w:t>
      </w:r>
      <w:r w:rsidRPr="00005A13">
        <w:rPr>
          <w:rFonts w:ascii="Palatino Linotype" w:eastAsia="Palatino Linotype" w:hAnsi="Palatino Linotype" w:cs="Palatino Linotype"/>
          <w:color w:val="000000"/>
          <w:sz w:val="24"/>
          <w:szCs w:val="24"/>
        </w:rPr>
        <w:t xml:space="preserve">que no debe proporcionarse el número de placa de los vehículos oficiales que utilizan los servidores públicos, por hacerlos identificables y trascender a su vida privada, garantizando con ello su protección. </w:t>
      </w:r>
    </w:p>
    <w:p w14:paraId="4DBB6639" w14:textId="28A2A748"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color w:val="000000"/>
          <w:sz w:val="24"/>
          <w:szCs w:val="24"/>
        </w:rPr>
        <w:t xml:space="preserve">Es por ello que se considera que </w:t>
      </w:r>
      <w:r w:rsidR="00831888" w:rsidRPr="00005A13">
        <w:rPr>
          <w:rFonts w:ascii="Palatino Linotype" w:eastAsia="Palatino Linotype" w:hAnsi="Palatino Linotype" w:cs="Palatino Linotype"/>
          <w:color w:val="000000"/>
          <w:sz w:val="24"/>
          <w:szCs w:val="24"/>
        </w:rPr>
        <w:t xml:space="preserve">una de </w:t>
      </w:r>
      <w:r w:rsidRPr="00005A13">
        <w:rPr>
          <w:rFonts w:ascii="Palatino Linotype" w:eastAsia="Palatino Linotype" w:hAnsi="Palatino Linotype" w:cs="Palatino Linotype"/>
          <w:color w:val="000000"/>
          <w:sz w:val="24"/>
          <w:szCs w:val="24"/>
        </w:rPr>
        <w:t xml:space="preserve">las razones expuestas </w:t>
      </w:r>
      <w:r w:rsidR="00831888" w:rsidRPr="00005A13">
        <w:rPr>
          <w:rFonts w:ascii="Palatino Linotype" w:eastAsia="Palatino Linotype" w:hAnsi="Palatino Linotype" w:cs="Palatino Linotype"/>
          <w:color w:val="000000"/>
          <w:sz w:val="24"/>
          <w:szCs w:val="24"/>
        </w:rPr>
        <w:t>por las que se</w:t>
      </w:r>
      <w:r w:rsidRPr="00005A13">
        <w:rPr>
          <w:rFonts w:ascii="Palatino Linotype" w:eastAsia="Palatino Linotype" w:hAnsi="Palatino Linotype" w:cs="Palatino Linotype"/>
          <w:color w:val="000000"/>
          <w:sz w:val="24"/>
          <w:szCs w:val="24"/>
        </w:rPr>
        <w:t xml:space="preserve"> emite el presente VOTO DISIDENTE, se debió enfatizar la reserva del número de placa de los vehículos que conforman el parque vehicular, en los documentos ordenados al </w:t>
      </w:r>
      <w:r w:rsidRPr="00005A13">
        <w:rPr>
          <w:rFonts w:ascii="Palatino Linotype" w:eastAsia="Palatino Linotype" w:hAnsi="Palatino Linotype" w:cs="Palatino Linotype"/>
          <w:b/>
          <w:color w:val="000000"/>
          <w:sz w:val="24"/>
          <w:szCs w:val="24"/>
        </w:rPr>
        <w:t xml:space="preserve">Sujeto Obligado </w:t>
      </w:r>
      <w:r w:rsidRPr="00005A13">
        <w:rPr>
          <w:rFonts w:ascii="Palatino Linotype" w:eastAsia="Palatino Linotype" w:hAnsi="Palatino Linotype" w:cs="Palatino Linotype"/>
          <w:color w:val="000000"/>
          <w:sz w:val="24"/>
          <w:szCs w:val="24"/>
        </w:rPr>
        <w:t xml:space="preserve">en atención al recurso de revisión </w:t>
      </w:r>
      <w:r w:rsidRPr="00005A13">
        <w:rPr>
          <w:rFonts w:ascii="Palatino Linotype" w:eastAsia="Palatino Linotype" w:hAnsi="Palatino Linotype" w:cs="Palatino Linotype"/>
          <w:b/>
          <w:color w:val="000000"/>
          <w:sz w:val="24"/>
          <w:szCs w:val="24"/>
        </w:rPr>
        <w:t xml:space="preserve">02206/INFOEM/IP/RR/2022 </w:t>
      </w:r>
      <w:r w:rsidRPr="00005A13">
        <w:rPr>
          <w:rFonts w:ascii="Palatino Linotype" w:eastAsia="Palatino Linotype" w:hAnsi="Palatino Linotype" w:cs="Palatino Linotype"/>
          <w:color w:val="000000"/>
          <w:sz w:val="24"/>
          <w:szCs w:val="24"/>
        </w:rPr>
        <w:t>y acumulados</w:t>
      </w:r>
      <w:r w:rsidRPr="00005A13">
        <w:rPr>
          <w:rFonts w:ascii="Palatino Linotype" w:eastAsia="Palatino Linotype" w:hAnsi="Palatino Linotype" w:cs="Palatino Linotype"/>
          <w:b/>
          <w:color w:val="000000"/>
          <w:sz w:val="24"/>
          <w:szCs w:val="24"/>
        </w:rPr>
        <w:t xml:space="preserve">, </w:t>
      </w:r>
      <w:r w:rsidRPr="00005A13">
        <w:rPr>
          <w:rFonts w:ascii="Palatino Linotype" w:eastAsia="Palatino Linotype" w:hAnsi="Palatino Linotype" w:cs="Palatino Linotype"/>
          <w:color w:val="000000"/>
          <w:sz w:val="24"/>
          <w:szCs w:val="24"/>
        </w:rPr>
        <w:t>al corresponder con información que, por su naturaleza, trasciende en la vida privada de los servidores públicos,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w:t>
      </w:r>
    </w:p>
    <w:p w14:paraId="294D661C" w14:textId="5E3105B4" w:rsidR="0045555F" w:rsidRPr="00005A13" w:rsidRDefault="00000000" w:rsidP="0067441E">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i/>
          <w:iCs/>
          <w:color w:val="000000"/>
          <w:sz w:val="24"/>
          <w:szCs w:val="24"/>
        </w:rPr>
      </w:pPr>
      <w:r w:rsidRPr="00005A13">
        <w:rPr>
          <w:rFonts w:ascii="Palatino Linotype" w:eastAsia="Palatino Linotype" w:hAnsi="Palatino Linotype" w:cs="Palatino Linotype"/>
          <w:color w:val="000000"/>
          <w:sz w:val="24"/>
          <w:szCs w:val="24"/>
        </w:rPr>
        <w:t xml:space="preserve">Además de las razones antes precisadas, el presente voto disidente, también </w:t>
      </w:r>
      <w:r w:rsidR="0067441E" w:rsidRPr="00005A13">
        <w:rPr>
          <w:rFonts w:ascii="Palatino Linotype" w:eastAsia="Palatino Linotype" w:hAnsi="Palatino Linotype" w:cs="Palatino Linotype"/>
          <w:color w:val="000000"/>
          <w:sz w:val="24"/>
          <w:szCs w:val="24"/>
        </w:rPr>
        <w:t xml:space="preserve">radica </w:t>
      </w:r>
      <w:r w:rsidRPr="00005A13">
        <w:rPr>
          <w:rFonts w:ascii="Palatino Linotype" w:eastAsia="Palatino Linotype" w:hAnsi="Palatino Linotype" w:cs="Palatino Linotype"/>
          <w:color w:val="000000"/>
          <w:sz w:val="24"/>
          <w:szCs w:val="24"/>
        </w:rPr>
        <w:t xml:space="preserve">en el plazo que se otorgó al Sujeto Obligado para dar cumplimiento a la resolución, el cual consiste en </w:t>
      </w:r>
      <w:r w:rsidR="0067441E" w:rsidRPr="00005A13">
        <w:rPr>
          <w:rFonts w:ascii="Palatino Linotype" w:eastAsia="Palatino Linotype" w:hAnsi="Palatino Linotype" w:cs="Palatino Linotype"/>
          <w:sz w:val="24"/>
          <w:szCs w:val="24"/>
        </w:rPr>
        <w:t xml:space="preserve"> treinta </w:t>
      </w:r>
      <w:r w:rsidRPr="00005A13">
        <w:rPr>
          <w:rFonts w:ascii="Palatino Linotype" w:eastAsia="Palatino Linotype" w:hAnsi="Palatino Linotype" w:cs="Palatino Linotype"/>
          <w:color w:val="000000"/>
          <w:sz w:val="24"/>
          <w:szCs w:val="24"/>
        </w:rPr>
        <w:t xml:space="preserve">días hábiles, ello bajo el siguiente argumento </w:t>
      </w:r>
      <w:r w:rsidR="0067441E" w:rsidRPr="00005A13">
        <w:rPr>
          <w:rFonts w:ascii="Palatino Linotype" w:eastAsia="Palatino Linotype" w:hAnsi="Palatino Linotype" w:cs="Palatino Linotype"/>
          <w:i/>
          <w:iCs/>
          <w:color w:val="000000"/>
          <w:sz w:val="24"/>
          <w:szCs w:val="24"/>
        </w:rPr>
        <w:t>“</w:t>
      </w:r>
      <w:r w:rsidR="00E95A83" w:rsidRPr="00005A13">
        <w:rPr>
          <w:rFonts w:ascii="Palatino Linotype" w:eastAsia="Palatino Linotype" w:hAnsi="Palatino Linotype" w:cs="Palatino Linotype"/>
          <w:i/>
          <w:iCs/>
          <w:color w:val="000000"/>
          <w:sz w:val="24"/>
          <w:szCs w:val="24"/>
        </w:rPr>
        <w:t xml:space="preserve">Ahora </w:t>
      </w:r>
      <w:r w:rsidR="0067441E" w:rsidRPr="00005A13">
        <w:rPr>
          <w:rFonts w:ascii="Palatino Linotype" w:eastAsia="Palatino Linotype" w:hAnsi="Palatino Linotype" w:cs="Palatino Linotype"/>
          <w:i/>
          <w:iCs/>
          <w:color w:val="000000"/>
          <w:sz w:val="24"/>
          <w:szCs w:val="24"/>
        </w:rPr>
        <w:t>bien, es de señalar que en el presente caso, el Sujeto Obligado tendrá que realizar</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información de tres años, es decir, de los ejercicios fiscales dos mil dieciséis, dos mil</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diecisiete y dos mil dieciocho, aunado al cumulo de solicitudes y Recursos de Revisión con</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los que cuenta a la fecha de emisión de la presente Resolución; en se sentido, en términos</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del último párrafo, del artículo 186 de la Ley de Transparencia y Acceso a la Información</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Pública del Estado de México y Municipios, este Organismo Garante, cuenta con la facultad</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 xml:space="preserve">para conceder un </w:t>
      </w:r>
      <w:r w:rsidR="0067441E" w:rsidRPr="00005A13">
        <w:rPr>
          <w:rFonts w:ascii="Palatino Linotype" w:eastAsia="Palatino Linotype" w:hAnsi="Palatino Linotype" w:cs="Palatino Linotype"/>
          <w:i/>
          <w:iCs/>
          <w:color w:val="000000"/>
          <w:sz w:val="24"/>
          <w:szCs w:val="24"/>
        </w:rPr>
        <w:lastRenderedPageBreak/>
        <w:t>plazo mayor diez días, para la atención de la presente Resolución, con el</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fin de que el Ayuntamiento cuente con las condiciones óptimas para dar atención a la</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misma, sin afectar sus actividades sustanciales. Así, para el presente caso, en virtud del</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número total de documentos a buscar, en los archivos de una antigua administración, se</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considera procedente otorgar un término de treinta días hábiles para el cumplimiento de la</w:t>
      </w:r>
      <w:r w:rsidR="0067441E" w:rsidRPr="00005A13">
        <w:rPr>
          <w:rFonts w:ascii="Palatino Linotype" w:eastAsia="Palatino Linotype" w:hAnsi="Palatino Linotype" w:cs="Palatino Linotype"/>
          <w:i/>
          <w:iCs/>
          <w:color w:val="000000"/>
          <w:sz w:val="24"/>
          <w:szCs w:val="24"/>
        </w:rPr>
        <w:t xml:space="preserve"> </w:t>
      </w:r>
      <w:r w:rsidR="0067441E" w:rsidRPr="00005A13">
        <w:rPr>
          <w:rFonts w:ascii="Palatino Linotype" w:eastAsia="Palatino Linotype" w:hAnsi="Palatino Linotype" w:cs="Palatino Linotype"/>
          <w:i/>
          <w:iCs/>
          <w:color w:val="000000"/>
          <w:sz w:val="24"/>
          <w:szCs w:val="24"/>
        </w:rPr>
        <w:t>resolución.</w:t>
      </w:r>
    </w:p>
    <w:p w14:paraId="19530C01"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r w:rsidRPr="00005A13">
        <w:rPr>
          <w:rFonts w:ascii="Palatino Linotype" w:eastAsia="Palatino Linotype" w:hAnsi="Palatino Linotype" w:cs="Palatino Linotype"/>
        </w:rPr>
        <w:t>En este sentido, cabe insistir que, el artículo 186 de la Ley de Transparencia y Acceso a la Información Pública del Estado de México y Municipios, y que en el presente asunto es de aplicación supletoria, en su último párrafo establece lo siguiente:</w:t>
      </w:r>
    </w:p>
    <w:p w14:paraId="22002EF3" w14:textId="77777777" w:rsidR="0045555F" w:rsidRPr="00005A13" w:rsidRDefault="00000000">
      <w:pPr>
        <w:pBdr>
          <w:top w:val="nil"/>
          <w:left w:val="nil"/>
          <w:bottom w:val="nil"/>
          <w:right w:val="nil"/>
          <w:between w:val="nil"/>
        </w:pBdr>
        <w:spacing w:before="240" w:after="240" w:line="276" w:lineRule="auto"/>
        <w:ind w:left="566" w:right="761"/>
        <w:jc w:val="both"/>
        <w:rPr>
          <w:rFonts w:ascii="Palatino Linotype" w:eastAsia="Palatino Linotype" w:hAnsi="Palatino Linotype" w:cs="Palatino Linotype"/>
        </w:rPr>
      </w:pPr>
      <w:r w:rsidRPr="00005A13">
        <w:rPr>
          <w:rFonts w:ascii="Palatino Linotype" w:eastAsia="Palatino Linotype" w:hAnsi="Palatino Linotype" w:cs="Palatino Linotype"/>
          <w:i/>
        </w:rPr>
        <w:t>“Artículo 186 … 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 (Énfasis añadido</w:t>
      </w:r>
      <w:r w:rsidRPr="00005A13">
        <w:rPr>
          <w:rFonts w:ascii="Palatino Linotype" w:eastAsia="Palatino Linotype" w:hAnsi="Palatino Linotype" w:cs="Palatino Linotype"/>
        </w:rPr>
        <w:t>)</w:t>
      </w:r>
    </w:p>
    <w:p w14:paraId="7C15D6AC" w14:textId="4F62B98E"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r w:rsidRPr="00005A13">
        <w:rPr>
          <w:rFonts w:ascii="Palatino Linotype" w:eastAsia="Palatino Linotype" w:hAnsi="Palatino Linotype" w:cs="Palatino Linotype"/>
        </w:rPr>
        <w:t xml:space="preserve">Es así </w:t>
      </w:r>
      <w:proofErr w:type="gramStart"/>
      <w:r w:rsidRPr="00005A13">
        <w:rPr>
          <w:rFonts w:ascii="Palatino Linotype" w:eastAsia="Palatino Linotype" w:hAnsi="Palatino Linotype" w:cs="Palatino Linotype"/>
        </w:rPr>
        <w:t>que</w:t>
      </w:r>
      <w:proofErr w:type="gramEnd"/>
      <w:r w:rsidR="00005A13" w:rsidRPr="00005A13">
        <w:rPr>
          <w:rFonts w:ascii="Palatino Linotype" w:eastAsia="Palatino Linotype" w:hAnsi="Palatino Linotype" w:cs="Palatino Linotype"/>
        </w:rPr>
        <w:t>,</w:t>
      </w:r>
      <w:r w:rsidRPr="00005A13">
        <w:rPr>
          <w:rFonts w:ascii="Palatino Linotype" w:eastAsia="Palatino Linotype" w:hAnsi="Palatino Linotype" w:cs="Palatino Linotype"/>
        </w:rPr>
        <w:t xml:space="preserve"> resulta importante traer a colación el contenido de este precepto legal, en razón de que el plazo concedido para el cumplimiento de las resoluciones es de diez días hábiles, sin embargo, la legislación establece una excepción para la ampliación de dicho plazo previa fundamentación y motivación cuando el asunto así lo requiera. </w:t>
      </w:r>
    </w:p>
    <w:p w14:paraId="6F066E38" w14:textId="09F2B23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b/>
        </w:rPr>
      </w:pPr>
      <w:r w:rsidRPr="00005A13">
        <w:rPr>
          <w:rFonts w:ascii="Palatino Linotype" w:eastAsia="Palatino Linotype" w:hAnsi="Palatino Linotype" w:cs="Palatino Linotype"/>
        </w:rPr>
        <w:t xml:space="preserve">En este sentido, como ya se mencionó, si bien en la resolución se señaló como motivos para justificar la ampliación de plazo para el cumplimiento de la resolución </w:t>
      </w:r>
      <w:r w:rsidRPr="00005A13">
        <w:rPr>
          <w:rFonts w:ascii="Palatino Linotype" w:eastAsia="Palatino Linotype" w:hAnsi="Palatino Linotype" w:cs="Palatino Linotype"/>
          <w:b/>
        </w:rPr>
        <w:t>que: “</w:t>
      </w:r>
      <w:r w:rsidR="000E3704" w:rsidRPr="00005A13">
        <w:rPr>
          <w:rFonts w:ascii="Palatino Linotype" w:eastAsia="Palatino Linotype" w:hAnsi="Palatino Linotype" w:cs="Palatino Linotype"/>
          <w:b/>
          <w:i/>
          <w:iCs/>
        </w:rPr>
        <w:t>otorgar un término de treinta días hábiles para el cumplimiento de la</w:t>
      </w:r>
      <w:r w:rsidR="000E3704" w:rsidRPr="00005A13">
        <w:rPr>
          <w:rFonts w:ascii="Palatino Linotype" w:eastAsia="Palatino Linotype" w:hAnsi="Palatino Linotype" w:cs="Palatino Linotype"/>
          <w:b/>
          <w:i/>
          <w:iCs/>
        </w:rPr>
        <w:t xml:space="preserve"> </w:t>
      </w:r>
      <w:r w:rsidR="000E3704" w:rsidRPr="00005A13">
        <w:rPr>
          <w:rFonts w:ascii="Palatino Linotype" w:eastAsia="Palatino Linotype" w:hAnsi="Palatino Linotype" w:cs="Palatino Linotype"/>
          <w:b/>
          <w:i/>
          <w:iCs/>
        </w:rPr>
        <w:t>resolución.</w:t>
      </w:r>
      <w:r w:rsidR="000E3704" w:rsidRPr="00005A13">
        <w:rPr>
          <w:rFonts w:ascii="Palatino Linotype" w:eastAsia="Palatino Linotype" w:hAnsi="Palatino Linotype" w:cs="Palatino Linotype"/>
          <w:b/>
          <w:i/>
          <w:iCs/>
        </w:rPr>
        <w:t>”</w:t>
      </w:r>
    </w:p>
    <w:p w14:paraId="64BF3E39" w14:textId="7134C817" w:rsidR="0045555F" w:rsidRPr="00005A13" w:rsidRDefault="00000000" w:rsidP="00831888">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bCs/>
          <w:i/>
          <w:iCs/>
        </w:rPr>
      </w:pPr>
      <w:r w:rsidRPr="00005A13">
        <w:rPr>
          <w:rFonts w:ascii="Palatino Linotype" w:eastAsia="Palatino Linotype" w:hAnsi="Palatino Linotype" w:cs="Palatino Linotype"/>
          <w:b/>
        </w:rPr>
        <w:t>También lo es que dentro del análisis realizado en la propia resolución se señala que:</w:t>
      </w:r>
      <w:r w:rsidR="00831888" w:rsidRPr="00005A13">
        <w:t xml:space="preserve"> “</w:t>
      </w:r>
      <w:r w:rsidR="00831888" w:rsidRPr="00005A13">
        <w:rPr>
          <w:rFonts w:ascii="Palatino Linotype" w:eastAsia="Palatino Linotype" w:hAnsi="Palatino Linotype" w:cs="Palatino Linotype"/>
          <w:bCs/>
          <w:i/>
          <w:iCs/>
        </w:rPr>
        <w:t>el Sujeto Obligado tendrá que realizar</w:t>
      </w:r>
      <w:r w:rsidR="00831888" w:rsidRPr="00005A13">
        <w:rPr>
          <w:rFonts w:ascii="Palatino Linotype" w:eastAsia="Palatino Linotype" w:hAnsi="Palatino Linotype" w:cs="Palatino Linotype"/>
          <w:bCs/>
          <w:i/>
          <w:iCs/>
        </w:rPr>
        <w:t xml:space="preserve"> </w:t>
      </w:r>
      <w:r w:rsidR="00831888" w:rsidRPr="00005A13">
        <w:rPr>
          <w:rFonts w:ascii="Palatino Linotype" w:eastAsia="Palatino Linotype" w:hAnsi="Palatino Linotype" w:cs="Palatino Linotype"/>
          <w:bCs/>
          <w:i/>
          <w:iCs/>
        </w:rPr>
        <w:t xml:space="preserve">información de tres años, es decir, de los ejercicios fiscales </w:t>
      </w:r>
      <w:r w:rsidR="00831888" w:rsidRPr="00005A13">
        <w:rPr>
          <w:rFonts w:ascii="Palatino Linotype" w:eastAsia="Palatino Linotype" w:hAnsi="Palatino Linotype" w:cs="Palatino Linotype"/>
          <w:bCs/>
          <w:i/>
          <w:iCs/>
        </w:rPr>
        <w:lastRenderedPageBreak/>
        <w:t>dos mil dieciséis, dos mil</w:t>
      </w:r>
      <w:r w:rsidR="00831888" w:rsidRPr="00005A13">
        <w:rPr>
          <w:rFonts w:ascii="Palatino Linotype" w:eastAsia="Palatino Linotype" w:hAnsi="Palatino Linotype" w:cs="Palatino Linotype"/>
          <w:bCs/>
          <w:i/>
          <w:iCs/>
        </w:rPr>
        <w:t xml:space="preserve"> </w:t>
      </w:r>
      <w:r w:rsidR="00831888" w:rsidRPr="00005A13">
        <w:rPr>
          <w:rFonts w:ascii="Palatino Linotype" w:eastAsia="Palatino Linotype" w:hAnsi="Palatino Linotype" w:cs="Palatino Linotype"/>
          <w:bCs/>
          <w:i/>
          <w:iCs/>
        </w:rPr>
        <w:t>diecisiete y dos mil dieciocho, aunado al cumulo de solicitudes y Recursos de Revisión con</w:t>
      </w:r>
      <w:r w:rsidR="00831888" w:rsidRPr="00005A13">
        <w:rPr>
          <w:rFonts w:ascii="Palatino Linotype" w:eastAsia="Palatino Linotype" w:hAnsi="Palatino Linotype" w:cs="Palatino Linotype"/>
          <w:bCs/>
          <w:i/>
          <w:iCs/>
        </w:rPr>
        <w:t xml:space="preserve"> </w:t>
      </w:r>
      <w:r w:rsidR="00831888" w:rsidRPr="00005A13">
        <w:rPr>
          <w:rFonts w:ascii="Palatino Linotype" w:eastAsia="Palatino Linotype" w:hAnsi="Palatino Linotype" w:cs="Palatino Linotype"/>
          <w:bCs/>
          <w:i/>
          <w:iCs/>
        </w:rPr>
        <w:t>los que cuenta a la fecha de emisión de la presente Resolución;</w:t>
      </w:r>
      <w:r w:rsidR="00831888" w:rsidRPr="00005A13">
        <w:rPr>
          <w:rFonts w:ascii="Palatino Linotype" w:eastAsia="Palatino Linotype" w:hAnsi="Palatino Linotype" w:cs="Palatino Linotype"/>
          <w:bCs/>
          <w:i/>
          <w:iCs/>
        </w:rPr>
        <w:t>”</w:t>
      </w:r>
    </w:p>
    <w:p w14:paraId="17C2EF7E"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bCs/>
        </w:rPr>
      </w:pPr>
      <w:r w:rsidRPr="00005A13">
        <w:rPr>
          <w:rFonts w:ascii="Palatino Linotype" w:eastAsia="Palatino Linotype" w:hAnsi="Palatino Linotype" w:cs="Palatino Linotype"/>
          <w:bCs/>
        </w:rPr>
        <w:t xml:space="preserve">De los argumentos antes expuesto, se destaca que no tiene certeza de la cantidad o número total de documentos que deberán ser proporcionados por el Sujeto Obligado, asimismo tampoco se conoce si la información solicitada implicará un análisis, estudio o bien, procesamiento de datos a fin de generar las versiones públicas correspondientes, por ello es </w:t>
      </w:r>
      <w:proofErr w:type="gramStart"/>
      <w:r w:rsidRPr="00005A13">
        <w:rPr>
          <w:rFonts w:ascii="Palatino Linotype" w:eastAsia="Palatino Linotype" w:hAnsi="Palatino Linotype" w:cs="Palatino Linotype"/>
          <w:bCs/>
        </w:rPr>
        <w:t>que</w:t>
      </w:r>
      <w:proofErr w:type="gramEnd"/>
      <w:r w:rsidRPr="00005A13">
        <w:rPr>
          <w:rFonts w:ascii="Palatino Linotype" w:eastAsia="Palatino Linotype" w:hAnsi="Palatino Linotype" w:cs="Palatino Linotype"/>
          <w:bCs/>
        </w:rPr>
        <w:t xml:space="preserve"> la suscrita no encuentra justificado el plazo otorgado para el cumplimiento de la resolución.</w:t>
      </w:r>
    </w:p>
    <w:p w14:paraId="2C6A85FF"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bCs/>
        </w:rPr>
      </w:pPr>
      <w:r w:rsidRPr="00005A13">
        <w:rPr>
          <w:rFonts w:ascii="Palatino Linotype" w:eastAsia="Palatino Linotype" w:hAnsi="Palatino Linotype" w:cs="Palatino Linotype"/>
          <w:bCs/>
        </w:rPr>
        <w:t>Aunado a lo anterior, también se otorga la posibilidad al Sujeto Obligado de solicitar una ampliación de plazo para el cumplimento de la resolución en términos del segundo párrafo del artículo 198 de la Ley de Transparencia y Acceso a la Información Pública del Estado de México y Municipios, lo cual, de actualizarse y aprobarse dilatará la contestación a las peticiones o solicitudes del particular.</w:t>
      </w:r>
    </w:p>
    <w:p w14:paraId="0DA35D95" w14:textId="71F3D1D1"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bCs/>
        </w:rPr>
      </w:pPr>
      <w:r w:rsidRPr="00005A13">
        <w:rPr>
          <w:rFonts w:ascii="Palatino Linotype" w:eastAsia="Palatino Linotype" w:hAnsi="Palatino Linotype" w:cs="Palatino Linotype"/>
          <w:bCs/>
        </w:rPr>
        <w:t xml:space="preserve">Por consiguiente, otorgar el plazo de </w:t>
      </w:r>
      <w:r w:rsidR="00E95A83" w:rsidRPr="00005A13">
        <w:rPr>
          <w:rFonts w:ascii="Palatino Linotype" w:eastAsia="Palatino Linotype" w:hAnsi="Palatino Linotype" w:cs="Palatino Linotype"/>
          <w:bCs/>
        </w:rPr>
        <w:t>treinta</w:t>
      </w:r>
      <w:r w:rsidRPr="00005A13">
        <w:rPr>
          <w:rFonts w:ascii="Palatino Linotype" w:eastAsia="Palatino Linotype" w:hAnsi="Palatino Linotype" w:cs="Palatino Linotype"/>
          <w:bCs/>
        </w:rPr>
        <w:t xml:space="preserve"> días hábiles al Sujeto Obligado para el cumplimiento de la resolución y atender la solicitud, dilata la entrega de la información solicitada; determinación que se contrapone a la Ley en la materia, cuya finalidad es determinar procedimientos sencillos y expeditos para el acceso a la información. </w:t>
      </w:r>
    </w:p>
    <w:p w14:paraId="4F49DDB7" w14:textId="09AC8EDE" w:rsidR="0045555F" w:rsidRPr="00005A13" w:rsidRDefault="00005A13">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sz w:val="24"/>
          <w:szCs w:val="24"/>
        </w:rPr>
        <w:t>Finalmente,</w:t>
      </w:r>
      <w:r w:rsidR="00000000" w:rsidRPr="00005A13">
        <w:rPr>
          <w:rFonts w:ascii="Palatino Linotype" w:eastAsia="Palatino Linotype" w:hAnsi="Palatino Linotype" w:cs="Palatino Linotype"/>
          <w:sz w:val="24"/>
          <w:szCs w:val="24"/>
        </w:rPr>
        <w:t xml:space="preserve"> el Comisionado Ponente, desarrolla la prueba de daño, circunstancia </w:t>
      </w:r>
      <w:proofErr w:type="gramStart"/>
      <w:r w:rsidR="00000000" w:rsidRPr="00005A13">
        <w:rPr>
          <w:rFonts w:ascii="Palatino Linotype" w:eastAsia="Palatino Linotype" w:hAnsi="Palatino Linotype" w:cs="Palatino Linotype"/>
          <w:sz w:val="24"/>
          <w:szCs w:val="24"/>
        </w:rPr>
        <w:t>que</w:t>
      </w:r>
      <w:proofErr w:type="gramEnd"/>
      <w:r w:rsidR="00000000" w:rsidRPr="00005A13">
        <w:rPr>
          <w:rFonts w:ascii="Palatino Linotype" w:eastAsia="Palatino Linotype" w:hAnsi="Palatino Linotype" w:cs="Palatino Linotype"/>
          <w:sz w:val="24"/>
          <w:szCs w:val="24"/>
        </w:rPr>
        <w:t xml:space="preserve"> a consideración de la suscrita, les corresponde comprobar y desarrollar a los Sujetos Obligados, en razón de que, dentro de la Ley de Transparencia y Acceso a la Información Pública del Estado de México y Municipios, se encuentra que, para </w:t>
      </w:r>
      <w:r w:rsidR="00000000" w:rsidRPr="00005A13">
        <w:rPr>
          <w:rFonts w:ascii="Palatino Linotype" w:eastAsia="Palatino Linotype" w:hAnsi="Palatino Linotype" w:cs="Palatino Linotype"/>
          <w:sz w:val="24"/>
          <w:szCs w:val="24"/>
        </w:rPr>
        <w:lastRenderedPageBreak/>
        <w:t xml:space="preserve">reservar una información, se debe aplicar una prueba de daño, la cual es definida por la Ley de la Materia en su artículo 3 fracción XXXII, como: </w:t>
      </w:r>
    </w:p>
    <w:p w14:paraId="5FCBA559" w14:textId="77777777" w:rsidR="0045555F" w:rsidRPr="00005A13" w:rsidRDefault="00000000">
      <w:pPr>
        <w:pBdr>
          <w:top w:val="nil"/>
          <w:left w:val="nil"/>
          <w:bottom w:val="nil"/>
          <w:right w:val="nil"/>
          <w:between w:val="nil"/>
        </w:pBdr>
        <w:spacing w:before="240" w:after="240" w:line="276" w:lineRule="auto"/>
        <w:ind w:left="566" w:right="902"/>
        <w:jc w:val="both"/>
        <w:rPr>
          <w:rFonts w:ascii="Palatino Linotype" w:eastAsia="Palatino Linotype" w:hAnsi="Palatino Linotype" w:cs="Palatino Linotype"/>
          <w:i/>
          <w:sz w:val="24"/>
          <w:szCs w:val="24"/>
        </w:rPr>
      </w:pPr>
      <w:r w:rsidRPr="00005A13">
        <w:rPr>
          <w:rFonts w:ascii="Palatino Linotype" w:eastAsia="Palatino Linotype" w:hAnsi="Palatino Linotype" w:cs="Palatino Linotype"/>
          <w:i/>
          <w:sz w:val="24"/>
          <w:szCs w:val="24"/>
        </w:rPr>
        <w:t xml:space="preserve">“XXXIII.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(Sic) </w:t>
      </w:r>
    </w:p>
    <w:p w14:paraId="22932871" w14:textId="77777777" w:rsidR="0045555F" w:rsidRPr="00005A1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sz w:val="24"/>
          <w:szCs w:val="24"/>
        </w:rPr>
        <w:t xml:space="preserve">Precepto legal en donde establece que es obligación de los Sujeto Obligados, realizar la prueba de daño;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 Esto es, que, a través de la prueba de daño, los sujetos obligados expongan las razones, motivos o circunstancias especiales que los lleven a concluir que la información adquiere el carácter de reservada, y se ajusta a los supuestos previstos en la normatividad como fundamento. Por lo que, en opinión de la Suscrita, y en términos de lo dispuesto por la normatividad en la materia, son los Sujetos Obligados, deben aportar los elementos para desarrollar la prueba de daño necesaria y suficiente, a fin de </w:t>
      </w:r>
      <w:r w:rsidRPr="00005A13">
        <w:rPr>
          <w:rFonts w:ascii="Palatino Linotype" w:eastAsia="Palatino Linotype" w:hAnsi="Palatino Linotype" w:cs="Palatino Linotype"/>
          <w:sz w:val="24"/>
          <w:szCs w:val="24"/>
        </w:rPr>
        <w:lastRenderedPageBreak/>
        <w:t>garantizar la reserva de información y la adecuada temporalidad de esta, aportando elementos necesarios para su clasificación.</w:t>
      </w:r>
    </w:p>
    <w:p w14:paraId="02833A1E" w14:textId="77777777" w:rsidR="0045555F" w:rsidRPr="00E90B23" w:rsidRDefault="0000000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005A13">
        <w:rPr>
          <w:rFonts w:ascii="Palatino Linotype" w:eastAsia="Palatino Linotype" w:hAnsi="Palatino Linotype" w:cs="Palatino Linotype"/>
          <w:sz w:val="24"/>
          <w:szCs w:val="24"/>
        </w:rPr>
        <w:t>Es por todo lo vertido en líneas anteriores que la suscrita no comparte el sentido de la resolución, y formula el presente voto disidente.</w:t>
      </w:r>
    </w:p>
    <w:p w14:paraId="7F5933D0" w14:textId="77777777" w:rsidR="0045555F" w:rsidRDefault="0045555F">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p>
    <w:tbl>
      <w:tblPr>
        <w:tblStyle w:val="a"/>
        <w:tblW w:w="8382" w:type="dxa"/>
        <w:tblInd w:w="764" w:type="dxa"/>
        <w:tblLayout w:type="fixed"/>
        <w:tblLook w:val="0000" w:firstRow="0" w:lastRow="0" w:firstColumn="0" w:lastColumn="0" w:noHBand="0" w:noVBand="0"/>
      </w:tblPr>
      <w:tblGrid>
        <w:gridCol w:w="4837"/>
        <w:gridCol w:w="3545"/>
      </w:tblGrid>
      <w:tr w:rsidR="0045555F" w14:paraId="1EB8ED8D" w14:textId="77777777">
        <w:trPr>
          <w:trHeight w:val="588"/>
        </w:trPr>
        <w:tc>
          <w:tcPr>
            <w:tcW w:w="4837" w:type="dxa"/>
            <w:tcBorders>
              <w:top w:val="nil"/>
              <w:left w:val="nil"/>
              <w:bottom w:val="nil"/>
              <w:right w:val="nil"/>
            </w:tcBorders>
          </w:tcPr>
          <w:p w14:paraId="1C25A522" w14:textId="77777777" w:rsidR="0045555F" w:rsidRDefault="0045555F">
            <w:pPr>
              <w:pBdr>
                <w:top w:val="nil"/>
                <w:left w:val="nil"/>
                <w:bottom w:val="nil"/>
                <w:right w:val="nil"/>
                <w:between w:val="nil"/>
              </w:pBdr>
              <w:spacing w:line="240" w:lineRule="auto"/>
              <w:ind w:right="139" w:hanging="1325"/>
              <w:rPr>
                <w:rFonts w:ascii="Palatino Linotype" w:eastAsia="Palatino Linotype" w:hAnsi="Palatino Linotype" w:cs="Palatino Linotype"/>
                <w:sz w:val="20"/>
                <w:szCs w:val="20"/>
              </w:rPr>
            </w:pPr>
          </w:p>
          <w:p w14:paraId="6B3CC96A" w14:textId="77777777" w:rsidR="0045555F" w:rsidRDefault="0045555F">
            <w:pPr>
              <w:pBdr>
                <w:top w:val="nil"/>
                <w:left w:val="nil"/>
                <w:bottom w:val="nil"/>
                <w:right w:val="nil"/>
                <w:between w:val="nil"/>
              </w:pBdr>
              <w:spacing w:line="240" w:lineRule="auto"/>
              <w:ind w:right="139" w:hanging="1325"/>
              <w:rPr>
                <w:rFonts w:ascii="Palatino Linotype" w:eastAsia="Palatino Linotype" w:hAnsi="Palatino Linotype" w:cs="Palatino Linotype"/>
                <w:sz w:val="20"/>
                <w:szCs w:val="20"/>
              </w:rPr>
            </w:pPr>
          </w:p>
          <w:p w14:paraId="1607CCF7" w14:textId="77777777" w:rsidR="0045555F" w:rsidRDefault="0045555F">
            <w:pPr>
              <w:pBdr>
                <w:top w:val="nil"/>
                <w:left w:val="nil"/>
                <w:bottom w:val="nil"/>
                <w:right w:val="nil"/>
                <w:between w:val="nil"/>
              </w:pBdr>
              <w:spacing w:line="240" w:lineRule="auto"/>
              <w:ind w:right="139" w:hanging="1325"/>
              <w:rPr>
                <w:rFonts w:ascii="Palatino Linotype" w:eastAsia="Palatino Linotype" w:hAnsi="Palatino Linotype" w:cs="Palatino Linotype"/>
                <w:sz w:val="20"/>
                <w:szCs w:val="20"/>
              </w:rPr>
            </w:pPr>
          </w:p>
        </w:tc>
        <w:tc>
          <w:tcPr>
            <w:tcW w:w="3545" w:type="dxa"/>
            <w:tcBorders>
              <w:top w:val="nil"/>
              <w:left w:val="nil"/>
              <w:bottom w:val="nil"/>
              <w:right w:val="nil"/>
            </w:tcBorders>
          </w:tcPr>
          <w:p w14:paraId="444ED11C" w14:textId="77777777" w:rsidR="0045555F" w:rsidRDefault="0045555F">
            <w:pPr>
              <w:pBdr>
                <w:top w:val="nil"/>
                <w:left w:val="nil"/>
                <w:bottom w:val="nil"/>
                <w:right w:val="nil"/>
                <w:between w:val="nil"/>
              </w:pBdr>
              <w:spacing w:line="240" w:lineRule="auto"/>
              <w:ind w:right="139" w:hanging="682"/>
              <w:rPr>
                <w:rFonts w:ascii="Palatino Linotype" w:eastAsia="Palatino Linotype" w:hAnsi="Palatino Linotype" w:cs="Palatino Linotype"/>
                <w:color w:val="000000"/>
                <w:sz w:val="20"/>
                <w:szCs w:val="20"/>
              </w:rPr>
            </w:pPr>
          </w:p>
        </w:tc>
      </w:tr>
    </w:tbl>
    <w:p w14:paraId="377DED8D" w14:textId="77777777" w:rsidR="0045555F" w:rsidRDefault="0045555F">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3"/>
          <w:szCs w:val="23"/>
        </w:rPr>
      </w:pPr>
    </w:p>
    <w:p w14:paraId="750EFDF4" w14:textId="77777777" w:rsidR="0045555F" w:rsidRDefault="0045555F">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3"/>
          <w:szCs w:val="23"/>
        </w:rPr>
      </w:pPr>
    </w:p>
    <w:p w14:paraId="5B3181A2" w14:textId="77777777" w:rsidR="0045555F" w:rsidRDefault="0045555F">
      <w:pPr>
        <w:spacing w:before="240" w:after="240" w:line="360" w:lineRule="auto"/>
        <w:ind w:right="139"/>
        <w:jc w:val="both"/>
        <w:rPr>
          <w:rFonts w:ascii="Palatino Linotype" w:eastAsia="Palatino Linotype" w:hAnsi="Palatino Linotype" w:cs="Palatino Linotype"/>
          <w:sz w:val="24"/>
          <w:szCs w:val="24"/>
        </w:rPr>
      </w:pPr>
    </w:p>
    <w:p w14:paraId="154717C5" w14:textId="77777777" w:rsidR="0045555F" w:rsidRDefault="0045555F">
      <w:pPr>
        <w:spacing w:before="240" w:after="240" w:line="360" w:lineRule="auto"/>
        <w:ind w:right="139"/>
        <w:jc w:val="both"/>
        <w:rPr>
          <w:rFonts w:ascii="Palatino Linotype" w:eastAsia="Palatino Linotype" w:hAnsi="Palatino Linotype" w:cs="Palatino Linotype"/>
          <w:sz w:val="24"/>
          <w:szCs w:val="24"/>
        </w:rPr>
      </w:pPr>
    </w:p>
    <w:p w14:paraId="636793F7" w14:textId="77777777" w:rsidR="0045555F" w:rsidRDefault="0045555F">
      <w:pPr>
        <w:spacing w:before="240" w:after="240" w:line="360" w:lineRule="auto"/>
        <w:ind w:right="139"/>
        <w:jc w:val="both"/>
        <w:rPr>
          <w:rFonts w:ascii="Palatino Linotype" w:eastAsia="Palatino Linotype" w:hAnsi="Palatino Linotype" w:cs="Palatino Linotype"/>
          <w:sz w:val="24"/>
          <w:szCs w:val="24"/>
        </w:rPr>
      </w:pPr>
    </w:p>
    <w:p w14:paraId="17A45BCD" w14:textId="77777777" w:rsidR="0045555F" w:rsidRDefault="0045555F">
      <w:pPr>
        <w:spacing w:before="240" w:after="240" w:line="360" w:lineRule="auto"/>
        <w:ind w:right="139"/>
        <w:jc w:val="both"/>
        <w:rPr>
          <w:rFonts w:ascii="Palatino Linotype" w:eastAsia="Palatino Linotype" w:hAnsi="Palatino Linotype" w:cs="Palatino Linotype"/>
          <w:sz w:val="24"/>
          <w:szCs w:val="24"/>
        </w:rPr>
      </w:pPr>
    </w:p>
    <w:p w14:paraId="17627E9F" w14:textId="77777777" w:rsidR="0045555F" w:rsidRDefault="0045555F">
      <w:pPr>
        <w:spacing w:before="240" w:after="240" w:line="360" w:lineRule="auto"/>
        <w:ind w:right="139"/>
        <w:jc w:val="both"/>
        <w:rPr>
          <w:rFonts w:ascii="Palatino Linotype" w:eastAsia="Palatino Linotype" w:hAnsi="Palatino Linotype" w:cs="Palatino Linotype"/>
          <w:sz w:val="24"/>
          <w:szCs w:val="24"/>
        </w:rPr>
      </w:pPr>
    </w:p>
    <w:p w14:paraId="38A0679D" w14:textId="77777777" w:rsidR="0045555F" w:rsidRDefault="0045555F">
      <w:pPr>
        <w:spacing w:before="240" w:after="240" w:line="360" w:lineRule="auto"/>
        <w:ind w:right="139"/>
        <w:jc w:val="both"/>
        <w:rPr>
          <w:rFonts w:ascii="Palatino Linotype" w:eastAsia="Palatino Linotype" w:hAnsi="Palatino Linotype" w:cs="Palatino Linotype"/>
          <w:sz w:val="24"/>
          <w:szCs w:val="24"/>
        </w:rPr>
      </w:pPr>
    </w:p>
    <w:p w14:paraId="7CB3C14E" w14:textId="77777777" w:rsidR="0045555F" w:rsidRDefault="0045555F">
      <w:pPr>
        <w:spacing w:before="240" w:after="240" w:line="360" w:lineRule="auto"/>
        <w:ind w:right="139"/>
        <w:jc w:val="both"/>
        <w:rPr>
          <w:rFonts w:ascii="Palatino Linotype" w:eastAsia="Palatino Linotype" w:hAnsi="Palatino Linotype" w:cs="Palatino Linotype"/>
          <w:sz w:val="24"/>
          <w:szCs w:val="24"/>
        </w:rPr>
      </w:pPr>
    </w:p>
    <w:p w14:paraId="170BD449" w14:textId="77777777" w:rsidR="0045555F" w:rsidRDefault="0045555F">
      <w:pPr>
        <w:spacing w:before="240" w:after="240" w:line="360" w:lineRule="auto"/>
        <w:ind w:right="139"/>
        <w:jc w:val="both"/>
        <w:rPr>
          <w:rFonts w:ascii="Palatino Linotype" w:eastAsia="Palatino Linotype" w:hAnsi="Palatino Linotype" w:cs="Palatino Linotype"/>
          <w:sz w:val="24"/>
          <w:szCs w:val="24"/>
        </w:rPr>
      </w:pPr>
    </w:p>
    <w:p w14:paraId="3BDBAD3E" w14:textId="77777777" w:rsidR="0045555F" w:rsidRDefault="0045555F"/>
    <w:sectPr w:rsidR="0045555F">
      <w:headerReference w:type="default" r:id="rId16"/>
      <w:footerReference w:type="default" r:id="rId17"/>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A5DB" w14:textId="77777777" w:rsidR="00B45E77" w:rsidRDefault="00B45E77">
      <w:pPr>
        <w:spacing w:after="0" w:line="240" w:lineRule="auto"/>
      </w:pPr>
      <w:r>
        <w:separator/>
      </w:r>
    </w:p>
  </w:endnote>
  <w:endnote w:type="continuationSeparator" w:id="0">
    <w:p w14:paraId="1DDF6963" w14:textId="77777777" w:rsidR="00B45E77" w:rsidRDefault="00B4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D357" w14:textId="77777777" w:rsidR="0045555F" w:rsidRDefault="00000000">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6D713F">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6D713F">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18DF9DA1" w14:textId="77777777" w:rsidR="0045555F" w:rsidRDefault="0045555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BF88" w14:textId="77777777" w:rsidR="00B45E77" w:rsidRDefault="00B45E77">
      <w:pPr>
        <w:spacing w:after="0" w:line="240" w:lineRule="auto"/>
      </w:pPr>
      <w:r>
        <w:separator/>
      </w:r>
    </w:p>
  </w:footnote>
  <w:footnote w:type="continuationSeparator" w:id="0">
    <w:p w14:paraId="22C5C173" w14:textId="77777777" w:rsidR="00B45E77" w:rsidRDefault="00B45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A2D3" w14:textId="77777777" w:rsidR="0045555F" w:rsidRDefault="0000000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DISIDENTE </w:t>
    </w:r>
    <w:r>
      <w:rPr>
        <w:noProof/>
      </w:rPr>
      <w:drawing>
        <wp:anchor distT="0" distB="0" distL="0" distR="0" simplePos="0" relativeHeight="251658240" behindDoc="1" locked="0" layoutInCell="1" hidden="0" allowOverlap="1" wp14:anchorId="36FA33BC" wp14:editId="379F923B">
          <wp:simplePos x="0" y="0"/>
          <wp:positionH relativeFrom="column">
            <wp:posOffset>-952499</wp:posOffset>
          </wp:positionH>
          <wp:positionV relativeFrom="paragraph">
            <wp:posOffset>-568959</wp:posOffset>
          </wp:positionV>
          <wp:extent cx="7510628" cy="9883775"/>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37123F03" w14:textId="77777777" w:rsidR="0045555F" w:rsidRDefault="0000000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02206/INFOEM/IP/RR/2022 Y ACUMULADOS.</w:t>
    </w:r>
  </w:p>
  <w:p w14:paraId="52081F12" w14:textId="6B848AA3" w:rsidR="0045555F" w:rsidRDefault="0045555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201FE"/>
    <w:multiLevelType w:val="multilevel"/>
    <w:tmpl w:val="58F62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928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5F"/>
    <w:rsid w:val="00005A13"/>
    <w:rsid w:val="000E3704"/>
    <w:rsid w:val="001F5463"/>
    <w:rsid w:val="0045555F"/>
    <w:rsid w:val="0067441E"/>
    <w:rsid w:val="006D713F"/>
    <w:rsid w:val="00831888"/>
    <w:rsid w:val="009556FB"/>
    <w:rsid w:val="00B45E77"/>
    <w:rsid w:val="00E90B23"/>
    <w:rsid w:val="00E95A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2344A"/>
  <w15:docId w15:val="{62657FAC-6360-4BE3-AFBB-A5573F7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2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46D2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46D2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46D2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46D28"/>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6D28"/>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6D28"/>
    <w:rPr>
      <w:rFonts w:ascii="Times New Roman" w:eastAsia="Calibri" w:hAnsi="Times New Roman" w:cs="Times New Roman"/>
      <w:sz w:val="24"/>
      <w:szCs w:val="24"/>
      <w:lang w:val="es-ES" w:eastAsia="es-ES"/>
    </w:rPr>
  </w:style>
  <w:style w:type="paragraph" w:styleId="Sinespaciado">
    <w:name w:val="No Spacing"/>
    <w:aliases w:val="Francesa,INAI"/>
    <w:link w:val="SinespaciadoCar"/>
    <w:uiPriority w:val="1"/>
    <w:qFormat/>
    <w:rsid w:val="00346D28"/>
    <w:pPr>
      <w:spacing w:after="0" w:line="240" w:lineRule="auto"/>
    </w:pPr>
  </w:style>
  <w:style w:type="character" w:customStyle="1" w:styleId="SinespaciadoCar">
    <w:name w:val="Sin espaciado Car"/>
    <w:aliases w:val="Francesa Car,INAI Car"/>
    <w:link w:val="Sinespaciado"/>
    <w:uiPriority w:val="1"/>
    <w:locked/>
    <w:rsid w:val="00346D28"/>
  </w:style>
  <w:style w:type="table" w:customStyle="1" w:styleId="TableNormal0">
    <w:name w:val="Table Normal"/>
    <w:uiPriority w:val="2"/>
    <w:semiHidden/>
    <w:unhideWhenUsed/>
    <w:qFormat/>
    <w:rsid w:val="00346D2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6D28"/>
    <w:pPr>
      <w:widowControl w:val="0"/>
      <w:spacing w:after="0" w:line="240" w:lineRule="auto"/>
    </w:pPr>
    <w:rPr>
      <w:lang w:val="en-US"/>
    </w:rPr>
  </w:style>
  <w:style w:type="table" w:styleId="Tablaconcuadrcula">
    <w:name w:val="Table Grid"/>
    <w:basedOn w:val="Tablanormal"/>
    <w:uiPriority w:val="39"/>
    <w:rsid w:val="0034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cAdxW7r75VLpqkVudcVQgLyUrQ==">AMUW2mWwv4boGN0k7aDYr4DLw+hE86gQEz0dluWpwClsorWTZWaZhtW+Oz0s6teuJqZ//jiySGS23t9dyU96f9sUzypBvtdbVOkTVynrhsvMP6qLsHygl/pPd4q3X/i7bGPQlMgqHaErYKYYX5IeNCxBf91iOMTYRw==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4638</Words>
  <Characters>25515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DIANA LAURA RENDON GARCIA</cp:lastModifiedBy>
  <cp:revision>2</cp:revision>
  <dcterms:created xsi:type="dcterms:W3CDTF">2022-06-30T21:28:00Z</dcterms:created>
  <dcterms:modified xsi:type="dcterms:W3CDTF">2022-07-04T16:23:00Z</dcterms:modified>
</cp:coreProperties>
</file>