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spacing w:line="360" w:lineRule="auto"/>
        <w:ind w:right="-164"/>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CUADRAGÉSIMA TERCERA SESIÓN ORDINARIA CELEBRADA EL TREINTA DE NOVIEMBRE DE DOS MIL VEINTIDÓS, EN EL RECURSOS DE REVISIÓN 12657/INFOEM/IP/RR/2022 Y ACUMULADOS. </w:t>
      </w:r>
    </w:p>
    <w:p w:rsidR="00000000" w:rsidDel="00000000" w:rsidP="00000000" w:rsidRDefault="00000000" w:rsidRPr="00000000" w14:paraId="00000003">
      <w:pPr>
        <w:widowControl w:val="0"/>
        <w:spacing w:line="360" w:lineRule="auto"/>
        <w:ind w:right="-164"/>
        <w:jc w:val="both"/>
        <w:rPr>
          <w:rFonts w:ascii="Palatino Linotype" w:cs="Palatino Linotype" w:eastAsia="Palatino Linotype" w:hAnsi="Palatino Linotype"/>
          <w:b w:val="1"/>
          <w:color w:val="000000"/>
        </w:rPr>
      </w:pPr>
      <w:r w:rsidDel="00000000" w:rsidR="00000000" w:rsidRPr="00000000">
        <w:rPr>
          <w:rtl w:val="0"/>
        </w:rPr>
      </w:r>
    </w:p>
    <w:p w:rsidR="00000000" w:rsidDel="00000000" w:rsidP="00000000" w:rsidRDefault="00000000" w:rsidRPr="00000000" w14:paraId="00000004">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Con fundamento en lo dispuesto por el artículo 14, fracciones X y XI del Reglamento Interior del Instituto de Transparencia, Acceso a la Información Pública y Protección de Datos Personales del Estado de México y Municipios, la que suscribe</w:t>
      </w:r>
      <w:r w:rsidDel="00000000" w:rsidR="00000000" w:rsidRPr="00000000">
        <w:rPr>
          <w:rFonts w:ascii="Palatino Linotype" w:cs="Palatino Linotype" w:eastAsia="Palatino Linotype" w:hAnsi="Palatino Linotype"/>
          <w:b w:val="1"/>
          <w:sz w:val="22"/>
          <w:szCs w:val="22"/>
          <w:rtl w:val="0"/>
        </w:rPr>
        <w:t xml:space="preserve"> SHARON CRISTINA MORALES MARTÍNEZ, </w:t>
      </w:r>
      <w:r w:rsidDel="00000000" w:rsidR="00000000" w:rsidRPr="00000000">
        <w:rPr>
          <w:rFonts w:ascii="Palatino Linotype" w:cs="Palatino Linotype" w:eastAsia="Palatino Linotype" w:hAnsi="Palatino Linotype"/>
          <w:sz w:val="22"/>
          <w:szCs w:val="22"/>
          <w:rtl w:val="0"/>
        </w:rPr>
        <w:t xml:space="preserve">emite </w:t>
      </w:r>
      <w:r w:rsidDel="00000000" w:rsidR="00000000" w:rsidRPr="00000000">
        <w:rPr>
          <w:rFonts w:ascii="Palatino Linotype" w:cs="Palatino Linotype" w:eastAsia="Palatino Linotype" w:hAnsi="Palatino Linotype"/>
          <w:b w:val="1"/>
          <w:sz w:val="22"/>
          <w:szCs w:val="22"/>
          <w:rtl w:val="0"/>
        </w:rPr>
        <w:t xml:space="preserve">VOTO DISIDENTE </w:t>
      </w:r>
      <w:r w:rsidDel="00000000" w:rsidR="00000000" w:rsidRPr="00000000">
        <w:rPr>
          <w:rFonts w:ascii="Palatino Linotype" w:cs="Palatino Linotype" w:eastAsia="Palatino Linotype" w:hAnsi="Palatino Linotype"/>
          <w:sz w:val="22"/>
          <w:szCs w:val="22"/>
          <w:rtl w:val="0"/>
        </w:rPr>
        <w:t xml:space="preserve">respecto de la resolución dictada en el Recurso de Revisión </w:t>
      </w:r>
      <w:r w:rsidDel="00000000" w:rsidR="00000000" w:rsidRPr="00000000">
        <w:rPr>
          <w:rFonts w:ascii="Palatino Linotype" w:cs="Palatino Linotype" w:eastAsia="Palatino Linotype" w:hAnsi="Palatino Linotype"/>
          <w:b w:val="1"/>
          <w:sz w:val="22"/>
          <w:szCs w:val="22"/>
          <w:rtl w:val="0"/>
        </w:rPr>
        <w:t xml:space="preserve">12652/INFOEM/IP/RR/2022 y acumulados</w:t>
      </w:r>
      <w:r w:rsidDel="00000000" w:rsidR="00000000" w:rsidRPr="00000000">
        <w:rPr>
          <w:rFonts w:ascii="Palatino Linotype" w:cs="Palatino Linotype" w:eastAsia="Palatino Linotype" w:hAnsi="Palatino Linotype"/>
          <w:b w:val="1"/>
          <w:color w:val="000000"/>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pronunciada por el Pleno de este Instituto ante el proyecto presentado por engrose de la Comisionada </w:t>
      </w:r>
      <w:r w:rsidDel="00000000" w:rsidR="00000000" w:rsidRPr="00000000">
        <w:rPr>
          <w:rFonts w:ascii="Palatino Linotype" w:cs="Palatino Linotype" w:eastAsia="Palatino Linotype" w:hAnsi="Palatino Linotype"/>
          <w:b w:val="1"/>
          <w:sz w:val="22"/>
          <w:szCs w:val="22"/>
          <w:rtl w:val="0"/>
        </w:rPr>
        <w:t xml:space="preserve">SHARON CRISTINA MORALES MARTÍNEZ</w:t>
      </w:r>
      <w:r w:rsidDel="00000000" w:rsidR="00000000" w:rsidRPr="00000000">
        <w:rPr>
          <w:rFonts w:ascii="Palatino Linotype" w:cs="Palatino Linotype" w:eastAsia="Palatino Linotype" w:hAnsi="Palatino Linotype"/>
          <w:sz w:val="22"/>
          <w:szCs w:val="22"/>
          <w:rtl w:val="0"/>
        </w:rPr>
        <w:t xml:space="preserve">, que es del tenor siguiente.</w:t>
      </w:r>
    </w:p>
    <w:p w:rsidR="00000000" w:rsidDel="00000000" w:rsidP="00000000" w:rsidRDefault="00000000" w:rsidRPr="00000000" w14:paraId="00000005">
      <w:pPr>
        <w:widowControl w:val="0"/>
        <w:spacing w:line="360" w:lineRule="auto"/>
        <w:ind w:right="-164"/>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6">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de destacar, que el presente asunto se resolvió con el criterio mayoritario de Pleno de este Instituto, el cual la suscrita no coincide,  pues el estudio realizado en la resolución de los Recursos de Revisión, atiende a lo siguiente:</w:t>
      </w:r>
    </w:p>
    <w:p w:rsidR="00000000" w:rsidDel="00000000" w:rsidP="00000000" w:rsidRDefault="00000000" w:rsidRPr="00000000" w14:paraId="0000000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08">
      <w:pPr>
        <w:spacing w:line="360" w:lineRule="auto"/>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sz w:val="22"/>
          <w:szCs w:val="22"/>
          <w:rtl w:val="0"/>
        </w:rPr>
        <w:t xml:space="preserve">Tal y como quedó asentado en la resolución materia del presente voto, el particular requirió del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en las Solicitudes de Información,lo siguiente:</w:t>
      </w:r>
      <w:r w:rsidDel="00000000" w:rsidR="00000000" w:rsidRPr="00000000">
        <w:rPr>
          <w:rtl w:val="0"/>
        </w:rPr>
      </w:r>
    </w:p>
    <w:tbl>
      <w:tblPr>
        <w:tblStyle w:val="Table1"/>
        <w:tblW w:w="793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14"/>
        <w:gridCol w:w="5224"/>
        <w:tblGridChange w:id="0">
          <w:tblGrid>
            <w:gridCol w:w="2714"/>
            <w:gridCol w:w="5224"/>
          </w:tblGrid>
        </w:tblGridChange>
      </w:tblGrid>
      <w:tr>
        <w:trPr>
          <w:cantSplit w:val="0"/>
          <w:trHeight w:val="315" w:hRule="atLeast"/>
          <w:tblHeader w:val="1"/>
        </w:trPr>
        <w:tc>
          <w:tcPr>
            <w:shd w:fill="auto" w:val="clear"/>
          </w:tcPr>
          <w:p w:rsidR="00000000" w:rsidDel="00000000" w:rsidP="00000000" w:rsidRDefault="00000000" w:rsidRPr="00000000" w14:paraId="00000009">
            <w:pPr>
              <w:spacing w:line="276" w:lineRule="auto"/>
              <w:jc w:val="center"/>
              <w:rPr>
                <w:rFonts w:ascii="Palatino Linotype" w:cs="Palatino Linotype" w:eastAsia="Palatino Linotype" w:hAnsi="Palatino Linotype"/>
                <w:color w:val="ffffff"/>
                <w:sz w:val="20"/>
                <w:szCs w:val="20"/>
              </w:rPr>
            </w:pPr>
            <w:bookmarkStart w:colFirst="0" w:colLast="0" w:name="_heading=h.gjdgxs" w:id="0"/>
            <w:bookmarkEnd w:id="0"/>
            <w:r w:rsidDel="00000000" w:rsidR="00000000" w:rsidRPr="00000000">
              <w:rPr>
                <w:rFonts w:ascii="Palatino Linotype" w:cs="Palatino Linotype" w:eastAsia="Palatino Linotype" w:hAnsi="Palatino Linotype"/>
                <w:color w:val="ffffff"/>
                <w:sz w:val="20"/>
                <w:szCs w:val="20"/>
                <w:rtl w:val="0"/>
              </w:rPr>
              <w:t xml:space="preserve">Folio </w:t>
            </w:r>
          </w:p>
        </w:tc>
        <w:tc>
          <w:tcPr>
            <w:shd w:fill="auto" w:val="clear"/>
          </w:tcPr>
          <w:p w:rsidR="00000000" w:rsidDel="00000000" w:rsidP="00000000" w:rsidRDefault="00000000" w:rsidRPr="00000000" w14:paraId="0000000A">
            <w:pPr>
              <w:spacing w:line="276" w:lineRule="auto"/>
              <w:jc w:val="center"/>
              <w:rPr>
                <w:rFonts w:ascii="Palatino Linotype" w:cs="Palatino Linotype" w:eastAsia="Palatino Linotype" w:hAnsi="Palatino Linotype"/>
                <w:b w:val="1"/>
                <w:color w:val="ffffff"/>
                <w:sz w:val="20"/>
                <w:szCs w:val="20"/>
              </w:rPr>
            </w:pPr>
            <w:r w:rsidDel="00000000" w:rsidR="00000000" w:rsidRPr="00000000">
              <w:rPr>
                <w:rFonts w:ascii="Palatino Linotype" w:cs="Palatino Linotype" w:eastAsia="Palatino Linotype" w:hAnsi="Palatino Linotype"/>
                <w:b w:val="1"/>
                <w:color w:val="ffffff"/>
                <w:sz w:val="20"/>
                <w:szCs w:val="20"/>
                <w:rtl w:val="0"/>
              </w:rPr>
              <w:t xml:space="preserve">Solicitud </w:t>
            </w:r>
          </w:p>
        </w:tc>
      </w:tr>
    </w:tbl>
    <w:p w:rsidR="00000000" w:rsidDel="00000000" w:rsidP="00000000" w:rsidRDefault="00000000" w:rsidRPr="00000000" w14:paraId="0000000B">
      <w:pPr>
        <w:spacing w:line="360" w:lineRule="auto"/>
        <w:ind w:left="567" w:right="616" w:firstLine="0"/>
        <w:jc w:val="both"/>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0C">
      <w:pPr>
        <w:spacing w:line="360" w:lineRule="auto"/>
        <w:ind w:left="567" w:right="616" w:firstLine="0"/>
        <w:jc w:val="both"/>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0D">
      <w:pPr>
        <w:spacing w:line="360" w:lineRule="auto"/>
        <w:ind w:left="567" w:right="616" w:firstLine="0"/>
        <w:jc w:val="both"/>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00510/AMECAMEC/IP/2022</w:t>
      </w:r>
    </w:p>
    <w:p w:rsidR="00000000" w:rsidDel="00000000" w:rsidP="00000000" w:rsidRDefault="00000000" w:rsidRPr="00000000" w14:paraId="0000000E">
      <w:pPr>
        <w:spacing w:line="360" w:lineRule="auto"/>
        <w:ind w:left="567" w:right="616"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los integrantes del comité municipal de salud, de Amecameca, Estado de México, 2022-2024, así como el acta de instalación y las subsecuentes actas ordinarias y/o extraordinarias que haya tenido el comité.”</w:t>
      </w:r>
    </w:p>
    <w:p w:rsidR="00000000" w:rsidDel="00000000" w:rsidP="00000000" w:rsidRDefault="00000000" w:rsidRPr="00000000" w14:paraId="0000000F">
      <w:pPr>
        <w:spacing w:line="360" w:lineRule="auto"/>
        <w:ind w:left="567" w:right="616" w:firstLine="0"/>
        <w:jc w:val="both"/>
        <w:rPr>
          <w:rFonts w:ascii="Palatino Linotype" w:cs="Palatino Linotype" w:eastAsia="Palatino Linotype" w:hAnsi="Palatino Linotype"/>
          <w:b w:val="1"/>
          <w:sz w:val="20"/>
          <w:szCs w:val="20"/>
        </w:rPr>
      </w:pPr>
      <w:r w:rsidDel="00000000" w:rsidR="00000000" w:rsidRPr="00000000">
        <w:rPr>
          <w:rtl w:val="0"/>
        </w:rPr>
      </w:r>
    </w:p>
    <w:p w:rsidR="00000000" w:rsidDel="00000000" w:rsidP="00000000" w:rsidRDefault="00000000" w:rsidRPr="00000000" w14:paraId="00000010">
      <w:pPr>
        <w:spacing w:line="360" w:lineRule="auto"/>
        <w:ind w:left="567" w:right="616" w:firstLine="0"/>
        <w:jc w:val="both"/>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00513/AMECAMEC/IP/2022</w:t>
      </w:r>
    </w:p>
    <w:p w:rsidR="00000000" w:rsidDel="00000000" w:rsidP="00000000" w:rsidRDefault="00000000" w:rsidRPr="00000000" w14:paraId="00000011">
      <w:pPr>
        <w:spacing w:line="360" w:lineRule="auto"/>
        <w:ind w:left="567" w:right="616"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El currículum vitae de los integrantes de la comisión municipal de honor y justicia, de Amecameca, Estado de México, 2022-2024, así como el acta de instalación y las subsecuentes actas ordinarias y/o extraordinarias que haya tenido la comisión. Todo en versión publica.”(Sic)</w:t>
      </w:r>
    </w:p>
    <w:p w:rsidR="00000000" w:rsidDel="00000000" w:rsidP="00000000" w:rsidRDefault="00000000" w:rsidRPr="00000000" w14:paraId="0000001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3">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respuesta, </w:t>
      </w:r>
      <w:r w:rsidDel="00000000" w:rsidR="00000000" w:rsidRPr="00000000">
        <w:rPr>
          <w:rFonts w:ascii="Palatino Linotype" w:cs="Palatino Linotype" w:eastAsia="Palatino Linotype" w:hAnsi="Palatino Linotype"/>
          <w:b w:val="1"/>
          <w:sz w:val="22"/>
          <w:szCs w:val="22"/>
          <w:rtl w:val="0"/>
        </w:rPr>
        <w:t xml:space="preserve">EL SUJETO OBLIGADO </w:t>
      </w:r>
      <w:r w:rsidDel="00000000" w:rsidR="00000000" w:rsidRPr="00000000">
        <w:rPr>
          <w:rFonts w:ascii="Palatino Linotype" w:cs="Palatino Linotype" w:eastAsia="Palatino Linotype" w:hAnsi="Palatino Linotype"/>
          <w:sz w:val="22"/>
          <w:szCs w:val="22"/>
          <w:rtl w:val="0"/>
        </w:rPr>
        <w:t xml:space="preserve">refirió lo que se cita a continuación:</w:t>
      </w:r>
    </w:p>
    <w:p w:rsidR="00000000" w:rsidDel="00000000" w:rsidP="00000000" w:rsidRDefault="00000000" w:rsidRPr="00000000" w14:paraId="00000014">
      <w:pPr>
        <w:spacing w:line="360" w:lineRule="auto"/>
        <w:ind w:left="567" w:right="474"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5">
      <w:pPr>
        <w:spacing w:line="360" w:lineRule="auto"/>
        <w:ind w:left="567" w:right="474"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00510/AMECAMEC/IP/2022</w:t>
      </w:r>
    </w:p>
    <w:p w:rsidR="00000000" w:rsidDel="00000000" w:rsidP="00000000" w:rsidRDefault="00000000" w:rsidRPr="00000000" w14:paraId="00000016">
      <w:pPr>
        <w:spacing w:line="360" w:lineRule="auto"/>
        <w:ind w:left="567" w:right="474"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“En respuesta a su solicitud y en conformidad con el artículo 12 segundo párrafo de la Ley de Transparencia y Acceso a la Información Pública del Estado de México y Municipios no existe dicha información. sin más por el momento quedo a sus órdenes para cualquier duda o aclaración”(Sic)</w:t>
      </w:r>
    </w:p>
    <w:p w:rsidR="00000000" w:rsidDel="00000000" w:rsidP="00000000" w:rsidRDefault="00000000" w:rsidRPr="00000000" w14:paraId="00000017">
      <w:pPr>
        <w:spacing w:line="360" w:lineRule="auto"/>
        <w:ind w:left="567" w:right="474"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8">
      <w:pPr>
        <w:spacing w:line="360" w:lineRule="auto"/>
        <w:ind w:left="567" w:right="474"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00513/AMECAMEC/IP/2022</w:t>
      </w:r>
    </w:p>
    <w:p w:rsidR="00000000" w:rsidDel="00000000" w:rsidP="00000000" w:rsidRDefault="00000000" w:rsidRPr="00000000" w14:paraId="00000019">
      <w:pPr>
        <w:spacing w:line="360" w:lineRule="auto"/>
        <w:ind w:left="567" w:right="474"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w:t>
      </w:r>
    </w:p>
    <w:p w:rsidR="00000000" w:rsidDel="00000000" w:rsidP="00000000" w:rsidRDefault="00000000" w:rsidRPr="00000000" w14:paraId="0000001A">
      <w:pPr>
        <w:spacing w:line="360" w:lineRule="auto"/>
        <w:ind w:left="567" w:right="474"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Con fundamento en el artículo 161 de la Ley de Seguridad Publica México y Municipios, así como lo establecido artículo 12 segundo párrafo de la Ley de transparencia y acceso a la información pública del Estado de México y Municipios, no existe dicha información en los archivos de esta institución. “En la cual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II. Los secretos bancario, fiduciario, industrial, comercial, fiscal, bursátil y postal, cuya titularidad corresponda a particulares, sujetos de derecho internacional o a sujetos obligados cuando… sin más por el momento, quedo a sus órdenes para cualquier duda o aclaración.”(Sic)</w:t>
      </w:r>
    </w:p>
    <w:p w:rsidR="00000000" w:rsidDel="00000000" w:rsidP="00000000" w:rsidRDefault="00000000" w:rsidRPr="00000000" w14:paraId="0000001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C">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Inconforme con la respuesta, el Recurrente interpuso el presente medio de defensa, señalando como razones o motivos de inconformidad:</w:t>
      </w:r>
    </w:p>
    <w:p w:rsidR="00000000" w:rsidDel="00000000" w:rsidP="00000000" w:rsidRDefault="00000000" w:rsidRPr="00000000" w14:paraId="0000001D">
      <w:pPr>
        <w:spacing w:line="360" w:lineRule="auto"/>
        <w:ind w:left="708"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1E">
      <w:pPr>
        <w:spacing w:line="360" w:lineRule="auto"/>
        <w:jc w:val="both"/>
        <w:rPr>
          <w:rFonts w:ascii="Palatino Linotype" w:cs="Palatino Linotype" w:eastAsia="Palatino Linotype" w:hAnsi="Palatino Linotype"/>
          <w:b w:val="1"/>
          <w:sz w:val="22"/>
          <w:szCs w:val="22"/>
        </w:rPr>
      </w:pPr>
      <w:bookmarkStart w:colFirst="0" w:colLast="0" w:name="_heading=h.30j0zll" w:id="1"/>
      <w:bookmarkEnd w:id="1"/>
      <w:r w:rsidDel="00000000" w:rsidR="00000000" w:rsidRPr="00000000">
        <w:rPr>
          <w:rFonts w:ascii="Palatino Linotype" w:cs="Palatino Linotype" w:eastAsia="Palatino Linotype" w:hAnsi="Palatino Linotype"/>
          <w:b w:val="1"/>
          <w:sz w:val="22"/>
          <w:szCs w:val="22"/>
          <w:rtl w:val="0"/>
        </w:rPr>
        <w:t xml:space="preserve">12722/INFOEM/IP/RR/2022: </w:t>
      </w:r>
    </w:p>
    <w:p w:rsidR="00000000" w:rsidDel="00000000" w:rsidP="00000000" w:rsidRDefault="00000000" w:rsidRPr="00000000" w14:paraId="0000001F">
      <w:pPr>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Acto impugnado:</w:t>
      </w:r>
    </w:p>
    <w:p w:rsidR="00000000" w:rsidDel="00000000" w:rsidP="00000000" w:rsidRDefault="00000000" w:rsidRPr="00000000" w14:paraId="00000021">
      <w:pPr>
        <w:tabs>
          <w:tab w:val="left" w:pos="851"/>
        </w:tabs>
        <w:spacing w:line="360" w:lineRule="auto"/>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2">
      <w:pPr>
        <w:spacing w:line="360" w:lineRule="auto"/>
        <w:ind w:left="851" w:right="616"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0"/>
          <w:szCs w:val="20"/>
          <w:rtl w:val="0"/>
        </w:rPr>
        <w:t xml:space="preserve">“El currÍculum vitae de los integrantes del comité municipal de salud, de Amecameca, Estado de México, 2022-2024, así como el acta de instalación y las subsecuentes actas ordinarias y/o extraordinarias que haya tenido el comité.” (Sic)</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Razones o motivos de inconformidad:</w:t>
      </w:r>
    </w:p>
    <w:p w:rsidR="00000000" w:rsidDel="00000000" w:rsidP="00000000" w:rsidRDefault="00000000" w:rsidRPr="00000000" w14:paraId="00000024">
      <w:pPr>
        <w:spacing w:line="360" w:lineRule="auto"/>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5">
      <w:pPr>
        <w:spacing w:line="360" w:lineRule="auto"/>
        <w:ind w:left="850" w:firstLine="0"/>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“Existe dicho comité, se tiene de conocimiento de la participación de directivos de la jurisdicción sanitaria de la zona perteneciente a la región de los volcanes” (Sic)</w:t>
      </w:r>
    </w:p>
    <w:p w:rsidR="00000000" w:rsidDel="00000000" w:rsidP="00000000" w:rsidRDefault="00000000" w:rsidRPr="00000000" w14:paraId="00000026">
      <w:pPr>
        <w:ind w:left="850" w:firstLine="0"/>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7">
      <w:pPr>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12724/INFOEM/IP/RR/2022:</w:t>
      </w:r>
    </w:p>
    <w:p w:rsidR="00000000" w:rsidDel="00000000" w:rsidP="00000000" w:rsidRDefault="00000000" w:rsidRPr="00000000" w14:paraId="00000028">
      <w:pPr>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Acto impugnado:</w:t>
      </w:r>
    </w:p>
    <w:p w:rsidR="00000000" w:rsidDel="00000000" w:rsidP="00000000" w:rsidRDefault="00000000" w:rsidRPr="00000000" w14:paraId="0000002A">
      <w:pPr>
        <w:tabs>
          <w:tab w:val="left" w:pos="851"/>
        </w:tabs>
        <w:spacing w:line="360" w:lineRule="auto"/>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B">
      <w:pPr>
        <w:spacing w:line="360" w:lineRule="auto"/>
        <w:ind w:left="851" w:right="616"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i w:val="1"/>
          <w:sz w:val="20"/>
          <w:szCs w:val="20"/>
          <w:rtl w:val="0"/>
        </w:rPr>
        <w:t xml:space="preserve">“El currículum vitae de los integrantes de la comisión municipal de honor y justicia, de Amecameca, Estado de México, 2022-2024, así como el acta de instalación y las subsecuentes actas ordinarias y/o extraordinarias que haya tenido la comisión. Todo en versión publica.” (Sic)</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Razones o motivos de inconformidad:</w:t>
      </w:r>
    </w:p>
    <w:p w:rsidR="00000000" w:rsidDel="00000000" w:rsidP="00000000" w:rsidRDefault="00000000" w:rsidRPr="00000000" w14:paraId="0000002D">
      <w:pPr>
        <w:spacing w:line="360" w:lineRule="auto"/>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E">
      <w:pPr>
        <w:spacing w:line="360" w:lineRule="auto"/>
        <w:ind w:left="850" w:right="616" w:firstLine="0"/>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“Es una comisión instaurada para el servicio público, por lo que la respuesta otorgada, está fuera de contexto”.” (Sic)</w:t>
      </w:r>
    </w:p>
    <w:p w:rsidR="00000000" w:rsidDel="00000000" w:rsidP="00000000" w:rsidRDefault="00000000" w:rsidRPr="00000000" w14:paraId="0000002F">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30">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Es así que, la Ponencia Resolutora realizó un estudio para determinar si </w:t>
      </w:r>
      <w:r w:rsidDel="00000000" w:rsidR="00000000" w:rsidRPr="00000000">
        <w:rPr>
          <w:rFonts w:ascii="Palatino Linotype" w:cs="Palatino Linotype" w:eastAsia="Palatino Linotype" w:hAnsi="Palatino Linotype"/>
          <w:b w:val="1"/>
          <w:sz w:val="22"/>
          <w:szCs w:val="22"/>
          <w:rtl w:val="0"/>
        </w:rPr>
        <w:t xml:space="preserve">EL SUJETO OBLIGADO</w:t>
      </w:r>
      <w:r w:rsidDel="00000000" w:rsidR="00000000" w:rsidRPr="00000000">
        <w:rPr>
          <w:rFonts w:ascii="Palatino Linotype" w:cs="Palatino Linotype" w:eastAsia="Palatino Linotype" w:hAnsi="Palatino Linotype"/>
          <w:sz w:val="22"/>
          <w:szCs w:val="22"/>
          <w:rtl w:val="0"/>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 fracción I y II del artículo 179 de la Ley de Transparencia y Acceso a la Información Pública del Estado de México y sus Municipios, que establecen la negativa y la clasificación de la información solicitada.</w:t>
      </w:r>
    </w:p>
    <w:p w:rsidR="00000000" w:rsidDel="00000000" w:rsidP="00000000" w:rsidRDefault="00000000" w:rsidRPr="00000000" w14:paraId="00000031">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2">
      <w:pPr>
        <w:spacing w:line="360" w:lineRule="auto"/>
        <w:jc w:val="both"/>
        <w:rPr>
          <w:rFonts w:ascii="Palatino Linotype" w:cs="Palatino Linotype" w:eastAsia="Palatino Linotype" w:hAnsi="Palatino Linotype"/>
          <w:i w:val="1"/>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En esa tesitura, el presente recurso se elaboró engrose y criterio mayoritario por el Pleno de este Instituto, en el que sólo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Del="00000000" w:rsidR="00000000" w:rsidRPr="00000000">
        <w:rPr>
          <w:rFonts w:ascii="Palatino Linotype" w:cs="Palatino Linotype" w:eastAsia="Palatino Linotype" w:hAnsi="Palatino Linotype"/>
          <w:i w:val="1"/>
          <w:color w:val="000000"/>
          <w:sz w:val="22"/>
          <w:szCs w:val="22"/>
          <w:rtl w:val="0"/>
        </w:rPr>
        <w:t xml:space="preserve">Nombres de servidores públicos dedicados a actividades en materia de seguridad, por excepción pueden considerarse información reservada”.</w:t>
      </w:r>
    </w:p>
    <w:p w:rsidR="00000000" w:rsidDel="00000000" w:rsidP="00000000" w:rsidRDefault="00000000" w:rsidRPr="00000000" w14:paraId="00000033">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4">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ese sentido, se realizó el engrose del presente asunto y se ordenó entregar la información solicitada por el recurrente únicamente reservando del nombre de los elementos operativos de Seguridad Pública, que se encuentren activos en el Municipio de Amecameca, como lo es criterio mayoritario del Pleno de este Instituto, en términos del artículo 140, fracción IV, de la Ley de Transparencia y Acceso a la Información Pública del Estado de México y Municipios.</w:t>
      </w:r>
    </w:p>
    <w:p w:rsidR="00000000" w:rsidDel="00000000" w:rsidP="00000000" w:rsidRDefault="00000000" w:rsidRPr="00000000" w14:paraId="0000003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6">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sz w:val="22"/>
          <w:szCs w:val="22"/>
          <w:rtl w:val="0"/>
        </w:rPr>
        <w:t xml:space="preserve">Estudio con el cual esta Ponencia no coincide, ya que </w:t>
      </w:r>
      <w:r w:rsidDel="00000000" w:rsidR="00000000" w:rsidRPr="00000000">
        <w:rPr>
          <w:rFonts w:ascii="Palatino Linotype" w:cs="Palatino Linotype" w:eastAsia="Palatino Linotype" w:hAnsi="Palatino Linotype"/>
          <w:color w:val="000000"/>
          <w:sz w:val="22"/>
          <w:szCs w:val="22"/>
          <w:rtl w:val="0"/>
        </w:rPr>
        <w:t xml:space="preserve">la entrega de la información del cargo y área de adscripción del personal de seguridad pública, en su respectiva versión pública puede hacer identificable a dichos elementos de seguridad. </w:t>
      </w:r>
    </w:p>
    <w:p w:rsidR="00000000" w:rsidDel="00000000" w:rsidP="00000000" w:rsidRDefault="00000000" w:rsidRPr="00000000" w14:paraId="0000003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8">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sz w:val="22"/>
          <w:szCs w:val="22"/>
          <w:rtl w:val="0"/>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Del="00000000" w:rsidR="00000000" w:rsidRPr="00000000">
        <w:rPr>
          <w:rFonts w:ascii="Palatino Linotype" w:cs="Palatino Linotype" w:eastAsia="Palatino Linotype" w:hAnsi="Palatino Linotype"/>
          <w:b w:val="1"/>
          <w:sz w:val="22"/>
          <w:szCs w:val="22"/>
          <w:rtl w:val="0"/>
        </w:rPr>
        <w:t xml:space="preserve">representa un riesgo real, demostrable e identificable, </w:t>
      </w:r>
      <w:r w:rsidDel="00000000" w:rsidR="00000000" w:rsidRPr="00000000">
        <w:rPr>
          <w:rFonts w:ascii="Palatino Linotype" w:cs="Palatino Linotype" w:eastAsia="Palatino Linotype" w:hAnsi="Palatino Linotype"/>
          <w:sz w:val="22"/>
          <w:szCs w:val="22"/>
          <w:rtl w:val="0"/>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r w:rsidDel="00000000" w:rsidR="00000000" w:rsidRPr="00000000">
        <w:rPr>
          <w:rtl w:val="0"/>
        </w:rPr>
      </w:r>
    </w:p>
    <w:p w:rsidR="00000000" w:rsidDel="00000000" w:rsidP="00000000" w:rsidRDefault="00000000" w:rsidRPr="00000000" w14:paraId="00000039">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A">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Es por ello</w:t>
      </w:r>
      <w:r w:rsidDel="00000000" w:rsidR="00000000" w:rsidRPr="00000000">
        <w:rPr>
          <w:rFonts w:ascii="Palatino Linotype" w:cs="Palatino Linotype" w:eastAsia="Palatino Linotype" w:hAnsi="Palatino Linotype"/>
          <w:b w:val="1"/>
          <w:color w:val="000000"/>
          <w:sz w:val="22"/>
          <w:szCs w:val="22"/>
          <w:rtl w:val="0"/>
        </w:rPr>
        <w:t xml:space="preserve">, que la suscrita considera de suma importancia la reserva respecto al cargo y área de adscripción del personal de Seguridad Pública </w:t>
      </w:r>
      <w:r w:rsidDel="00000000" w:rsidR="00000000" w:rsidRPr="00000000">
        <w:rPr>
          <w:rFonts w:ascii="Palatino Linotype" w:cs="Palatino Linotype" w:eastAsia="Palatino Linotype" w:hAnsi="Palatino Linotype"/>
          <w:color w:val="000000"/>
          <w:sz w:val="22"/>
          <w:szCs w:val="22"/>
          <w:rtl w:val="0"/>
        </w:rPr>
        <w:t xml:space="preserve">del Ayuntamiento de </w:t>
      </w:r>
      <w:r w:rsidDel="00000000" w:rsidR="00000000" w:rsidRPr="00000000">
        <w:rPr>
          <w:rFonts w:ascii="Palatino Linotype" w:cs="Palatino Linotype" w:eastAsia="Palatino Linotype" w:hAnsi="Palatino Linotype"/>
          <w:sz w:val="22"/>
          <w:szCs w:val="22"/>
          <w:rtl w:val="0"/>
        </w:rPr>
        <w:t xml:space="preserve">Amecameca</w:t>
      </w:r>
      <w:r w:rsidDel="00000000" w:rsidR="00000000" w:rsidRPr="00000000">
        <w:rPr>
          <w:rFonts w:ascii="Palatino Linotype" w:cs="Palatino Linotype" w:eastAsia="Palatino Linotype" w:hAnsi="Palatino Linotype"/>
          <w:color w:val="000000"/>
          <w:sz w:val="22"/>
          <w:szCs w:val="22"/>
          <w:rtl w:val="0"/>
        </w:rPr>
        <w:t xml:space="preserve">, pues se ordenó la entrega de las actas de la Comisión de Honor y Justicia y estos documentos puede dar a conocer dicha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rsidR="00000000" w:rsidDel="00000000" w:rsidP="00000000" w:rsidRDefault="00000000" w:rsidRPr="00000000" w14:paraId="0000003B">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3C">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Aunado a ello,</w:t>
      </w:r>
      <w:r w:rsidDel="00000000" w:rsidR="00000000" w:rsidRPr="00000000">
        <w:rPr>
          <w:rFonts w:ascii="Palatino Linotype" w:cs="Palatino Linotype" w:eastAsia="Palatino Linotype" w:hAnsi="Palatino Linotype"/>
          <w:sz w:val="22"/>
          <w:szCs w:val="22"/>
          <w:rtl w:val="0"/>
        </w:rPr>
        <w:t xml:space="preserve"> proporcionar</w:t>
      </w:r>
      <w:r w:rsidDel="00000000" w:rsidR="00000000" w:rsidRPr="00000000">
        <w:rPr>
          <w:rFonts w:ascii="Palatino Linotype" w:cs="Palatino Linotype" w:eastAsia="Palatino Linotype" w:hAnsi="Palatino Linotype"/>
          <w:color w:val="000000"/>
          <w:sz w:val="22"/>
          <w:szCs w:val="22"/>
          <w:rtl w:val="0"/>
        </w:rPr>
        <w:t xml:space="preserve">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rsidR="00000000" w:rsidDel="00000000" w:rsidP="00000000" w:rsidRDefault="00000000" w:rsidRPr="00000000" w14:paraId="0000003D">
      <w:pPr>
        <w:spacing w:line="360" w:lineRule="auto"/>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3E">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Ahora bien, al reservarse solo los nombres del personal adscrito al área de Seguridad Pública del Municipio de </w:t>
      </w:r>
      <w:r w:rsidDel="00000000" w:rsidR="00000000" w:rsidRPr="00000000">
        <w:rPr>
          <w:rFonts w:ascii="Palatino Linotype" w:cs="Palatino Linotype" w:eastAsia="Palatino Linotype" w:hAnsi="Palatino Linotype"/>
          <w:sz w:val="22"/>
          <w:szCs w:val="22"/>
          <w:rtl w:val="0"/>
        </w:rPr>
        <w:t xml:space="preserve">Amecameca</w:t>
      </w:r>
      <w:r w:rsidDel="00000000" w:rsidR="00000000" w:rsidRPr="00000000">
        <w:rPr>
          <w:rFonts w:ascii="Palatino Linotype" w:cs="Palatino Linotype" w:eastAsia="Palatino Linotype" w:hAnsi="Palatino Linotype"/>
          <w:color w:val="000000"/>
          <w:sz w:val="22"/>
          <w:szCs w:val="22"/>
          <w:rtl w:val="0"/>
        </w:rPr>
        <w:t xml:space="preserve"> y al entregar la actas de las sesiones de la Comisión de Honor y Justicia del Ayuntamiento de Amecameca  se estaría dando información relativa al estado de fuerza, poniendo en riesgo la operatividad de la misma, ya que, suponiendo sin conceder, la delincuencia podría tomar ventaja con la divulgación de dicha información. </w:t>
      </w:r>
    </w:p>
    <w:p w:rsidR="00000000" w:rsidDel="00000000" w:rsidP="00000000" w:rsidRDefault="00000000" w:rsidRPr="00000000" w14:paraId="0000003F">
      <w:pPr>
        <w:spacing w:line="360" w:lineRule="auto"/>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40">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Es importante, hacer alusión, además, al artículo 110, de la Ley General Sistema Nacional de Seguridad Pública, el cual establece que se deberá </w:t>
      </w:r>
      <w:r w:rsidDel="00000000" w:rsidR="00000000" w:rsidRPr="00000000">
        <w:rPr>
          <w:rFonts w:ascii="Palatino Linotype" w:cs="Palatino Linotype" w:eastAsia="Palatino Linotype" w:hAnsi="Palatino Linotype"/>
          <w:b w:val="1"/>
          <w:color w:val="000000"/>
          <w:sz w:val="22"/>
          <w:szCs w:val="22"/>
          <w:u w:val="single"/>
          <w:rtl w:val="0"/>
        </w:rPr>
        <w:t xml:space="preserve">clasificar como reservada</w:t>
      </w:r>
      <w:r w:rsidDel="00000000" w:rsidR="00000000" w:rsidRPr="00000000">
        <w:rPr>
          <w:rFonts w:ascii="Palatino Linotype" w:cs="Palatino Linotype" w:eastAsia="Palatino Linotype" w:hAnsi="Palatino Linotype"/>
          <w:color w:val="000000"/>
          <w:sz w:val="22"/>
          <w:szCs w:val="22"/>
          <w:rtl w:val="0"/>
        </w:rPr>
        <w:t xml:space="preserve"> la información que se contenga en la base de datos concerniente, entre otros, al personal de seguridad, el cual se transcribe para mayor referencia: </w:t>
      </w:r>
    </w:p>
    <w:p w:rsidR="00000000" w:rsidDel="00000000" w:rsidP="00000000" w:rsidRDefault="00000000" w:rsidRPr="00000000" w14:paraId="00000041">
      <w:pPr>
        <w:ind w:left="1134" w:right="1467" w:firstLine="0"/>
        <w:jc w:val="both"/>
        <w:rPr>
          <w:rFonts w:ascii="Palatino Linotype" w:cs="Palatino Linotype" w:eastAsia="Palatino Linotype" w:hAnsi="Palatino Linotype"/>
          <w:b w:val="1"/>
          <w:i w:val="1"/>
          <w:color w:val="000000"/>
          <w:sz w:val="20"/>
          <w:szCs w:val="20"/>
        </w:rPr>
      </w:pPr>
      <w:r w:rsidDel="00000000" w:rsidR="00000000" w:rsidRPr="00000000">
        <w:rPr>
          <w:rtl w:val="0"/>
        </w:rPr>
      </w:r>
    </w:p>
    <w:p w:rsidR="00000000" w:rsidDel="00000000" w:rsidP="00000000" w:rsidRDefault="00000000" w:rsidRPr="00000000" w14:paraId="00000042">
      <w:pPr>
        <w:ind w:left="1417" w:right="1468" w:firstLine="0"/>
        <w:jc w:val="both"/>
        <w:rPr>
          <w:rFonts w:ascii="Palatino Linotype" w:cs="Palatino Linotype" w:eastAsia="Palatino Linotype" w:hAnsi="Palatino Linotype"/>
          <w:i w:val="1"/>
          <w:color w:val="000000"/>
          <w:sz w:val="20"/>
          <w:szCs w:val="20"/>
        </w:rPr>
      </w:pPr>
      <w:r w:rsidDel="00000000" w:rsidR="00000000" w:rsidRPr="00000000">
        <w:rPr>
          <w:rFonts w:ascii="Palatino Linotype" w:cs="Palatino Linotype" w:eastAsia="Palatino Linotype" w:hAnsi="Palatino Linotype"/>
          <w:b w:val="1"/>
          <w:i w:val="1"/>
          <w:color w:val="000000"/>
          <w:sz w:val="20"/>
          <w:szCs w:val="20"/>
          <w:rtl w:val="0"/>
        </w:rPr>
        <w:t xml:space="preserve">Artículo 110.</w:t>
      </w:r>
      <w:r w:rsidDel="00000000" w:rsidR="00000000" w:rsidRPr="00000000">
        <w:rPr>
          <w:rFonts w:ascii="Palatino Linotype" w:cs="Palatino Linotype" w:eastAsia="Palatino Linotype" w:hAnsi="Palatino Linotype"/>
          <w:i w:val="1"/>
          <w:color w:val="000000"/>
          <w:sz w:val="20"/>
          <w:szCs w:val="20"/>
          <w:rtl w:val="0"/>
        </w:rPr>
        <w:t xml:space="preserve">- Los integrantes del Sistema están obligados a permitir la interconexión de sus Bases de Datos para compartir la información sobre Seguridad Pública con el Sistema Nacional de Información, en los términos de esta Ley y otras disposiciones jurídicas aplicables.</w:t>
      </w:r>
    </w:p>
    <w:p w:rsidR="00000000" w:rsidDel="00000000" w:rsidP="00000000" w:rsidRDefault="00000000" w:rsidRPr="00000000" w14:paraId="00000043">
      <w:pPr>
        <w:ind w:left="1417" w:right="1468" w:firstLine="0"/>
        <w:jc w:val="both"/>
        <w:rPr>
          <w:rFonts w:ascii="Palatino Linotype" w:cs="Palatino Linotype" w:eastAsia="Palatino Linotype" w:hAnsi="Palatino Linotype"/>
          <w:i w:val="1"/>
          <w:color w:val="000000"/>
          <w:sz w:val="20"/>
          <w:szCs w:val="20"/>
        </w:rPr>
      </w:pPr>
      <w:r w:rsidDel="00000000" w:rsidR="00000000" w:rsidRPr="00000000">
        <w:rPr>
          <w:rtl w:val="0"/>
        </w:rPr>
      </w:r>
    </w:p>
    <w:p w:rsidR="00000000" w:rsidDel="00000000" w:rsidP="00000000" w:rsidRDefault="00000000" w:rsidRPr="00000000" w14:paraId="00000044">
      <w:pPr>
        <w:ind w:left="1417" w:right="1468" w:firstLine="0"/>
        <w:jc w:val="both"/>
        <w:rPr>
          <w:rFonts w:ascii="Palatino Linotype" w:cs="Palatino Linotype" w:eastAsia="Palatino Linotype" w:hAnsi="Palatino Linotype"/>
          <w:b w:val="1"/>
          <w:i w:val="1"/>
          <w:color w:val="000000"/>
          <w:sz w:val="20"/>
          <w:szCs w:val="20"/>
        </w:rPr>
      </w:pPr>
      <w:r w:rsidDel="00000000" w:rsidR="00000000" w:rsidRPr="00000000">
        <w:rPr>
          <w:rFonts w:ascii="Palatino Linotype" w:cs="Palatino Linotype" w:eastAsia="Palatino Linotype" w:hAnsi="Palatino Linotype"/>
          <w:i w:val="1"/>
          <w:color w:val="000000"/>
          <w:sz w:val="20"/>
          <w:szCs w:val="20"/>
          <w:rtl w:val="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Del="00000000" w:rsidR="00000000" w:rsidRPr="00000000">
        <w:rPr>
          <w:rFonts w:ascii="Palatino Linotype" w:cs="Palatino Linotype" w:eastAsia="Palatino Linotype" w:hAnsi="Palatino Linotype"/>
          <w:b w:val="1"/>
          <w:i w:val="1"/>
          <w:color w:val="000000"/>
          <w:sz w:val="20"/>
          <w:szCs w:val="20"/>
          <w:rtl w:val="0"/>
        </w:rPr>
        <w:t xml:space="preserve">[cuya consulta es exclusiva de las instituciones de Seguridad Pública que estén facultadas en cada caso, a través de los servidores públicos que cada institución designe, por lo que el público no tendrá acceso a la información que en ellos se contenga].</w:t>
      </w:r>
    </w:p>
    <w:p w:rsidR="00000000" w:rsidDel="00000000" w:rsidP="00000000" w:rsidRDefault="00000000" w:rsidRPr="00000000" w14:paraId="00000045">
      <w:pPr>
        <w:spacing w:line="360" w:lineRule="auto"/>
        <w:ind w:left="1134" w:right="1467" w:firstLine="0"/>
        <w:jc w:val="both"/>
        <w:rPr>
          <w:rFonts w:ascii="Palatino Linotype" w:cs="Palatino Linotype" w:eastAsia="Palatino Linotype" w:hAnsi="Palatino Linotype"/>
          <w:b w:val="1"/>
          <w:i w:val="1"/>
          <w:color w:val="000000"/>
          <w:sz w:val="20"/>
          <w:szCs w:val="20"/>
        </w:rPr>
      </w:pPr>
      <w:r w:rsidDel="00000000" w:rsidR="00000000" w:rsidRPr="00000000">
        <w:rPr>
          <w:rtl w:val="0"/>
        </w:rPr>
      </w:r>
    </w:p>
    <w:p w:rsidR="00000000" w:rsidDel="00000000" w:rsidP="00000000" w:rsidRDefault="00000000" w:rsidRPr="00000000" w14:paraId="00000046">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Criterio que armoniza con el numeral 113 de la Ley General de Transparencia en sus fracciones I y V, las cuales señalan:</w:t>
      </w:r>
    </w:p>
    <w:p w:rsidR="00000000" w:rsidDel="00000000" w:rsidP="00000000" w:rsidRDefault="00000000" w:rsidRPr="00000000" w14:paraId="00000047">
      <w:pPr>
        <w:spacing w:line="360" w:lineRule="auto"/>
        <w:jc w:val="both"/>
        <w:rPr>
          <w:rFonts w:ascii="Palatino Linotype" w:cs="Palatino Linotype" w:eastAsia="Palatino Linotype" w:hAnsi="Palatino Linotype"/>
          <w:color w:val="000000"/>
          <w:sz w:val="10"/>
          <w:szCs w:val="10"/>
        </w:rPr>
      </w:pPr>
      <w:r w:rsidDel="00000000" w:rsidR="00000000" w:rsidRPr="00000000">
        <w:rPr>
          <w:rtl w:val="0"/>
        </w:rPr>
      </w:r>
    </w:p>
    <w:p w:rsidR="00000000" w:rsidDel="00000000" w:rsidP="00000000" w:rsidRDefault="00000000" w:rsidRPr="00000000" w14:paraId="00000048">
      <w:pPr>
        <w:ind w:left="1417" w:right="1468" w:firstLine="0"/>
        <w:jc w:val="both"/>
        <w:rPr>
          <w:rFonts w:ascii="Palatino Linotype" w:cs="Palatino Linotype" w:eastAsia="Palatino Linotype" w:hAnsi="Palatino Linotype"/>
          <w:i w:val="1"/>
          <w:color w:val="000000"/>
          <w:sz w:val="20"/>
          <w:szCs w:val="20"/>
        </w:rPr>
      </w:pPr>
      <w:r w:rsidDel="00000000" w:rsidR="00000000" w:rsidRPr="00000000">
        <w:rPr>
          <w:rFonts w:ascii="Palatino Linotype" w:cs="Palatino Linotype" w:eastAsia="Palatino Linotype" w:hAnsi="Palatino Linotype"/>
          <w:i w:val="1"/>
          <w:color w:val="000000"/>
          <w:sz w:val="20"/>
          <w:szCs w:val="20"/>
          <w:rtl w:val="0"/>
        </w:rPr>
        <w:t xml:space="preserve">“La información reservada podrá clasificarse aquella cuya publicación: </w:t>
      </w:r>
    </w:p>
    <w:p w:rsidR="00000000" w:rsidDel="00000000" w:rsidP="00000000" w:rsidRDefault="00000000" w:rsidRPr="00000000" w14:paraId="00000049">
      <w:pPr>
        <w:ind w:left="1417" w:right="1468" w:firstLine="0"/>
        <w:jc w:val="both"/>
        <w:rPr>
          <w:rFonts w:ascii="Palatino Linotype" w:cs="Palatino Linotype" w:eastAsia="Palatino Linotype" w:hAnsi="Palatino Linotype"/>
          <w:i w:val="1"/>
          <w:color w:val="000000"/>
          <w:sz w:val="20"/>
          <w:szCs w:val="20"/>
        </w:rPr>
      </w:pPr>
      <w:r w:rsidDel="00000000" w:rsidR="00000000" w:rsidRPr="00000000">
        <w:rPr>
          <w:rFonts w:ascii="Palatino Linotype" w:cs="Palatino Linotype" w:eastAsia="Palatino Linotype" w:hAnsi="Palatino Linotype"/>
          <w:i w:val="1"/>
          <w:sz w:val="20"/>
          <w:szCs w:val="20"/>
          <w:rtl w:val="0"/>
        </w:rPr>
        <w:br w:type="textWrapping"/>
      </w:r>
      <w:r w:rsidDel="00000000" w:rsidR="00000000" w:rsidRPr="00000000">
        <w:rPr>
          <w:rFonts w:ascii="Palatino Linotype" w:cs="Palatino Linotype" w:eastAsia="Palatino Linotype" w:hAnsi="Palatino Linotype"/>
          <w:b w:val="1"/>
          <w:i w:val="1"/>
          <w:color w:val="000000"/>
          <w:sz w:val="20"/>
          <w:szCs w:val="20"/>
          <w:rtl w:val="0"/>
        </w:rPr>
        <w:t xml:space="preserve">I.</w:t>
      </w:r>
      <w:r w:rsidDel="00000000" w:rsidR="00000000" w:rsidRPr="00000000">
        <w:rPr>
          <w:rFonts w:ascii="Palatino Linotype" w:cs="Palatino Linotype" w:eastAsia="Palatino Linotype" w:hAnsi="Palatino Linotype"/>
          <w:i w:val="1"/>
          <w:color w:val="000000"/>
          <w:sz w:val="20"/>
          <w:szCs w:val="20"/>
          <w:rtl w:val="0"/>
        </w:rPr>
        <w:t xml:space="preserve"> Comprometa la </w:t>
      </w:r>
      <w:r w:rsidDel="00000000" w:rsidR="00000000" w:rsidRPr="00000000">
        <w:rPr>
          <w:rFonts w:ascii="Palatino Linotype" w:cs="Palatino Linotype" w:eastAsia="Palatino Linotype" w:hAnsi="Palatino Linotype"/>
          <w:b w:val="1"/>
          <w:i w:val="1"/>
          <w:color w:val="000000"/>
          <w:sz w:val="20"/>
          <w:szCs w:val="20"/>
          <w:u w:val="single"/>
          <w:rtl w:val="0"/>
        </w:rPr>
        <w:t xml:space="preserve">Seguridad Nacional, la Seguridad Pública</w:t>
      </w:r>
      <w:r w:rsidDel="00000000" w:rsidR="00000000" w:rsidRPr="00000000">
        <w:rPr>
          <w:rFonts w:ascii="Palatino Linotype" w:cs="Palatino Linotype" w:eastAsia="Palatino Linotype" w:hAnsi="Palatino Linotype"/>
          <w:i w:val="1"/>
          <w:color w:val="000000"/>
          <w:sz w:val="20"/>
          <w:szCs w:val="20"/>
          <w:rtl w:val="0"/>
        </w:rPr>
        <w:t xml:space="preserve"> con la defensa Nacional…</w:t>
      </w:r>
    </w:p>
    <w:p w:rsidR="00000000" w:rsidDel="00000000" w:rsidP="00000000" w:rsidRDefault="00000000" w:rsidRPr="00000000" w14:paraId="0000004A">
      <w:pPr>
        <w:ind w:left="1417" w:right="1468" w:firstLine="0"/>
        <w:jc w:val="both"/>
        <w:rPr>
          <w:rFonts w:ascii="Palatino Linotype" w:cs="Palatino Linotype" w:eastAsia="Palatino Linotype" w:hAnsi="Palatino Linotype"/>
          <w:b w:val="1"/>
          <w:i w:val="1"/>
          <w:color w:val="000000"/>
          <w:sz w:val="20"/>
          <w:szCs w:val="20"/>
        </w:rPr>
      </w:pPr>
      <w:r w:rsidDel="00000000" w:rsidR="00000000" w:rsidRPr="00000000">
        <w:rPr>
          <w:rFonts w:ascii="Palatino Linotype" w:cs="Palatino Linotype" w:eastAsia="Palatino Linotype" w:hAnsi="Palatino Linotype"/>
          <w:b w:val="1"/>
          <w:i w:val="1"/>
          <w:color w:val="000000"/>
          <w:sz w:val="20"/>
          <w:szCs w:val="20"/>
          <w:rtl w:val="0"/>
        </w:rPr>
        <w:t xml:space="preserve">V. Pueda poner en riesgo la vida, seguridad o salud de una persona física.” </w:t>
      </w:r>
    </w:p>
    <w:p w:rsidR="00000000" w:rsidDel="00000000" w:rsidP="00000000" w:rsidRDefault="00000000" w:rsidRPr="00000000" w14:paraId="0000004B">
      <w:pPr>
        <w:spacing w:line="360" w:lineRule="auto"/>
        <w:ind w:right="1752"/>
        <w:jc w:val="both"/>
        <w:rPr>
          <w:rFonts w:ascii="Palatino Linotype" w:cs="Palatino Linotype" w:eastAsia="Palatino Linotype" w:hAnsi="Palatino Linotype"/>
          <w:b w:val="1"/>
          <w:i w:val="1"/>
          <w:color w:val="000000"/>
          <w:sz w:val="20"/>
          <w:szCs w:val="20"/>
        </w:rPr>
      </w:pPr>
      <w:r w:rsidDel="00000000" w:rsidR="00000000" w:rsidRPr="00000000">
        <w:rPr>
          <w:rtl w:val="0"/>
        </w:rPr>
      </w:r>
    </w:p>
    <w:p w:rsidR="00000000" w:rsidDel="00000000" w:rsidP="00000000" w:rsidRDefault="00000000" w:rsidRPr="00000000" w14:paraId="0000004C">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En ese tenor, la suscrita considera que, para proteger cabalmente a los elementos sustantivos/operativos de dicha área, no solo deben resguardarse los datos relativos a sus nombres, sino también los relativos a sus </w:t>
      </w:r>
      <w:r w:rsidDel="00000000" w:rsidR="00000000" w:rsidRPr="00000000">
        <w:rPr>
          <w:rFonts w:ascii="Palatino Linotype" w:cs="Palatino Linotype" w:eastAsia="Palatino Linotype" w:hAnsi="Palatino Linotype"/>
          <w:b w:val="1"/>
          <w:color w:val="000000"/>
          <w:sz w:val="22"/>
          <w:szCs w:val="22"/>
          <w:u w:val="single"/>
          <w:rtl w:val="0"/>
        </w:rPr>
        <w:t xml:space="preserve">cargos y adscripciones</w:t>
      </w:r>
      <w:r w:rsidDel="00000000" w:rsidR="00000000" w:rsidRPr="00000000">
        <w:rPr>
          <w:rFonts w:ascii="Palatino Linotype" w:cs="Palatino Linotype" w:eastAsia="Palatino Linotype" w:hAnsi="Palatino Linotype"/>
          <w:color w:val="000000"/>
          <w:sz w:val="22"/>
          <w:szCs w:val="22"/>
          <w:rtl w:val="0"/>
        </w:rPr>
        <w:t xml:space="preserve">, toda vez que se trata de personal sustantivo/operativo cuyas funciones van encaminadas a resguardar la Seguridad Pública.</w:t>
      </w:r>
    </w:p>
    <w:p w:rsidR="00000000" w:rsidDel="00000000" w:rsidP="00000000" w:rsidRDefault="00000000" w:rsidRPr="00000000" w14:paraId="0000004D">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4E">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Es por ello, que como lo he señalado en anteriores votos particulares y que la misma Ley de Transparencia y Acceso a la Información Pública del Estado de México y Municipios, contempla la excepción particular en el caso de </w:t>
      </w:r>
      <w:r w:rsidDel="00000000" w:rsidR="00000000" w:rsidRPr="00000000">
        <w:rPr>
          <w:rFonts w:ascii="Palatino Linotype" w:cs="Palatino Linotype" w:eastAsia="Palatino Linotype" w:hAnsi="Palatino Linotype"/>
          <w:b w:val="1"/>
          <w:i w:val="1"/>
          <w:color w:val="000000"/>
          <w:sz w:val="22"/>
          <w:szCs w:val="22"/>
          <w:rtl w:val="0"/>
        </w:rPr>
        <w:t xml:space="preserve">Seguridad Pública</w:t>
      </w:r>
      <w:r w:rsidDel="00000000" w:rsidR="00000000" w:rsidRPr="00000000">
        <w:rPr>
          <w:rFonts w:ascii="Palatino Linotype" w:cs="Palatino Linotype" w:eastAsia="Palatino Linotype" w:hAnsi="Palatino Linotype"/>
          <w:color w:val="000000"/>
          <w:sz w:val="22"/>
          <w:szCs w:val="22"/>
          <w:rtl w:val="0"/>
        </w:rPr>
        <w:t xml:space="preserve"> y dado que estos elementos pertenecen a ese rubro, y son parte fundamental para el debido ejercicio de las obligaciones del Estado en cualquiera de sus tres niveles de gobierno, es importante reservar dicha información.</w:t>
      </w:r>
    </w:p>
    <w:p w:rsidR="00000000" w:rsidDel="00000000" w:rsidP="00000000" w:rsidRDefault="00000000" w:rsidRPr="00000000" w14:paraId="0000004F">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50">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Del="00000000" w:rsidR="00000000" w:rsidRPr="00000000">
        <w:rPr>
          <w:rFonts w:ascii="Palatino Linotype" w:cs="Palatino Linotype" w:eastAsia="Palatino Linotype" w:hAnsi="Palatino Linotype"/>
          <w:b w:val="1"/>
          <w:i w:val="1"/>
          <w:color w:val="000000"/>
          <w:sz w:val="22"/>
          <w:szCs w:val="22"/>
          <w:u w:val="single"/>
          <w:rtl w:val="0"/>
        </w:rPr>
        <w:t xml:space="preserve">“DERECHO A LA INFORMACIÓN. SU EJERCICIO SE ENCUENTRA LIMITADO TANTO POR LOS INTERESES NACIONALES Y DE LA SOCIEDAD, COMO POR LOS DERECHOS DE TERCEROS</w:t>
      </w:r>
      <w:r w:rsidDel="00000000" w:rsidR="00000000" w:rsidRPr="00000000">
        <w:rPr>
          <w:rFonts w:ascii="Palatino Linotype" w:cs="Palatino Linotype" w:eastAsia="Palatino Linotype" w:hAnsi="Palatino Linotype"/>
          <w:color w:val="000000"/>
          <w:sz w:val="22"/>
          <w:szCs w:val="22"/>
          <w:rtl w:val="0"/>
        </w:rPr>
        <w:t xml:space="preserve">, la cual señala: </w:t>
      </w:r>
    </w:p>
    <w:p w:rsidR="00000000" w:rsidDel="00000000" w:rsidP="00000000" w:rsidRDefault="00000000" w:rsidRPr="00000000" w14:paraId="00000051">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52">
      <w:pPr>
        <w:ind w:left="1417" w:right="1468" w:firstLine="0"/>
        <w:jc w:val="both"/>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i w:val="1"/>
          <w:color w:val="000000"/>
          <w:sz w:val="20"/>
          <w:szCs w:val="20"/>
          <w:rtl w:val="0"/>
        </w:rPr>
        <w:t xml:space="preserve">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Del="00000000" w:rsidR="00000000" w:rsidRPr="00000000">
        <w:rPr>
          <w:rFonts w:ascii="Palatino Linotype" w:cs="Palatino Linotype" w:eastAsia="Palatino Linotype" w:hAnsi="Palatino Linotype"/>
          <w:i w:val="1"/>
          <w:color w:val="000000"/>
          <w:sz w:val="20"/>
          <w:szCs w:val="20"/>
          <w:rtl w:val="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Del="00000000" w:rsidR="00000000" w:rsidRPr="00000000">
        <w:rPr>
          <w:rFonts w:ascii="Palatino Linotype" w:cs="Palatino Linotype" w:eastAsia="Palatino Linotype" w:hAnsi="Palatino Linotype"/>
          <w:b w:val="1"/>
          <w:i w:val="1"/>
          <w:color w:val="000000"/>
          <w:sz w:val="20"/>
          <w:szCs w:val="20"/>
          <w:rtl w:val="0"/>
        </w:rPr>
        <w:t xml:space="preserve">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Del="00000000" w:rsidR="00000000" w:rsidRPr="00000000">
        <w:rPr>
          <w:rFonts w:ascii="Palatino Linotype" w:cs="Palatino Linotype" w:eastAsia="Palatino Linotype" w:hAnsi="Palatino Linotype"/>
          <w:i w:val="1"/>
          <w:color w:val="000000"/>
          <w:sz w:val="20"/>
          <w:szCs w:val="20"/>
          <w:rtl w:val="0"/>
        </w:rPr>
        <w:t xml:space="preserve">,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Del="00000000" w:rsidR="00000000" w:rsidRPr="00000000">
        <w:rPr>
          <w:rFonts w:ascii="Palatino Linotype" w:cs="Palatino Linotype" w:eastAsia="Palatino Linotype" w:hAnsi="Palatino Linotype"/>
          <w:color w:val="000000"/>
          <w:sz w:val="20"/>
          <w:szCs w:val="20"/>
          <w:rtl w:val="0"/>
        </w:rPr>
        <w:t xml:space="preserve">.”</w:t>
      </w:r>
    </w:p>
    <w:p w:rsidR="00000000" w:rsidDel="00000000" w:rsidP="00000000" w:rsidRDefault="00000000" w:rsidRPr="00000000" w14:paraId="00000053">
      <w:pPr>
        <w:ind w:left="1417" w:right="1467" w:firstLine="0"/>
        <w:jc w:val="both"/>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i w:val="1"/>
          <w:color w:val="000000"/>
          <w:sz w:val="20"/>
          <w:szCs w:val="20"/>
          <w:rtl w:val="0"/>
        </w:rPr>
        <w:t xml:space="preserve">(Énfasis añadido)</w:t>
      </w:r>
      <w:r w:rsidDel="00000000" w:rsidR="00000000" w:rsidRPr="00000000">
        <w:rPr>
          <w:rtl w:val="0"/>
        </w:rPr>
      </w:r>
    </w:p>
    <w:p w:rsidR="00000000" w:rsidDel="00000000" w:rsidP="00000000" w:rsidRDefault="00000000" w:rsidRPr="00000000" w14:paraId="00000054">
      <w:pPr>
        <w:spacing w:line="360" w:lineRule="auto"/>
        <w:ind w:right="49"/>
        <w:jc w:val="both"/>
        <w:rPr>
          <w:rFonts w:ascii="Palatino Linotype" w:cs="Palatino Linotype" w:eastAsia="Palatino Linotype" w:hAnsi="Palatino Linotype"/>
          <w:color w:val="000000"/>
          <w:sz w:val="20"/>
          <w:szCs w:val="20"/>
        </w:rPr>
      </w:pPr>
      <w:r w:rsidDel="00000000" w:rsidR="00000000" w:rsidRPr="00000000">
        <w:rPr>
          <w:rtl w:val="0"/>
        </w:rPr>
      </w:r>
    </w:p>
    <w:p w:rsidR="00000000" w:rsidDel="00000000" w:rsidP="00000000" w:rsidRDefault="00000000" w:rsidRPr="00000000" w14:paraId="00000055">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rsidR="00000000" w:rsidDel="00000000" w:rsidP="00000000" w:rsidRDefault="00000000" w:rsidRPr="00000000" w14:paraId="00000056">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57">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color w:val="000000"/>
          <w:sz w:val="22"/>
          <w:szCs w:val="22"/>
          <w:rtl w:val="0"/>
        </w:rPr>
        <w:t xml:space="preserve">Criterio que el Máximo Tribunal de Justicia de este país reiteró el doce de mayo del presente año, dentro de la </w:t>
      </w:r>
      <w:r w:rsidDel="00000000" w:rsidR="00000000" w:rsidRPr="00000000">
        <w:rPr>
          <w:rFonts w:ascii="Palatino Linotype" w:cs="Palatino Linotype" w:eastAsia="Palatino Linotype" w:hAnsi="Palatino Linotype"/>
          <w:sz w:val="22"/>
          <w:szCs w:val="22"/>
          <w:rtl w:val="0"/>
        </w:rPr>
        <w:t xml:space="preserve">Controversia Constitucional 325/2019. </w:t>
      </w:r>
    </w:p>
    <w:p w:rsidR="00000000" w:rsidDel="00000000" w:rsidP="00000000" w:rsidRDefault="00000000" w:rsidRPr="00000000" w14:paraId="00000058">
      <w:pPr>
        <w:spacing w:line="360" w:lineRule="auto"/>
        <w:ind w:right="49"/>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59">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Pública del Ayuntamiento de </w:t>
      </w:r>
      <w:r w:rsidDel="00000000" w:rsidR="00000000" w:rsidRPr="00000000">
        <w:rPr>
          <w:rFonts w:ascii="Palatino Linotype" w:cs="Palatino Linotype" w:eastAsia="Palatino Linotype" w:hAnsi="Palatino Linotype"/>
          <w:sz w:val="22"/>
          <w:szCs w:val="22"/>
          <w:rtl w:val="0"/>
        </w:rPr>
        <w:t xml:space="preserve">Amecameca</w:t>
      </w:r>
      <w:r w:rsidDel="00000000" w:rsidR="00000000" w:rsidRPr="00000000">
        <w:rPr>
          <w:rFonts w:ascii="Palatino Linotype" w:cs="Palatino Linotype" w:eastAsia="Palatino Linotype" w:hAnsi="Palatino Linotype"/>
          <w:color w:val="000000"/>
          <w:sz w:val="22"/>
          <w:szCs w:val="22"/>
          <w:rtl w:val="0"/>
        </w:rPr>
        <w:t xml:space="preserve">, pues a criterio de esta Ponencia, aun eliminando los nombres de la información solicitada, estos siguen siendo identificables mediante el cargo y área de adscripción.</w:t>
      </w:r>
    </w:p>
    <w:p w:rsidR="00000000" w:rsidDel="00000000" w:rsidP="00000000" w:rsidRDefault="00000000" w:rsidRPr="00000000" w14:paraId="0000005A">
      <w:pPr>
        <w:spacing w:line="360" w:lineRule="auto"/>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5B">
      <w:pPr>
        <w:spacing w:line="360" w:lineRule="auto"/>
        <w:jc w:val="both"/>
        <w:rPr>
          <w:rFonts w:ascii="Palatino Linotype" w:cs="Palatino Linotype" w:eastAsia="Palatino Linotype" w:hAnsi="Palatino Linotype"/>
          <w:color w:val="000000"/>
          <w:sz w:val="22"/>
          <w:szCs w:val="22"/>
        </w:rPr>
      </w:pPr>
      <w:r w:rsidDel="00000000" w:rsidR="00000000" w:rsidRPr="00000000">
        <w:rPr>
          <w:rFonts w:ascii="Palatino Linotype" w:cs="Palatino Linotype" w:eastAsia="Palatino Linotype" w:hAnsi="Palatino Linotype"/>
          <w:color w:val="000000"/>
          <w:sz w:val="22"/>
          <w:szCs w:val="22"/>
          <w:rtl w:val="0"/>
        </w:rPr>
        <w:t xml:space="preserve">En ese sentido, si bien, el cargo y las áreas de adscripción de mandos medios</w:t>
      </w:r>
      <w:r w:rsidDel="00000000" w:rsidR="00000000" w:rsidRPr="00000000">
        <w:rPr>
          <w:rFonts w:ascii="Palatino Linotype" w:cs="Palatino Linotype" w:eastAsia="Palatino Linotype" w:hAnsi="Palatino Linotype"/>
          <w:sz w:val="22"/>
          <w:szCs w:val="22"/>
          <w:rtl w:val="0"/>
        </w:rPr>
        <w:t xml:space="preserve">y superiores</w:t>
      </w:r>
      <w:r w:rsidDel="00000000" w:rsidR="00000000" w:rsidRPr="00000000">
        <w:rPr>
          <w:rFonts w:ascii="Palatino Linotype" w:cs="Palatino Linotype" w:eastAsia="Palatino Linotype" w:hAnsi="Palatino Linotype"/>
          <w:color w:val="000000"/>
          <w:sz w:val="22"/>
          <w:szCs w:val="22"/>
          <w:rtl w:val="0"/>
        </w:rPr>
        <w:t xml:space="preserve">, deben ser de conocimiento público, también lo es, que existen salvedades previstas en la norma, como el caso del personal de seguridad pública</w:t>
      </w:r>
      <w:r w:rsidDel="00000000" w:rsidR="00000000" w:rsidRPr="00000000">
        <w:rPr>
          <w:rFonts w:ascii="Palatino Linotype" w:cs="Palatino Linotype" w:eastAsia="Palatino Linotype" w:hAnsi="Palatino Linotype"/>
          <w:sz w:val="22"/>
          <w:szCs w:val="22"/>
          <w:rtl w:val="0"/>
        </w:rPr>
        <w:t xml:space="preserve">, que cuenten con las especificaciones ya descritas en los párrafos que anteceden.</w:t>
      </w:r>
      <w:r w:rsidDel="00000000" w:rsidR="00000000" w:rsidRPr="00000000">
        <w:rPr>
          <w:rtl w:val="0"/>
        </w:rPr>
      </w:r>
    </w:p>
    <w:p w:rsidR="00000000" w:rsidDel="00000000" w:rsidP="00000000" w:rsidRDefault="00000000" w:rsidRPr="00000000" w14:paraId="0000005C">
      <w:pPr>
        <w:spacing w:line="360" w:lineRule="auto"/>
        <w:jc w:val="both"/>
        <w:rPr>
          <w:rFonts w:ascii="Palatino Linotype" w:cs="Palatino Linotype" w:eastAsia="Palatino Linotype" w:hAnsi="Palatino Linotype"/>
          <w:color w:val="000000"/>
          <w:sz w:val="22"/>
          <w:szCs w:val="22"/>
        </w:rPr>
      </w:pPr>
      <w:r w:rsidDel="00000000" w:rsidR="00000000" w:rsidRPr="00000000">
        <w:rPr>
          <w:rtl w:val="0"/>
        </w:rPr>
      </w:r>
    </w:p>
    <w:p w:rsidR="00000000" w:rsidDel="00000000" w:rsidP="00000000" w:rsidRDefault="00000000" w:rsidRPr="00000000" w14:paraId="0000005D">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Por otra parte, </w:t>
      </w:r>
      <w:r w:rsidDel="00000000" w:rsidR="00000000" w:rsidRPr="00000000">
        <w:rPr>
          <w:rFonts w:ascii="Palatino Linotype" w:cs="Palatino Linotype" w:eastAsia="Palatino Linotype" w:hAnsi="Palatino Linotype"/>
          <w:b w:val="1"/>
          <w:sz w:val="22"/>
          <w:szCs w:val="22"/>
          <w:rtl w:val="0"/>
        </w:rPr>
        <w:t xml:space="preserve">en atención al criterio mayoritario del Pleno de este Instituto</w:t>
      </w:r>
      <w:r w:rsidDel="00000000" w:rsidR="00000000" w:rsidRPr="00000000">
        <w:rPr>
          <w:rFonts w:ascii="Palatino Linotype" w:cs="Palatino Linotype" w:eastAsia="Palatino Linotype" w:hAnsi="Palatino Linotype"/>
          <w:sz w:val="22"/>
          <w:szCs w:val="22"/>
          <w:rtl w:val="0"/>
        </w:rPr>
        <w:t xml:space="preserve">, la Comisionada Ponente </w:t>
      </w:r>
      <w:r w:rsidDel="00000000" w:rsidR="00000000" w:rsidRPr="00000000">
        <w:rPr>
          <w:rFonts w:ascii="Palatino Linotype" w:cs="Palatino Linotype" w:eastAsia="Palatino Linotype" w:hAnsi="Palatino Linotype"/>
          <w:b w:val="1"/>
          <w:sz w:val="22"/>
          <w:szCs w:val="22"/>
          <w:u w:val="single"/>
          <w:rtl w:val="0"/>
        </w:rPr>
        <w:t xml:space="preserve">determinó Revocar la respuesta del Sujeto Obligado</w:t>
      </w:r>
      <w:r w:rsidDel="00000000" w:rsidR="00000000" w:rsidRPr="00000000">
        <w:rPr>
          <w:rFonts w:ascii="Palatino Linotype" w:cs="Palatino Linotype" w:eastAsia="Palatino Linotype" w:hAnsi="Palatino Linotype"/>
          <w:sz w:val="22"/>
          <w:szCs w:val="22"/>
          <w:rtl w:val="0"/>
        </w:rPr>
        <w:t xml:space="preserve"> y ordenar la entrega las fichas curriculares, currículum vitae o documentos análogos de los integrantes de la Comisión Municipal de Salud faltantes, de entre los cuales se advierte  el presidente municipal, del Municipio de Amecameca, ello en virtud de que si bien es cierto, la Constitución local y la Ley Orgánica Municipal consideran al presidente municipal regidores y síndicos como servidores públicos que ostentan un cargo de elección popular, no menos cierto es que </w:t>
      </w:r>
      <w:r w:rsidDel="00000000" w:rsidR="00000000" w:rsidRPr="00000000">
        <w:rPr>
          <w:rFonts w:ascii="Palatino Linotype" w:cs="Palatino Linotype" w:eastAsia="Palatino Linotype" w:hAnsi="Palatino Linotype"/>
          <w:b w:val="1"/>
          <w:sz w:val="22"/>
          <w:szCs w:val="22"/>
          <w:u w:val="single"/>
          <w:rtl w:val="0"/>
        </w:rPr>
        <w:t xml:space="preserve">en aras de tutelar el derecho de acceso a la información pública del particular, este vacío normativo es susceptible de subsanarse con lo que establece el artículo 92 fracción XXI de la Ley de Transparencia y Acceso a la Información Pública del Estado de México y Municipios, en donde dispone que los sujetos obligados, deben poner a disposición del público de manera permanente y actualizada de forma sencilla, precisa y entendible en los respectivos medios electrónicos la información curricular desde el nivel de jefe de departamento o equivalente hasta el titular del Sujeto Obligado</w:t>
      </w:r>
      <w:r w:rsidDel="00000000" w:rsidR="00000000" w:rsidRPr="00000000">
        <w:rPr>
          <w:rFonts w:ascii="Palatino Linotype" w:cs="Palatino Linotype" w:eastAsia="Palatino Linotype" w:hAnsi="Palatino Linotype"/>
          <w:sz w:val="22"/>
          <w:szCs w:val="22"/>
          <w:rtl w:val="0"/>
        </w:rPr>
        <w:t xml:space="preserve">.</w:t>
      </w:r>
    </w:p>
    <w:p w:rsidR="00000000" w:rsidDel="00000000" w:rsidP="00000000" w:rsidRDefault="00000000" w:rsidRPr="00000000" w14:paraId="0000005E">
      <w:pPr>
        <w:tabs>
          <w:tab w:val="left" w:pos="709"/>
        </w:tabs>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5F">
      <w:pPr>
        <w:tabs>
          <w:tab w:val="left" w:pos="709"/>
        </w:tabs>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sz w:val="22"/>
          <w:szCs w:val="22"/>
          <w:rtl w:val="0"/>
        </w:rPr>
        <w:t xml:space="preserve">Para iniciar la emisión únicamente del presente voto, conviene mencionar, que de manera respetuosa, la suscrita </w:t>
      </w:r>
      <w:r w:rsidDel="00000000" w:rsidR="00000000" w:rsidRPr="00000000">
        <w:rPr>
          <w:rFonts w:ascii="Palatino Linotype" w:cs="Palatino Linotype" w:eastAsia="Palatino Linotype" w:hAnsi="Palatino Linotype"/>
          <w:b w:val="1"/>
          <w:sz w:val="22"/>
          <w:szCs w:val="22"/>
          <w:rtl w:val="0"/>
        </w:rPr>
        <w:t xml:space="preserve">no comparte las consideraciones que fueron vertidas en la presente resolución por lo que hace a los cargos de elección popular</w:t>
      </w:r>
      <w:r w:rsidDel="00000000" w:rsidR="00000000" w:rsidRPr="00000000">
        <w:rPr>
          <w:rFonts w:ascii="Palatino Linotype" w:cs="Palatino Linotype" w:eastAsia="Palatino Linotype" w:hAnsi="Palatino Linotype"/>
          <w:sz w:val="22"/>
          <w:szCs w:val="22"/>
          <w:rtl w:val="0"/>
        </w:rPr>
        <w:t xml:space="preserve">, en virtud de que, para la suscrita en el presente caso, no existe fuente obligacional para que el Sujeto Obligado cuente con referida información.</w:t>
      </w:r>
      <w:r w:rsidDel="00000000" w:rsidR="00000000" w:rsidRPr="00000000">
        <w:rPr>
          <w:rtl w:val="0"/>
        </w:rPr>
      </w:r>
    </w:p>
    <w:p w:rsidR="00000000" w:rsidDel="00000000" w:rsidP="00000000" w:rsidRDefault="00000000" w:rsidRPr="00000000" w14:paraId="00000060">
      <w:pPr>
        <w:tabs>
          <w:tab w:val="left" w:pos="709"/>
        </w:tabs>
        <w:ind w:left="0" w:right="1468" w:firstLine="0"/>
        <w:jc w:val="both"/>
        <w:rPr>
          <w:rFonts w:ascii="Palatino Linotype" w:cs="Palatino Linotype" w:eastAsia="Palatino Linotype" w:hAnsi="Palatino Linotype"/>
          <w:b w:val="1"/>
          <w:i w:val="1"/>
          <w:sz w:val="20"/>
          <w:szCs w:val="20"/>
        </w:rPr>
      </w:pPr>
      <w:r w:rsidDel="00000000" w:rsidR="00000000" w:rsidRPr="00000000">
        <w:rPr>
          <w:rtl w:val="0"/>
        </w:rPr>
      </w:r>
    </w:p>
    <w:p w:rsidR="00000000" w:rsidDel="00000000" w:rsidP="00000000" w:rsidRDefault="00000000" w:rsidRPr="00000000" w14:paraId="00000061">
      <w:pPr>
        <w:tabs>
          <w:tab w:val="left" w:pos="709"/>
        </w:tabs>
        <w:ind w:left="850" w:right="901"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62">
      <w:pPr>
        <w:tabs>
          <w:tab w:val="left" w:pos="709"/>
        </w:tabs>
        <w:spacing w:line="360" w:lineRule="auto"/>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sz w:val="22"/>
          <w:szCs w:val="22"/>
          <w:rtl w:val="0"/>
        </w:rPr>
        <w:t xml:space="preserve">Resulta importante señalar que si bien es cierto, las fichas curriculares, currículum vitae o documentos análogos del presidente municipal del Municipio de Amecameca, si bien representa una obligación de transparencia, </w:t>
      </w:r>
      <w:r w:rsidDel="00000000" w:rsidR="00000000" w:rsidRPr="00000000">
        <w:rPr>
          <w:rFonts w:ascii="Palatino Linotype" w:cs="Palatino Linotype" w:eastAsia="Palatino Linotype" w:hAnsi="Palatino Linotype"/>
          <w:b w:val="1"/>
          <w:sz w:val="22"/>
          <w:szCs w:val="22"/>
          <w:rtl w:val="0"/>
        </w:rPr>
        <w:t xml:space="preserve">la excepción a la misma consiste en que tratándose de servidores públicos designados por elección popular, no se requiere para ejercer el cargo contar con este requisitos como Curriculum Vitae o documento análogo que acredite su experiencia profesional, por lo tanto, en el caso del Presidente Municipal se está ordenando la entrega de información para la cual no existe fuente obligacional. </w:t>
      </w:r>
    </w:p>
    <w:p w:rsidR="00000000" w:rsidDel="00000000" w:rsidP="00000000" w:rsidRDefault="00000000" w:rsidRPr="00000000" w14:paraId="00000063">
      <w:pPr>
        <w:tabs>
          <w:tab w:val="left" w:pos="709"/>
        </w:tabs>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64">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Determinado lo anterior es pertinente mencionar que debido a que</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con estas circunstancias no resulta exigible al </w:t>
      </w:r>
      <w:r w:rsidDel="00000000" w:rsidR="00000000" w:rsidRPr="00000000">
        <w:rPr>
          <w:rFonts w:ascii="Palatino Linotype" w:cs="Palatino Linotype" w:eastAsia="Palatino Linotype" w:hAnsi="Palatino Linotype"/>
          <w:b w:val="1"/>
          <w:sz w:val="22"/>
          <w:szCs w:val="22"/>
          <w:rtl w:val="0"/>
        </w:rPr>
        <w:t xml:space="preserve">Sujeto Obligado </w:t>
      </w:r>
      <w:r w:rsidDel="00000000" w:rsidR="00000000" w:rsidRPr="00000000">
        <w:rPr>
          <w:rFonts w:ascii="Palatino Linotype" w:cs="Palatino Linotype" w:eastAsia="Palatino Linotype" w:hAnsi="Palatino Linotype"/>
          <w:sz w:val="22"/>
          <w:szCs w:val="22"/>
          <w:rtl w:val="0"/>
        </w:rPr>
        <w:t xml:space="preserve">requerirle la entrega de información que no obra en sus archivos.   </w:t>
      </w:r>
    </w:p>
    <w:p w:rsidR="00000000" w:rsidDel="00000000" w:rsidP="00000000" w:rsidRDefault="00000000" w:rsidRPr="00000000" w14:paraId="00000065">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6">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este sentido, cabe traer a cuenta lo previsto por el artículo 12, párrafo segundo de la Ley de Transparencia y Acceso a la Información Pública del Estado de México y Municipios que la letra establece:</w:t>
      </w:r>
    </w:p>
    <w:p w:rsidR="00000000" w:rsidDel="00000000" w:rsidP="00000000" w:rsidRDefault="00000000" w:rsidRPr="00000000" w14:paraId="00000067">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8">
      <w:pPr>
        <w:spacing w:line="276" w:lineRule="auto"/>
        <w:ind w:left="567" w:right="567"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12.</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 </w:t>
      </w:r>
    </w:p>
    <w:p w:rsidR="00000000" w:rsidDel="00000000" w:rsidP="00000000" w:rsidRDefault="00000000" w:rsidRPr="00000000" w14:paraId="00000069">
      <w:pPr>
        <w:spacing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00000" w:rsidDel="00000000" w:rsidP="00000000" w:rsidRDefault="00000000" w:rsidRPr="00000000" w14:paraId="0000006A">
      <w:pPr>
        <w:spacing w:line="276" w:lineRule="auto"/>
        <w:ind w:left="567" w:right="567"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6B">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manera que interpretado a </w:t>
      </w:r>
      <w:r w:rsidDel="00000000" w:rsidR="00000000" w:rsidRPr="00000000">
        <w:rPr>
          <w:rFonts w:ascii="Palatino Linotype" w:cs="Palatino Linotype" w:eastAsia="Palatino Linotype" w:hAnsi="Palatino Linotype"/>
          <w:b w:val="1"/>
          <w:i w:val="1"/>
          <w:sz w:val="22"/>
          <w:szCs w:val="22"/>
          <w:rtl w:val="0"/>
        </w:rPr>
        <w:t xml:space="preserve">contrario sensu</w:t>
      </w:r>
      <w:r w:rsidDel="00000000" w:rsidR="00000000" w:rsidRPr="00000000">
        <w:rPr>
          <w:rFonts w:ascii="Palatino Linotype" w:cs="Palatino Linotype" w:eastAsia="Palatino Linotype" w:hAnsi="Palatino Linotype"/>
          <w:sz w:val="22"/>
          <w:szCs w:val="22"/>
          <w:rtl w:val="0"/>
        </w:rPr>
        <w:t xml:space="preserve">, se actualiza el supuesto de un hecho de naturaleza negativa, el cual no puede acreditarse documentalmente, ya que no puede probarse un hecho negativo por ser lógica y materialmente imposible, discernimiento que encuentra apoyo en la siguiente tesis: </w:t>
      </w:r>
    </w:p>
    <w:p w:rsidR="00000000" w:rsidDel="00000000" w:rsidP="00000000" w:rsidRDefault="00000000" w:rsidRPr="00000000" w14:paraId="0000006C">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6D">
      <w:pPr>
        <w:ind w:left="850" w:right="901"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“HECHOS NEGATIVOS, NO SON SUSCEPTIBLES DE DEMOSTRACIÓN</w:t>
      </w:r>
      <w:r w:rsidDel="00000000" w:rsidR="00000000" w:rsidRPr="00000000">
        <w:rPr>
          <w:rFonts w:ascii="Palatino Linotype" w:cs="Palatino Linotype" w:eastAsia="Palatino Linotype" w:hAnsi="Palatino Linotype"/>
          <w:i w:val="1"/>
          <w:sz w:val="20"/>
          <w:szCs w:val="20"/>
          <w:rtl w:val="0"/>
        </w:rPr>
        <w:t xml:space="preserve">. Tratándose de un hecho negativo, el Juez no tiene por qué invocar prueba alguna de la que se desprenda, ya que es bien sabido que esta clase de hechos no son susceptibles de demostración.” (Sic)</w:t>
      </w:r>
    </w:p>
    <w:p w:rsidR="00000000" w:rsidDel="00000000" w:rsidP="00000000" w:rsidRDefault="00000000" w:rsidRPr="00000000" w14:paraId="0000006E">
      <w:pPr>
        <w:ind w:left="850" w:right="901"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6F">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w:t>
      </w:r>
    </w:p>
    <w:p w:rsidR="00000000" w:rsidDel="00000000" w:rsidP="00000000" w:rsidRDefault="00000000" w:rsidRPr="00000000" w14:paraId="00000070">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1">
      <w:pPr>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Aunado a lo anterior, conviene mencionar que de conformidad con los artículos 117, 118, 119 y 120 de la Constitución Política del Estado Libre y Soberano de México, los integrantes del ayuntamiento, propietarios o suplentes deberán cumplir una serie de requisitos, de las cuales no se advierte la obligación de acreditar la escolaridad, sirve de ilustración la siguiente cita: </w:t>
      </w:r>
    </w:p>
    <w:p w:rsidR="00000000" w:rsidDel="00000000" w:rsidP="00000000" w:rsidRDefault="00000000" w:rsidRPr="00000000" w14:paraId="00000072">
      <w:pPr>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73">
      <w:pPr>
        <w:ind w:left="850" w:right="901"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“Artículo 117.- </w:t>
      </w:r>
      <w:r w:rsidDel="00000000" w:rsidR="00000000" w:rsidRPr="00000000">
        <w:rPr>
          <w:rFonts w:ascii="Palatino Linotype" w:cs="Palatino Linotype" w:eastAsia="Palatino Linotype" w:hAnsi="Palatino Linotype"/>
          <w:b w:val="1"/>
          <w:i w:val="1"/>
          <w:sz w:val="20"/>
          <w:szCs w:val="20"/>
          <w:rtl w:val="0"/>
        </w:rPr>
        <w:t xml:space="preserve">Los ayuntamientos se integrarán con una jefa o jefe de asamblea que se denominará Presidenta o Presidente Municipal, respectivamente</w:t>
      </w:r>
      <w:r w:rsidDel="00000000" w:rsidR="00000000" w:rsidRPr="00000000">
        <w:rPr>
          <w:rFonts w:ascii="Palatino Linotype" w:cs="Palatino Linotype" w:eastAsia="Palatino Linotype" w:hAnsi="Palatino Linotype"/>
          <w:i w:val="1"/>
          <w:sz w:val="20"/>
          <w:szCs w:val="20"/>
          <w:rtl w:val="0"/>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rsidR="00000000" w:rsidDel="00000000" w:rsidP="00000000" w:rsidRDefault="00000000" w:rsidRPr="00000000" w14:paraId="00000074">
      <w:pPr>
        <w:ind w:left="850" w:right="901"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75">
      <w:pPr>
        <w:ind w:left="850" w:right="901"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CAPITULO SEGUNDO </w:t>
      </w:r>
    </w:p>
    <w:p w:rsidR="00000000" w:rsidDel="00000000" w:rsidP="00000000" w:rsidRDefault="00000000" w:rsidRPr="00000000" w14:paraId="00000076">
      <w:pPr>
        <w:ind w:left="850" w:right="901"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De los Miembros de los Ayuntamientos </w:t>
      </w:r>
    </w:p>
    <w:p w:rsidR="00000000" w:rsidDel="00000000" w:rsidP="00000000" w:rsidRDefault="00000000" w:rsidRPr="00000000" w14:paraId="00000077">
      <w:pPr>
        <w:ind w:left="850" w:right="901"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78">
      <w:pPr>
        <w:ind w:left="850" w:right="901"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Artículo 118.- </w:t>
      </w:r>
      <w:r w:rsidDel="00000000" w:rsidR="00000000" w:rsidRPr="00000000">
        <w:rPr>
          <w:rFonts w:ascii="Palatino Linotype" w:cs="Palatino Linotype" w:eastAsia="Palatino Linotype" w:hAnsi="Palatino Linotype"/>
          <w:b w:val="1"/>
          <w:i w:val="1"/>
          <w:sz w:val="20"/>
          <w:szCs w:val="20"/>
          <w:rtl w:val="0"/>
        </w:rPr>
        <w:t xml:space="preserve">Los miembros de un ayuntamiento serán designados en una sola elección.</w:t>
      </w:r>
      <w:r w:rsidDel="00000000" w:rsidR="00000000" w:rsidRPr="00000000">
        <w:rPr>
          <w:rFonts w:ascii="Palatino Linotype" w:cs="Palatino Linotype" w:eastAsia="Palatino Linotype" w:hAnsi="Palatino Linotype"/>
          <w:i w:val="1"/>
          <w:sz w:val="20"/>
          <w:szCs w:val="20"/>
          <w:rtl w:val="0"/>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rsidR="00000000" w:rsidDel="00000000" w:rsidP="00000000" w:rsidRDefault="00000000" w:rsidRPr="00000000" w14:paraId="00000079">
      <w:pPr>
        <w:ind w:left="850" w:right="901"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7A">
      <w:pPr>
        <w:ind w:left="850" w:right="901" w:firstLine="0"/>
        <w:jc w:val="both"/>
        <w:rPr>
          <w:rFonts w:ascii="Palatino Linotype" w:cs="Palatino Linotype" w:eastAsia="Palatino Linotype" w:hAnsi="Palatino Linotype"/>
          <w:b w:val="1"/>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Artículo 119.- Para ser miembro propietario o suplente de un ayuntamiento se requiere: </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Ser mexicana o mexicano, ciudadana o ciudadano del Estado, en pleno ejercicio de sus derechos; </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Ser mexiquense con residencia efectiva en el municipio no menor a un año o vecino del mismo, con residencia efectiva en su territorio no menor a tres años, anteriores al día de la elección; y </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Ser de reconocida probidad y buena fama pública. </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No estar condenada o condenado por sentencia ejecutoriada por el delito de violencia política contra las mujeres en razón de género; </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1"/>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No estar inscrito en el Registro de Deudores Alimentarios Morosos en el Estado, ni en otra entidad federativa, y </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No estar condenada o condenado por sentencia ejecutoriada por delitos de violencia familiar, contra la libertad sexual o de violencia de género.</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ind w:left="850" w:right="901" w:firstLine="0"/>
        <w:jc w:val="both"/>
        <w:rPr>
          <w:rFonts w:ascii="Palatino Linotype" w:cs="Palatino Linotype" w:eastAsia="Palatino Linotype" w:hAnsi="Palatino Linotype"/>
          <w:i w:val="1"/>
          <w:color w:val="000000"/>
          <w:sz w:val="20"/>
          <w:szCs w:val="20"/>
        </w:rPr>
      </w:pPr>
      <w:r w:rsidDel="00000000" w:rsidR="00000000" w:rsidRPr="00000000">
        <w:rPr>
          <w:rFonts w:ascii="Palatino Linotype" w:cs="Palatino Linotype" w:eastAsia="Palatino Linotype" w:hAnsi="Palatino Linotype"/>
          <w:i w:val="1"/>
          <w:color w:val="000000"/>
          <w:sz w:val="20"/>
          <w:szCs w:val="20"/>
          <w:rtl w:val="0"/>
        </w:rPr>
        <w:t xml:space="preserve">Artículo 120.- No pueden ser miembros propietarios o suplentes de los ayuntamientos: </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Las diputadas o diputados y senadoras o senadores al Congreso de la Unión que se encuentren en ejercicio de su cargo; </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Las diputadas o diputados a la Legislatura del Estado que se encuentren en ejercicio de su cargo; </w:t>
      </w:r>
    </w:p>
    <w:p w:rsidR="00000000" w:rsidDel="00000000" w:rsidP="00000000" w:rsidRDefault="00000000" w:rsidRPr="00000000" w14:paraId="0000008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Las juezas o jueces, magistradas o magistrados o consejeras o consejeros de la Judicatura del Poder Judicial del Estado o de la Federación; </w:t>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Las y los servidores públicos federales, estatales o municipales en ejercicio de autoridad; </w:t>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Las y los militares y los miembros de las fuerzas de seguridad pública del Estado y los de los municipios que ejerzan mando en el territorio de la elección; y </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Las y los ministros de cualquier culto, a menos que se separen formal, material y definitivamente de su ministerio, cuando menos cinco años antes del día de la elección. </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Las y los servidores públicos a que se refieren las fracciones de la I a la V serán exceptuados del impedimento si se separan de sus respectivos cargos por lo menos, veinticuatro horas antes del inicio de las campañas, conforme al calendario electoral vigente</w:t>
      </w:r>
      <w:r w:rsidDel="00000000" w:rsidR="00000000" w:rsidRPr="00000000">
        <w:rPr>
          <w:rFonts w:ascii="Palatino Linotype" w:cs="Palatino Linotype" w:eastAsia="Palatino Linotype" w:hAnsi="Palatino Linotype"/>
          <w:b w:val="1"/>
          <w:i w:val="1"/>
          <w:smallCaps w:val="0"/>
          <w:strike w:val="0"/>
          <w:color w:val="000000"/>
          <w:sz w:val="20"/>
          <w:szCs w:val="20"/>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(Sic)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70" w:right="901" w:firstLine="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(Énfasis añadido)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70" w:right="901" w:firstLine="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widowControl w:val="0"/>
        <w:tabs>
          <w:tab w:val="left" w:pos="1701"/>
          <w:tab w:val="left" w:pos="1843"/>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igual forma, el Código Electoral del Estado de México señala: </w:t>
      </w:r>
    </w:p>
    <w:p w:rsidR="00000000" w:rsidDel="00000000" w:rsidP="00000000" w:rsidRDefault="00000000" w:rsidRPr="00000000" w14:paraId="0000008C">
      <w:pPr>
        <w:widowControl w:val="0"/>
        <w:tabs>
          <w:tab w:val="left" w:pos="1701"/>
          <w:tab w:val="left" w:pos="1843"/>
        </w:tabs>
        <w:ind w:left="850" w:right="901"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8D">
      <w:pPr>
        <w:widowControl w:val="0"/>
        <w:tabs>
          <w:tab w:val="left" w:pos="1701"/>
          <w:tab w:val="left" w:pos="1843"/>
        </w:tabs>
        <w:ind w:left="850" w:right="901"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rsidR="00000000" w:rsidDel="00000000" w:rsidP="00000000" w:rsidRDefault="00000000" w:rsidRPr="00000000" w14:paraId="0000008E">
      <w:pPr>
        <w:widowControl w:val="0"/>
        <w:tabs>
          <w:tab w:val="left" w:pos="1701"/>
          <w:tab w:val="left" w:pos="1843"/>
        </w:tabs>
        <w:ind w:left="850" w:right="901"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8F">
      <w:pPr>
        <w:widowControl w:val="0"/>
        <w:tabs>
          <w:tab w:val="left" w:pos="1701"/>
          <w:tab w:val="left" w:pos="1843"/>
        </w:tabs>
        <w:ind w:left="850" w:right="901"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i w:val="1"/>
          <w:sz w:val="20"/>
          <w:szCs w:val="20"/>
          <w:rtl w:val="0"/>
        </w:rPr>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rsidR="00000000" w:rsidDel="00000000" w:rsidP="00000000" w:rsidRDefault="00000000" w:rsidRPr="00000000" w14:paraId="00000090">
      <w:pPr>
        <w:widowControl w:val="0"/>
        <w:tabs>
          <w:tab w:val="left" w:pos="1701"/>
          <w:tab w:val="left" w:pos="1843"/>
        </w:tabs>
        <w:ind w:left="850" w:right="901"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701"/>
          <w:tab w:val="left" w:pos="1843"/>
        </w:tabs>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Estar inscrito en el padrón electoral correspondiente, la lista nominal y contar con credencial para votar vigente. </w:t>
      </w:r>
    </w:p>
    <w:p w:rsidR="00000000" w:rsidDel="00000000" w:rsidP="00000000" w:rsidRDefault="00000000" w:rsidRPr="00000000" w14:paraId="0000009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701"/>
          <w:tab w:val="left" w:pos="1843"/>
        </w:tabs>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No ser magistrada o magistrado del Tribunal Superior de Justicia o del Tribunal Electoral o funcionario de este, salvo que se separe del cargo dos años antes de la fecha de inicio del proceso electoral de que se trate. </w:t>
      </w:r>
    </w:p>
    <w:p w:rsidR="00000000" w:rsidDel="00000000" w:rsidP="00000000" w:rsidRDefault="00000000" w:rsidRPr="00000000" w14:paraId="0000009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701"/>
          <w:tab w:val="left" w:pos="1843"/>
        </w:tabs>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No formar parte del servicio profesional electoral del Instituto, salvo que se separe del cargo dos años antes de la fecha de inicio del proceso electoral de que se trate. </w:t>
      </w:r>
    </w:p>
    <w:p w:rsidR="00000000" w:rsidDel="00000000" w:rsidP="00000000" w:rsidRDefault="00000000" w:rsidRPr="00000000" w14:paraId="0000009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701"/>
          <w:tab w:val="left" w:pos="1843"/>
        </w:tabs>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No ser consejera o consejero electoral en el consejo general, del Instituto ni secretario ejecutivo, salvo que se separe del cargo dos años antes de la fecha de inicio del proceso electoral de que se trate. </w:t>
      </w:r>
    </w:p>
    <w:p w:rsidR="00000000" w:rsidDel="00000000" w:rsidP="00000000" w:rsidRDefault="00000000" w:rsidRPr="00000000" w14:paraId="000000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701"/>
          <w:tab w:val="left" w:pos="1843"/>
        </w:tabs>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No ser consejera o consejero electoral en los consejos distritales o municipales del Instituto ni director del mismo, salvo que se haya separado del cargo dos años antes de la fecha de inicio del proceso electoral de que se trate. </w:t>
      </w:r>
    </w:p>
    <w:p w:rsidR="00000000" w:rsidDel="00000000" w:rsidP="00000000" w:rsidRDefault="00000000" w:rsidRPr="00000000" w14:paraId="000000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701"/>
          <w:tab w:val="left" w:pos="1843"/>
        </w:tabs>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No ser integrante del órgano de dirección de los organismos a los que la Constitución Local otorga autonomía, salvo que se separe del cargo dos años antes de la fecha de inicio del proceso electoral de que se trate; </w:t>
      </w:r>
    </w:p>
    <w:p w:rsidR="00000000" w:rsidDel="00000000" w:rsidP="00000000" w:rsidRDefault="00000000" w:rsidRPr="00000000" w14:paraId="0000009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701"/>
          <w:tab w:val="left" w:pos="1843"/>
        </w:tabs>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rsidR="00000000" w:rsidDel="00000000" w:rsidP="00000000" w:rsidRDefault="00000000" w:rsidRPr="00000000" w14:paraId="0000009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1701"/>
          <w:tab w:val="left" w:pos="1843"/>
        </w:tabs>
        <w:spacing w:after="0" w:before="0" w:line="240" w:lineRule="auto"/>
        <w:ind w:left="1570" w:right="901" w:hanging="360"/>
        <w:jc w:val="both"/>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0"/>
          <w:szCs w:val="20"/>
          <w:u w:val="none"/>
          <w:shd w:fill="auto" w:val="clear"/>
          <w:vertAlign w:val="baseline"/>
          <w:rtl w:val="0"/>
        </w:rPr>
        <w:t xml:space="preserve">Ser electo o designado candidata o candidato, de conformidad con los procedimientos democráticos internos del partido político que lo postule”</w:t>
      </w:r>
    </w:p>
    <w:p w:rsidR="00000000" w:rsidDel="00000000" w:rsidP="00000000" w:rsidRDefault="00000000" w:rsidRPr="00000000" w14:paraId="00000099">
      <w:pPr>
        <w:widowControl w:val="0"/>
        <w:tabs>
          <w:tab w:val="left" w:pos="1701"/>
          <w:tab w:val="left" w:pos="1843"/>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A">
      <w:pPr>
        <w:widowControl w:val="0"/>
        <w:tabs>
          <w:tab w:val="left" w:pos="1701"/>
          <w:tab w:val="left" w:pos="1843"/>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relación a estos preceptos, la Ley Orgánica Municipal en su artículo 18, fracción I dispone que una vez rendidos los informes de los ayuntamientos en funciones, previa convocatoria a sesión solemne, </w:t>
      </w:r>
      <w:r w:rsidDel="00000000" w:rsidR="00000000" w:rsidRPr="00000000">
        <w:rPr>
          <w:rFonts w:ascii="Palatino Linotype" w:cs="Palatino Linotype" w:eastAsia="Palatino Linotype" w:hAnsi="Palatino Linotype"/>
          <w:b w:val="1"/>
          <w:sz w:val="22"/>
          <w:szCs w:val="22"/>
          <w:rtl w:val="0"/>
        </w:rPr>
        <w:t xml:space="preserve">deberán presentarse los ciudadanos que en términos de ley resultaron electos para rendir protesta y ocupar los cargos de</w:t>
      </w:r>
      <w:r w:rsidDel="00000000" w:rsidR="00000000" w:rsidRPr="00000000">
        <w:rPr>
          <w:rFonts w:ascii="Palatino Linotype" w:cs="Palatino Linotype" w:eastAsia="Palatino Linotype" w:hAnsi="Palatino Linotype"/>
          <w:sz w:val="22"/>
          <w:szCs w:val="22"/>
          <w:rtl w:val="0"/>
        </w:rPr>
        <w:t xml:space="preserve"> presidente municipal, síndico o síndicos y regidores, sin que dicho plazo exceda el mes de diciembre del último año de la gestión del ayuntamiento saliente, </w:t>
      </w:r>
      <w:r w:rsidDel="00000000" w:rsidR="00000000" w:rsidRPr="00000000">
        <w:rPr>
          <w:rFonts w:ascii="Palatino Linotype" w:cs="Palatino Linotype" w:eastAsia="Palatino Linotype" w:hAnsi="Palatino Linotype"/>
          <w:b w:val="1"/>
          <w:sz w:val="22"/>
          <w:szCs w:val="22"/>
          <w:rtl w:val="0"/>
        </w:rPr>
        <w:t xml:space="preserve">dicha reunión tendrá por objeto que los miembros del ayuntamiento entrante, rindan la protesta en términos de lo dispuesto por el artículo 144</w:t>
      </w:r>
      <w:r w:rsidDel="00000000" w:rsidR="00000000" w:rsidRPr="00000000">
        <w:rPr>
          <w:rFonts w:ascii="Palatino Linotype" w:cs="Palatino Linotype" w:eastAsia="Palatino Linotype" w:hAnsi="Palatino Linotype"/>
          <w:b w:val="1"/>
          <w:sz w:val="22"/>
          <w:szCs w:val="22"/>
          <w:vertAlign w:val="superscript"/>
        </w:rPr>
        <w:footnoteReference w:customMarkFollows="0" w:id="0"/>
      </w:r>
      <w:r w:rsidDel="00000000" w:rsidR="00000000" w:rsidRPr="00000000">
        <w:rPr>
          <w:rFonts w:ascii="Palatino Linotype" w:cs="Palatino Linotype" w:eastAsia="Palatino Linotype" w:hAnsi="Palatino Linotype"/>
          <w:b w:val="1"/>
          <w:sz w:val="22"/>
          <w:szCs w:val="22"/>
          <w:rtl w:val="0"/>
        </w:rPr>
        <w:t xml:space="preserve"> de la Constitución Política del Estado Libre y Soberano de México</w:t>
      </w:r>
      <w:r w:rsidDel="00000000" w:rsidR="00000000" w:rsidRPr="00000000">
        <w:rPr>
          <w:rFonts w:ascii="Palatino Linotype" w:cs="Palatino Linotype" w:eastAsia="Palatino Linotype" w:hAnsi="Palatino Linotype"/>
          <w:sz w:val="22"/>
          <w:szCs w:val="22"/>
          <w:rtl w:val="0"/>
        </w:rPr>
        <w:t xml:space="preserve">, por lo que el</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presidente municipal electo para el período siguiente lo hará ante el representante designado</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por el Ejecutivo del Estado y a su vez, hará de inmediato lo propio con los demás miembros del</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ayuntamiento electo.</w:t>
      </w:r>
    </w:p>
    <w:p w:rsidR="00000000" w:rsidDel="00000000" w:rsidP="00000000" w:rsidRDefault="00000000" w:rsidRPr="00000000" w14:paraId="0000009B">
      <w:pPr>
        <w:widowControl w:val="0"/>
        <w:tabs>
          <w:tab w:val="left" w:pos="1701"/>
          <w:tab w:val="left" w:pos="1843"/>
        </w:tabs>
        <w:spacing w:line="360" w:lineRule="auto"/>
        <w:jc w:val="both"/>
        <w:rPr>
          <w:rFonts w:ascii="Palatino Linotype" w:cs="Palatino Linotype" w:eastAsia="Palatino Linotype" w:hAnsi="Palatino Linotype"/>
          <w:b w:val="1"/>
          <w:sz w:val="22"/>
          <w:szCs w:val="22"/>
        </w:rPr>
      </w:pPr>
      <w:r w:rsidDel="00000000" w:rsidR="00000000" w:rsidRPr="00000000">
        <w:rPr>
          <w:rtl w:val="0"/>
        </w:rPr>
      </w:r>
    </w:p>
    <w:p w:rsidR="00000000" w:rsidDel="00000000" w:rsidP="00000000" w:rsidRDefault="00000000" w:rsidRPr="00000000" w14:paraId="0000009C">
      <w:pPr>
        <w:widowControl w:val="0"/>
        <w:tabs>
          <w:tab w:val="left" w:pos="1701"/>
          <w:tab w:val="left" w:pos="1843"/>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De tal suerte que la Constitución local y la Ley Orgánica Municipal considera al Presidente municipal como servidor público que ostenta un cargo de elección popular, por lo tanto, se reitera que  no se encuentra constreñido a entregar el documento solicitado por el particular, en virtud de que como se analizó en líneas anteriores, no se encuentran obligados a generarla, poseerla o administrarla. </w:t>
      </w:r>
    </w:p>
    <w:p w:rsidR="00000000" w:rsidDel="00000000" w:rsidP="00000000" w:rsidRDefault="00000000" w:rsidRPr="00000000" w14:paraId="0000009D">
      <w:pPr>
        <w:widowControl w:val="0"/>
        <w:tabs>
          <w:tab w:val="left" w:pos="1701"/>
          <w:tab w:val="left" w:pos="1843"/>
        </w:tabs>
        <w:spacing w:line="360" w:lineRule="auto"/>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9E">
      <w:pPr>
        <w:widowControl w:val="0"/>
        <w:tabs>
          <w:tab w:val="left" w:pos="1701"/>
          <w:tab w:val="left" w:pos="1843"/>
        </w:tabs>
        <w:spacing w:line="360" w:lineRule="auto"/>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En este contexto, el Sujeto Obligado no está obligado a generar documento ad hoc para satisfacer el derecho de acceso,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rsidR="00000000" w:rsidDel="00000000" w:rsidP="00000000" w:rsidRDefault="00000000" w:rsidRPr="00000000" w14:paraId="0000009F">
      <w:pPr>
        <w:widowControl w:val="0"/>
        <w:tabs>
          <w:tab w:val="left" w:pos="1701"/>
          <w:tab w:val="left" w:pos="1843"/>
        </w:tabs>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0">
      <w:pPr>
        <w:widowControl w:val="0"/>
        <w:tabs>
          <w:tab w:val="left" w:pos="1701"/>
          <w:tab w:val="left" w:pos="1843"/>
        </w:tabs>
        <w:ind w:left="567" w:right="851" w:firstLine="0"/>
        <w:jc w:val="both"/>
        <w:rPr>
          <w:rFonts w:ascii="Palatino Linotype" w:cs="Palatino Linotype" w:eastAsia="Palatino Linotype" w:hAnsi="Palatino Linotype"/>
          <w:i w:val="1"/>
          <w:sz w:val="20"/>
          <w:szCs w:val="20"/>
        </w:rPr>
      </w:pPr>
      <w:r w:rsidDel="00000000" w:rsidR="00000000" w:rsidRPr="00000000">
        <w:rPr>
          <w:rFonts w:ascii="Palatino Linotype" w:cs="Palatino Linotype" w:eastAsia="Palatino Linotype" w:hAnsi="Palatino Linotype"/>
          <w:b w:val="1"/>
          <w:i w:val="1"/>
          <w:sz w:val="20"/>
          <w:szCs w:val="20"/>
          <w:rtl w:val="0"/>
        </w:rPr>
        <w:t xml:space="preserve">“No existe obligación de elaborar documentos ad hoc para atender las solicitudes de acceso a la información. </w:t>
      </w:r>
      <w:r w:rsidDel="00000000" w:rsidR="00000000" w:rsidRPr="00000000">
        <w:rPr>
          <w:rFonts w:ascii="Palatino Linotype" w:cs="Palatino Linotype" w:eastAsia="Palatino Linotype" w:hAnsi="Palatino Linotype"/>
          <w:i w:val="1"/>
          <w:sz w:val="20"/>
          <w:szCs w:val="20"/>
          <w:rtl w:val="0"/>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0000" w:rsidDel="00000000" w:rsidP="00000000" w:rsidRDefault="00000000" w:rsidRPr="00000000" w14:paraId="000000A1">
      <w:pPr>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A2">
      <w:pPr>
        <w:spacing w:line="360" w:lineRule="auto"/>
        <w:jc w:val="both"/>
        <w:rPr>
          <w:rFonts w:ascii="Palatino Linotype" w:cs="Palatino Linotype" w:eastAsia="Palatino Linotype" w:hAnsi="Palatino Linotype"/>
          <w:sz w:val="22"/>
          <w:szCs w:val="22"/>
        </w:rPr>
      </w:pPr>
      <w:bookmarkStart w:colFirst="0" w:colLast="0" w:name="_heading=h.1fob9te" w:id="2"/>
      <w:bookmarkEnd w:id="2"/>
      <w:r w:rsidDel="00000000" w:rsidR="00000000" w:rsidRPr="00000000">
        <w:rPr>
          <w:rFonts w:ascii="Palatino Linotype" w:cs="Palatino Linotype" w:eastAsia="Palatino Linotype" w:hAnsi="Palatino Linotype"/>
          <w:sz w:val="22"/>
          <w:szCs w:val="22"/>
          <w:rtl w:val="0"/>
        </w:rPr>
        <w:t xml:space="preserve">De lo anteriormente expuesto se emite </w:t>
      </w:r>
      <w:r w:rsidDel="00000000" w:rsidR="00000000" w:rsidRPr="00000000">
        <w:rPr>
          <w:rFonts w:ascii="Palatino Linotype" w:cs="Palatino Linotype" w:eastAsia="Palatino Linotype" w:hAnsi="Palatino Linotype"/>
          <w:b w:val="1"/>
          <w:sz w:val="22"/>
          <w:szCs w:val="22"/>
          <w:rtl w:val="0"/>
        </w:rPr>
        <w:t xml:space="preserve">VOTO DISIDENTE, </w:t>
      </w:r>
      <w:r w:rsidDel="00000000" w:rsidR="00000000" w:rsidRPr="00000000">
        <w:rPr>
          <w:rFonts w:ascii="Palatino Linotype" w:cs="Palatino Linotype" w:eastAsia="Palatino Linotype" w:hAnsi="Palatino Linotype"/>
          <w:sz w:val="22"/>
          <w:szCs w:val="22"/>
          <w:rtl w:val="0"/>
        </w:rPr>
        <w:t xml:space="preserve">pues se debió privilegiar la </w:t>
      </w:r>
      <w:r w:rsidDel="00000000" w:rsidR="00000000" w:rsidRPr="00000000">
        <w:rPr>
          <w:rFonts w:ascii="Palatino Linotype" w:cs="Palatino Linotype" w:eastAsia="Palatino Linotype" w:hAnsi="Palatino Linotype"/>
          <w:b w:val="1"/>
          <w:sz w:val="22"/>
          <w:szCs w:val="22"/>
          <w:rtl w:val="0"/>
        </w:rPr>
        <w:t xml:space="preserve">reserva de los datos relativos al </w:t>
      </w:r>
      <w:r w:rsidDel="00000000" w:rsidR="00000000" w:rsidRPr="00000000">
        <w:rPr>
          <w:rFonts w:ascii="Palatino Linotype" w:cs="Palatino Linotype" w:eastAsia="Palatino Linotype" w:hAnsi="Palatino Linotype"/>
          <w:b w:val="1"/>
          <w:color w:val="000000"/>
          <w:sz w:val="22"/>
          <w:szCs w:val="22"/>
          <w:rtl w:val="0"/>
        </w:rPr>
        <w:t xml:space="preserve">cargo y área de adscripción del personal de Seguridad </w:t>
      </w:r>
      <w:r w:rsidDel="00000000" w:rsidR="00000000" w:rsidRPr="00000000">
        <w:rPr>
          <w:rFonts w:ascii="Palatino Linotype" w:cs="Palatino Linotype" w:eastAsia="Palatino Linotype" w:hAnsi="Palatino Linotype"/>
          <w:color w:val="000000"/>
          <w:sz w:val="22"/>
          <w:szCs w:val="22"/>
          <w:rtl w:val="0"/>
        </w:rPr>
        <w:t xml:space="preserve">del Municipio de </w:t>
      </w:r>
      <w:r w:rsidDel="00000000" w:rsidR="00000000" w:rsidRPr="00000000">
        <w:rPr>
          <w:rFonts w:ascii="Palatino Linotype" w:cs="Palatino Linotype" w:eastAsia="Palatino Linotype" w:hAnsi="Palatino Linotype"/>
          <w:sz w:val="22"/>
          <w:szCs w:val="22"/>
          <w:rtl w:val="0"/>
        </w:rPr>
        <w:t xml:space="preserve">Amecameca</w:t>
      </w:r>
      <w:r w:rsidDel="00000000" w:rsidR="00000000" w:rsidRPr="00000000">
        <w:rPr>
          <w:rFonts w:ascii="Palatino Linotype" w:cs="Palatino Linotype" w:eastAsia="Palatino Linotype" w:hAnsi="Palatino Linotype"/>
          <w:color w:val="000000"/>
          <w:sz w:val="22"/>
          <w:szCs w:val="22"/>
          <w:rtl w:val="0"/>
        </w:rPr>
        <w:t xml:space="preserve">, </w:t>
      </w:r>
      <w:r w:rsidDel="00000000" w:rsidR="00000000" w:rsidRPr="00000000">
        <w:rPr>
          <w:rFonts w:ascii="Palatino Linotype" w:cs="Palatino Linotype" w:eastAsia="Palatino Linotype" w:hAnsi="Palatino Linotype"/>
          <w:sz w:val="22"/>
          <w:szCs w:val="22"/>
          <w:rtl w:val="0"/>
        </w:rPr>
        <w:t xml:space="preserve">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 así mismo únciamente por ordenar </w:t>
      </w:r>
      <w:r w:rsidDel="00000000" w:rsidR="00000000" w:rsidRPr="00000000">
        <w:rPr>
          <w:rFonts w:ascii="Palatino Linotype" w:cs="Palatino Linotype" w:eastAsia="Palatino Linotype" w:hAnsi="Palatino Linotype"/>
          <w:b w:val="1"/>
          <w:sz w:val="22"/>
          <w:szCs w:val="22"/>
          <w:rtl w:val="0"/>
        </w:rPr>
        <w:t xml:space="preserve">el currículum vitae de los servidores públicos que son designados por elección popular del Municipio de Amecameca</w:t>
      </w:r>
      <w:r w:rsidDel="00000000" w:rsidR="00000000" w:rsidRPr="00000000">
        <w:rPr>
          <w:rFonts w:ascii="Palatino Linotype" w:cs="Palatino Linotype" w:eastAsia="Palatino Linotype" w:hAnsi="Palatino Linotype"/>
          <w:sz w:val="22"/>
          <w:szCs w:val="22"/>
          <w:rtl w:val="0"/>
        </w:rPr>
        <w:t xml:space="preserve">, al no existir fuente obligacional para que el Sujeto Obligado cuente con referida información</w:t>
      </w:r>
    </w:p>
    <w:p w:rsidR="00000000" w:rsidDel="00000000" w:rsidP="00000000" w:rsidRDefault="00000000" w:rsidRPr="00000000" w14:paraId="000000A3">
      <w:pPr>
        <w:spacing w:line="360" w:lineRule="auto"/>
        <w:jc w:val="both"/>
        <w:rPr>
          <w:rFonts w:ascii="Palatino Linotype" w:cs="Palatino Linotype" w:eastAsia="Palatino Linotype" w:hAnsi="Palatino Linotype"/>
          <w:sz w:val="20"/>
          <w:szCs w:val="20"/>
        </w:rPr>
      </w:pPr>
      <w:r w:rsidDel="00000000" w:rsidR="00000000" w:rsidRPr="00000000">
        <w:rPr>
          <w:rtl w:val="0"/>
        </w:rPr>
      </w:r>
    </w:p>
    <w:p w:rsidR="00000000" w:rsidDel="00000000" w:rsidP="00000000" w:rsidRDefault="00000000" w:rsidRPr="00000000" w14:paraId="000000A4">
      <w:pPr>
        <w:spacing w:line="360" w:lineRule="auto"/>
        <w:jc w:val="both"/>
        <w:rPr>
          <w:rFonts w:ascii="Palatino Linotype" w:cs="Palatino Linotype" w:eastAsia="Palatino Linotype" w:hAnsi="Palatino Linotype"/>
          <w:sz w:val="20"/>
          <w:szCs w:val="20"/>
        </w:rPr>
      </w:pPr>
      <w:r w:rsidDel="00000000" w:rsidR="00000000" w:rsidRPr="00000000">
        <w:rPr>
          <w:rtl w:val="0"/>
        </w:rPr>
      </w:r>
    </w:p>
    <w:tbl>
      <w:tblPr>
        <w:tblStyle w:val="Table2"/>
        <w:tblW w:w="5529.0" w:type="dxa"/>
        <w:jc w:val="center"/>
        <w:tblLayout w:type="fixed"/>
        <w:tblLook w:val="0400"/>
      </w:tblPr>
      <w:tblGrid>
        <w:gridCol w:w="5529"/>
        <w:tblGridChange w:id="0">
          <w:tblGrid>
            <w:gridCol w:w="5529"/>
          </w:tblGrid>
        </w:tblGridChange>
      </w:tblGrid>
      <w:tr>
        <w:trPr>
          <w:cantSplit w:val="0"/>
          <w:tblHeader w:val="0"/>
        </w:trPr>
        <w:tc>
          <w:tcPr/>
          <w:p w:rsidR="00000000" w:rsidDel="00000000" w:rsidP="00000000" w:rsidRDefault="00000000" w:rsidRPr="00000000" w14:paraId="000000A5">
            <w:pPr>
              <w:spacing w:line="360" w:lineRule="auto"/>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SHARON CRISTINA MORALES MARTÍNEZ</w:t>
            </w:r>
          </w:p>
          <w:p w:rsidR="00000000" w:rsidDel="00000000" w:rsidP="00000000" w:rsidRDefault="00000000" w:rsidRPr="00000000" w14:paraId="000000A6">
            <w:pPr>
              <w:spacing w:line="360" w:lineRule="auto"/>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w:t>
            </w:r>
          </w:p>
          <w:p w:rsidR="00000000" w:rsidDel="00000000" w:rsidP="00000000" w:rsidRDefault="00000000" w:rsidRPr="00000000" w14:paraId="000000A7">
            <w:pPr>
              <w:spacing w:line="360" w:lineRule="auto"/>
              <w:jc w:val="center"/>
              <w:rPr>
                <w:rFonts w:ascii="Palatino Linotype" w:cs="Palatino Linotype" w:eastAsia="Palatino Linotype" w:hAnsi="Palatino Linotype"/>
                <w:b w:val="1"/>
                <w:sz w:val="20"/>
                <w:szCs w:val="20"/>
              </w:rPr>
            </w:pPr>
            <w:r w:rsidDel="00000000" w:rsidR="00000000" w:rsidRPr="00000000">
              <w:rPr>
                <w:rtl w:val="0"/>
              </w:rPr>
            </w:r>
          </w:p>
        </w:tc>
      </w:tr>
    </w:tbl>
    <w:p w:rsidR="00000000" w:rsidDel="00000000" w:rsidP="00000000" w:rsidRDefault="00000000" w:rsidRPr="00000000" w14:paraId="000000A8">
      <w:pPr>
        <w:spacing w:line="360" w:lineRule="auto"/>
        <w:jc w:val="both"/>
        <w:rPr>
          <w:rFonts w:ascii="Palatino Linotype" w:cs="Palatino Linotype" w:eastAsia="Palatino Linotype" w:hAnsi="Palatino Linotype"/>
          <w:color w:val="000000"/>
          <w:sz w:val="14"/>
          <w:szCs w:val="14"/>
        </w:rPr>
      </w:pPr>
      <w:r w:rsidDel="00000000" w:rsidR="00000000" w:rsidRPr="00000000">
        <w:rPr>
          <w:rtl w:val="0"/>
        </w:rPr>
      </w:r>
    </w:p>
    <w:p w:rsidR="00000000" w:rsidDel="00000000" w:rsidP="00000000" w:rsidRDefault="00000000" w:rsidRPr="00000000" w14:paraId="000000A9">
      <w:pPr>
        <w:spacing w:line="360" w:lineRule="auto"/>
        <w:jc w:val="both"/>
        <w:rPr>
          <w:rFonts w:ascii="Palatino Linotype" w:cs="Palatino Linotype" w:eastAsia="Palatino Linotype" w:hAnsi="Palatino Linotype"/>
          <w:color w:val="000000"/>
          <w:sz w:val="14"/>
          <w:szCs w:val="14"/>
        </w:rPr>
      </w:pPr>
      <w:r w:rsidDel="00000000" w:rsidR="00000000" w:rsidRPr="00000000">
        <w:rPr>
          <w:rFonts w:ascii="Palatino Linotype" w:cs="Palatino Linotype" w:eastAsia="Palatino Linotype" w:hAnsi="Palatino Linotype"/>
          <w:color w:val="000000"/>
          <w:sz w:val="18"/>
          <w:szCs w:val="18"/>
          <w:rtl w:val="0"/>
        </w:rPr>
        <w:t xml:space="preserve">SCMM/BLA/DEMF/</w:t>
      </w:r>
      <w:r w:rsidDel="00000000" w:rsidR="00000000" w:rsidRPr="00000000">
        <w:rPr>
          <w:rFonts w:ascii="Palatino Linotype" w:cs="Palatino Linotype" w:eastAsia="Palatino Linotype" w:hAnsi="Palatino Linotype"/>
          <w:sz w:val="18"/>
          <w:szCs w:val="18"/>
          <w:rtl w:val="0"/>
        </w:rPr>
        <w:t xml:space="preserve">PMRE</w:t>
      </w:r>
      <w:r w:rsidDel="00000000" w:rsidR="00000000" w:rsidRPr="00000000">
        <w:br w:type="page"/>
      </w:r>
      <w:r w:rsidDel="00000000" w:rsidR="00000000" w:rsidRPr="00000000">
        <w:rPr>
          <w:rtl w:val="0"/>
        </w:rPr>
      </w:r>
    </w:p>
    <w:p w:rsidR="00000000" w:rsidDel="00000000" w:rsidP="00000000" w:rsidRDefault="00000000" w:rsidRPr="00000000" w14:paraId="000000AA">
      <w:pPr>
        <w:spacing w:line="360" w:lineRule="auto"/>
        <w:jc w:val="both"/>
        <w:rPr>
          <w:rFonts w:ascii="Palatino Linotype" w:cs="Palatino Linotype" w:eastAsia="Palatino Linotype" w:hAnsi="Palatino Linotype"/>
          <w:color w:val="000000"/>
          <w:sz w:val="20"/>
          <w:szCs w:val="20"/>
        </w:rPr>
      </w:pPr>
      <w:r w:rsidDel="00000000" w:rsidR="00000000" w:rsidRPr="00000000">
        <w:rPr>
          <w:rtl w:val="0"/>
        </w:rPr>
      </w:r>
    </w:p>
    <w:sectPr>
      <w:headerReference r:id="rId8" w:type="default"/>
      <w:headerReference r:id="rId9" w:type="first"/>
      <w:headerReference r:id="rId10" w:type="even"/>
      <w:footerReference r:id="rId11" w:type="default"/>
      <w:pgSz w:h="15840" w:w="12240" w:orient="portrait"/>
      <w:pgMar w:bottom="1701" w:top="1701" w:left="1134" w:right="1134" w:header="708" w:footer="5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4228"/>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Página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tl w:val="0"/>
      </w:rPr>
      <w:t xml:space="preserve"> de </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708"/>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rFonts w:ascii="Palatino Linotype" w:cs="Palatino Linotype" w:eastAsia="Palatino Linotype" w:hAnsi="Palatino Linotype"/>
          <w:i w:val="1"/>
          <w:color w:val="000000"/>
          <w:sz w:val="20"/>
          <w:szCs w:val="20"/>
        </w:rPr>
      </w:pPr>
      <w:r w:rsidDel="00000000" w:rsidR="00000000" w:rsidRPr="00000000">
        <w:rPr>
          <w:rStyle w:val="FootnoteReference"/>
          <w:vertAlign w:val="superscript"/>
        </w:rPr>
        <w:footnoteRef/>
      </w:r>
      <w:r w:rsidDel="00000000" w:rsidR="00000000" w:rsidRPr="00000000">
        <w:rPr>
          <w:rFonts w:ascii="Palatino Linotype" w:cs="Palatino Linotype" w:eastAsia="Palatino Linotype" w:hAnsi="Palatino Linotype"/>
          <w:color w:val="000000"/>
          <w:sz w:val="20"/>
          <w:szCs w:val="20"/>
          <w:rtl w:val="0"/>
        </w:rPr>
        <w:t xml:space="preserve"> </w:t>
      </w:r>
      <w:r w:rsidDel="00000000" w:rsidR="00000000" w:rsidRPr="00000000">
        <w:rPr>
          <w:rFonts w:ascii="Palatino Linotype" w:cs="Palatino Linotype" w:eastAsia="Palatino Linotype" w:hAnsi="Palatino Linotype"/>
          <w:i w:val="1"/>
          <w:color w:val="000000"/>
          <w:sz w:val="20"/>
          <w:szCs w:val="20"/>
          <w:rtl w:val="0"/>
        </w:rPr>
        <w:t xml:space="preserve">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center"/>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3" style="position:absolute;width:614.65pt;height:91.65pt;rotation:315;z-index:-503316481;mso-position-horizontal-relative:margin;mso-position-horizontal:center;mso-position-vertical-relative:margin;mso-position-vertical:center;" fillcolor="#808080" stroked="f" type="#_x0000_t136">
          <v:fill angle="0" opacity="32768f"/>
          <v:textpath fitshape="t" string="VOTO DISIDENTE" style="font-family:&amp;quot;Palatino Linotype&amp;quot;;font-size:1pt;"/>
        </v:shape>
      </w:pic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-694689</wp:posOffset>
          </wp:positionH>
          <wp:positionV relativeFrom="paragraph">
            <wp:posOffset>-342264</wp:posOffset>
          </wp:positionV>
          <wp:extent cx="7604125" cy="9903460"/>
          <wp:effectExtent b="0" l="0" r="0" t="0"/>
          <wp:wrapNone/>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04125" cy="9903460"/>
                  </a:xfrm>
                  <a:prstGeom prst="rect"/>
                  <a:ln/>
                </pic:spPr>
              </pic:pic>
            </a:graphicData>
          </a:graphic>
        </wp:anchor>
      </w:drawing>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VOTO DISIDENTE</w:t>
    </w:r>
    <w:r w:rsidDel="00000000" w:rsidR="00000000" w:rsidRPr="00000000">
      <w:rPr>
        <w:rFonts w:ascii="Palatino Linotype" w:cs="Palatino Linotype" w:eastAsia="Palatino Linotype" w:hAnsi="Palatino Linotype"/>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RECURSO DE REVISIÓN 12652/INFOEM/IP/RR/2022 y acumulados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1" style="position:absolute;width:611.25pt;height:91.65pt;rotation:315;z-index:-503316481;mso-position-horizontal-relative:margin;mso-position-horizontal:center;mso-position-vertical-relative:margin;mso-position-vertical:center;" fillcolor="#f7caac" stroked="f" type="#_x0000_t136">
          <v:fill angle="0" opacity="32768f"/>
          <v:textpath fitshape="t" string="VOTO PARTICULAR" style="font-family:&amp;quot;Palatino Linotyp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pict>
        <v:shape id="PowerPlusWaterMarkObject2" style="position:absolute;width:611.25pt;height:91.65pt;rotation:315;z-index:-503316481;mso-position-horizontal-relative:margin;mso-position-horizontal:center;mso-position-vertical-relative:margin;mso-position-vertical:center;" fillcolor="#f7caac" stroked="f" type="#_x0000_t136">
          <v:fill angle="0" opacity="32768f"/>
          <v:textpath fitshape="t" string="VOTO PARTICULAR" style="font-family:&amp;quot;Palatino Linotyp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right"/>
      <w:pPr>
        <w:ind w:left="1570" w:hanging="360"/>
      </w:pPr>
      <w:rPr/>
    </w:lvl>
    <w:lvl w:ilvl="1">
      <w:start w:val="1"/>
      <w:numFmt w:val="lowerLetter"/>
      <w:lvlText w:val="%2."/>
      <w:lvlJc w:val="left"/>
      <w:pPr>
        <w:ind w:left="2290" w:hanging="360"/>
      </w:pPr>
      <w:rPr/>
    </w:lvl>
    <w:lvl w:ilvl="2">
      <w:start w:val="1"/>
      <w:numFmt w:val="lowerRoman"/>
      <w:lvlText w:val="%3."/>
      <w:lvlJc w:val="right"/>
      <w:pPr>
        <w:ind w:left="3010" w:hanging="180"/>
      </w:pPr>
      <w:rPr/>
    </w:lvl>
    <w:lvl w:ilvl="3">
      <w:start w:val="1"/>
      <w:numFmt w:val="decimal"/>
      <w:lvlText w:val="%4."/>
      <w:lvlJc w:val="left"/>
      <w:pPr>
        <w:ind w:left="3730" w:hanging="360"/>
      </w:pPr>
      <w:rPr/>
    </w:lvl>
    <w:lvl w:ilvl="4">
      <w:start w:val="1"/>
      <w:numFmt w:val="lowerLetter"/>
      <w:lvlText w:val="%5."/>
      <w:lvlJc w:val="left"/>
      <w:pPr>
        <w:ind w:left="4450" w:hanging="360"/>
      </w:pPr>
      <w:rPr/>
    </w:lvl>
    <w:lvl w:ilvl="5">
      <w:start w:val="1"/>
      <w:numFmt w:val="lowerRoman"/>
      <w:lvlText w:val="%6."/>
      <w:lvlJc w:val="right"/>
      <w:pPr>
        <w:ind w:left="5170" w:hanging="180"/>
      </w:pPr>
      <w:rPr/>
    </w:lvl>
    <w:lvl w:ilvl="6">
      <w:start w:val="1"/>
      <w:numFmt w:val="decimal"/>
      <w:lvlText w:val="%7."/>
      <w:lvlJc w:val="left"/>
      <w:pPr>
        <w:ind w:left="5890" w:hanging="360"/>
      </w:pPr>
      <w:rPr/>
    </w:lvl>
    <w:lvl w:ilvl="7">
      <w:start w:val="1"/>
      <w:numFmt w:val="lowerLetter"/>
      <w:lvlText w:val="%8."/>
      <w:lvlJc w:val="left"/>
      <w:pPr>
        <w:ind w:left="6610" w:hanging="360"/>
      </w:pPr>
      <w:rPr/>
    </w:lvl>
    <w:lvl w:ilvl="8">
      <w:start w:val="1"/>
      <w:numFmt w:val="lowerRoman"/>
      <w:lvlText w:val="%9."/>
      <w:lvlJc w:val="right"/>
      <w:pPr>
        <w:ind w:left="7330" w:hanging="180"/>
      </w:pPr>
      <w:rPr/>
    </w:lvl>
  </w:abstractNum>
  <w:abstractNum w:abstractNumId="3">
    <w:lvl w:ilvl="0">
      <w:start w:val="1"/>
      <w:numFmt w:val="upperRoman"/>
      <w:lvlText w:val="%1."/>
      <w:lvlJc w:val="right"/>
      <w:pPr>
        <w:ind w:left="1570" w:hanging="360"/>
      </w:pPr>
      <w:rPr/>
    </w:lvl>
    <w:lvl w:ilvl="1">
      <w:start w:val="1"/>
      <w:numFmt w:val="lowerLetter"/>
      <w:lvlText w:val="%2."/>
      <w:lvlJc w:val="left"/>
      <w:pPr>
        <w:ind w:left="2290" w:hanging="360"/>
      </w:pPr>
      <w:rPr/>
    </w:lvl>
    <w:lvl w:ilvl="2">
      <w:start w:val="1"/>
      <w:numFmt w:val="lowerRoman"/>
      <w:lvlText w:val="%3."/>
      <w:lvlJc w:val="right"/>
      <w:pPr>
        <w:ind w:left="3010" w:hanging="180"/>
      </w:pPr>
      <w:rPr/>
    </w:lvl>
    <w:lvl w:ilvl="3">
      <w:start w:val="1"/>
      <w:numFmt w:val="decimal"/>
      <w:lvlText w:val="%4."/>
      <w:lvlJc w:val="left"/>
      <w:pPr>
        <w:ind w:left="3730" w:hanging="360"/>
      </w:pPr>
      <w:rPr/>
    </w:lvl>
    <w:lvl w:ilvl="4">
      <w:start w:val="1"/>
      <w:numFmt w:val="lowerLetter"/>
      <w:lvlText w:val="%5."/>
      <w:lvlJc w:val="left"/>
      <w:pPr>
        <w:ind w:left="4450" w:hanging="360"/>
      </w:pPr>
      <w:rPr/>
    </w:lvl>
    <w:lvl w:ilvl="5">
      <w:start w:val="1"/>
      <w:numFmt w:val="lowerRoman"/>
      <w:lvlText w:val="%6."/>
      <w:lvlJc w:val="right"/>
      <w:pPr>
        <w:ind w:left="5170" w:hanging="180"/>
      </w:pPr>
      <w:rPr/>
    </w:lvl>
    <w:lvl w:ilvl="6">
      <w:start w:val="1"/>
      <w:numFmt w:val="decimal"/>
      <w:lvlText w:val="%7."/>
      <w:lvlJc w:val="left"/>
      <w:pPr>
        <w:ind w:left="5890" w:hanging="360"/>
      </w:pPr>
      <w:rPr/>
    </w:lvl>
    <w:lvl w:ilvl="7">
      <w:start w:val="1"/>
      <w:numFmt w:val="lowerLetter"/>
      <w:lvlText w:val="%8."/>
      <w:lvlJc w:val="left"/>
      <w:pPr>
        <w:ind w:left="6610" w:hanging="360"/>
      </w:pPr>
      <w:rPr/>
    </w:lvl>
    <w:lvl w:ilvl="8">
      <w:start w:val="1"/>
      <w:numFmt w:val="lowerRoman"/>
      <w:lvlText w:val="%9."/>
      <w:lvlJc w:val="right"/>
      <w:pPr>
        <w:ind w:left="7330" w:hanging="180"/>
      </w:pPr>
      <w:rPr/>
    </w:lvl>
  </w:abstractNum>
  <w:abstractNum w:abstractNumId="4">
    <w:lvl w:ilvl="0">
      <w:start w:val="1"/>
      <w:numFmt w:val="upperRoman"/>
      <w:lvlText w:val="%1."/>
      <w:lvlJc w:val="right"/>
      <w:pPr>
        <w:ind w:left="1570" w:hanging="360"/>
      </w:pPr>
      <w:rPr/>
    </w:lvl>
    <w:lvl w:ilvl="1">
      <w:start w:val="1"/>
      <w:numFmt w:val="lowerLetter"/>
      <w:lvlText w:val="%2."/>
      <w:lvlJc w:val="left"/>
      <w:pPr>
        <w:ind w:left="2290" w:hanging="360"/>
      </w:pPr>
      <w:rPr/>
    </w:lvl>
    <w:lvl w:ilvl="2">
      <w:start w:val="1"/>
      <w:numFmt w:val="lowerRoman"/>
      <w:lvlText w:val="%3."/>
      <w:lvlJc w:val="right"/>
      <w:pPr>
        <w:ind w:left="3010" w:hanging="180"/>
      </w:pPr>
      <w:rPr/>
    </w:lvl>
    <w:lvl w:ilvl="3">
      <w:start w:val="1"/>
      <w:numFmt w:val="decimal"/>
      <w:lvlText w:val="%4."/>
      <w:lvlJc w:val="left"/>
      <w:pPr>
        <w:ind w:left="3730" w:hanging="360"/>
      </w:pPr>
      <w:rPr/>
    </w:lvl>
    <w:lvl w:ilvl="4">
      <w:start w:val="1"/>
      <w:numFmt w:val="lowerLetter"/>
      <w:lvlText w:val="%5."/>
      <w:lvlJc w:val="left"/>
      <w:pPr>
        <w:ind w:left="4450" w:hanging="360"/>
      </w:pPr>
      <w:rPr/>
    </w:lvl>
    <w:lvl w:ilvl="5">
      <w:start w:val="1"/>
      <w:numFmt w:val="lowerRoman"/>
      <w:lvlText w:val="%6."/>
      <w:lvlJc w:val="right"/>
      <w:pPr>
        <w:ind w:left="5170" w:hanging="180"/>
      </w:pPr>
      <w:rPr/>
    </w:lvl>
    <w:lvl w:ilvl="6">
      <w:start w:val="1"/>
      <w:numFmt w:val="decimal"/>
      <w:lvlText w:val="%7."/>
      <w:lvlJc w:val="left"/>
      <w:pPr>
        <w:ind w:left="5890" w:hanging="360"/>
      </w:pPr>
      <w:rPr/>
    </w:lvl>
    <w:lvl w:ilvl="7">
      <w:start w:val="1"/>
      <w:numFmt w:val="lowerLetter"/>
      <w:lvlText w:val="%8."/>
      <w:lvlJc w:val="left"/>
      <w:pPr>
        <w:ind w:left="6610" w:hanging="360"/>
      </w:pPr>
      <w:rPr/>
    </w:lvl>
    <w:lvl w:ilvl="8">
      <w:start w:val="1"/>
      <w:numFmt w:val="lowerRoman"/>
      <w:lvlText w:val="%9."/>
      <w:lvlJc w:val="right"/>
      <w:pPr>
        <w:ind w:left="733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81438"/>
    <w:pPr>
      <w:spacing w:after="0" w:line="240" w:lineRule="auto"/>
    </w:pPr>
    <w:rPr>
      <w:rFonts w:ascii="Times New Roman" w:cs="Times New Roman" w:eastAsia="Times New Roman" w:hAnsi="Times New Roman"/>
      <w:sz w:val="24"/>
      <w:szCs w:val="24"/>
      <w:lang w:eastAsia="es-ES"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81438"/>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E81438"/>
    <w:rPr>
      <w:rFonts w:eastAsiaTheme="minorEastAsia"/>
      <w:sz w:val="24"/>
      <w:szCs w:val="24"/>
      <w:lang w:eastAsia="es-ES" w:val="es-ES_tradnl"/>
    </w:rPr>
  </w:style>
  <w:style w:type="paragraph" w:styleId="Piedepgina">
    <w:name w:val="footer"/>
    <w:basedOn w:val="Normal"/>
    <w:link w:val="PiedepginaCar"/>
    <w:uiPriority w:val="99"/>
    <w:unhideWhenUsed w:val="1"/>
    <w:rsid w:val="00E81438"/>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E81438"/>
    <w:rPr>
      <w:rFonts w:eastAsiaTheme="minorEastAsia"/>
      <w:sz w:val="24"/>
      <w:szCs w:val="24"/>
      <w:lang w:eastAsia="es-ES" w:val="es-ES_tradn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val="1"/>
    <w:rsid w:val="0028660C"/>
    <w:rPr>
      <w:vertAlign w:val="superscript"/>
    </w:rPr>
  </w:style>
  <w:style w:type="paragraph" w:styleId="Textonotapie">
    <w:name w:val="footnote text"/>
    <w:basedOn w:val="Normal"/>
    <w:link w:val="TextonotapieCar1"/>
    <w:uiPriority w:val="99"/>
    <w:semiHidden w:val="1"/>
    <w:unhideWhenUsed w:val="1"/>
    <w:rsid w:val="0028660C"/>
    <w:rPr>
      <w:sz w:val="20"/>
      <w:szCs w:val="20"/>
    </w:rPr>
  </w:style>
  <w:style w:type="character" w:styleId="TextonotapieCar" w:customStyle="1">
    <w:name w:val="Texto nota pie Car"/>
    <w:basedOn w:val="Fuentedeprrafopredeter"/>
    <w:uiPriority w:val="99"/>
    <w:semiHidden w:val="1"/>
    <w:rsid w:val="0028660C"/>
    <w:rPr>
      <w:rFonts w:ascii="Times New Roman" w:cs="Times New Roman" w:eastAsia="Times New Roman" w:hAnsi="Times New Roman"/>
      <w:sz w:val="20"/>
      <w:szCs w:val="20"/>
      <w:lang w:eastAsia="es-ES" w:val="es-ES"/>
    </w:rPr>
  </w:style>
  <w:style w:type="character" w:styleId="TextonotapieCar1" w:customStyle="1">
    <w:name w:val="Texto nota pie Car1"/>
    <w:link w:val="Textonotapie"/>
    <w:uiPriority w:val="99"/>
    <w:semiHidden w:val="1"/>
    <w:rsid w:val="0028660C"/>
    <w:rPr>
      <w:rFonts w:ascii="Times New Roman" w:cs="Times New Roman" w:eastAsia="Times New Roman" w:hAnsi="Times New Roman"/>
      <w:sz w:val="20"/>
      <w:szCs w:val="20"/>
      <w:lang w:eastAsia="es-ES" w:val="es-ES"/>
    </w:rPr>
  </w:style>
  <w:style w:type="paragraph" w:styleId="Textodeglobo">
    <w:name w:val="Balloon Text"/>
    <w:basedOn w:val="Normal"/>
    <w:link w:val="TextodegloboCar"/>
    <w:uiPriority w:val="99"/>
    <w:semiHidden w:val="1"/>
    <w:unhideWhenUsed w:val="1"/>
    <w:rsid w:val="00AA249E"/>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AA249E"/>
    <w:rPr>
      <w:rFonts w:ascii="Segoe UI" w:cs="Segoe UI" w:eastAsia="Times New Roman" w:hAnsi="Segoe UI"/>
      <w:sz w:val="18"/>
      <w:szCs w:val="18"/>
      <w:lang w:eastAsia="es-ES" w:val="es-ES"/>
    </w:rPr>
  </w:style>
  <w:style w:type="paragraph" w:styleId="NormalWeb">
    <w:name w:val="Normal (Web)"/>
    <w:basedOn w:val="Normal"/>
    <w:uiPriority w:val="99"/>
    <w:unhideWhenUsed w:val="1"/>
    <w:rsid w:val="00AB2511"/>
    <w:pPr>
      <w:spacing w:after="100" w:afterAutospacing="1" w:before="100" w:beforeAutospacing="1"/>
    </w:pPr>
    <w:rPr>
      <w:lang w:eastAsia="es-MX" w:val="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457C33"/>
    <w:pPr>
      <w:ind w:left="720"/>
      <w:contextualSpacing w:val="1"/>
    </w:pPr>
  </w:style>
  <w:style w:type="character" w:styleId="Hipervnculo">
    <w:name w:val="Hyperlink"/>
    <w:basedOn w:val="Fuentedeprrafopredeter"/>
    <w:uiPriority w:val="99"/>
    <w:unhideWhenUsed w:val="1"/>
    <w:rsid w:val="007B2D3C"/>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rsid w:val="003868B5"/>
    <w:rPr>
      <w:rFonts w:ascii="Times New Roman" w:cs="Times New Roman" w:eastAsia="Times New Roman" w:hAnsi="Times New Roman"/>
      <w:sz w:val="24"/>
      <w:szCs w:val="24"/>
      <w:lang w:eastAsia="es-ES" w:val="es-ES"/>
    </w:rPr>
  </w:style>
  <w:style w:type="paragraph" w:styleId="Sinespaciado">
    <w:name w:val="No Spacing"/>
    <w:aliases w:val="Francesa,INAI"/>
    <w:link w:val="SinespaciadoCar"/>
    <w:uiPriority w:val="1"/>
    <w:qFormat w:val="1"/>
    <w:rsid w:val="00630A16"/>
    <w:pPr>
      <w:spacing w:after="0" w:line="240" w:lineRule="auto"/>
    </w:pPr>
    <w:rPr>
      <w:rFonts w:eastAsiaTheme="minorEastAsia"/>
      <w:sz w:val="24"/>
      <w:szCs w:val="24"/>
      <w:lang w:eastAsia="es-ES" w:val="es-ES_tradnl"/>
    </w:rPr>
  </w:style>
  <w:style w:type="character" w:styleId="SinespaciadoCar" w:customStyle="1">
    <w:name w:val="Sin espaciado Car"/>
    <w:aliases w:val="Francesa Car,INAI Car"/>
    <w:link w:val="Sinespaciado"/>
    <w:uiPriority w:val="1"/>
    <w:locked w:val="1"/>
    <w:rsid w:val="00630A16"/>
    <w:rPr>
      <w:rFonts w:eastAsiaTheme="minorEastAsia"/>
      <w:sz w:val="24"/>
      <w:szCs w:val="24"/>
      <w:lang w:eastAsia="es-ES" w:val="es-ES_tradnl"/>
    </w:rPr>
  </w:style>
  <w:style w:type="table" w:styleId="Tablaconcuadrcula31" w:customStyle="1">
    <w:name w:val="Tabla con cuadrícula31"/>
    <w:basedOn w:val="Tablanormal"/>
    <w:uiPriority w:val="59"/>
    <w:rsid w:val="0001529F"/>
    <w:pPr>
      <w:spacing w:after="0" w:line="240" w:lineRule="auto"/>
    </w:pPr>
    <w:rPr>
      <w:lang w:val="es-ES_tradnl"/>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aconcuadrcula311" w:customStyle="1">
    <w:name w:val="Tabla con cuadrícula311"/>
    <w:basedOn w:val="Tablanormal"/>
    <w:uiPriority w:val="59"/>
    <w:rsid w:val="00BC0A4E"/>
    <w:pPr>
      <w:spacing w:after="0" w:line="240" w:lineRule="auto"/>
    </w:pPr>
    <w:rPr>
      <w:lang w:val="es-ES_tradnl"/>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kb4IhgtUpxMY61N5HP20oM22Dw==">AMUW2mUruVlE/N9YxWxCkzQ5lygXbyFQXMebXvYqBVtzIUsfe2p9gtLl1adLlefvCWsgM3e85rOxCEYQni4GULANR/7HoruWhw5xsE+dJxnJOHoaBHlDat3tWaYhwlDltJTssEfyp3qw7iDfDpGd/2iFLdRSehjFMg==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2022-12-01T17:44:00Z</dcterms:created>
  <dc:creator>Rocio</dc:creator>
</cp:coreProperties>
</file>