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52C32" w14:textId="77777777" w:rsidR="00DE18AA" w:rsidRDefault="005A0962">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mayo de dos mil veintidós. </w:t>
      </w:r>
    </w:p>
    <w:p w14:paraId="2F7D4731" w14:textId="1027A688"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02474/INFOEM/IP/RR/2022</w:t>
      </w:r>
      <w:r>
        <w:rPr>
          <w:rFonts w:ascii="Palatino Linotype" w:eastAsia="Palatino Linotype" w:hAnsi="Palatino Linotype" w:cs="Palatino Linotype"/>
        </w:rPr>
        <w:t xml:space="preserve">, interpuesto </w:t>
      </w:r>
      <w:r w:rsidR="00F96136" w:rsidRPr="00F96136">
        <w:rPr>
          <w:rFonts w:ascii="Palatino Linotype" w:eastAsia="Palatino Linotype" w:hAnsi="Palatino Linotype" w:cs="Palatino Linotype"/>
          <w:b/>
        </w:rPr>
        <w:t>Xxxxxx Xxxxxxxxxx Xxxxxx</w:t>
      </w:r>
      <w:r w:rsidR="00F96136">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Huehuetoca,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w:t>
      </w:r>
      <w:bookmarkStart w:id="1" w:name="_GoBack"/>
      <w:bookmarkEnd w:id="1"/>
      <w:r>
        <w:rPr>
          <w:rFonts w:ascii="Palatino Linotype" w:eastAsia="Palatino Linotype" w:hAnsi="Palatino Linotype" w:cs="Palatino Linotype"/>
        </w:rPr>
        <w:t xml:space="preserve">esolución con base en los siguientes: </w:t>
      </w:r>
    </w:p>
    <w:p w14:paraId="7420F226" w14:textId="77777777" w:rsidR="00DE18AA" w:rsidRDefault="005A0962">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Pr>
          <w:rFonts w:ascii="Palatino Linotype" w:eastAsia="Palatino Linotype" w:hAnsi="Palatino Linotype" w:cs="Palatino Linotype"/>
          <w:b/>
        </w:rPr>
        <w:t>I. A N T E C E D E N T E S</w:t>
      </w:r>
    </w:p>
    <w:p w14:paraId="2EF6835B"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ocho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00030/HUEHUETO/IP/2022, </w:t>
      </w:r>
      <w:r>
        <w:rPr>
          <w:rFonts w:ascii="Palatino Linotype" w:eastAsia="Palatino Linotype" w:hAnsi="Palatino Linotype" w:cs="Palatino Linotype"/>
        </w:rPr>
        <w:t xml:space="preserve">mediante la cual requirió la información siguiente: </w:t>
      </w:r>
    </w:p>
    <w:p w14:paraId="421A1519" w14:textId="77777777" w:rsidR="00DE18AA" w:rsidRDefault="005A0962">
      <w:pPr>
        <w:spacing w:line="276" w:lineRule="auto"/>
        <w:ind w:left="851" w:right="616"/>
        <w:jc w:val="both"/>
        <w:rPr>
          <w:rFonts w:ascii="Palatino Linotype" w:eastAsia="Palatino Linotype" w:hAnsi="Palatino Linotype" w:cs="Palatino Linotype"/>
          <w:b/>
          <w:i/>
          <w:sz w:val="22"/>
          <w:szCs w:val="22"/>
        </w:rPr>
      </w:pPr>
      <w:bookmarkStart w:id="3" w:name="_heading=h.gjdgxs" w:colFirst="0" w:colLast="0"/>
      <w:bookmarkEnd w:id="3"/>
      <w:r>
        <w:rPr>
          <w:rFonts w:ascii="Palatino Linotype" w:eastAsia="Palatino Linotype" w:hAnsi="Palatino Linotype" w:cs="Palatino Linotype"/>
          <w:i/>
          <w:sz w:val="22"/>
          <w:szCs w:val="22"/>
        </w:rPr>
        <w:t>“Solicito información de la Regiduría séptima, octava y novena, respecto de los servidores públicos que laboran en las oficinas de las mismas y que están adscritas a ellas; incluyendo nombre, escolaridad, salario, funciones que desempeñan, puesto o categoría. Lo anterior con documento público que lo compruebe o acredite. Además del techo presupuestal asignado al día de la fecha a cada una de las regidurías.”(Sic)</w:t>
      </w:r>
    </w:p>
    <w:p w14:paraId="7DA82E27"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37FF98B6" w14:textId="77777777" w:rsidR="00DE18AA" w:rsidRDefault="005A0962">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63925269" w14:textId="77777777" w:rsidR="00DE18AA" w:rsidRDefault="00DE18AA">
      <w:pPr>
        <w:spacing w:line="360" w:lineRule="auto"/>
        <w:ind w:left="851" w:right="616"/>
        <w:jc w:val="both"/>
        <w:rPr>
          <w:rFonts w:ascii="Palatino Linotype" w:eastAsia="Palatino Linotype" w:hAnsi="Palatino Linotype" w:cs="Palatino Linotype"/>
          <w:i/>
          <w:sz w:val="22"/>
          <w:szCs w:val="22"/>
        </w:rPr>
      </w:pPr>
    </w:p>
    <w:p w14:paraId="7F706D3E" w14:textId="77777777" w:rsidR="00DE18AA" w:rsidRDefault="005A0962">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00030/HUEHUETO/IP/2022, me permito informarle a usted que encontrara anexo de la Información solicitada, del mismo modo le informo que el área de Tesorería aun no cuenta con el Presupuesto en su totalidad para el 2022 por lo que la información de los techos financieros aun no se la podemos proporcionar. Sin más por el momento quedo de usted para cualquier duda y aclaración.”(Sic)</w:t>
      </w:r>
    </w:p>
    <w:p w14:paraId="171BE155" w14:textId="77777777" w:rsidR="00DE18AA" w:rsidRDefault="00DE18AA">
      <w:pPr>
        <w:ind w:left="851" w:right="900"/>
        <w:jc w:val="both"/>
        <w:rPr>
          <w:rFonts w:ascii="Palatino Linotype" w:eastAsia="Palatino Linotype" w:hAnsi="Palatino Linotype" w:cs="Palatino Linotype"/>
          <w:i/>
          <w:sz w:val="22"/>
          <w:szCs w:val="22"/>
        </w:rPr>
      </w:pPr>
    </w:p>
    <w:p w14:paraId="23A02C75" w14:textId="77777777" w:rsidR="00DE18AA" w:rsidRDefault="005A0962">
      <w:pPr>
        <w:spacing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adjuntó el archivo electrónico identificado como “</w:t>
      </w:r>
      <w:r>
        <w:rPr>
          <w:rFonts w:ascii="Palatino Linotype" w:eastAsia="Palatino Linotype" w:hAnsi="Palatino Linotype" w:cs="Palatino Linotype"/>
          <w:b/>
          <w:i/>
        </w:rPr>
        <w:t>Documentos Escaneadoss (1).pdf”</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integrado por ocho páginas consistente en el oficio número PMH/DA/096/02/2022 del veintidós de febrero de dos mil veintidós, suscrito y signado por la Directora de Administración, por medio del cual entregó el nombre, escolaridad, funciones y categoría de los servidores públicos adscritos a la séptima, octava y novena regiduría; escrito al que anexó el curriculum vitae y el recibo de nómina de cada servidor público. </w:t>
      </w:r>
    </w:p>
    <w:p w14:paraId="52D64F48" w14:textId="77777777" w:rsidR="00DE18AA" w:rsidRDefault="005A096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uno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02AC61A4" w14:textId="77777777" w:rsidR="00DE18AA" w:rsidRDefault="005A0962">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2A2A73F2" w14:textId="77777777" w:rsidR="00DE18AA" w:rsidRDefault="00DE18AA">
      <w:pPr>
        <w:spacing w:line="360" w:lineRule="auto"/>
        <w:ind w:left="851" w:right="900"/>
        <w:jc w:val="both"/>
        <w:rPr>
          <w:rFonts w:ascii="Palatino Linotype" w:eastAsia="Palatino Linotype" w:hAnsi="Palatino Linotype" w:cs="Palatino Linotype"/>
          <w:i/>
          <w:sz w:val="2"/>
          <w:szCs w:val="2"/>
        </w:rPr>
      </w:pPr>
    </w:p>
    <w:p w14:paraId="39AEDA91" w14:textId="77777777" w:rsidR="00DE18AA" w:rsidRDefault="005A0962">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a la solicitud de información, derivada de no incluir que se solicita, estando en sus facultades al ser información que las dependencias del municipio poseen al ser existente." (Sic)</w:t>
      </w:r>
    </w:p>
    <w:p w14:paraId="0403BA61" w14:textId="77777777" w:rsidR="00DE18AA" w:rsidRDefault="00DE18AA">
      <w:pPr>
        <w:spacing w:line="360" w:lineRule="auto"/>
        <w:ind w:right="616"/>
        <w:jc w:val="both"/>
        <w:rPr>
          <w:rFonts w:ascii="Palatino Linotype" w:eastAsia="Palatino Linotype" w:hAnsi="Palatino Linotype" w:cs="Palatino Linotype"/>
          <w:b/>
        </w:rPr>
      </w:pPr>
    </w:p>
    <w:p w14:paraId="1E11DC94" w14:textId="77777777" w:rsidR="00DE18AA" w:rsidRDefault="005A0962">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2E47DC3A" w14:textId="77777777" w:rsidR="00DE18AA" w:rsidRDefault="005A0962">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“Respecto de la solicitud de información presentada y la respuesta obtenida, se desprende que, la entrega de información es incompleta, además de que, la entrega de información no corresponde a lo solicitados, lo anterior son causales de recurso de revisión como lo establece la fracción V y VI del artículo 179 de la Ley de Transparencia y Acceso a la Información Pública del Estado de México y Municipios, lo anterior es así porque: en la solicitud se requiere información “ de la Regiduría séptima, octava y novena, respecto de los servidores públicos que laboran en las oficinas en las mismas” , se aprecia en las respuestas que las mismas </w:t>
      </w:r>
      <w:r>
        <w:rPr>
          <w:rFonts w:ascii="Palatino Linotype" w:eastAsia="Palatino Linotype" w:hAnsi="Palatino Linotype" w:cs="Palatino Linotype"/>
          <w:b/>
          <w:i/>
          <w:sz w:val="22"/>
          <w:szCs w:val="22"/>
          <w:u w:val="single"/>
        </w:rPr>
        <w:t>no incluye a las y Regidores</w:t>
      </w:r>
      <w:r>
        <w:rPr>
          <w:rFonts w:ascii="Palatino Linotype" w:eastAsia="Palatino Linotype" w:hAnsi="Palatino Linotype" w:cs="Palatino Linotype"/>
          <w:i/>
          <w:sz w:val="22"/>
          <w:szCs w:val="22"/>
        </w:rPr>
        <w:t xml:space="preserve">, lo cual tiene como efecto en que la respuesta se traduzca en información incompleta. Aunado a lo anterior, se debe precisar, tal como se solicito </w:t>
      </w:r>
      <w:r>
        <w:rPr>
          <w:rFonts w:ascii="Palatino Linotype" w:eastAsia="Palatino Linotype" w:hAnsi="Palatino Linotype" w:cs="Palatino Linotype"/>
          <w:b/>
          <w:i/>
          <w:sz w:val="22"/>
          <w:szCs w:val="22"/>
          <w:u w:val="single"/>
        </w:rPr>
        <w:t>“el techo presupuestal</w:t>
      </w:r>
      <w:r>
        <w:rPr>
          <w:rFonts w:ascii="Palatino Linotype" w:eastAsia="Palatino Linotype" w:hAnsi="Palatino Linotype" w:cs="Palatino Linotype"/>
          <w:i/>
          <w:sz w:val="22"/>
          <w:szCs w:val="22"/>
        </w:rPr>
        <w:t xml:space="preserve"> “ de las Regidurías, no obstante en la respuesta se omite la información respecto del techo presupuestal, máxime si se toma en cuenta el contenido del oficio PMH/DA/096/02/2022, donde se establece que la Dirección de Administración no cuenta con la información relacionada con el “techo presupuestal”. Y que “El área indicada para proporcionar dicho requerimiento es la Tesorería Municipal”, de lo anterior se aprecia que la Dependencia Municipal, acepta que existe otra dependencia facultada para dar contestación a la información solicitada, misma que no se anexa a texto de la respuesta emitida por el Municipio. Es evidente entonces que el Titular de la Unidad de Transparencia y Acceso a la Información Pública, no cumple con los principios que la ley en la materia establece, como lo son: el que la información debe ser completa, integral, congruente, oportuna y actualizada. Por lo que pido de manera atenta y respetuosa, se atienda de manera puntual la información que se solicita, toda vez que la respuesta emitida contiene causales para que se actualice el presente recurso.” (Sic)</w:t>
      </w:r>
    </w:p>
    <w:p w14:paraId="15D87B55" w14:textId="77777777" w:rsidR="00DE18AA" w:rsidRDefault="00DE18AA">
      <w:pPr>
        <w:spacing w:line="360" w:lineRule="auto"/>
        <w:jc w:val="both"/>
        <w:rPr>
          <w:rFonts w:ascii="Palatino Linotype" w:eastAsia="Palatino Linotype" w:hAnsi="Palatino Linotype" w:cs="Palatino Linotype"/>
          <w:sz w:val="2"/>
          <w:szCs w:val="2"/>
        </w:rPr>
      </w:pPr>
    </w:p>
    <w:p w14:paraId="2D0032B0" w14:textId="77777777" w:rsidR="00DE18AA" w:rsidRDefault="00DE18AA">
      <w:pPr>
        <w:spacing w:line="360" w:lineRule="auto"/>
        <w:jc w:val="both"/>
        <w:rPr>
          <w:rFonts w:ascii="Palatino Linotype" w:eastAsia="Palatino Linotype" w:hAnsi="Palatino Linotype" w:cs="Palatino Linotype"/>
          <w:sz w:val="2"/>
          <w:szCs w:val="2"/>
        </w:rPr>
      </w:pPr>
    </w:p>
    <w:p w14:paraId="7BA5565C"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Pr>
          <w:rFonts w:ascii="Palatino Linotype" w:eastAsia="Palatino Linotype" w:hAnsi="Palatino Linotype" w:cs="Palatino Linotype"/>
        </w:rPr>
        <w:lastRenderedPageBreak/>
        <w:t xml:space="preserve">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10EF121E" w14:textId="77777777" w:rsidR="00DE18AA" w:rsidRDefault="005A096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siete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3E96C4C4" w14:textId="77777777" w:rsidR="00DE18AA" w:rsidRDefault="005A096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dieciocho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en informe justificado el archivo electrónico denominado </w:t>
      </w:r>
      <w:r>
        <w:rPr>
          <w:rFonts w:ascii="Palatino Linotype" w:eastAsia="Palatino Linotype" w:hAnsi="Palatino Linotype" w:cs="Palatino Linotype"/>
          <w:b/>
          <w:i/>
        </w:rPr>
        <w:t xml:space="preserve">RR02474INFOEM.zip, </w:t>
      </w:r>
      <w:r>
        <w:rPr>
          <w:rFonts w:ascii="Palatino Linotype" w:eastAsia="Palatino Linotype" w:hAnsi="Palatino Linotype" w:cs="Palatino Linotype"/>
        </w:rPr>
        <w:t xml:space="preserve">que a su vez contiene la carpeta </w:t>
      </w:r>
      <w:r>
        <w:rPr>
          <w:rFonts w:ascii="Palatino Linotype" w:eastAsia="Palatino Linotype" w:hAnsi="Palatino Linotype" w:cs="Palatino Linotype"/>
          <w:b/>
          <w:i/>
        </w:rPr>
        <w:t xml:space="preserve">RR02474INFOEM, </w:t>
      </w:r>
      <w:r>
        <w:rPr>
          <w:rFonts w:ascii="Palatino Linotype" w:eastAsia="Palatino Linotype" w:hAnsi="Palatino Linotype" w:cs="Palatino Linotype"/>
        </w:rPr>
        <w:t xml:space="preserve">por los archivos electrónicos que a continuación se describen: </w:t>
      </w:r>
    </w:p>
    <w:p w14:paraId="39077210" w14:textId="77777777" w:rsidR="00DE18AA" w:rsidRDefault="005A0962">
      <w:pPr>
        <w:widowControl w:val="0"/>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“02474 INFOEM.xls”:</w:t>
      </w:r>
      <w:r>
        <w:rPr>
          <w:rFonts w:ascii="Palatino Linotype" w:eastAsia="Palatino Linotype" w:hAnsi="Palatino Linotype" w:cs="Palatino Linotype"/>
          <w:color w:val="000000"/>
        </w:rPr>
        <w:t xml:space="preserve"> Contiene una hoja de Excel en la que se observa el techo presupuestal asignado a la séptima, octava y novena regidurías  del Ayuntamiento de Huehuetoca.</w:t>
      </w:r>
    </w:p>
    <w:p w14:paraId="6DAFA800" w14:textId="77777777" w:rsidR="00DE18AA" w:rsidRDefault="005A0962">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w:t>
      </w:r>
      <w:r>
        <w:rPr>
          <w:rFonts w:ascii="Palatino Linotype" w:eastAsia="Palatino Linotype" w:hAnsi="Palatino Linotype" w:cs="Palatino Linotype"/>
          <w:b/>
          <w:i/>
          <w:color w:val="000000"/>
        </w:rPr>
        <w:t xml:space="preserve">PDF Scanner 18-03-22 1.46.11.pdf”: </w:t>
      </w:r>
      <w:r>
        <w:rPr>
          <w:rFonts w:ascii="Palatino Linotype" w:eastAsia="Palatino Linotype" w:hAnsi="Palatino Linotype" w:cs="Palatino Linotype"/>
          <w:color w:val="000000"/>
        </w:rPr>
        <w:t xml:space="preserve">Contiene el oficio y anexos entregados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la respuesta inicial. </w:t>
      </w:r>
    </w:p>
    <w:p w14:paraId="06CD0030" w14:textId="77777777" w:rsidR="00DE18AA" w:rsidRDefault="005A0962">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“PMH850101G19_NOM_NOMINA39859_6508.pdf”: </w:t>
      </w:r>
      <w:r>
        <w:rPr>
          <w:rFonts w:ascii="Palatino Linotype" w:eastAsia="Palatino Linotype" w:hAnsi="Palatino Linotype" w:cs="Palatino Linotype"/>
          <w:color w:val="000000"/>
        </w:rPr>
        <w:t xml:space="preserve">Recibo de nómina correspondiente a la segunda quincena de enero de dos  mil veintidós de  la séptima regidora. </w:t>
      </w:r>
    </w:p>
    <w:p w14:paraId="018CF268" w14:textId="77777777" w:rsidR="00DE18AA" w:rsidRDefault="005A0962">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“PMH850101G19_NOM_NOMINA39860_6509.pdf”: </w:t>
      </w:r>
      <w:r>
        <w:rPr>
          <w:rFonts w:ascii="Palatino Linotype" w:eastAsia="Palatino Linotype" w:hAnsi="Palatino Linotype" w:cs="Palatino Linotype"/>
          <w:color w:val="000000"/>
        </w:rPr>
        <w:t xml:space="preserve">Recibo de nómina correspondiente a la segunda quincena de enero de dos  mil veintidós del octavo regidor. </w:t>
      </w:r>
    </w:p>
    <w:p w14:paraId="173C1F67" w14:textId="77777777" w:rsidR="00DE18AA" w:rsidRDefault="005A0962">
      <w:pPr>
        <w:widowControl w:val="0"/>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“PMH850101G19_NOM_NOMINA39861_6510.pdf”: </w:t>
      </w:r>
      <w:r>
        <w:rPr>
          <w:rFonts w:ascii="Palatino Linotype" w:eastAsia="Palatino Linotype" w:hAnsi="Palatino Linotype" w:cs="Palatino Linotype"/>
          <w:color w:val="000000"/>
        </w:rPr>
        <w:t xml:space="preserve">Recibo de nómina correspondiente a la segunda quincena de enero de dos  mil veintidós de  la novena regidora. </w:t>
      </w:r>
    </w:p>
    <w:p w14:paraId="788D7EEB" w14:textId="77777777" w:rsidR="00DE18AA" w:rsidRDefault="005A096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si bien modifican  la respuesta inicial, no fue procedente ponerse a la vista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por observarse en su contenido, datos personales susceptibles de clasificar como información confidencial.  </w:t>
      </w:r>
    </w:p>
    <w:p w14:paraId="674AF42B" w14:textId="77777777" w:rsidR="00DE18AA" w:rsidRDefault="005A096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dieciséis de mayo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41860258" w14:textId="77777777" w:rsidR="00DE18AA" w:rsidRDefault="005A096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diecisiete de mayo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D14B2F3" w14:textId="77777777" w:rsidR="00DE18AA" w:rsidRDefault="005A0962">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2E21EAF9" w14:textId="77777777" w:rsidR="00DE18AA" w:rsidRDefault="00DE18AA">
      <w:pPr>
        <w:widowControl w:val="0"/>
        <w:spacing w:before="240" w:after="240" w:line="360" w:lineRule="auto"/>
        <w:jc w:val="center"/>
        <w:rPr>
          <w:rFonts w:ascii="Palatino Linotype" w:eastAsia="Palatino Linotype" w:hAnsi="Palatino Linotype" w:cs="Palatino Linotype"/>
          <w:b/>
        </w:rPr>
      </w:pPr>
    </w:p>
    <w:p w14:paraId="66400C00" w14:textId="77777777" w:rsidR="00DE18AA" w:rsidRDefault="00DE18AA">
      <w:pPr>
        <w:widowControl w:val="0"/>
        <w:spacing w:before="240" w:after="240" w:line="360" w:lineRule="auto"/>
        <w:jc w:val="center"/>
        <w:rPr>
          <w:rFonts w:ascii="Palatino Linotype" w:eastAsia="Palatino Linotype" w:hAnsi="Palatino Linotype" w:cs="Palatino Linotype"/>
          <w:b/>
        </w:rPr>
      </w:pPr>
    </w:p>
    <w:p w14:paraId="42194905" w14:textId="77777777" w:rsidR="00DE18AA" w:rsidRDefault="005A0962">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w:t>
      </w:r>
    </w:p>
    <w:p w14:paraId="5F1329AB"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D3271B0" w14:textId="77777777" w:rsidR="00DE18AA" w:rsidRDefault="005A0962">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34074B6"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veintiocho de febrero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uno de marzo de dos mil veintidós</w:t>
      </w:r>
      <w:r>
        <w:rPr>
          <w:rFonts w:ascii="Palatino Linotype" w:eastAsia="Palatino Linotype" w:hAnsi="Palatino Linotype" w:cs="Palatino Linotype"/>
        </w:rPr>
        <w:t xml:space="preserve">, esto es, al primer día hábil siguiente de aquel en que tuvo </w:t>
      </w:r>
      <w:r>
        <w:rPr>
          <w:rFonts w:ascii="Palatino Linotype" w:eastAsia="Palatino Linotype" w:hAnsi="Palatino Linotype" w:cs="Palatino Linotype"/>
        </w:rPr>
        <w:lastRenderedPageBreak/>
        <w:t>conocimiento de la respuesta; evidenciándose que la interposición del recurso se encuentra dentro de los márgenes temporales previstos en el citado precepto legal.</w:t>
      </w:r>
    </w:p>
    <w:p w14:paraId="2ACA22B1" w14:textId="77777777" w:rsidR="00DE18AA" w:rsidRDefault="005A0962">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Es de suma importancia mencionar que, si bien la</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proporcionó nombre completo </w:t>
      </w:r>
      <w:r>
        <w:rPr>
          <w:rFonts w:ascii="Palatino Linotype" w:eastAsia="Palatino Linotype" w:hAnsi="Palatino Linotype" w:cs="Palatino Linotype"/>
          <w:color w:val="2222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7A19919" w14:textId="77777777" w:rsidR="00DE18AA" w:rsidRDefault="005A0962">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7D7B21C7" w14:textId="77777777" w:rsidR="00DE18AA" w:rsidRDefault="005A0962">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77CBDD5B"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14:paraId="62F7D4E2" w14:textId="77777777" w:rsidR="00DE18AA" w:rsidRDefault="005A0962">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8AEC06F" w14:textId="77777777" w:rsidR="00DE18AA" w:rsidRDefault="005A0962">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3195677" w14:textId="77777777" w:rsidR="00DE18AA" w:rsidRDefault="005A0962">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La entrega de información incompleta; </w:t>
      </w:r>
    </w:p>
    <w:p w14:paraId="3E16DB89" w14:textId="77777777" w:rsidR="00DE18AA" w:rsidRDefault="005A0962">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0DF0FB7A"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70EC2F97"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FEA9D81" w14:textId="77777777" w:rsidR="00DE18AA" w:rsidRDefault="005A0962">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6A93C32" w14:textId="77777777" w:rsidR="00DE18AA" w:rsidRDefault="005A0962">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5773E4E" w14:textId="77777777" w:rsidR="00DE18AA" w:rsidRDefault="005A0962">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A9DFEA4" w14:textId="77777777" w:rsidR="00DE18AA" w:rsidRDefault="005A0962">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A3EBE48" w14:textId="77777777" w:rsidR="00DE18AA" w:rsidRDefault="005A096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14:paraId="3416AECB" w14:textId="77777777" w:rsidR="00DE18AA" w:rsidRDefault="005A096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53C6508"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8FCC217"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3AED28E"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D08880"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F11542B" w14:textId="77777777" w:rsidR="00DE18AA" w:rsidRDefault="005A0962">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6D6BBE7"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6F3754C"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4E79922"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3EA93DB"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936FE9D" w14:textId="77777777" w:rsidR="00DE18AA" w:rsidRDefault="00DE18AA">
      <w:pPr>
        <w:ind w:left="851" w:right="851"/>
        <w:jc w:val="both"/>
        <w:rPr>
          <w:rFonts w:ascii="Palatino Linotype" w:eastAsia="Palatino Linotype" w:hAnsi="Palatino Linotype" w:cs="Palatino Linotype"/>
          <w:i/>
          <w:sz w:val="22"/>
          <w:szCs w:val="22"/>
        </w:rPr>
      </w:pPr>
    </w:p>
    <w:p w14:paraId="4DD2C6DE"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2419FA"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60551CE"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5201856"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B52868A"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8003A2B" w14:textId="77777777" w:rsidR="00DE18AA" w:rsidRDefault="00DE18AA">
      <w:pPr>
        <w:ind w:right="851"/>
        <w:jc w:val="both"/>
        <w:rPr>
          <w:rFonts w:ascii="Palatino Linotype" w:eastAsia="Palatino Linotype" w:hAnsi="Palatino Linotype" w:cs="Palatino Linotype"/>
          <w:i/>
          <w:sz w:val="22"/>
          <w:szCs w:val="22"/>
        </w:rPr>
      </w:pPr>
    </w:p>
    <w:p w14:paraId="7BC45BE2" w14:textId="77777777" w:rsidR="00DE18AA" w:rsidRDefault="005A096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705EC41" w14:textId="77777777" w:rsidR="00DE18AA" w:rsidRDefault="005A0962">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79455CE4" w14:textId="77777777" w:rsidR="00DE18AA" w:rsidRDefault="005A0962">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5098A84" w14:textId="77777777" w:rsidR="00DE18AA" w:rsidRDefault="005A096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w:t>
      </w:r>
      <w:r>
        <w:rPr>
          <w:rFonts w:ascii="Palatino Linotype" w:eastAsia="Palatino Linotype" w:hAnsi="Palatino Linotype" w:cs="Palatino Linotype"/>
          <w:i/>
          <w:sz w:val="22"/>
          <w:szCs w:val="22"/>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13D52E" w14:textId="77777777" w:rsidR="00DE18AA" w:rsidRDefault="005A096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35E5F67D" w14:textId="77777777" w:rsidR="00DE18AA" w:rsidRDefault="00DE18AA">
      <w:pPr>
        <w:ind w:left="709" w:right="760"/>
        <w:jc w:val="both"/>
        <w:rPr>
          <w:rFonts w:ascii="Palatino Linotype" w:eastAsia="Palatino Linotype" w:hAnsi="Palatino Linotype" w:cs="Palatino Linotype"/>
          <w:i/>
        </w:rPr>
      </w:pPr>
    </w:p>
    <w:p w14:paraId="522DFCC4"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946BF7F" w14:textId="77777777" w:rsidR="00DE18AA" w:rsidRDefault="005A096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A2D523D" w14:textId="77777777" w:rsidR="00DE18AA" w:rsidRDefault="005A096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7B8C599" w14:textId="77777777" w:rsidR="00DE18AA" w:rsidRDefault="00DE18AA">
      <w:pPr>
        <w:spacing w:line="360" w:lineRule="auto"/>
        <w:ind w:right="-93"/>
        <w:jc w:val="both"/>
        <w:rPr>
          <w:rFonts w:ascii="Palatino Linotype" w:eastAsia="Palatino Linotype" w:hAnsi="Palatino Linotype" w:cs="Palatino Linotype"/>
          <w:color w:val="000000"/>
        </w:rPr>
      </w:pPr>
    </w:p>
    <w:p w14:paraId="06817DD0" w14:textId="77777777" w:rsidR="00DE18AA" w:rsidRDefault="005A096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Pr>
          <w:rFonts w:ascii="Palatino Linotype" w:eastAsia="Palatino Linotype" w:hAnsi="Palatino Linotype" w:cs="Palatino Linotype"/>
          <w:color w:val="000000"/>
        </w:rPr>
        <w:lastRenderedPageBreak/>
        <w:t>que es deber de los Sujetos Obligados, garantizar el Derecho de Acceso a la Información Pública, lo que no sucedió en el presente caso.</w:t>
      </w:r>
    </w:p>
    <w:p w14:paraId="30C45886" w14:textId="77777777" w:rsidR="00DE18AA" w:rsidRDefault="00DE18AA">
      <w:pPr>
        <w:spacing w:line="360" w:lineRule="auto"/>
        <w:jc w:val="both"/>
        <w:rPr>
          <w:rFonts w:ascii="Palatino Linotype" w:eastAsia="Palatino Linotype" w:hAnsi="Palatino Linotype" w:cs="Palatino Linotype"/>
          <w:color w:val="000000"/>
        </w:rPr>
      </w:pPr>
    </w:p>
    <w:p w14:paraId="7784DCDA" w14:textId="77777777" w:rsidR="00DE18AA" w:rsidRDefault="005A096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197EAC" w14:textId="77777777" w:rsidR="00DE18AA" w:rsidRDefault="00DE18AA">
      <w:pPr>
        <w:spacing w:line="360" w:lineRule="auto"/>
        <w:ind w:right="49"/>
        <w:jc w:val="both"/>
        <w:rPr>
          <w:rFonts w:ascii="Palatino Linotype" w:eastAsia="Palatino Linotype" w:hAnsi="Palatino Linotype" w:cs="Palatino Linotype"/>
        </w:rPr>
      </w:pPr>
    </w:p>
    <w:p w14:paraId="501D607A"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120B19EA" w14:textId="77777777" w:rsidR="00DE18AA" w:rsidRDefault="00DE18AA">
      <w:pPr>
        <w:spacing w:line="360" w:lineRule="auto"/>
        <w:jc w:val="both"/>
        <w:rPr>
          <w:rFonts w:ascii="Palatino Linotype" w:eastAsia="Palatino Linotype" w:hAnsi="Palatino Linotype" w:cs="Palatino Linotype"/>
        </w:rPr>
      </w:pPr>
    </w:p>
    <w:p w14:paraId="4EEDE792"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17D9A369" w14:textId="77777777" w:rsidR="00DE18AA" w:rsidRDefault="00DE18AA">
      <w:pPr>
        <w:ind w:left="851" w:right="851"/>
        <w:jc w:val="both"/>
        <w:rPr>
          <w:rFonts w:ascii="Palatino Linotype" w:eastAsia="Palatino Linotype" w:hAnsi="Palatino Linotype" w:cs="Palatino Linotype"/>
          <w:b/>
          <w:i/>
          <w:sz w:val="22"/>
          <w:szCs w:val="22"/>
        </w:rPr>
      </w:pPr>
    </w:p>
    <w:p w14:paraId="135E9EAE"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2FFA4125" w14:textId="77777777" w:rsidR="00DE18AA" w:rsidRDefault="00DE18AA">
      <w:pPr>
        <w:ind w:left="851" w:right="851"/>
        <w:jc w:val="both"/>
        <w:rPr>
          <w:rFonts w:ascii="Palatino Linotype" w:eastAsia="Palatino Linotype" w:hAnsi="Palatino Linotype" w:cs="Palatino Linotype"/>
          <w:i/>
          <w:sz w:val="22"/>
          <w:szCs w:val="22"/>
        </w:rPr>
      </w:pPr>
    </w:p>
    <w:p w14:paraId="2EA1EA4E"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14A67F37" w14:textId="77777777" w:rsidR="00DE18AA" w:rsidRDefault="00DE18AA">
      <w:pPr>
        <w:ind w:left="851" w:right="851"/>
        <w:jc w:val="both"/>
        <w:rPr>
          <w:rFonts w:ascii="Palatino Linotype" w:eastAsia="Palatino Linotype" w:hAnsi="Palatino Linotype" w:cs="Palatino Linotype"/>
          <w:i/>
          <w:sz w:val="22"/>
          <w:szCs w:val="22"/>
        </w:rPr>
      </w:pPr>
    </w:p>
    <w:p w14:paraId="526B2264"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313461E" w14:textId="77777777" w:rsidR="00DE18AA" w:rsidRDefault="00DE18AA">
      <w:pPr>
        <w:ind w:left="851" w:right="851"/>
        <w:jc w:val="both"/>
        <w:rPr>
          <w:rFonts w:ascii="Palatino Linotype" w:eastAsia="Palatino Linotype" w:hAnsi="Palatino Linotype" w:cs="Palatino Linotype"/>
          <w:i/>
          <w:sz w:val="22"/>
          <w:szCs w:val="22"/>
        </w:rPr>
      </w:pPr>
    </w:p>
    <w:p w14:paraId="4575ED67"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58214FAC" w14:textId="77777777" w:rsidR="00DE18AA" w:rsidRDefault="00DE18AA">
      <w:pPr>
        <w:spacing w:line="360" w:lineRule="auto"/>
        <w:jc w:val="both"/>
        <w:rPr>
          <w:rFonts w:ascii="Palatino Linotype" w:eastAsia="Palatino Linotype" w:hAnsi="Palatino Linotype" w:cs="Palatino Linotype"/>
        </w:rPr>
      </w:pPr>
    </w:p>
    <w:p w14:paraId="10FA6FB9"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29CD7CF" w14:textId="77777777" w:rsidR="00DE18AA" w:rsidRDefault="00DE18AA">
      <w:pPr>
        <w:spacing w:line="360" w:lineRule="auto"/>
        <w:jc w:val="both"/>
        <w:rPr>
          <w:rFonts w:ascii="Palatino Linotype" w:eastAsia="Palatino Linotype" w:hAnsi="Palatino Linotype" w:cs="Palatino Linotype"/>
        </w:rPr>
      </w:pPr>
    </w:p>
    <w:p w14:paraId="0610049B"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8D7112" w14:textId="77777777" w:rsidR="00DE18AA" w:rsidRDefault="00DE18AA">
      <w:pPr>
        <w:ind w:left="851" w:right="899"/>
        <w:jc w:val="both"/>
        <w:rPr>
          <w:rFonts w:ascii="Palatino Linotype" w:eastAsia="Palatino Linotype" w:hAnsi="Palatino Linotype" w:cs="Palatino Linotype"/>
          <w:i/>
          <w:sz w:val="22"/>
          <w:szCs w:val="22"/>
        </w:rPr>
      </w:pPr>
    </w:p>
    <w:p w14:paraId="6037934F"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F1B1A63"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D015E4" w14:textId="77777777" w:rsidR="00DE18AA" w:rsidRDefault="005A0962">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w:t>
      </w:r>
      <w:r>
        <w:rPr>
          <w:rFonts w:ascii="Palatino Linotype" w:eastAsia="Palatino Linotype" w:hAnsi="Palatino Linotype" w:cs="Palatino Linotype"/>
          <w:i/>
          <w:color w:val="000000"/>
          <w:sz w:val="22"/>
          <w:szCs w:val="22"/>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2E4A213" w14:textId="77777777" w:rsidR="00DE18AA" w:rsidRDefault="00DE18AA">
      <w:pPr>
        <w:ind w:left="851" w:right="899"/>
        <w:jc w:val="both"/>
        <w:rPr>
          <w:rFonts w:ascii="Palatino Linotype" w:eastAsia="Palatino Linotype" w:hAnsi="Palatino Linotype" w:cs="Palatino Linotype"/>
          <w:sz w:val="22"/>
          <w:szCs w:val="22"/>
        </w:rPr>
      </w:pPr>
    </w:p>
    <w:p w14:paraId="682A6900"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E0B0462" w14:textId="77777777" w:rsidR="00DE18AA" w:rsidRDefault="00DE18AA">
      <w:pPr>
        <w:ind w:left="851" w:right="899"/>
        <w:jc w:val="both"/>
        <w:rPr>
          <w:rFonts w:ascii="Palatino Linotype" w:eastAsia="Palatino Linotype" w:hAnsi="Palatino Linotype" w:cs="Palatino Linotype"/>
        </w:rPr>
      </w:pPr>
    </w:p>
    <w:p w14:paraId="47B40635" w14:textId="77777777" w:rsidR="00DE18AA" w:rsidRDefault="005A096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605EFA97"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05CCE"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CB51E89"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B611D20"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7A726AB" w14:textId="77777777" w:rsidR="00DE18AA" w:rsidRDefault="005A096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62836A5A"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w:t>
      </w:r>
      <w:r>
        <w:rPr>
          <w:rFonts w:ascii="Palatino Linotype" w:eastAsia="Palatino Linotype" w:hAnsi="Palatino Linotype" w:cs="Palatino Linotype"/>
        </w:rPr>
        <w:lastRenderedPageBreak/>
        <w:t>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693DED4" w14:textId="77777777" w:rsidR="00DE18AA" w:rsidRDefault="005A0962">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Bajo ese contexto, es conveniente reiterar que el entonces solicitante requirió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la siguiente información:</w:t>
      </w:r>
    </w:p>
    <w:p w14:paraId="51D84694" w14:textId="77777777" w:rsidR="00DE18AA" w:rsidRDefault="005A0962">
      <w:pPr>
        <w:numPr>
          <w:ilvl w:val="0"/>
          <w:numId w:val="3"/>
        </w:num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Nombre, escolaridad, salario, funciones que desempeñan y puesto o categoría de los servidores públicos que laboran en las oficinas y están adscritos a la séptima, octava y novena regiduría del Ayuntamiento de Huehuetoca; así como el documento que lo compruebe o acredite; y, </w:t>
      </w:r>
    </w:p>
    <w:p w14:paraId="71187441" w14:textId="77777777" w:rsidR="00DE18AA" w:rsidRDefault="005A0962">
      <w:pPr>
        <w:numPr>
          <w:ilvl w:val="0"/>
          <w:numId w:val="3"/>
        </w:num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Techo presupuestal asignado al día de la fecha a cada una de las regidurías. </w:t>
      </w:r>
    </w:p>
    <w:p w14:paraId="5230CF4F" w14:textId="77777777" w:rsidR="00DE18AA" w:rsidRDefault="005A0962">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a la solicitud de información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entregó mediante el oficio PMH/DA/096/02/2022, suscrito por la Directora de Administración el nombre, escolaridad, salario, funciones que desempeñan y puesto </w:t>
      </w:r>
      <w:r>
        <w:rPr>
          <w:rFonts w:ascii="Palatino Linotype" w:eastAsia="Palatino Linotype" w:hAnsi="Palatino Linotype" w:cs="Palatino Linotype"/>
          <w:color w:val="000000"/>
        </w:rPr>
        <w:lastRenderedPageBreak/>
        <w:t xml:space="preserve">o categoría del personal adscrito a la séptima, octava y novena regiduría  del Ayuntamiento de Huehuetoca, tal y como se observa en la imagen que se inserta. </w:t>
      </w:r>
    </w:p>
    <w:p w14:paraId="358DE08B" w14:textId="77777777" w:rsidR="00DE18AA" w:rsidRDefault="00DE18AA">
      <w:pPr>
        <w:spacing w:line="360" w:lineRule="auto"/>
        <w:jc w:val="both"/>
        <w:rPr>
          <w:rFonts w:ascii="Palatino Linotype" w:eastAsia="Palatino Linotype" w:hAnsi="Palatino Linotype" w:cs="Palatino Linotype"/>
          <w:color w:val="000000"/>
        </w:rPr>
      </w:pPr>
    </w:p>
    <w:p w14:paraId="1EEBFBFB" w14:textId="77777777" w:rsidR="00DE18AA" w:rsidRDefault="005A096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2170DC97" wp14:editId="01CB4847">
            <wp:extent cx="5612130" cy="3084830"/>
            <wp:effectExtent l="12700" t="12700" r="12700" b="1270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3084830"/>
                    </a:xfrm>
                    <a:prstGeom prst="rect">
                      <a:avLst/>
                    </a:prstGeom>
                    <a:ln w="12700">
                      <a:solidFill>
                        <a:srgbClr val="000000"/>
                      </a:solidFill>
                      <a:prstDash val="solid"/>
                    </a:ln>
                  </pic:spPr>
                </pic:pic>
              </a:graphicData>
            </a:graphic>
          </wp:inline>
        </w:drawing>
      </w:r>
    </w:p>
    <w:p w14:paraId="5E2E8A99" w14:textId="77777777" w:rsidR="00DE18AA" w:rsidRDefault="00DE18AA">
      <w:pPr>
        <w:spacing w:line="360" w:lineRule="auto"/>
        <w:jc w:val="both"/>
        <w:rPr>
          <w:rFonts w:ascii="Palatino Linotype" w:eastAsia="Palatino Linotype" w:hAnsi="Palatino Linotype" w:cs="Palatino Linotype"/>
          <w:color w:val="000000"/>
        </w:rPr>
      </w:pPr>
    </w:p>
    <w:p w14:paraId="3A87F52F" w14:textId="77777777" w:rsidR="00DE18AA" w:rsidRDefault="005A096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rPr>
        <w:drawing>
          <wp:inline distT="0" distB="0" distL="0" distR="0" wp14:anchorId="6EA080D7" wp14:editId="1E7BA907">
            <wp:extent cx="5612130" cy="2052320"/>
            <wp:effectExtent l="12700" t="12700" r="12700" b="127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052320"/>
                    </a:xfrm>
                    <a:prstGeom prst="rect">
                      <a:avLst/>
                    </a:prstGeom>
                    <a:ln w="12700">
                      <a:solidFill>
                        <a:srgbClr val="000000"/>
                      </a:solidFill>
                      <a:prstDash val="solid"/>
                    </a:ln>
                  </pic:spPr>
                </pic:pic>
              </a:graphicData>
            </a:graphic>
          </wp:inline>
        </w:drawing>
      </w:r>
    </w:p>
    <w:p w14:paraId="0CD5F19B" w14:textId="77777777" w:rsidR="00DE18AA" w:rsidRDefault="00DE18AA">
      <w:pPr>
        <w:spacing w:line="360" w:lineRule="auto"/>
        <w:jc w:val="both"/>
        <w:rPr>
          <w:rFonts w:ascii="Palatino Linotype" w:eastAsia="Palatino Linotype" w:hAnsi="Palatino Linotype" w:cs="Palatino Linotype"/>
          <w:color w:val="000000"/>
        </w:rPr>
      </w:pPr>
    </w:p>
    <w:p w14:paraId="06A27F82" w14:textId="77777777" w:rsidR="00DE18AA" w:rsidRDefault="005A096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Asimismo anexó dos currículos vitae, una solicitud de empleo y recibos de nómina correspondientes a la primera quincena del mes de enero de dos mil veintidós, de los servidores públicos adscritos referidos en el oficio de respuesta. </w:t>
      </w:r>
    </w:p>
    <w:p w14:paraId="23025A8C" w14:textId="77777777" w:rsidR="00DE18AA" w:rsidRDefault="00DE18AA">
      <w:pPr>
        <w:spacing w:line="360" w:lineRule="auto"/>
        <w:jc w:val="both"/>
        <w:rPr>
          <w:rFonts w:ascii="Palatino Linotype" w:eastAsia="Palatino Linotype" w:hAnsi="Palatino Linotype" w:cs="Palatino Linotype"/>
          <w:color w:val="000000"/>
        </w:rPr>
      </w:pPr>
    </w:p>
    <w:p w14:paraId="2C5868CE" w14:textId="77777777" w:rsidR="00DE18AA" w:rsidRDefault="005A096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que el solicitante tuvo conocimiento de la respuesta, interpuso el recurso de revisión de mérito en el que manifestó en términos generales como razones o motivos de inconformidad, la entrega de información incompleta ya que en la respuesta no se incluyó a los regidores y omitió proporcionar el techo presupuestal de las regidurías. </w:t>
      </w:r>
    </w:p>
    <w:p w14:paraId="56B9664D" w14:textId="77777777" w:rsidR="00DE18AA" w:rsidRDefault="00DE18AA">
      <w:pPr>
        <w:spacing w:line="360" w:lineRule="auto"/>
        <w:jc w:val="both"/>
        <w:rPr>
          <w:rFonts w:ascii="Palatino Linotype" w:eastAsia="Palatino Linotype" w:hAnsi="Palatino Linotype" w:cs="Palatino Linotype"/>
          <w:color w:val="000000"/>
        </w:rPr>
      </w:pPr>
    </w:p>
    <w:p w14:paraId="21966C0B" w14:textId="77777777" w:rsidR="00DE18AA" w:rsidRDefault="005A096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2BBB432" w14:textId="77777777" w:rsidR="00DE18AA" w:rsidRDefault="005A0962">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15FC9F9C"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la parte de la solicitud sobre la que no se expresó inconformidad, debe declararse consentida por el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ya que no pueden producirse </w:t>
      </w:r>
      <w:r>
        <w:rPr>
          <w:rFonts w:ascii="Palatino Linotype" w:eastAsia="Palatino Linotype" w:hAnsi="Palatino Linotype" w:cs="Palatino Linotype"/>
        </w:rPr>
        <w:lastRenderedPageBreak/>
        <w:t xml:space="preserve">efectos jurídicos tendentes a revocar, confirmar o modificar la parte de la respuesta con relación a la parte de la solicitud que no fue motivo de inconformidad ya que se infiere un consentimiento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la falta de impugnación eficaz.</w:t>
      </w:r>
    </w:p>
    <w:p w14:paraId="1783D50D"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37912219" w14:textId="77777777" w:rsidR="00DE18AA" w:rsidRDefault="005A0962">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14:paraId="55D5F2C5" w14:textId="77777777" w:rsidR="00DE18AA" w:rsidRDefault="005A0962">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Colmando con ello el derecho de acceso a la información del particular en cuanto al </w:t>
      </w:r>
      <w:r>
        <w:rPr>
          <w:rFonts w:ascii="Palatino Linotype" w:eastAsia="Palatino Linotype" w:hAnsi="Palatino Linotype" w:cs="Palatino Linotype"/>
          <w:color w:val="000000"/>
        </w:rPr>
        <w:t xml:space="preserve">nombre, escolaridad, salario, funciones que desempeñan y puesto o categoría del personal adscrito a la séptima, octava y novena regiduría  del Ayuntamiento de Huehuetoca, así como el documento que compruebe o lo acredite. </w:t>
      </w:r>
    </w:p>
    <w:p w14:paraId="0BCF59AB" w14:textId="77777777" w:rsidR="00DE18AA" w:rsidRDefault="005A0962">
      <w:pP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de señalar que una vez interpuesto el recurso de revisión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haciendo uso de su derecho pretendió resarcir la afectación al derecho de acceso a la información del particular y remitió una carpeta comprimida que contiene el oficio y las documentales remitidos en respuesta, así como un documento en formato Excel en el que se observa el techo presupuestal asignado a la séptima, octava y novena regiduría; así como los recibos de nómina de los regidores correspondientes a la segunda quincena de enero de dos mil veintidós; documentos que por encontrarse contenidos en la misma carpeta no fue procedente notificar al </w:t>
      </w:r>
      <w:r>
        <w:rPr>
          <w:rFonts w:ascii="Palatino Linotype" w:eastAsia="Palatino Linotype" w:hAnsi="Palatino Linotype" w:cs="Palatino Linotype"/>
          <w:b/>
          <w:color w:val="000000"/>
        </w:rPr>
        <w:lastRenderedPageBreak/>
        <w:t xml:space="preserve">RECURRENTE, </w:t>
      </w:r>
      <w:r>
        <w:rPr>
          <w:rFonts w:ascii="Palatino Linotype" w:eastAsia="Palatino Linotype" w:hAnsi="Palatino Linotype" w:cs="Palatino Linotype"/>
          <w:color w:val="000000"/>
        </w:rPr>
        <w:t xml:space="preserve">por </w:t>
      </w:r>
      <w:r>
        <w:rPr>
          <w:rFonts w:ascii="Palatino Linotype" w:eastAsia="Palatino Linotype" w:hAnsi="Palatino Linotype" w:cs="Palatino Linotype"/>
        </w:rPr>
        <w:t>observarse</w:t>
      </w:r>
      <w:r>
        <w:rPr>
          <w:rFonts w:ascii="Palatino Linotype" w:eastAsia="Palatino Linotype" w:hAnsi="Palatino Linotype" w:cs="Palatino Linotype"/>
          <w:color w:val="000000"/>
        </w:rPr>
        <w:t xml:space="preserve"> visible el código bidimensional QR en los recibos de nómina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entregó en respuesta. </w:t>
      </w:r>
    </w:p>
    <w:p w14:paraId="2CAFB064" w14:textId="77777777" w:rsidR="00DE18AA" w:rsidRDefault="00DE18AA">
      <w:pPr>
        <w:spacing w:line="360" w:lineRule="auto"/>
        <w:jc w:val="both"/>
        <w:rPr>
          <w:rFonts w:ascii="Palatino Linotype" w:eastAsia="Palatino Linotype" w:hAnsi="Palatino Linotype" w:cs="Palatino Linotype"/>
          <w:color w:val="000000"/>
        </w:rPr>
      </w:pPr>
    </w:p>
    <w:p w14:paraId="6B0EB9CD"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 la información relacionada con los regidores sobre la cual se inconformó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entregó los recibos de nómina de los regidores correspondientes a la segunda quincena de enero de dos mil veintidós, que para efectos de ejemplificar se inserta la siguiente captura:</w:t>
      </w:r>
    </w:p>
    <w:p w14:paraId="2EFAE6A2" w14:textId="77777777" w:rsidR="00DE18AA" w:rsidRDefault="00DE18AA">
      <w:pPr>
        <w:spacing w:line="360" w:lineRule="auto"/>
        <w:jc w:val="both"/>
        <w:rPr>
          <w:rFonts w:ascii="Palatino Linotype" w:eastAsia="Palatino Linotype" w:hAnsi="Palatino Linotype" w:cs="Palatino Linotype"/>
        </w:rPr>
      </w:pPr>
    </w:p>
    <w:p w14:paraId="6A6EA3C0"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091031C3" wp14:editId="4D51AC81">
            <wp:extent cx="5612130" cy="4810125"/>
            <wp:effectExtent l="12700" t="12700" r="12700" b="1270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4810125"/>
                    </a:xfrm>
                    <a:prstGeom prst="rect">
                      <a:avLst/>
                    </a:prstGeom>
                    <a:ln w="12700">
                      <a:solidFill>
                        <a:srgbClr val="000000"/>
                      </a:solidFill>
                      <a:prstDash val="solid"/>
                    </a:ln>
                  </pic:spPr>
                </pic:pic>
              </a:graphicData>
            </a:graphic>
          </wp:inline>
        </w:drawing>
      </w:r>
      <w:r>
        <w:rPr>
          <w:rFonts w:ascii="Palatino Linotype" w:eastAsia="Palatino Linotype" w:hAnsi="Palatino Linotype" w:cs="Palatino Linotype"/>
        </w:rPr>
        <w:t xml:space="preserve">  </w:t>
      </w:r>
      <w:r>
        <w:rPr>
          <w:noProof/>
          <w:lang w:val="es-MX"/>
        </w:rPr>
        <mc:AlternateContent>
          <mc:Choice Requires="wpg">
            <w:drawing>
              <wp:anchor distT="0" distB="0" distL="114300" distR="114300" simplePos="0" relativeHeight="251658240" behindDoc="0" locked="0" layoutInCell="1" hidden="0" allowOverlap="1" wp14:anchorId="5153A036" wp14:editId="10361F2C">
                <wp:simplePos x="0" y="0"/>
                <wp:positionH relativeFrom="column">
                  <wp:posOffset>4076700</wp:posOffset>
                </wp:positionH>
                <wp:positionV relativeFrom="paragraph">
                  <wp:posOffset>825500</wp:posOffset>
                </wp:positionV>
                <wp:extent cx="1352550" cy="276225"/>
                <wp:effectExtent l="0" t="0" r="0" b="0"/>
                <wp:wrapNone/>
                <wp:docPr id="24" name="Rectángulo 24"/>
                <wp:cNvGraphicFramePr/>
                <a:graphic xmlns:a="http://schemas.openxmlformats.org/drawingml/2006/main">
                  <a:graphicData uri="http://schemas.microsoft.com/office/word/2010/wordprocessingShape">
                    <wps:wsp>
                      <wps:cNvSpPr/>
                      <wps:spPr>
                        <a:xfrm>
                          <a:off x="4684013" y="3656175"/>
                          <a:ext cx="1323975" cy="247650"/>
                        </a:xfrm>
                        <a:prstGeom prst="rect">
                          <a:avLst/>
                        </a:prstGeom>
                        <a:noFill/>
                        <a:ln w="28575" cap="flat" cmpd="sng">
                          <a:solidFill>
                            <a:srgbClr val="FF0000"/>
                          </a:solidFill>
                          <a:prstDash val="solid"/>
                          <a:round/>
                          <a:headEnd type="none" w="sm" len="sm"/>
                          <a:tailEnd type="none" w="sm" len="sm"/>
                        </a:ln>
                      </wps:spPr>
                      <wps:txbx>
                        <w:txbxContent>
                          <w:p w14:paraId="022903A0" w14:textId="77777777" w:rsidR="00DE18AA" w:rsidRDefault="00DE18A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4076700</wp:posOffset>
                </wp:positionH>
                <wp:positionV relativeFrom="paragraph">
                  <wp:posOffset>825500</wp:posOffset>
                </wp:positionV>
                <wp:extent cx="1352550" cy="276225"/>
                <wp:effectExtent b="0" l="0" r="0" t="0"/>
                <wp:wrapNone/>
                <wp:docPr id="2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52550" cy="2762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59264" behindDoc="0" locked="0" layoutInCell="1" hidden="0" allowOverlap="1" wp14:anchorId="07568F83" wp14:editId="1ECC54BB">
                <wp:simplePos x="0" y="0"/>
                <wp:positionH relativeFrom="column">
                  <wp:posOffset>76201</wp:posOffset>
                </wp:positionH>
                <wp:positionV relativeFrom="paragraph">
                  <wp:posOffset>1422400</wp:posOffset>
                </wp:positionV>
                <wp:extent cx="5562600" cy="1676400"/>
                <wp:effectExtent l="0" t="0" r="0" b="0"/>
                <wp:wrapNone/>
                <wp:docPr id="25" name="Rectángulo 25"/>
                <wp:cNvGraphicFramePr/>
                <a:graphic xmlns:a="http://schemas.openxmlformats.org/drawingml/2006/main">
                  <a:graphicData uri="http://schemas.microsoft.com/office/word/2010/wordprocessingShape">
                    <wps:wsp>
                      <wps:cNvSpPr/>
                      <wps:spPr>
                        <a:xfrm>
                          <a:off x="2578988" y="2956088"/>
                          <a:ext cx="5534025" cy="1647825"/>
                        </a:xfrm>
                        <a:prstGeom prst="rect">
                          <a:avLst/>
                        </a:prstGeom>
                        <a:noFill/>
                        <a:ln w="28575" cap="flat" cmpd="sng">
                          <a:solidFill>
                            <a:srgbClr val="FF0000"/>
                          </a:solidFill>
                          <a:prstDash val="solid"/>
                          <a:round/>
                          <a:headEnd type="none" w="sm" len="sm"/>
                          <a:tailEnd type="none" w="sm" len="sm"/>
                        </a:ln>
                      </wps:spPr>
                      <wps:txbx>
                        <w:txbxContent>
                          <w:p w14:paraId="213E4639" w14:textId="77777777" w:rsidR="00DE18AA" w:rsidRDefault="00DE18A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1422400</wp:posOffset>
                </wp:positionV>
                <wp:extent cx="5562600" cy="1676400"/>
                <wp:effectExtent b="0" l="0" r="0" t="0"/>
                <wp:wrapNone/>
                <wp:docPr id="2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562600" cy="1676400"/>
                        </a:xfrm>
                        <a:prstGeom prst="rect"/>
                        <a:ln/>
                      </pic:spPr>
                    </pic:pic>
                  </a:graphicData>
                </a:graphic>
              </wp:anchor>
            </w:drawing>
          </mc:Fallback>
        </mc:AlternateContent>
      </w:r>
    </w:p>
    <w:p w14:paraId="318CE0DB" w14:textId="77777777" w:rsidR="00DE18AA" w:rsidRDefault="00DE18AA">
      <w:pPr>
        <w:spacing w:line="360" w:lineRule="auto"/>
        <w:jc w:val="both"/>
        <w:rPr>
          <w:rFonts w:ascii="Palatino Linotype" w:eastAsia="Palatino Linotype" w:hAnsi="Palatino Linotype" w:cs="Palatino Linotype"/>
          <w:color w:val="000000"/>
        </w:rPr>
      </w:pPr>
    </w:p>
    <w:p w14:paraId="049AFED0" w14:textId="77777777" w:rsidR="00DE18AA" w:rsidRDefault="005A0962">
      <w:pPr>
        <w:pBdr>
          <w:top w:val="nil"/>
          <w:left w:val="nil"/>
          <w:bottom w:val="nil"/>
          <w:right w:val="nil"/>
          <w:between w:val="nil"/>
        </w:pBd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entonces que</w:t>
      </w:r>
      <w:r w:rsidR="0003176D">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en los documentos enviados se puede apreciar el nombre del servidor público, salario</w:t>
      </w:r>
      <w:r w:rsidR="0003176D">
        <w:rPr>
          <w:rFonts w:ascii="Palatino Linotype" w:eastAsia="Palatino Linotype" w:hAnsi="Palatino Linotype" w:cs="Palatino Linotype"/>
          <w:color w:val="000000"/>
        </w:rPr>
        <w:t xml:space="preserve"> y</w:t>
      </w:r>
      <w:r>
        <w:rPr>
          <w:rFonts w:ascii="Palatino Linotype" w:eastAsia="Palatino Linotype" w:hAnsi="Palatino Linotype" w:cs="Palatino Linotype"/>
          <w:color w:val="000000"/>
        </w:rPr>
        <w:t xml:space="preserve"> puesto o categoría, sin embargo es importante referir que en los recibos de nómina el </w:t>
      </w:r>
      <w:r w:rsidRPr="0003176D">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testó o suprimió folio fiscal, el número de serie del certificado del CSD, el lugar y fecha de emisión, así como sello digital del contribuyente emisor, el sello del SAT y la cadena original del complemento de certificación digital del SAT, datos que no actualizan el supuesto de confidencialidad.</w:t>
      </w:r>
    </w:p>
    <w:p w14:paraId="492E2F74" w14:textId="77777777" w:rsidR="00DE18AA" w:rsidRDefault="005A096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es importante precisar que a pesar de que los Comprobantes Fiscales Digitales por Internet remitidos, son las documentales idóneas para atender el requerimiento del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relativo al nombre, cargo o puesto y salario de los regidores, del estudio efectuado se concluyó que estos no se remitieron en una correcta versión pública, </w:t>
      </w:r>
      <w:r w:rsidR="0003176D">
        <w:rPr>
          <w:rFonts w:ascii="Palatino Linotype" w:eastAsia="Palatino Linotype" w:hAnsi="Palatino Linotype" w:cs="Palatino Linotype"/>
          <w:color w:val="000000"/>
        </w:rPr>
        <w:t xml:space="preserve">aunado a que el </w:t>
      </w:r>
      <w:r w:rsidR="0003176D">
        <w:rPr>
          <w:rFonts w:ascii="Palatino Linotype" w:eastAsia="Palatino Linotype" w:hAnsi="Palatino Linotype" w:cs="Palatino Linotype"/>
          <w:b/>
          <w:color w:val="000000"/>
        </w:rPr>
        <w:t xml:space="preserve">SUJETO OBLIGADO </w:t>
      </w:r>
      <w:r w:rsidR="0003176D">
        <w:rPr>
          <w:rFonts w:ascii="Palatino Linotype" w:eastAsia="Palatino Linotype" w:hAnsi="Palatino Linotype" w:cs="Palatino Linotype"/>
          <w:color w:val="000000"/>
        </w:rPr>
        <w:t xml:space="preserve">omitió enviar el Acuerdo del Comité de Transparencia que sustentará la clasificación de los datos en los documentos enviados, </w:t>
      </w:r>
      <w:r>
        <w:rPr>
          <w:rFonts w:ascii="Palatino Linotype" w:eastAsia="Palatino Linotype" w:hAnsi="Palatino Linotype" w:cs="Palatino Linotype"/>
          <w:color w:val="000000"/>
        </w:rPr>
        <w:t xml:space="preserve">por lo que para tener por satisfecho el derecho humano de acceso del particular, este Organismo Garante estima necesario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remita nuevamente el soporte documental en una correcta versión pública, en la cual se deje visible la información relativa al nombre, las percepciones y deducciones –con las excepciones que se detallaran en el considerando siguiente-, el folio fiscal, el número de serie del certificado del CSD, el lugar y fecha de emisión, así como sello digital del contribuyente emisor, el sello del SAT y la cadena original del complemento de certificación digital del SAT.</w:t>
      </w:r>
    </w:p>
    <w:p w14:paraId="0BDF5055" w14:textId="77777777" w:rsidR="00DE18AA" w:rsidRDefault="005A0962">
      <w:pPr>
        <w:spacing w:before="240" w:after="360" w:line="360" w:lineRule="auto"/>
        <w:jc w:val="both"/>
      </w:pPr>
      <w:r>
        <w:rPr>
          <w:rFonts w:ascii="Palatino Linotype" w:eastAsia="Palatino Linotype" w:hAnsi="Palatino Linotype" w:cs="Palatino Linotype"/>
          <w:color w:val="000000"/>
        </w:rPr>
        <w:lastRenderedPageBreak/>
        <w:t>A efecto de sustentar lo anterior, no obsta mencionar que la retribución que reciben los servidores públicos por el desempeño de su empleo, cargo o comisión, se considera como una obligación de transparencia de oficio, según lo establecido en la fracción VIII del artículo 92 la Ley de Transparencia y Acceso a la Información Pública del Estado de México y Municipios, a saber:</w:t>
      </w:r>
    </w:p>
    <w:p w14:paraId="11198288" w14:textId="77777777" w:rsidR="00DE18AA" w:rsidRDefault="005A0962">
      <w:pPr>
        <w:spacing w:before="120" w:after="120"/>
        <w:ind w:left="851" w:right="902"/>
        <w:jc w:val="both"/>
      </w:pPr>
      <w:r>
        <w:rPr>
          <w:rFonts w:ascii="Palatino Linotype" w:eastAsia="Palatino Linotype" w:hAnsi="Palatino Linotype" w:cs="Palatino Linotype"/>
          <w:b/>
          <w:i/>
          <w:color w:val="000000"/>
          <w:sz w:val="22"/>
          <w:szCs w:val="22"/>
        </w:rPr>
        <w:t>“Artículo 92.</w:t>
      </w:r>
      <w:r>
        <w:rPr>
          <w:rFonts w:ascii="Palatino Linotype" w:eastAsia="Palatino Linotype" w:hAnsi="Palatino Linotype" w:cs="Palatino Linotype"/>
          <w:i/>
          <w:color w:val="000000"/>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B150FC" w14:textId="77777777" w:rsidR="00DE18AA" w:rsidRDefault="005A0962">
      <w:pPr>
        <w:spacing w:before="120" w:after="120"/>
        <w:ind w:left="1134" w:right="902"/>
        <w:jc w:val="both"/>
      </w:pPr>
      <w:r>
        <w:rPr>
          <w:rFonts w:ascii="Palatino Linotype" w:eastAsia="Palatino Linotype" w:hAnsi="Palatino Linotype" w:cs="Palatino Linotype"/>
          <w:b/>
          <w:i/>
          <w:color w:val="000000"/>
          <w:sz w:val="22"/>
          <w:szCs w:val="22"/>
        </w:rPr>
        <w:t>...</w:t>
      </w:r>
    </w:p>
    <w:p w14:paraId="1F7C8228" w14:textId="77777777" w:rsidR="00DE18AA" w:rsidRDefault="005A0962">
      <w:pPr>
        <w:spacing w:before="120" w:after="120"/>
        <w:ind w:left="1134" w:right="902"/>
        <w:jc w:val="both"/>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remuneración bruta y neta de todos los servidores públicos</w:t>
      </w:r>
      <w:r>
        <w:rPr>
          <w:rFonts w:ascii="Palatino Linotype" w:eastAsia="Palatino Linotype" w:hAnsi="Palatino Linotype" w:cs="Palatino Linotype"/>
          <w:i/>
          <w:color w:val="000000"/>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0699EB43" w14:textId="77777777" w:rsidR="00DE18AA" w:rsidRDefault="005A0962">
      <w:pPr>
        <w:spacing w:before="240" w:after="240" w:line="360" w:lineRule="auto"/>
        <w:jc w:val="both"/>
      </w:pPr>
      <w:r>
        <w:rPr>
          <w:rFonts w:ascii="Palatino Linotype" w:eastAsia="Palatino Linotype" w:hAnsi="Palatino Linotype" w:cs="Palatino Linotype"/>
          <w:color w:val="000000"/>
        </w:rPr>
        <w:t>Por su parte, el penúltimo párrafo del artículo 23 de la Ley de Transparencia y Acceso a la Información Pública del Estado de México y Municipios establece la obligación de los entes públicos de hacer del conocimiento de los gobernados toda aquella información relativa a los montos y las personas a quienes entreguen, por cualquier motivo, recursos públicos, a saber:</w:t>
      </w:r>
    </w:p>
    <w:p w14:paraId="59E31BB1" w14:textId="77777777" w:rsidR="00DE18AA" w:rsidRDefault="005A0962">
      <w:pPr>
        <w:ind w:left="851" w:right="902"/>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p>
    <w:p w14:paraId="78AA3189" w14:textId="77777777" w:rsidR="00DE18AA" w:rsidRDefault="005A0962">
      <w:pPr>
        <w:ind w:left="851" w:right="902"/>
        <w:jc w:val="both"/>
      </w:pPr>
      <w:r>
        <w:rPr>
          <w:rFonts w:ascii="Palatino Linotype" w:eastAsia="Palatino Linotype" w:hAnsi="Palatino Linotype" w:cs="Palatino Linotype"/>
          <w:i/>
          <w:color w:val="000000"/>
          <w:sz w:val="22"/>
          <w:szCs w:val="22"/>
        </w:rPr>
        <w:t>(…)</w:t>
      </w:r>
    </w:p>
    <w:p w14:paraId="343B459D" w14:textId="77777777" w:rsidR="00DE18AA" w:rsidRDefault="005A0962">
      <w:pPr>
        <w:ind w:left="851" w:right="902"/>
        <w:jc w:val="both"/>
      </w:pPr>
      <w:r>
        <w:rPr>
          <w:rFonts w:ascii="Palatino Linotype" w:eastAsia="Palatino Linotype" w:hAnsi="Palatino Linotype" w:cs="Palatino Linotype"/>
          <w:b/>
          <w:i/>
          <w:color w:val="000000"/>
          <w:sz w:val="22"/>
          <w:szCs w:val="22"/>
        </w:rPr>
        <w:t>Los sujetos obligados deberán hacer pública toda aquella información relativa a los montos y las personas a quienes entreguen, por cualquier motivo, recursos públicos,</w:t>
      </w:r>
      <w:r>
        <w:rPr>
          <w:rFonts w:ascii="Palatino Linotype" w:eastAsia="Palatino Linotype" w:hAnsi="Palatino Linotype" w:cs="Palatino Linotype"/>
          <w:i/>
          <w:color w:val="000000"/>
          <w:sz w:val="22"/>
          <w:szCs w:val="22"/>
        </w:rPr>
        <w:t xml:space="preserve"> así como los informes que dichas personas les entreguen sobre el uso y destino de dichos recursos…”</w:t>
      </w:r>
    </w:p>
    <w:p w14:paraId="60EA60CA" w14:textId="77777777" w:rsidR="00DE18AA" w:rsidRDefault="005A0962">
      <w:pPr>
        <w:spacing w:before="240" w:after="3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Lo anterior es así en virtud de que el pago de las retribuciones que percibe cualquier servidor público por el desempeño de sus funciones implica necesariamente la entrega de recursos públicos que se erogan del presupuesto de egresos de las entidades públicas, por tanto su publicidad contribuye a la rendición de cuentas. </w:t>
      </w:r>
    </w:p>
    <w:p w14:paraId="1A900D89" w14:textId="77777777" w:rsidR="00DE18AA" w:rsidRDefault="005A0962">
      <w:pPr>
        <w:spacing w:before="240" w:after="240" w:line="360" w:lineRule="auto"/>
        <w:jc w:val="both"/>
      </w:pPr>
      <w:r>
        <w:rPr>
          <w:rFonts w:ascii="Palatino Linotype" w:eastAsia="Palatino Linotype" w:hAnsi="Palatino Linotype" w:cs="Palatino Linotype"/>
          <w:color w:val="000000"/>
        </w:rPr>
        <w:t xml:space="preserve">Respecto del número de serie del certificado del CSD, el folio fiscal, el número de serie del certificado del SAT, el sello digital del CFDI, el sello del SAT y la cadena original del complemento de certificación digital del SAT, es importante señalar que dichos datos no debieron clasificarse como confidenciales, lo anterior es así, toda vez que no se encuentran relacionados con información de particulares, sino más bien de un ente público, en este caso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14:paraId="236406AE" w14:textId="77777777" w:rsidR="00DE18AA" w:rsidRDefault="005A0962">
      <w:pPr>
        <w:spacing w:before="240" w:after="240" w:line="360" w:lineRule="auto"/>
        <w:jc w:val="both"/>
      </w:pPr>
      <w:r>
        <w:rPr>
          <w:rFonts w:ascii="Palatino Linotype" w:eastAsia="Palatino Linotype" w:hAnsi="Palatino Linotype" w:cs="Palatino Linotype"/>
          <w:color w:val="000000"/>
        </w:rPr>
        <w:t>Se afirma lo anterior en virtud de que de conformidad con la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regla 2.7.1.7 de Resolución Miscelánea Fiscal</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para los efectos del artículo 29 segundo párrafo fracción V del Código Fiscal de la Federación, las representaciones impresas del Comprobante Fiscal Digital por Internet o CFDI,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deben cumplir con los requisitos señalados en el artículo 29-A del Código Fiscal de la Federación, y contener lo siguiente:</w:t>
      </w:r>
    </w:p>
    <w:p w14:paraId="4F6106BE"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Código de barras generado conforme a la especificación técnica que se establece en el rubro I.D del Anexo 20 o el número de folio fiscal del comprobante. </w:t>
      </w:r>
    </w:p>
    <w:p w14:paraId="584C9671"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Número de serie del CSD del emisor y del SAT</w:t>
      </w:r>
      <w:r>
        <w:rPr>
          <w:rFonts w:ascii="Palatino Linotype" w:eastAsia="Palatino Linotype" w:hAnsi="Palatino Linotype" w:cs="Palatino Linotype"/>
          <w:i/>
          <w:color w:val="000000"/>
          <w:sz w:val="22"/>
          <w:szCs w:val="22"/>
        </w:rPr>
        <w:t>, que establecen los rubros I.A y III.B del Anexo 20. </w:t>
      </w:r>
    </w:p>
    <w:p w14:paraId="0D344AB7"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La leyenda: “Este documento es una representación impresa de un CFDI”</w:t>
      </w:r>
    </w:p>
    <w:p w14:paraId="2A2303E8"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IV.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 xml:space="preserve">Fecha y hora de emisión y de certificación del CFDI </w:t>
      </w:r>
      <w:r>
        <w:rPr>
          <w:rFonts w:ascii="Palatino Linotype" w:eastAsia="Palatino Linotype" w:hAnsi="Palatino Linotype" w:cs="Palatino Linotype"/>
          <w:i/>
          <w:color w:val="000000"/>
          <w:sz w:val="22"/>
          <w:szCs w:val="22"/>
        </w:rPr>
        <w:t>en adición a lo señalado en el artículo 29- A, fracción III del CFF. </w:t>
      </w:r>
    </w:p>
    <w:p w14:paraId="1C59A251"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Cadena original del complemento de certificación digital del SAT. </w:t>
      </w:r>
    </w:p>
    <w:p w14:paraId="35B4B865"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lastRenderedPageBreak/>
        <w:t>VI</w:t>
      </w:r>
      <w:r>
        <w:rPr>
          <w:rFonts w:ascii="Palatino Linotype" w:eastAsia="Palatino Linotype" w:hAnsi="Palatino Linotype" w:cs="Palatino Linotype"/>
          <w:i/>
          <w:color w:val="000000"/>
          <w:sz w:val="22"/>
          <w:szCs w:val="22"/>
        </w:rPr>
        <w:t>. Tratándose de las representaciones impresas del CFDI que amparen retenciones e información de pagos emitidos conforme a lo dispuesto en la regla 2.7.5.4., adicional a lo anteriormente señalado deberán incluir: </w:t>
      </w:r>
    </w:p>
    <w:p w14:paraId="7112D2A8" w14:textId="77777777" w:rsidR="00DE18AA" w:rsidRDefault="005A0962">
      <w:pPr>
        <w:spacing w:before="120" w:after="120"/>
        <w:ind w:left="993" w:right="900"/>
        <w:jc w:val="both"/>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Los datos que establece el Anexo 20, apartado II.A., así como los correspondientes a los complementos que incorpore.</w:t>
      </w:r>
    </w:p>
    <w:p w14:paraId="7A285A4F" w14:textId="77777777" w:rsidR="00DE18AA" w:rsidRDefault="005A0962">
      <w:pPr>
        <w:spacing w:before="120" w:after="120"/>
        <w:ind w:left="993" w:right="900"/>
        <w:jc w:val="both"/>
      </w:pPr>
      <w:r>
        <w:rPr>
          <w:rFonts w:ascii="Palatino Linotype" w:eastAsia="Palatino Linotype" w:hAnsi="Palatino Linotype" w:cs="Palatino Linotype"/>
          <w:b/>
          <w:i/>
          <w:color w:val="000000"/>
          <w:sz w:val="22"/>
          <w:szCs w:val="22"/>
        </w:rPr>
        <w:t>b)</w:t>
      </w:r>
      <w:r>
        <w:rPr>
          <w:rFonts w:ascii="Palatino Linotype" w:eastAsia="Palatino Linotype" w:hAnsi="Palatino Linotype" w:cs="Palatino Linotype"/>
          <w:i/>
          <w:color w:val="000000"/>
          <w:sz w:val="22"/>
          <w:szCs w:val="22"/>
        </w:rPr>
        <w:t xml:space="preserve"> El código de barras generado conforme a la especificación técnica establecida en el Anexo 20, rubro II.D. </w:t>
      </w:r>
    </w:p>
    <w:p w14:paraId="791D7C76"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VII.</w:t>
      </w:r>
      <w:r>
        <w:rPr>
          <w:rFonts w:ascii="Palatino Linotype" w:eastAsia="Palatino Linotype" w:hAnsi="Palatino Linotype" w:cs="Palatino Linotype"/>
          <w:i/>
          <w:color w:val="000000"/>
          <w:sz w:val="22"/>
          <w:szCs w:val="22"/>
        </w:rPr>
        <w:t xml:space="preserve"> Tratándose de las representaciones impresas de un CFDI emitidas conforme a lo dispuesto en la regla 2.7.2.14., y la Sección 2.7.3., se deberá estar a lo siguiente: </w:t>
      </w:r>
    </w:p>
    <w:p w14:paraId="7B3CAD21" w14:textId="77777777" w:rsidR="00DE18AA" w:rsidRDefault="005A0962">
      <w:pPr>
        <w:spacing w:before="120" w:after="120"/>
        <w:ind w:left="993" w:right="900"/>
        <w:jc w:val="both"/>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Espacio para registrar la firma autógrafa de la persona que emite el CFDI. </w:t>
      </w:r>
    </w:p>
    <w:p w14:paraId="61CACB57" w14:textId="77777777" w:rsidR="00DE18AA" w:rsidRDefault="005A0962">
      <w:pPr>
        <w:spacing w:before="120" w:after="120"/>
        <w:ind w:left="993" w:right="900"/>
        <w:jc w:val="both"/>
      </w:pPr>
      <w:r>
        <w:rPr>
          <w:rFonts w:ascii="Palatino Linotype" w:eastAsia="Palatino Linotype" w:hAnsi="Palatino Linotype" w:cs="Palatino Linotype"/>
          <w:b/>
          <w:i/>
          <w:color w:val="000000"/>
          <w:sz w:val="22"/>
          <w:szCs w:val="22"/>
        </w:rPr>
        <w:t>b)</w:t>
      </w:r>
      <w:r>
        <w:rPr>
          <w:rFonts w:ascii="Palatino Linotype" w:eastAsia="Palatino Linotype" w:hAnsi="Palatino Linotype" w:cs="Palatino Linotype"/>
          <w:i/>
          <w:color w:val="000000"/>
          <w:sz w:val="22"/>
          <w:szCs w:val="22"/>
        </w:rPr>
        <w:t xml:space="preserve"> Respecto a lo señalado en la fracción II de esta regla, se incluirá el número de serie de CESD del proveedor de certificación de CFDI o del SAT según corresponda en sustitución del número de CSD del emisor. </w:t>
      </w:r>
    </w:p>
    <w:p w14:paraId="3BE7A84A" w14:textId="77777777" w:rsidR="00DE18AA" w:rsidRDefault="005A0962">
      <w:pPr>
        <w:spacing w:before="120" w:after="120"/>
        <w:ind w:left="851" w:right="900"/>
        <w:jc w:val="both"/>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xml:space="preserve">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412FF700" w14:textId="77777777" w:rsidR="00DE18AA" w:rsidRDefault="005A0962">
      <w:pPr>
        <w:spacing w:before="120" w:after="120"/>
        <w:ind w:left="851" w:right="900"/>
        <w:jc w:val="both"/>
      </w:pPr>
      <w:r>
        <w:rPr>
          <w:rFonts w:ascii="Palatino Linotype" w:eastAsia="Palatino Linotype" w:hAnsi="Palatino Linotype" w:cs="Palatino Linotype"/>
          <w:i/>
          <w:color w:val="000000"/>
          <w:sz w:val="22"/>
          <w:szCs w:val="22"/>
        </w:rPr>
        <w:t>El archivo electrónico que en su caso genere la representación impresa deberá estar en formato electrónico PDF o algún otro similar que permita su impresión. </w:t>
      </w:r>
    </w:p>
    <w:p w14:paraId="682385DA" w14:textId="77777777" w:rsidR="00DE18AA" w:rsidRDefault="005A0962">
      <w:pPr>
        <w:spacing w:before="120" w:after="120"/>
        <w:ind w:left="851" w:right="900"/>
        <w:jc w:val="both"/>
      </w:pPr>
      <w:r>
        <w:rPr>
          <w:rFonts w:ascii="Palatino Linotype" w:eastAsia="Palatino Linotype" w:hAnsi="Palatino Linotype" w:cs="Palatino Linotype"/>
          <w:i/>
          <w:color w:val="000000"/>
          <w:sz w:val="22"/>
          <w:szCs w:val="22"/>
        </w:rPr>
        <w:t>Lo establecido en esta regla no será aplicable a la representación impresa del CFDI que se expida a través de “Mis cuentas”.</w:t>
      </w:r>
    </w:p>
    <w:p w14:paraId="35D2E7A5" w14:textId="77777777" w:rsidR="00DE18AA" w:rsidRDefault="005A0962">
      <w:pPr>
        <w:spacing w:before="240" w:after="240" w:line="360" w:lineRule="auto"/>
        <w:jc w:val="both"/>
      </w:pPr>
      <w:r>
        <w:rPr>
          <w:rFonts w:ascii="Palatino Linotype" w:eastAsia="Palatino Linotype" w:hAnsi="Palatino Linotype" w:cs="Palatino Linotype"/>
          <w:color w:val="000000"/>
        </w:rPr>
        <w:t>Asimismo, de conformidad con el Anexo 20 de la Tercera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770D6A8C" w14:textId="77777777" w:rsidR="00DE18AA" w:rsidRDefault="005A0962">
      <w:pPr>
        <w:spacing w:before="240" w:after="240" w:line="360" w:lineRule="auto"/>
        <w:jc w:val="both"/>
      </w:pPr>
      <w:r>
        <w:rPr>
          <w:rFonts w:ascii="Palatino Linotype" w:eastAsia="Palatino Linotype" w:hAnsi="Palatino Linotype" w:cs="Palatino Linotype"/>
          <w:color w:val="000000"/>
        </w:rPr>
        <w:t xml:space="preserve">Para la generación de sellos digitales se utiliza criptografía de clave pública aplicada a una cadena original, que se basa en la generación de una pareja de números muy </w:t>
      </w:r>
      <w:r>
        <w:rPr>
          <w:rFonts w:ascii="Palatino Linotype" w:eastAsia="Palatino Linotype" w:hAnsi="Palatino Linotype" w:cs="Palatino Linotype"/>
          <w:color w:val="000000"/>
        </w:rPr>
        <w:lastRenderedPageBreak/>
        <w:t>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14:paraId="58BD733F" w14:textId="77777777" w:rsidR="00DE18AA" w:rsidRDefault="005A0962">
      <w:pPr>
        <w:spacing w:before="240" w:after="240" w:line="360" w:lineRule="auto"/>
        <w:jc w:val="both"/>
      </w:pPr>
      <w:r>
        <w:rPr>
          <w:rFonts w:ascii="Palatino Linotype" w:eastAsia="Palatino Linotype" w:hAnsi="Palatino Linotype" w:cs="Palatino Linotype"/>
          <w:color w:val="000000"/>
        </w:rPr>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 para sellos digitales" en adelante Certificado.</w:t>
      </w:r>
    </w:p>
    <w:p w14:paraId="76FB116C" w14:textId="77777777" w:rsidR="00DE18AA" w:rsidRDefault="005A0962">
      <w:pPr>
        <w:spacing w:before="240" w:after="240" w:line="360" w:lineRule="auto"/>
        <w:jc w:val="both"/>
      </w:pPr>
      <w:r>
        <w:rPr>
          <w:rFonts w:ascii="Palatino Linotype" w:eastAsia="Palatino Linotype" w:hAnsi="Palatino Linotype" w:cs="Palatino Linotype"/>
          <w:color w:val="000000"/>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18D85EC3" w14:textId="77777777" w:rsidR="00DE18AA" w:rsidRDefault="005A0962">
      <w:pPr>
        <w:numPr>
          <w:ilvl w:val="0"/>
          <w:numId w:val="5"/>
        </w:numPr>
        <w:spacing w:before="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integridad (facilidad para detectar si un mensaje firmado ha sido alterado),</w:t>
      </w:r>
    </w:p>
    <w:p w14:paraId="3FB82280" w14:textId="77777777" w:rsidR="00DE18AA" w:rsidRDefault="005A0962">
      <w:pPr>
        <w:numPr>
          <w:ilvl w:val="0"/>
          <w:numId w:val="5"/>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autenticidad,</w:t>
      </w:r>
    </w:p>
    <w:p w14:paraId="1610632B" w14:textId="77777777" w:rsidR="00DE18AA" w:rsidRDefault="005A0962">
      <w:pPr>
        <w:numPr>
          <w:ilvl w:val="0"/>
          <w:numId w:val="5"/>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Certidumbre de origen (facilidad para determinar qué persona es el autor de la firma que valida el contenido del mensaje) y</w:t>
      </w:r>
    </w:p>
    <w:p w14:paraId="0DB913DC" w14:textId="77777777" w:rsidR="00DE18AA" w:rsidRDefault="005A0962">
      <w:pPr>
        <w:numPr>
          <w:ilvl w:val="0"/>
          <w:numId w:val="5"/>
        </w:numPr>
        <w:spacing w:after="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No repudiación del mensaje firmado (capacidad de impedir que el autor de la firma niegue haber firmado el mensaje).</w:t>
      </w:r>
    </w:p>
    <w:p w14:paraId="103B8AFC" w14:textId="77777777" w:rsidR="00DE18AA" w:rsidRDefault="005A0962">
      <w:pPr>
        <w:spacing w:before="240" w:after="240" w:line="360" w:lineRule="auto"/>
        <w:jc w:val="both"/>
      </w:pPr>
      <w:r>
        <w:rPr>
          <w:rFonts w:ascii="Palatino Linotype" w:eastAsia="Palatino Linotype" w:hAnsi="Palatino Linotype" w:cs="Palatino Linotype"/>
          <w:color w:val="000000"/>
        </w:rPr>
        <w:t>Estos servicios de seguridad proporcionan las siguientes características a un mensaje con firma electrónica avanzada:</w:t>
      </w:r>
    </w:p>
    <w:p w14:paraId="574F9187" w14:textId="77777777" w:rsidR="00DE18AA" w:rsidRDefault="005A0962">
      <w:pPr>
        <w:numPr>
          <w:ilvl w:val="0"/>
          <w:numId w:val="4"/>
        </w:numPr>
        <w:spacing w:before="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infalsificable.</w:t>
      </w:r>
    </w:p>
    <w:p w14:paraId="228ED9C9" w14:textId="77777777" w:rsidR="00DE18AA" w:rsidRDefault="005A0962">
      <w:pPr>
        <w:numPr>
          <w:ilvl w:val="0"/>
          <w:numId w:val="4"/>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firma electrónica avanzada no es reciclable (es única por mensaje).</w:t>
      </w:r>
    </w:p>
    <w:p w14:paraId="5D45C384" w14:textId="77777777" w:rsidR="00DE18AA" w:rsidRDefault="005A0962">
      <w:pPr>
        <w:numPr>
          <w:ilvl w:val="0"/>
          <w:numId w:val="4"/>
        </w:numPr>
        <w:spacing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alterado, es detectable.</w:t>
      </w:r>
    </w:p>
    <w:p w14:paraId="586A9471" w14:textId="77777777" w:rsidR="00DE18AA" w:rsidRDefault="005A0962">
      <w:pPr>
        <w:numPr>
          <w:ilvl w:val="0"/>
          <w:numId w:val="4"/>
        </w:numPr>
        <w:spacing w:after="240" w:line="360" w:lineRule="auto"/>
        <w:ind w:left="92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 mensaje con firma electrónica avanzada, no puede ser repudiado.</w:t>
      </w:r>
    </w:p>
    <w:p w14:paraId="0BCD85B3" w14:textId="77777777" w:rsidR="00DE18AA" w:rsidRDefault="005A0962">
      <w:pPr>
        <w:spacing w:before="240" w:after="240" w:line="360" w:lineRule="auto"/>
        <w:jc w:val="both"/>
      </w:pPr>
      <w:r>
        <w:rPr>
          <w:rFonts w:ascii="Palatino Linotype" w:eastAsia="Palatino Linotype" w:hAnsi="Palatino Linotype" w:cs="Palatino Linotype"/>
          <w:color w:val="000000"/>
        </w:rPr>
        <w:t>Los certificados de sello digital se generan de manera idéntica a los certificados de e.firma y al igual que las firmas electrónicas avanzadas el propósito del sello digital es emitir comprobantes fiscales con autenticidad, integridad, verificables y no repudiables por el emisor. Para ello basta tener acceso al mensaje original o cadena original, al sello digital y al certificado de sello digital del emisor.</w:t>
      </w:r>
    </w:p>
    <w:p w14:paraId="668EE4EA" w14:textId="77777777" w:rsidR="00DE18AA" w:rsidRDefault="005A0962">
      <w:pPr>
        <w:spacing w:before="240" w:after="240" w:line="360" w:lineRule="auto"/>
        <w:jc w:val="both"/>
      </w:pPr>
      <w:r>
        <w:rPr>
          <w:rFonts w:ascii="Palatino Linotype" w:eastAsia="Palatino Linotype" w:hAnsi="Palatino Linotype" w:cs="Palatino Linotype"/>
          <w:color w:val="000000"/>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w:t>
      </w:r>
      <w:r>
        <w:rPr>
          <w:rFonts w:ascii="Palatino Linotype" w:eastAsia="Palatino Linotype" w:hAnsi="Palatino Linotype" w:cs="Palatino Linotype"/>
          <w:color w:val="000000"/>
        </w:rPr>
        <w:lastRenderedPageBreak/>
        <w:t>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12F0CA64" w14:textId="77777777" w:rsidR="00DE18AA" w:rsidRDefault="005A096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en lo expuesto, se reitera que los datos señalados, no pueden ser considerados como confidenciales, en virtud de que los mismos no se encuentran relacionados con información de particulares, sino más bien de entes públicos, es decir, el Servicio de Administración Tributaria y el contribuyente, que en el caso concreto es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motivo por el cual, no es procedente la versión pública en la que estos datos se testaron.</w:t>
      </w:r>
    </w:p>
    <w:p w14:paraId="3A910897" w14:textId="77777777" w:rsidR="00DE18AA" w:rsidRDefault="005A096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se refiere a los códigos bidimensionales o códigos QR puede tratarse de información susceptible de clasificar como confidencial por  lo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observar lo dispuesto en el Considerando Quinto de la presente resolución, a fin de determinar si procede o no, en el caso particular la clasificación de dicho dato.</w:t>
      </w:r>
    </w:p>
    <w:p w14:paraId="69034D6A"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Ahora bien, por cuanto hace al grado de estudios de los regidores, es de señalar que l</w:t>
      </w:r>
      <w:r>
        <w:rPr>
          <w:rFonts w:ascii="Palatino Linotype" w:eastAsia="Palatino Linotype" w:hAnsi="Palatino Linotype" w:cs="Palatino Linotype"/>
        </w:rPr>
        <w:t>a fracción I del dispositivo 115 constitucional mandata que cada municipio será gobernado por un Ayuntamiento de elección popular directa, integrado por un Presidente o Presidenta Municipal y el número de regidurías y sindicaturas que la ley determine, de conformidad con el principio de paridad.</w:t>
      </w:r>
    </w:p>
    <w:p w14:paraId="3EBDBD11"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Correlativo a lo anterior, la Ley Orgánica Municipal del Estado de México establece que cada municipio será gobernado por un Ayuntamiento de elección popular directa y no habrá ninguna autoridad intermedia entre éste y el Gobierno del Estado </w:t>
      </w:r>
    </w:p>
    <w:p w14:paraId="100AFBB0"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Ayuntamientos se renovarán cada tres años, iniciarán su periodo el 1 de enero del año inmediato siguiente al de las elecciones municipales ordinarias y concluirán el 31 de diciembre del año de las elecciones para su renovación; y se integrarán por:</w:t>
      </w:r>
    </w:p>
    <w:p w14:paraId="10663F7F"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3D9E9339"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o</w:t>
      </w:r>
    </w:p>
    <w:p w14:paraId="0782D25E"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40CD1FC3"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miembros de un Ayuntamiento serán designados en una sola elección. Se distinguirán las regidoras y los regidores por el orden numérico y los síndicos cuando sean dos, en la misma forma. Por su parte, las regidoras y los regidores de </w:t>
      </w:r>
      <w:r>
        <w:rPr>
          <w:rFonts w:ascii="Palatino Linotype" w:eastAsia="Palatino Linotype" w:hAnsi="Palatino Linotype" w:cs="Palatino Linotype"/>
        </w:rPr>
        <w:lastRenderedPageBreak/>
        <w:t xml:space="preserve">mayoría relativa y de representación proporcional tendrán los mismos derechos y obligaciones, conforme a la ley de la materia. </w:t>
      </w:r>
    </w:p>
    <w:p w14:paraId="18485DD9"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119 de la Constitución Política del Estado Libre y Soberano del Estado de México enlista y reconoce los requisitos que deberán cubrirse para ser miembro del Ayuntamiento, a saber:</w:t>
      </w:r>
    </w:p>
    <w:p w14:paraId="2B4517CA"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119.- Para ser miembro propietario o suplente de un ayuntamiento se requiere:</w:t>
      </w:r>
    </w:p>
    <w:p w14:paraId="14AE5E94"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Ser mexicana o mexicano, ciudadana o ciudadano del Estado, en pleno ejercicio de sus derechos;</w:t>
      </w:r>
    </w:p>
    <w:p w14:paraId="006EFE1B"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Ser mexiquense con residencia efectiva en el municipio no menor a un año o vecino del mismo, con residencia efectiva en su territorio no menor a tres años, anteriores al día de la elección; y</w:t>
      </w:r>
    </w:p>
    <w:p w14:paraId="3D16F6F9"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Ser de reconocida probidad y buena fama pública.</w:t>
      </w:r>
    </w:p>
    <w:p w14:paraId="350D8BE5"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No estar condenada o condenado por sentencia ejecutoriada por el delito de violencia política contra las mujeres en razón de género;</w:t>
      </w:r>
    </w:p>
    <w:p w14:paraId="63BCA289"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No estar inscrito en el Registro de Deudores Alimentarios Morosos en el Estado, ni en otra entidad federativa, y</w:t>
      </w:r>
    </w:p>
    <w:p w14:paraId="56B45382" w14:textId="77777777" w:rsidR="00DE18AA" w:rsidRDefault="005A096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No estar condenada o condenado por sentencia ejecutoriada por delitos de violencia familiar, contra la libertad sexual o de violencia de género.”</w:t>
      </w:r>
    </w:p>
    <w:p w14:paraId="5EF49816" w14:textId="77777777" w:rsidR="00DE18AA" w:rsidRDefault="005A0962">
      <w:pPr>
        <w:widowControl w:val="0"/>
        <w:tabs>
          <w:tab w:val="left" w:pos="1701"/>
          <w:tab w:val="left" w:pos="1843"/>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rPr>
        <w:t>deberán presentarse los ciudadanos que en términos de ley resultaron electos para rendir protesta y ocupar los cargos de</w:t>
      </w:r>
      <w:r>
        <w:rPr>
          <w:rFonts w:ascii="Palatino Linotype" w:eastAsia="Palatino Linotype" w:hAnsi="Palatino Linotype" w:cs="Palatino Linotype"/>
        </w:rPr>
        <w:t xml:space="preserve"> </w:t>
      </w:r>
      <w:r>
        <w:rPr>
          <w:rFonts w:ascii="Palatino Linotype" w:eastAsia="Palatino Linotype" w:hAnsi="Palatino Linotype" w:cs="Palatino Linotype"/>
          <w:b/>
        </w:rPr>
        <w:t>presidente municipal</w:t>
      </w:r>
      <w:r>
        <w:rPr>
          <w:rFonts w:ascii="Palatino Linotype" w:eastAsia="Palatino Linotype" w:hAnsi="Palatino Linotype" w:cs="Palatino Linotype"/>
        </w:rPr>
        <w:t xml:space="preserve">, síndico o síndicos y regidores, sin que dicho plazo exceda el </w:t>
      </w:r>
      <w:r>
        <w:rPr>
          <w:rFonts w:ascii="Palatino Linotype" w:eastAsia="Palatino Linotype" w:hAnsi="Palatino Linotype" w:cs="Palatino Linotype"/>
        </w:rPr>
        <w:lastRenderedPageBreak/>
        <w:t xml:space="preserve">mes de diciembre del último año de la gestión del ayuntamiento saliente, </w:t>
      </w:r>
      <w:r>
        <w:rPr>
          <w:rFonts w:ascii="Palatino Linotype" w:eastAsia="Palatino Linotype" w:hAnsi="Palatino Linotype" w:cs="Palatino Linotype"/>
          <w:b/>
        </w:rPr>
        <w:t>dicha reunión tendrá por objeto que los miembros del ayuntamiento entrante, rindan la protesta en términos de lo dispuesto por el artículo 144</w:t>
      </w:r>
      <w:r>
        <w:rPr>
          <w:rFonts w:ascii="Palatino Linotype" w:eastAsia="Palatino Linotype" w:hAnsi="Palatino Linotype" w:cs="Palatino Linotype"/>
          <w:b/>
          <w:vertAlign w:val="superscript"/>
        </w:rPr>
        <w:footnoteReference w:id="3"/>
      </w:r>
      <w:r>
        <w:rPr>
          <w:rFonts w:ascii="Palatino Linotype" w:eastAsia="Palatino Linotype" w:hAnsi="Palatino Linotype" w:cs="Palatino Linotype"/>
          <w:b/>
        </w:rPr>
        <w:t xml:space="preserve"> de la Constitución Política del Estado Libre y Soberano de México</w:t>
      </w:r>
      <w:r>
        <w:rPr>
          <w:rFonts w:ascii="Palatino Linotype" w:eastAsia="Palatino Linotype" w:hAnsi="Palatino Linotype" w:cs="Palatino Linotype"/>
        </w:rPr>
        <w:t>, por lo que el</w:t>
      </w:r>
      <w:r>
        <w:rPr>
          <w:rFonts w:ascii="Palatino Linotype" w:eastAsia="Palatino Linotype" w:hAnsi="Palatino Linotype" w:cs="Palatino Linotype"/>
          <w:b/>
        </w:rPr>
        <w:t xml:space="preserve"> </w:t>
      </w:r>
      <w:r>
        <w:rPr>
          <w:rFonts w:ascii="Palatino Linotype" w:eastAsia="Palatino Linotype" w:hAnsi="Palatino Linotype" w:cs="Palatino Linotype"/>
        </w:rPr>
        <w:t>presidente municipal electo para el período siguiente lo hará ante el representante designado</w:t>
      </w:r>
      <w:r>
        <w:rPr>
          <w:rFonts w:ascii="Palatino Linotype" w:eastAsia="Palatino Linotype" w:hAnsi="Palatino Linotype" w:cs="Palatino Linotype"/>
          <w:b/>
        </w:rPr>
        <w:t xml:space="preserve"> </w:t>
      </w:r>
      <w:r>
        <w:rPr>
          <w:rFonts w:ascii="Palatino Linotype" w:eastAsia="Palatino Linotype" w:hAnsi="Palatino Linotype" w:cs="Palatino Linotype"/>
        </w:rPr>
        <w:t>por el Ejecutivo del Estado y a su vez, hará de inmediato lo propio con los demás miembros del</w:t>
      </w:r>
      <w:r>
        <w:rPr>
          <w:rFonts w:ascii="Palatino Linotype" w:eastAsia="Palatino Linotype" w:hAnsi="Palatino Linotype" w:cs="Palatino Linotype"/>
          <w:b/>
        </w:rPr>
        <w:t xml:space="preserve"> </w:t>
      </w:r>
      <w:r>
        <w:rPr>
          <w:rFonts w:ascii="Palatino Linotype" w:eastAsia="Palatino Linotype" w:hAnsi="Palatino Linotype" w:cs="Palatino Linotype"/>
        </w:rPr>
        <w:t>ayuntamiento electo.</w:t>
      </w:r>
    </w:p>
    <w:p w14:paraId="687B797A"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suerte que la Constitución y la Ley Orgánica Municipal consideran al Presidente Municipal y demás integrantes del Ayuntamiento como servidores que ostentan un cargo de elección popular, por lo que si bien es cierto, no existe una disposición jurídica expresa que obligue a estas autoridades a contar con la ficha curricular,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precisa y entendible en los respectivos medios electrónicos la información curricular desde el nivel de jefe de departamento o equivalente hasta el titular del Sujeto Obligado, el cual se transcribe a continuación:</w:t>
      </w:r>
    </w:p>
    <w:p w14:paraId="63F03654" w14:textId="77777777" w:rsidR="00DE18AA" w:rsidRDefault="005A0962">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11611BC5" w14:textId="77777777" w:rsidR="00DE18AA" w:rsidRDefault="005A0962">
      <w:pPr>
        <w:spacing w:before="120" w:after="120" w:line="276"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poner a disposición del público de manera permanente y actualizada de forma sencilla</w:t>
      </w:r>
      <w:r>
        <w:rPr>
          <w:rFonts w:ascii="Palatino Linotype" w:eastAsia="Palatino Linotype" w:hAnsi="Palatino Linotype" w:cs="Palatino Linotype"/>
          <w:i/>
          <w:sz w:val="22"/>
          <w:szCs w:val="22"/>
        </w:rPr>
        <w:t xml:space="preserve">, precisa y entendible, en los respectivos medios electrónicos, de acuerdo con sus facultades, atribuciones, </w:t>
      </w:r>
      <w:r>
        <w:rPr>
          <w:rFonts w:ascii="Palatino Linotype" w:eastAsia="Palatino Linotype" w:hAnsi="Palatino Linotype" w:cs="Palatino Linotype"/>
          <w:i/>
          <w:sz w:val="22"/>
          <w:szCs w:val="22"/>
        </w:rPr>
        <w:lastRenderedPageBreak/>
        <w:t xml:space="preserve">funciones u objeto social, según corresponda, </w:t>
      </w:r>
      <w:r>
        <w:rPr>
          <w:rFonts w:ascii="Palatino Linotype" w:eastAsia="Palatino Linotype" w:hAnsi="Palatino Linotype" w:cs="Palatino Linotype"/>
          <w:b/>
          <w:i/>
          <w:sz w:val="22"/>
          <w:szCs w:val="22"/>
          <w:u w:val="single"/>
        </w:rPr>
        <w:t>la información, por lo menos</w:t>
      </w:r>
      <w:r>
        <w:rPr>
          <w:rFonts w:ascii="Palatino Linotype" w:eastAsia="Palatino Linotype" w:hAnsi="Palatino Linotype" w:cs="Palatino Linotype"/>
          <w:i/>
          <w:sz w:val="22"/>
          <w:szCs w:val="22"/>
        </w:rPr>
        <w:t xml:space="preserve">, de los temas, documentos y políticas </w:t>
      </w:r>
      <w:r>
        <w:rPr>
          <w:rFonts w:ascii="Palatino Linotype" w:eastAsia="Palatino Linotype" w:hAnsi="Palatino Linotype" w:cs="Palatino Linotype"/>
          <w:b/>
          <w:i/>
          <w:sz w:val="22"/>
          <w:szCs w:val="22"/>
          <w:u w:val="single"/>
        </w:rPr>
        <w:t>que a continuación se señalan</w:t>
      </w:r>
      <w:r>
        <w:rPr>
          <w:rFonts w:ascii="Palatino Linotype" w:eastAsia="Palatino Linotype" w:hAnsi="Palatino Linotype" w:cs="Palatino Linotype"/>
          <w:i/>
          <w:sz w:val="22"/>
          <w:szCs w:val="22"/>
        </w:rPr>
        <w:t xml:space="preserve">: </w:t>
      </w:r>
    </w:p>
    <w:p w14:paraId="55731395" w14:textId="77777777" w:rsidR="00DE18AA" w:rsidRDefault="005A0962">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AC30BC1" w14:textId="77777777" w:rsidR="00DE18AA" w:rsidRDefault="005A0962">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información curricular</w:t>
      </w:r>
      <w:r>
        <w:rPr>
          <w:rFonts w:ascii="Palatino Linotype" w:eastAsia="Palatino Linotype" w:hAnsi="Palatino Linotype" w:cs="Palatino Linotype"/>
          <w:i/>
          <w:sz w:val="22"/>
          <w:szCs w:val="22"/>
        </w:rPr>
        <w:t>, desde el nivel de jefe de departamento o equivalente, hasta el titular del sujeto obligado…;”</w:t>
      </w:r>
    </w:p>
    <w:p w14:paraId="67A6AFAC" w14:textId="77777777" w:rsidR="00DE18AA" w:rsidRDefault="005A0962">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0AE3B0C" w14:textId="77777777" w:rsidR="00DE18AA" w:rsidRDefault="005A0962">
      <w:pPr>
        <w:widowControl w:val="0"/>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 lo anterior, los “</w:t>
      </w:r>
      <w:r>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Palatino Linotype" w:hAnsi="Palatino Linotype" w:cs="Palatino Linotype"/>
          <w:b/>
          <w:i/>
        </w:rPr>
        <w:t>,</w:t>
      </w:r>
      <w:r>
        <w:rPr>
          <w:rFonts w:ascii="Palatino Linotype" w:eastAsia="Palatino Linotype" w:hAnsi="Palatino Linotype" w:cs="Palatino Linotype"/>
        </w:rPr>
        <w:t xml:space="preserve"> en su Anexo I referente a las Obligaciones de Transparencia Comunes de los Sujetos 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14:paraId="371BDB81" w14:textId="77777777" w:rsidR="00DE18AA" w:rsidRDefault="005A0962">
      <w:pPr>
        <w:spacing w:after="160" w:line="259" w:lineRule="auto"/>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“Anexo I</w:t>
      </w:r>
    </w:p>
    <w:p w14:paraId="42C0BAC8" w14:textId="77777777" w:rsidR="00DE18AA" w:rsidRDefault="005A0962">
      <w:pPr>
        <w:spacing w:after="160" w:line="259" w:lineRule="auto"/>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Obligaciones de transparencia comunes</w:t>
      </w:r>
    </w:p>
    <w:p w14:paraId="76CA6491" w14:textId="77777777" w:rsidR="00DE18AA" w:rsidRDefault="005A0962">
      <w:pPr>
        <w:spacing w:after="160" w:line="259" w:lineRule="auto"/>
        <w:ind w:left="709" w:right="709"/>
        <w:jc w:val="center"/>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todos los sujetos obligados</w:t>
      </w:r>
    </w:p>
    <w:p w14:paraId="4D810DAE" w14:textId="77777777" w:rsidR="00DE18AA" w:rsidRDefault="005A0962">
      <w:pPr>
        <w:spacing w:before="240" w:after="120" w:line="259" w:lineRule="auto"/>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Criterios para las obligaciones de transparencia comunes</w:t>
      </w:r>
    </w:p>
    <w:p w14:paraId="6AF6A18D"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Pr>
          <w:rFonts w:ascii="Palatino Linotype" w:eastAsia="Palatino Linotype" w:hAnsi="Palatino Linotype" w:cs="Palatino Linotype"/>
          <w:i/>
          <w:sz w:val="22"/>
          <w:szCs w:val="22"/>
        </w:rPr>
        <w:t>.</w:t>
      </w:r>
    </w:p>
    <w:p w14:paraId="12A09A28"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apartado se detallan los criterios sustantivos y adjetivos que por cada rubro de información determinan los datos, características y forma de organización de la </w:t>
      </w:r>
      <w:r>
        <w:rPr>
          <w:rFonts w:ascii="Palatino Linotype" w:eastAsia="Palatino Linotype" w:hAnsi="Palatino Linotype" w:cs="Palatino Linotype"/>
          <w:i/>
          <w:sz w:val="22"/>
          <w:szCs w:val="22"/>
        </w:rPr>
        <w:lastRenderedPageBreak/>
        <w:t>información que publicarán y actualizarán en sus portales de Internet y en la Plataforma Nacional, los sujetos obligados determinados en el artículo 23 de la Ley General.</w:t>
      </w:r>
    </w:p>
    <w:p w14:paraId="3646B4CB" w14:textId="77777777" w:rsidR="00DE18AA" w:rsidRDefault="00DE18AA">
      <w:pPr>
        <w:spacing w:before="100" w:after="100" w:line="259" w:lineRule="auto"/>
        <w:ind w:left="709" w:right="709"/>
        <w:jc w:val="both"/>
        <w:rPr>
          <w:rFonts w:ascii="Palatino Linotype" w:eastAsia="Palatino Linotype" w:hAnsi="Palatino Linotype" w:cs="Palatino Linotype"/>
          <w:i/>
          <w:sz w:val="22"/>
          <w:szCs w:val="22"/>
        </w:rPr>
      </w:pPr>
    </w:p>
    <w:p w14:paraId="5192956E"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El artículo 70 dice a la letra</w:t>
      </w:r>
      <w:r>
        <w:rPr>
          <w:rFonts w:ascii="Palatino Linotype" w:eastAsia="Palatino Linotype" w:hAnsi="Palatino Linotype" w:cs="Palatino Linotype"/>
          <w:i/>
          <w:sz w:val="22"/>
          <w:szCs w:val="22"/>
        </w:rPr>
        <w:t>:</w:t>
      </w:r>
    </w:p>
    <w:p w14:paraId="7F7B73F3" w14:textId="77777777" w:rsidR="00DE18AA" w:rsidRDefault="005A0962">
      <w:pPr>
        <w:spacing w:before="100" w:after="100" w:line="259" w:lineRule="auto"/>
        <w:ind w:left="1416"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70. </w:t>
      </w:r>
      <w:r>
        <w:rPr>
          <w:rFonts w:ascii="Palatino Linotype" w:eastAsia="Palatino Linotype" w:hAnsi="Palatino Linotype" w:cs="Palatino Linotype"/>
          <w:b/>
          <w:i/>
          <w:sz w:val="22"/>
          <w:szCs w:val="22"/>
          <w:u w:val="single"/>
        </w:rPr>
        <w:t>En la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Federal 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de las Entidades Federativas se contemplará que los sujetos obligados pongan a disposición del público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y mantengan actualizada, en los respectivos medios electrónicos, de acuerdo con sus facultades, atribuciones, funciones u objeto social, según corresponda, </w:t>
      </w:r>
      <w:r>
        <w:rPr>
          <w:rFonts w:ascii="Palatino Linotype" w:eastAsia="Palatino Linotype" w:hAnsi="Palatino Linotype" w:cs="Palatino Linotype"/>
          <w:b/>
          <w:i/>
          <w:sz w:val="22"/>
          <w:szCs w:val="22"/>
          <w:u w:val="single"/>
        </w:rPr>
        <w:t>la información, por lo menos, de los temas, documentos y políticas que a continuación se señalan</w:t>
      </w:r>
      <w:r>
        <w:rPr>
          <w:rFonts w:ascii="Palatino Linotype" w:eastAsia="Palatino Linotype" w:hAnsi="Palatino Linotype" w:cs="Palatino Linotype"/>
          <w:i/>
          <w:sz w:val="22"/>
          <w:szCs w:val="22"/>
        </w:rPr>
        <w:t>:</w:t>
      </w:r>
    </w:p>
    <w:p w14:paraId="3E1C2D0F"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En las siguientes páginas se hace mención de cada una de las fracciones con sus respectivos criterios</w:t>
      </w:r>
      <w:r>
        <w:rPr>
          <w:rFonts w:ascii="Palatino Linotype" w:eastAsia="Palatino Linotype" w:hAnsi="Palatino Linotype" w:cs="Palatino Linotype"/>
          <w:i/>
          <w:sz w:val="22"/>
          <w:szCs w:val="22"/>
        </w:rPr>
        <w:t>.</w:t>
      </w:r>
    </w:p>
    <w:p w14:paraId="59F974FC"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209CDE6" w14:textId="77777777" w:rsidR="00DE18AA" w:rsidRDefault="005A0962">
      <w:pPr>
        <w:spacing w:before="100" w:after="100" w:line="259" w:lineRule="auto"/>
        <w:ind w:left="2127" w:right="1183" w:hanging="71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XVII.</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u w:val="single"/>
        </w:rPr>
        <w:t>La información curricular</w:t>
      </w:r>
      <w:r>
        <w:rPr>
          <w:rFonts w:ascii="Palatino Linotype" w:eastAsia="Palatino Linotype" w:hAnsi="Palatino Linotype" w:cs="Palatino Linotype"/>
          <w:i/>
          <w:sz w:val="22"/>
          <w:szCs w:val="22"/>
          <w:u w:val="single"/>
        </w:rPr>
        <w:t xml:space="preserve"> </w:t>
      </w:r>
      <w:r>
        <w:rPr>
          <w:rFonts w:ascii="Palatino Linotype" w:eastAsia="Palatino Linotype" w:hAnsi="Palatino Linotype" w:cs="Palatino Linotype"/>
          <w:b/>
          <w:i/>
          <w:sz w:val="22"/>
          <w:szCs w:val="22"/>
          <w:u w:val="single"/>
        </w:rPr>
        <w:t>desde el nivel de jefe de departamento o equivalente hasta el titular del sujeto obligado….</w:t>
      </w:r>
    </w:p>
    <w:p w14:paraId="5D2CCF0A" w14:textId="77777777" w:rsidR="00DE18AA" w:rsidRDefault="00DE18AA">
      <w:pPr>
        <w:spacing w:before="100" w:after="100" w:line="259" w:lineRule="auto"/>
        <w:ind w:left="2127" w:right="1183" w:hanging="711"/>
        <w:jc w:val="both"/>
        <w:rPr>
          <w:rFonts w:ascii="Palatino Linotype" w:eastAsia="Palatino Linotype" w:hAnsi="Palatino Linotype" w:cs="Palatino Linotype"/>
          <w:b/>
          <w:i/>
          <w:sz w:val="22"/>
          <w:szCs w:val="22"/>
        </w:rPr>
      </w:pPr>
    </w:p>
    <w:p w14:paraId="1B0F8E59"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Pr>
          <w:rFonts w:ascii="Palatino Linotype" w:eastAsia="Palatino Linotype" w:hAnsi="Palatino Linotype" w:cs="Palatino Linotype"/>
          <w:i/>
          <w:sz w:val="22"/>
          <w:szCs w:val="22"/>
        </w:rPr>
        <w:t>, es decir, los datos que permitan identificarlos y conocer su trayectoria en el ámbito laboral y escolar.</w:t>
      </w:r>
    </w:p>
    <w:p w14:paraId="3ED4AC65" w14:textId="77777777" w:rsidR="00DE18AA" w:rsidRDefault="00DE18AA">
      <w:pPr>
        <w:spacing w:before="100" w:after="100" w:line="259" w:lineRule="auto"/>
        <w:ind w:left="709" w:right="709"/>
        <w:jc w:val="both"/>
        <w:rPr>
          <w:rFonts w:ascii="Palatino Linotype" w:eastAsia="Palatino Linotype" w:hAnsi="Palatino Linotype" w:cs="Palatino Linotype"/>
          <w:i/>
          <w:sz w:val="22"/>
          <w:szCs w:val="22"/>
        </w:rPr>
      </w:pPr>
    </w:p>
    <w:p w14:paraId="7FE68424" w14:textId="77777777" w:rsidR="00DE18AA" w:rsidRDefault="005A0962">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685708" w14:textId="77777777" w:rsidR="00DE18AA" w:rsidRDefault="00DE18AA">
      <w:pPr>
        <w:spacing w:before="100" w:after="100" w:line="259" w:lineRule="auto"/>
        <w:ind w:left="709" w:right="709"/>
        <w:jc w:val="both"/>
        <w:rPr>
          <w:rFonts w:ascii="Palatino Linotype" w:eastAsia="Palatino Linotype" w:hAnsi="Palatino Linotype" w:cs="Palatino Linotype"/>
          <w:i/>
          <w:sz w:val="22"/>
          <w:szCs w:val="22"/>
        </w:rPr>
      </w:pPr>
    </w:p>
    <w:p w14:paraId="42DFB4C8" w14:textId="77777777" w:rsidR="00DE18AA" w:rsidRDefault="005A0962">
      <w:pPr>
        <w:spacing w:before="100" w:after="100"/>
        <w:ind w:left="709"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Criterios sustantivos de contenido</w:t>
      </w:r>
    </w:p>
    <w:p w14:paraId="1B27458F" w14:textId="77777777" w:rsidR="00DE18AA" w:rsidRDefault="005A0962">
      <w:pPr>
        <w:spacing w:before="100" w:after="100" w:line="259" w:lineRule="auto"/>
        <w:ind w:left="1276"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CA43DD0" w14:textId="77777777" w:rsidR="00DE18AA" w:rsidRDefault="005A0962">
      <w:pPr>
        <w:spacing w:before="100" w:after="100" w:line="259" w:lineRule="auto"/>
        <w:ind w:left="2410" w:right="902" w:hanging="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Criterio 2</w:t>
      </w:r>
      <w:r>
        <w:rPr>
          <w:rFonts w:ascii="Palatino Linotype" w:eastAsia="Palatino Linotype" w:hAnsi="Palatino Linotype" w:cs="Palatino Linotype"/>
          <w:i/>
          <w:sz w:val="22"/>
          <w:szCs w:val="22"/>
        </w:rPr>
        <w:tab/>
        <w:t>Denominación del cargo, empleo, comisión o nombramiento otorgado</w:t>
      </w:r>
    </w:p>
    <w:p w14:paraId="53E43D9C" w14:textId="77777777" w:rsidR="00DE18AA" w:rsidRDefault="005A0962">
      <w:pPr>
        <w:spacing w:before="100" w:after="100" w:line="259" w:lineRule="auto"/>
        <w:ind w:left="2410" w:right="902" w:hanging="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3 </w:t>
      </w:r>
      <w:r>
        <w:rPr>
          <w:rFonts w:ascii="Palatino Linotype" w:eastAsia="Palatino Linotype" w:hAnsi="Palatino Linotype" w:cs="Palatino Linotype"/>
          <w:i/>
          <w:sz w:val="22"/>
          <w:szCs w:val="22"/>
        </w:rPr>
        <w:tab/>
        <w:t xml:space="preserve">Nombre(s), primer apellido y segundo apellido del (la) persona y/o servidor(a) público(a) </w:t>
      </w:r>
    </w:p>
    <w:p w14:paraId="761C7CD5" w14:textId="77777777" w:rsidR="00DE18AA" w:rsidRDefault="005A0962">
      <w:pPr>
        <w:spacing w:before="100" w:after="100" w:line="259" w:lineRule="auto"/>
        <w:ind w:left="1276"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3DEDFE8D" w14:textId="77777777" w:rsidR="00DE18AA" w:rsidRDefault="005A0962">
      <w:pPr>
        <w:spacing w:before="100" w:after="100" w:line="259" w:lineRule="auto"/>
        <w:ind w:left="1276"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Información curricular del (la) servidor(a) público(a)) y/o persona que desempeñe un empleo, cargo o comisión en el sujeto obligado el cual deberá especificar lo siguiente</w:t>
      </w:r>
      <w:r>
        <w:rPr>
          <w:rFonts w:ascii="Palatino Linotype" w:eastAsia="Palatino Linotype" w:hAnsi="Palatino Linotype" w:cs="Palatino Linotype"/>
          <w:i/>
          <w:sz w:val="22"/>
          <w:szCs w:val="22"/>
        </w:rPr>
        <w:t>:</w:t>
      </w:r>
    </w:p>
    <w:p w14:paraId="6E4B34C5" w14:textId="77777777" w:rsidR="00DE18AA" w:rsidRDefault="005A0962">
      <w:pPr>
        <w:spacing w:before="100" w:after="100" w:line="259" w:lineRule="auto"/>
        <w:ind w:left="2410" w:right="902" w:hanging="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Criterio 5</w:t>
      </w:r>
      <w:r>
        <w:rPr>
          <w:rFonts w:ascii="Palatino Linotype" w:eastAsia="Palatino Linotype" w:hAnsi="Palatino Linotype" w:cs="Palatino Linotype"/>
          <w:b/>
          <w:i/>
          <w:sz w:val="22"/>
          <w:szCs w:val="22"/>
        </w:rPr>
        <w:tab/>
        <w:t>Escolaridad:</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Nivel máximo de estudios</w:t>
      </w:r>
      <w:r>
        <w:rPr>
          <w:rFonts w:ascii="Palatino Linotype" w:eastAsia="Palatino Linotype" w:hAnsi="Palatino Linotype" w:cs="Palatino Linotype"/>
          <w:i/>
          <w:sz w:val="22"/>
          <w:szCs w:val="22"/>
        </w:rPr>
        <w:t xml:space="preserve"> (ninguno, primaria, secundaria, bachillerato, técnica, licenciatura, maestría, doctorado, posdoctorado)</w:t>
      </w:r>
    </w:p>
    <w:p w14:paraId="563469B1" w14:textId="77777777" w:rsidR="00DE18AA" w:rsidRDefault="005A0962">
      <w:pPr>
        <w:tabs>
          <w:tab w:val="left" w:pos="2093"/>
        </w:tabs>
        <w:spacing w:before="100" w:after="100" w:line="259" w:lineRule="auto"/>
        <w:ind w:left="2410" w:right="902" w:hanging="1134"/>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C79C85" w14:textId="77777777" w:rsidR="00DE18AA" w:rsidRDefault="005A0962">
      <w:pPr>
        <w:spacing w:before="360"/>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Formato 17 LGT_Art_70_Fr_XVII</w:t>
      </w:r>
    </w:p>
    <w:p w14:paraId="0BCC5F67" w14:textId="77777777" w:rsidR="00DE18AA" w:rsidRDefault="005A0962">
      <w:pPr>
        <w:spacing w:before="120" w:after="60"/>
        <w:ind w:left="709" w:right="709"/>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Información curricular de los(as) servidores(as) públicas(os) y/o personas que desempeñen un empleo, cargo o comisión en &lt;&lt;sujeto obligado&gt;&gt;</w:t>
      </w:r>
    </w:p>
    <w:tbl>
      <w:tblPr>
        <w:tblStyle w:val="a"/>
        <w:tblW w:w="762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7"/>
        <w:gridCol w:w="1277"/>
        <w:gridCol w:w="993"/>
        <w:gridCol w:w="1277"/>
        <w:gridCol w:w="1480"/>
        <w:gridCol w:w="1746"/>
      </w:tblGrid>
      <w:tr w:rsidR="00DE18AA" w14:paraId="337A78F4" w14:textId="77777777">
        <w:trPr>
          <w:trHeight w:val="216"/>
          <w:jc w:val="center"/>
        </w:trPr>
        <w:tc>
          <w:tcPr>
            <w:tcW w:w="847" w:type="dxa"/>
            <w:vMerge w:val="restart"/>
            <w:tcBorders>
              <w:top w:val="dotted" w:sz="4" w:space="0" w:color="000000"/>
              <w:left w:val="dotted" w:sz="4" w:space="0" w:color="000000"/>
              <w:bottom w:val="dotted" w:sz="4" w:space="0" w:color="000000"/>
              <w:right w:val="dotted" w:sz="4" w:space="0" w:color="000000"/>
            </w:tcBorders>
            <w:vAlign w:val="center"/>
          </w:tcPr>
          <w:p w14:paraId="3A74B807" w14:textId="77777777" w:rsidR="00DE18AA" w:rsidRDefault="005A0962">
            <w:pPr>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Clave o nivel del puesto</w:t>
            </w:r>
          </w:p>
        </w:tc>
        <w:tc>
          <w:tcPr>
            <w:tcW w:w="1277" w:type="dxa"/>
            <w:vMerge w:val="restart"/>
            <w:tcBorders>
              <w:top w:val="dotted" w:sz="4" w:space="0" w:color="000000"/>
              <w:left w:val="dotted" w:sz="4" w:space="0" w:color="000000"/>
              <w:bottom w:val="dotted" w:sz="4" w:space="0" w:color="000000"/>
              <w:right w:val="dotted" w:sz="4" w:space="0" w:color="000000"/>
            </w:tcBorders>
            <w:vAlign w:val="center"/>
          </w:tcPr>
          <w:p w14:paraId="2AC4B491" w14:textId="77777777" w:rsidR="00DE18AA" w:rsidRDefault="005A0962">
            <w:pPr>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Denominación del cargo o nombramiento otorgado </w:t>
            </w:r>
          </w:p>
        </w:tc>
        <w:tc>
          <w:tcPr>
            <w:tcW w:w="3750" w:type="dxa"/>
            <w:gridSpan w:val="3"/>
            <w:vMerge w:val="restart"/>
            <w:tcBorders>
              <w:top w:val="dotted" w:sz="4" w:space="0" w:color="000000"/>
              <w:left w:val="dotted" w:sz="4" w:space="0" w:color="000000"/>
              <w:bottom w:val="dotted" w:sz="4" w:space="0" w:color="000000"/>
              <w:right w:val="dotted" w:sz="4" w:space="0" w:color="000000"/>
            </w:tcBorders>
            <w:vAlign w:val="center"/>
          </w:tcPr>
          <w:p w14:paraId="574FF837" w14:textId="77777777" w:rsidR="00DE18AA" w:rsidRDefault="005A0962">
            <w:pPr>
              <w:jc w:val="center"/>
              <w:rPr>
                <w:rFonts w:ascii="Palatino Linotype" w:eastAsia="Palatino Linotype" w:hAnsi="Palatino Linotype" w:cs="Palatino Linotype"/>
                <w:b/>
                <w:i/>
                <w:sz w:val="16"/>
                <w:szCs w:val="16"/>
                <w:u w:val="single"/>
              </w:rPr>
            </w:pPr>
            <w:r>
              <w:rPr>
                <w:rFonts w:ascii="Palatino Linotype" w:eastAsia="Palatino Linotype" w:hAnsi="Palatino Linotype" w:cs="Palatino Linotype"/>
                <w:b/>
                <w:i/>
                <w:sz w:val="16"/>
                <w:szCs w:val="16"/>
                <w:u w:val="single"/>
              </w:rPr>
              <w:t>Nombre del(la) servidor(a) público(a)</w:t>
            </w:r>
          </w:p>
        </w:tc>
        <w:tc>
          <w:tcPr>
            <w:tcW w:w="1746" w:type="dxa"/>
            <w:vMerge w:val="restart"/>
            <w:tcBorders>
              <w:top w:val="dotted" w:sz="4" w:space="0" w:color="000000"/>
              <w:left w:val="dotted" w:sz="4" w:space="0" w:color="000000"/>
              <w:bottom w:val="dotted" w:sz="4" w:space="0" w:color="000000"/>
              <w:right w:val="dotted" w:sz="4" w:space="0" w:color="000000"/>
            </w:tcBorders>
            <w:vAlign w:val="center"/>
          </w:tcPr>
          <w:p w14:paraId="31F23225" w14:textId="77777777" w:rsidR="00DE18AA" w:rsidRDefault="005A0962">
            <w:pPr>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Unidad administrativa de adscripción (Área) del servidor público (catálogo, en su caso)</w:t>
            </w:r>
          </w:p>
        </w:tc>
      </w:tr>
      <w:tr w:rsidR="00DE18AA" w14:paraId="5938026E" w14:textId="77777777">
        <w:trPr>
          <w:trHeight w:val="450"/>
          <w:jc w:val="center"/>
        </w:trPr>
        <w:tc>
          <w:tcPr>
            <w:tcW w:w="847" w:type="dxa"/>
            <w:vMerge/>
            <w:tcBorders>
              <w:top w:val="dotted" w:sz="4" w:space="0" w:color="000000"/>
              <w:left w:val="dotted" w:sz="4" w:space="0" w:color="000000"/>
              <w:bottom w:val="dotted" w:sz="4" w:space="0" w:color="000000"/>
              <w:right w:val="dotted" w:sz="4" w:space="0" w:color="000000"/>
            </w:tcBorders>
            <w:vAlign w:val="center"/>
          </w:tcPr>
          <w:p w14:paraId="7C7EF55D"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c>
          <w:tcPr>
            <w:tcW w:w="1277" w:type="dxa"/>
            <w:vMerge/>
            <w:tcBorders>
              <w:top w:val="dotted" w:sz="4" w:space="0" w:color="000000"/>
              <w:left w:val="dotted" w:sz="4" w:space="0" w:color="000000"/>
              <w:bottom w:val="dotted" w:sz="4" w:space="0" w:color="000000"/>
              <w:right w:val="dotted" w:sz="4" w:space="0" w:color="000000"/>
            </w:tcBorders>
            <w:vAlign w:val="center"/>
          </w:tcPr>
          <w:p w14:paraId="2D97F0FD"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c>
          <w:tcPr>
            <w:tcW w:w="3750" w:type="dxa"/>
            <w:gridSpan w:val="3"/>
            <w:vMerge/>
            <w:tcBorders>
              <w:top w:val="dotted" w:sz="4" w:space="0" w:color="000000"/>
              <w:left w:val="dotted" w:sz="4" w:space="0" w:color="000000"/>
              <w:bottom w:val="dotted" w:sz="4" w:space="0" w:color="000000"/>
              <w:right w:val="dotted" w:sz="4" w:space="0" w:color="000000"/>
            </w:tcBorders>
            <w:vAlign w:val="center"/>
          </w:tcPr>
          <w:p w14:paraId="3904EBA8"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c>
          <w:tcPr>
            <w:tcW w:w="1746" w:type="dxa"/>
            <w:vMerge/>
            <w:tcBorders>
              <w:top w:val="dotted" w:sz="4" w:space="0" w:color="000000"/>
              <w:left w:val="dotted" w:sz="4" w:space="0" w:color="000000"/>
              <w:bottom w:val="dotted" w:sz="4" w:space="0" w:color="000000"/>
              <w:right w:val="dotted" w:sz="4" w:space="0" w:color="000000"/>
            </w:tcBorders>
            <w:vAlign w:val="center"/>
          </w:tcPr>
          <w:p w14:paraId="0CD16C64"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r>
      <w:tr w:rsidR="00DE18AA" w14:paraId="5EC91614" w14:textId="77777777">
        <w:trPr>
          <w:trHeight w:val="45"/>
          <w:jc w:val="center"/>
        </w:trPr>
        <w:tc>
          <w:tcPr>
            <w:tcW w:w="847" w:type="dxa"/>
            <w:vMerge/>
            <w:tcBorders>
              <w:top w:val="dotted" w:sz="4" w:space="0" w:color="000000"/>
              <w:left w:val="dotted" w:sz="4" w:space="0" w:color="000000"/>
              <w:bottom w:val="dotted" w:sz="4" w:space="0" w:color="000000"/>
              <w:right w:val="dotted" w:sz="4" w:space="0" w:color="000000"/>
            </w:tcBorders>
            <w:vAlign w:val="center"/>
          </w:tcPr>
          <w:p w14:paraId="54C22873"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c>
          <w:tcPr>
            <w:tcW w:w="1277" w:type="dxa"/>
            <w:vMerge/>
            <w:tcBorders>
              <w:top w:val="dotted" w:sz="4" w:space="0" w:color="000000"/>
              <w:left w:val="dotted" w:sz="4" w:space="0" w:color="000000"/>
              <w:bottom w:val="dotted" w:sz="4" w:space="0" w:color="000000"/>
              <w:right w:val="dotted" w:sz="4" w:space="0" w:color="000000"/>
            </w:tcBorders>
            <w:vAlign w:val="center"/>
          </w:tcPr>
          <w:p w14:paraId="3796B299"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c>
          <w:tcPr>
            <w:tcW w:w="993" w:type="dxa"/>
            <w:tcBorders>
              <w:top w:val="dotted" w:sz="4" w:space="0" w:color="000000"/>
              <w:left w:val="dotted" w:sz="4" w:space="0" w:color="000000"/>
              <w:bottom w:val="dotted" w:sz="4" w:space="0" w:color="000000"/>
              <w:right w:val="dotted" w:sz="4" w:space="0" w:color="000000"/>
            </w:tcBorders>
            <w:vAlign w:val="center"/>
          </w:tcPr>
          <w:p w14:paraId="2B4E63DC" w14:textId="77777777" w:rsidR="00DE18AA" w:rsidRDefault="005A0962">
            <w:pPr>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Nombre(s)</w:t>
            </w:r>
          </w:p>
        </w:tc>
        <w:tc>
          <w:tcPr>
            <w:tcW w:w="1277" w:type="dxa"/>
            <w:tcBorders>
              <w:top w:val="dotted" w:sz="4" w:space="0" w:color="000000"/>
              <w:left w:val="dotted" w:sz="4" w:space="0" w:color="000000"/>
              <w:bottom w:val="dotted" w:sz="4" w:space="0" w:color="000000"/>
              <w:right w:val="dotted" w:sz="4" w:space="0" w:color="000000"/>
            </w:tcBorders>
            <w:vAlign w:val="center"/>
          </w:tcPr>
          <w:p w14:paraId="7959C550" w14:textId="77777777" w:rsidR="00DE18AA" w:rsidRDefault="005A0962">
            <w:pPr>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Primer Apellido</w:t>
            </w:r>
          </w:p>
        </w:tc>
        <w:tc>
          <w:tcPr>
            <w:tcW w:w="1480" w:type="dxa"/>
            <w:tcBorders>
              <w:top w:val="dotted" w:sz="4" w:space="0" w:color="000000"/>
              <w:left w:val="dotted" w:sz="4" w:space="0" w:color="000000"/>
              <w:bottom w:val="dotted" w:sz="4" w:space="0" w:color="000000"/>
              <w:right w:val="dotted" w:sz="4" w:space="0" w:color="000000"/>
            </w:tcBorders>
            <w:vAlign w:val="center"/>
          </w:tcPr>
          <w:p w14:paraId="03F37877" w14:textId="77777777" w:rsidR="00DE18AA" w:rsidRDefault="005A0962">
            <w:pPr>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Segundo Apellido </w:t>
            </w:r>
          </w:p>
        </w:tc>
        <w:tc>
          <w:tcPr>
            <w:tcW w:w="1746" w:type="dxa"/>
            <w:vMerge/>
            <w:tcBorders>
              <w:top w:val="dotted" w:sz="4" w:space="0" w:color="000000"/>
              <w:left w:val="dotted" w:sz="4" w:space="0" w:color="000000"/>
              <w:bottom w:val="dotted" w:sz="4" w:space="0" w:color="000000"/>
              <w:right w:val="dotted" w:sz="4" w:space="0" w:color="000000"/>
            </w:tcBorders>
            <w:vAlign w:val="center"/>
          </w:tcPr>
          <w:p w14:paraId="2E611E03" w14:textId="77777777" w:rsidR="00DE18AA" w:rsidRDefault="00DE18AA">
            <w:pPr>
              <w:widowControl w:val="0"/>
              <w:pBdr>
                <w:top w:val="nil"/>
                <w:left w:val="nil"/>
                <w:bottom w:val="nil"/>
                <w:right w:val="nil"/>
                <w:between w:val="nil"/>
              </w:pBdr>
              <w:spacing w:line="276" w:lineRule="auto"/>
              <w:rPr>
                <w:rFonts w:ascii="Palatino Linotype" w:eastAsia="Palatino Linotype" w:hAnsi="Palatino Linotype" w:cs="Palatino Linotype"/>
                <w:i/>
                <w:sz w:val="16"/>
                <w:szCs w:val="16"/>
              </w:rPr>
            </w:pPr>
          </w:p>
        </w:tc>
      </w:tr>
      <w:tr w:rsidR="00DE18AA" w14:paraId="6995BD88" w14:textId="77777777">
        <w:trPr>
          <w:trHeight w:val="45"/>
          <w:jc w:val="center"/>
        </w:trPr>
        <w:tc>
          <w:tcPr>
            <w:tcW w:w="847" w:type="dxa"/>
            <w:tcBorders>
              <w:top w:val="dotted" w:sz="4" w:space="0" w:color="000000"/>
              <w:left w:val="dotted" w:sz="4" w:space="0" w:color="000000"/>
              <w:bottom w:val="dotted" w:sz="4" w:space="0" w:color="000000"/>
              <w:right w:val="dotted" w:sz="4" w:space="0" w:color="000000"/>
            </w:tcBorders>
          </w:tcPr>
          <w:p w14:paraId="6360F7EC" w14:textId="77777777" w:rsidR="00DE18AA" w:rsidRDefault="00DE18AA">
            <w:pPr>
              <w:jc w:val="both"/>
              <w:rPr>
                <w:rFonts w:ascii="Palatino Linotype" w:eastAsia="Palatino Linotype" w:hAnsi="Palatino Linotype" w:cs="Palatino Linotype"/>
                <w:i/>
                <w:sz w:val="16"/>
                <w:szCs w:val="16"/>
              </w:rPr>
            </w:pPr>
          </w:p>
        </w:tc>
        <w:tc>
          <w:tcPr>
            <w:tcW w:w="1277" w:type="dxa"/>
            <w:tcBorders>
              <w:top w:val="dotted" w:sz="4" w:space="0" w:color="000000"/>
              <w:left w:val="dotted" w:sz="4" w:space="0" w:color="000000"/>
              <w:bottom w:val="dotted" w:sz="4" w:space="0" w:color="000000"/>
              <w:right w:val="dotted" w:sz="4" w:space="0" w:color="000000"/>
            </w:tcBorders>
          </w:tcPr>
          <w:p w14:paraId="1A13FFD7" w14:textId="77777777" w:rsidR="00DE18AA" w:rsidRDefault="00DE18AA">
            <w:pPr>
              <w:jc w:val="both"/>
              <w:rPr>
                <w:rFonts w:ascii="Palatino Linotype" w:eastAsia="Palatino Linotype" w:hAnsi="Palatino Linotype" w:cs="Palatino Linotype"/>
                <w:i/>
                <w:sz w:val="16"/>
                <w:szCs w:val="16"/>
              </w:rPr>
            </w:pPr>
          </w:p>
        </w:tc>
        <w:tc>
          <w:tcPr>
            <w:tcW w:w="993" w:type="dxa"/>
            <w:tcBorders>
              <w:top w:val="dotted" w:sz="4" w:space="0" w:color="000000"/>
              <w:left w:val="dotted" w:sz="4" w:space="0" w:color="000000"/>
              <w:bottom w:val="dotted" w:sz="4" w:space="0" w:color="000000"/>
              <w:right w:val="dotted" w:sz="4" w:space="0" w:color="000000"/>
            </w:tcBorders>
          </w:tcPr>
          <w:p w14:paraId="0C4A8C30" w14:textId="77777777" w:rsidR="00DE18AA" w:rsidRDefault="00DE18AA">
            <w:pPr>
              <w:jc w:val="both"/>
              <w:rPr>
                <w:rFonts w:ascii="Palatino Linotype" w:eastAsia="Palatino Linotype" w:hAnsi="Palatino Linotype" w:cs="Palatino Linotype"/>
                <w:i/>
                <w:sz w:val="16"/>
                <w:szCs w:val="16"/>
              </w:rPr>
            </w:pPr>
          </w:p>
        </w:tc>
        <w:tc>
          <w:tcPr>
            <w:tcW w:w="1277" w:type="dxa"/>
            <w:tcBorders>
              <w:top w:val="dotted" w:sz="4" w:space="0" w:color="000000"/>
              <w:left w:val="dotted" w:sz="4" w:space="0" w:color="000000"/>
              <w:bottom w:val="dotted" w:sz="4" w:space="0" w:color="000000"/>
              <w:right w:val="dotted" w:sz="4" w:space="0" w:color="000000"/>
            </w:tcBorders>
          </w:tcPr>
          <w:p w14:paraId="22F0BFF1" w14:textId="77777777" w:rsidR="00DE18AA" w:rsidRDefault="00DE18AA">
            <w:pPr>
              <w:jc w:val="both"/>
              <w:rPr>
                <w:rFonts w:ascii="Palatino Linotype" w:eastAsia="Palatino Linotype" w:hAnsi="Palatino Linotype" w:cs="Palatino Linotype"/>
                <w:i/>
                <w:sz w:val="16"/>
                <w:szCs w:val="16"/>
              </w:rPr>
            </w:pPr>
          </w:p>
        </w:tc>
        <w:tc>
          <w:tcPr>
            <w:tcW w:w="1480" w:type="dxa"/>
            <w:tcBorders>
              <w:top w:val="dotted" w:sz="4" w:space="0" w:color="000000"/>
              <w:left w:val="dotted" w:sz="4" w:space="0" w:color="000000"/>
              <w:bottom w:val="dotted" w:sz="4" w:space="0" w:color="000000"/>
              <w:right w:val="dotted" w:sz="4" w:space="0" w:color="000000"/>
            </w:tcBorders>
          </w:tcPr>
          <w:p w14:paraId="0900445D" w14:textId="77777777" w:rsidR="00DE18AA" w:rsidRDefault="00DE18AA">
            <w:pPr>
              <w:jc w:val="both"/>
              <w:rPr>
                <w:rFonts w:ascii="Palatino Linotype" w:eastAsia="Palatino Linotype" w:hAnsi="Palatino Linotype" w:cs="Palatino Linotype"/>
                <w:i/>
                <w:sz w:val="16"/>
                <w:szCs w:val="16"/>
              </w:rPr>
            </w:pPr>
          </w:p>
        </w:tc>
        <w:tc>
          <w:tcPr>
            <w:tcW w:w="1746" w:type="dxa"/>
            <w:tcBorders>
              <w:top w:val="dotted" w:sz="4" w:space="0" w:color="000000"/>
              <w:left w:val="dotted" w:sz="4" w:space="0" w:color="000000"/>
              <w:bottom w:val="dotted" w:sz="4" w:space="0" w:color="000000"/>
              <w:right w:val="dotted" w:sz="4" w:space="0" w:color="000000"/>
            </w:tcBorders>
          </w:tcPr>
          <w:p w14:paraId="6A4B6605" w14:textId="77777777" w:rsidR="00DE18AA" w:rsidRDefault="00DE18AA">
            <w:pPr>
              <w:jc w:val="both"/>
              <w:rPr>
                <w:rFonts w:ascii="Palatino Linotype" w:eastAsia="Palatino Linotype" w:hAnsi="Palatino Linotype" w:cs="Palatino Linotype"/>
                <w:i/>
                <w:sz w:val="16"/>
                <w:szCs w:val="16"/>
              </w:rPr>
            </w:pPr>
          </w:p>
        </w:tc>
      </w:tr>
      <w:tr w:rsidR="00DE18AA" w14:paraId="0BD503BD" w14:textId="77777777">
        <w:trPr>
          <w:trHeight w:val="45"/>
          <w:jc w:val="center"/>
        </w:trPr>
        <w:tc>
          <w:tcPr>
            <w:tcW w:w="847" w:type="dxa"/>
            <w:tcBorders>
              <w:top w:val="dotted" w:sz="4" w:space="0" w:color="000000"/>
              <w:left w:val="dotted" w:sz="4" w:space="0" w:color="000000"/>
              <w:bottom w:val="dotted" w:sz="4" w:space="0" w:color="000000"/>
              <w:right w:val="dotted" w:sz="4" w:space="0" w:color="000000"/>
            </w:tcBorders>
          </w:tcPr>
          <w:p w14:paraId="309503F1" w14:textId="77777777" w:rsidR="00DE18AA" w:rsidRDefault="00DE18AA">
            <w:pPr>
              <w:jc w:val="both"/>
              <w:rPr>
                <w:rFonts w:ascii="Palatino Linotype" w:eastAsia="Palatino Linotype" w:hAnsi="Palatino Linotype" w:cs="Palatino Linotype"/>
                <w:i/>
                <w:sz w:val="16"/>
                <w:szCs w:val="16"/>
              </w:rPr>
            </w:pPr>
          </w:p>
        </w:tc>
        <w:tc>
          <w:tcPr>
            <w:tcW w:w="1277" w:type="dxa"/>
            <w:tcBorders>
              <w:top w:val="dotted" w:sz="4" w:space="0" w:color="000000"/>
              <w:left w:val="dotted" w:sz="4" w:space="0" w:color="000000"/>
              <w:bottom w:val="dotted" w:sz="4" w:space="0" w:color="000000"/>
              <w:right w:val="dotted" w:sz="4" w:space="0" w:color="000000"/>
            </w:tcBorders>
          </w:tcPr>
          <w:p w14:paraId="5FC4FFDA" w14:textId="77777777" w:rsidR="00DE18AA" w:rsidRDefault="00DE18AA">
            <w:pPr>
              <w:jc w:val="both"/>
              <w:rPr>
                <w:rFonts w:ascii="Palatino Linotype" w:eastAsia="Palatino Linotype" w:hAnsi="Palatino Linotype" w:cs="Palatino Linotype"/>
                <w:i/>
                <w:sz w:val="16"/>
                <w:szCs w:val="16"/>
              </w:rPr>
            </w:pPr>
          </w:p>
        </w:tc>
        <w:tc>
          <w:tcPr>
            <w:tcW w:w="993" w:type="dxa"/>
            <w:tcBorders>
              <w:top w:val="dotted" w:sz="4" w:space="0" w:color="000000"/>
              <w:left w:val="dotted" w:sz="4" w:space="0" w:color="000000"/>
              <w:bottom w:val="dotted" w:sz="4" w:space="0" w:color="000000"/>
              <w:right w:val="dotted" w:sz="4" w:space="0" w:color="000000"/>
            </w:tcBorders>
          </w:tcPr>
          <w:p w14:paraId="23983D17" w14:textId="77777777" w:rsidR="00DE18AA" w:rsidRDefault="00DE18AA">
            <w:pPr>
              <w:jc w:val="both"/>
              <w:rPr>
                <w:rFonts w:ascii="Palatino Linotype" w:eastAsia="Palatino Linotype" w:hAnsi="Palatino Linotype" w:cs="Palatino Linotype"/>
                <w:i/>
                <w:sz w:val="16"/>
                <w:szCs w:val="16"/>
              </w:rPr>
            </w:pPr>
          </w:p>
        </w:tc>
        <w:tc>
          <w:tcPr>
            <w:tcW w:w="1277" w:type="dxa"/>
            <w:tcBorders>
              <w:top w:val="dotted" w:sz="4" w:space="0" w:color="000000"/>
              <w:left w:val="dotted" w:sz="4" w:space="0" w:color="000000"/>
              <w:bottom w:val="dotted" w:sz="4" w:space="0" w:color="000000"/>
              <w:right w:val="dotted" w:sz="4" w:space="0" w:color="000000"/>
            </w:tcBorders>
          </w:tcPr>
          <w:p w14:paraId="226C6E9A" w14:textId="77777777" w:rsidR="00DE18AA" w:rsidRDefault="00DE18AA">
            <w:pPr>
              <w:jc w:val="both"/>
              <w:rPr>
                <w:rFonts w:ascii="Palatino Linotype" w:eastAsia="Palatino Linotype" w:hAnsi="Palatino Linotype" w:cs="Palatino Linotype"/>
                <w:i/>
                <w:sz w:val="16"/>
                <w:szCs w:val="16"/>
              </w:rPr>
            </w:pPr>
          </w:p>
        </w:tc>
        <w:tc>
          <w:tcPr>
            <w:tcW w:w="1480" w:type="dxa"/>
            <w:tcBorders>
              <w:top w:val="dotted" w:sz="4" w:space="0" w:color="000000"/>
              <w:left w:val="dotted" w:sz="4" w:space="0" w:color="000000"/>
              <w:bottom w:val="dotted" w:sz="4" w:space="0" w:color="000000"/>
              <w:right w:val="dotted" w:sz="4" w:space="0" w:color="000000"/>
            </w:tcBorders>
          </w:tcPr>
          <w:p w14:paraId="34DBDC38" w14:textId="77777777" w:rsidR="00DE18AA" w:rsidRDefault="00DE18AA">
            <w:pPr>
              <w:jc w:val="both"/>
              <w:rPr>
                <w:rFonts w:ascii="Palatino Linotype" w:eastAsia="Palatino Linotype" w:hAnsi="Palatino Linotype" w:cs="Palatino Linotype"/>
                <w:i/>
                <w:sz w:val="16"/>
                <w:szCs w:val="16"/>
              </w:rPr>
            </w:pPr>
          </w:p>
        </w:tc>
        <w:tc>
          <w:tcPr>
            <w:tcW w:w="1746" w:type="dxa"/>
            <w:tcBorders>
              <w:top w:val="dotted" w:sz="4" w:space="0" w:color="000000"/>
              <w:left w:val="dotted" w:sz="4" w:space="0" w:color="000000"/>
              <w:bottom w:val="dotted" w:sz="4" w:space="0" w:color="000000"/>
              <w:right w:val="dotted" w:sz="4" w:space="0" w:color="000000"/>
            </w:tcBorders>
          </w:tcPr>
          <w:p w14:paraId="719C14C0" w14:textId="77777777" w:rsidR="00DE18AA" w:rsidRDefault="00DE18AA">
            <w:pPr>
              <w:jc w:val="both"/>
              <w:rPr>
                <w:rFonts w:ascii="Palatino Linotype" w:eastAsia="Palatino Linotype" w:hAnsi="Palatino Linotype" w:cs="Palatino Linotype"/>
                <w:i/>
                <w:sz w:val="16"/>
                <w:szCs w:val="16"/>
              </w:rPr>
            </w:pPr>
          </w:p>
        </w:tc>
      </w:tr>
    </w:tbl>
    <w:p w14:paraId="05FD120D" w14:textId="77777777" w:rsidR="00DE18AA" w:rsidRDefault="00DE18AA">
      <w:pPr>
        <w:spacing w:after="160" w:line="259" w:lineRule="auto"/>
        <w:jc w:val="both"/>
        <w:rPr>
          <w:rFonts w:ascii="Palatino Linotype" w:eastAsia="Palatino Linotype" w:hAnsi="Palatino Linotype" w:cs="Palatino Linotype"/>
          <w:i/>
          <w:sz w:val="16"/>
          <w:szCs w:val="16"/>
        </w:rPr>
      </w:pPr>
    </w:p>
    <w:tbl>
      <w:tblPr>
        <w:tblStyle w:val="a0"/>
        <w:tblW w:w="8828" w:type="dxa"/>
        <w:jc w:val="center"/>
        <w:tblInd w:w="0" w:type="dxa"/>
        <w:tblLayout w:type="fixed"/>
        <w:tblLook w:val="0400" w:firstRow="0" w:lastRow="0" w:firstColumn="0" w:lastColumn="0" w:noHBand="0" w:noVBand="1"/>
      </w:tblPr>
      <w:tblGrid>
        <w:gridCol w:w="1662"/>
        <w:gridCol w:w="616"/>
        <w:gridCol w:w="690"/>
        <w:gridCol w:w="964"/>
        <w:gridCol w:w="964"/>
        <w:gridCol w:w="1086"/>
        <w:gridCol w:w="985"/>
        <w:gridCol w:w="864"/>
        <w:gridCol w:w="997"/>
      </w:tblGrid>
      <w:tr w:rsidR="00DE18AA" w14:paraId="137B0C8A" w14:textId="77777777">
        <w:trPr>
          <w:trHeight w:val="45"/>
          <w:jc w:val="center"/>
        </w:trPr>
        <w:tc>
          <w:tcPr>
            <w:tcW w:w="8828" w:type="dxa"/>
            <w:gridSpan w:val="9"/>
            <w:tcBorders>
              <w:top w:val="dotted" w:sz="4" w:space="0" w:color="000000"/>
              <w:left w:val="dotted" w:sz="4" w:space="0" w:color="000000"/>
              <w:bottom w:val="dotted" w:sz="4" w:space="0" w:color="000000"/>
              <w:right w:val="dotted" w:sz="4" w:space="0" w:color="000000"/>
            </w:tcBorders>
            <w:vAlign w:val="center"/>
          </w:tcPr>
          <w:p w14:paraId="58AA2C87"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Información curricular</w:t>
            </w:r>
          </w:p>
        </w:tc>
      </w:tr>
      <w:tr w:rsidR="00DE18AA" w14:paraId="1FC0F455" w14:textId="77777777">
        <w:trPr>
          <w:trHeight w:val="45"/>
          <w:jc w:val="center"/>
        </w:trPr>
        <w:tc>
          <w:tcPr>
            <w:tcW w:w="2968" w:type="dxa"/>
            <w:gridSpan w:val="3"/>
            <w:tcBorders>
              <w:top w:val="dotted" w:sz="4" w:space="0" w:color="000000"/>
              <w:left w:val="dotted" w:sz="4" w:space="0" w:color="000000"/>
              <w:bottom w:val="dotted" w:sz="4" w:space="0" w:color="000000"/>
              <w:right w:val="dotted" w:sz="4" w:space="0" w:color="000000"/>
            </w:tcBorders>
            <w:vAlign w:val="center"/>
          </w:tcPr>
          <w:p w14:paraId="729CC746"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Escolaridad</w:t>
            </w:r>
          </w:p>
        </w:tc>
        <w:tc>
          <w:tcPr>
            <w:tcW w:w="5860" w:type="dxa"/>
            <w:gridSpan w:val="6"/>
            <w:tcBorders>
              <w:top w:val="dotted" w:sz="4" w:space="0" w:color="000000"/>
              <w:left w:val="nil"/>
              <w:bottom w:val="dotted" w:sz="4" w:space="0" w:color="000000"/>
              <w:right w:val="dotted" w:sz="4" w:space="0" w:color="000000"/>
            </w:tcBorders>
            <w:vAlign w:val="center"/>
          </w:tcPr>
          <w:p w14:paraId="0395AAAA"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Experiencia laboral (tres últimos empleos)</w:t>
            </w:r>
          </w:p>
        </w:tc>
      </w:tr>
      <w:tr w:rsidR="00DE18AA" w14:paraId="43BDB499" w14:textId="77777777">
        <w:trPr>
          <w:trHeight w:val="45"/>
          <w:jc w:val="center"/>
        </w:trPr>
        <w:tc>
          <w:tcPr>
            <w:tcW w:w="1662" w:type="dxa"/>
            <w:tcBorders>
              <w:top w:val="nil"/>
              <w:left w:val="dotted" w:sz="4" w:space="0" w:color="000000"/>
              <w:bottom w:val="dotted" w:sz="4" w:space="0" w:color="000000"/>
              <w:right w:val="dotted" w:sz="4" w:space="0" w:color="000000"/>
            </w:tcBorders>
            <w:vAlign w:val="center"/>
          </w:tcPr>
          <w:p w14:paraId="486A19AD" w14:textId="77777777" w:rsidR="00DE18AA" w:rsidRDefault="005A0962">
            <w:pPr>
              <w:spacing w:after="160" w:line="256" w:lineRule="auto"/>
              <w:jc w:val="center"/>
              <w:rPr>
                <w:rFonts w:ascii="Palatino Linotype" w:eastAsia="Palatino Linotype" w:hAnsi="Palatino Linotype" w:cs="Palatino Linotype"/>
                <w:b/>
                <w:i/>
                <w:sz w:val="16"/>
                <w:szCs w:val="16"/>
                <w:u w:val="single"/>
              </w:rPr>
            </w:pPr>
            <w:r>
              <w:rPr>
                <w:rFonts w:ascii="Palatino Linotype" w:eastAsia="Palatino Linotype" w:hAnsi="Palatino Linotype" w:cs="Palatino Linotype"/>
                <w:b/>
                <w:i/>
                <w:sz w:val="16"/>
                <w:szCs w:val="16"/>
                <w:u w:val="single"/>
              </w:rPr>
              <w:t>Nivel máximo de estudios (ninguno, primaria, secundaria, bachillerato, técnica, licenciatura, maestría, doctorado, posdoctorado)</w:t>
            </w:r>
          </w:p>
        </w:tc>
        <w:tc>
          <w:tcPr>
            <w:tcW w:w="616" w:type="dxa"/>
            <w:tcBorders>
              <w:top w:val="nil"/>
              <w:left w:val="nil"/>
              <w:bottom w:val="dotted" w:sz="4" w:space="0" w:color="000000"/>
              <w:right w:val="dotted" w:sz="4" w:space="0" w:color="000000"/>
            </w:tcBorders>
            <w:vAlign w:val="center"/>
          </w:tcPr>
          <w:p w14:paraId="2967CF8D"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Área de estudio</w:t>
            </w:r>
          </w:p>
        </w:tc>
        <w:tc>
          <w:tcPr>
            <w:tcW w:w="690" w:type="dxa"/>
            <w:tcBorders>
              <w:top w:val="nil"/>
              <w:left w:val="nil"/>
              <w:bottom w:val="dotted" w:sz="4" w:space="0" w:color="000000"/>
              <w:right w:val="dotted" w:sz="4" w:space="0" w:color="000000"/>
            </w:tcBorders>
            <w:vAlign w:val="center"/>
          </w:tcPr>
          <w:p w14:paraId="0E921590"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Carrera genérica</w:t>
            </w:r>
          </w:p>
        </w:tc>
        <w:tc>
          <w:tcPr>
            <w:tcW w:w="964" w:type="dxa"/>
            <w:tcBorders>
              <w:top w:val="nil"/>
              <w:left w:val="nil"/>
              <w:bottom w:val="dotted" w:sz="4" w:space="0" w:color="000000"/>
              <w:right w:val="dotted" w:sz="4" w:space="0" w:color="000000"/>
            </w:tcBorders>
            <w:vAlign w:val="center"/>
          </w:tcPr>
          <w:p w14:paraId="1551F7C7"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inicio </w:t>
            </w:r>
          </w:p>
          <w:p w14:paraId="049B4532"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(Periodo día/mes/año) </w:t>
            </w:r>
          </w:p>
        </w:tc>
        <w:tc>
          <w:tcPr>
            <w:tcW w:w="964" w:type="dxa"/>
            <w:tcBorders>
              <w:top w:val="nil"/>
              <w:left w:val="nil"/>
              <w:bottom w:val="dotted" w:sz="4" w:space="0" w:color="000000"/>
              <w:right w:val="dotted" w:sz="4" w:space="0" w:color="000000"/>
            </w:tcBorders>
            <w:vAlign w:val="center"/>
          </w:tcPr>
          <w:p w14:paraId="53BA2F9B"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conclusión (Periodo día/mes/año) </w:t>
            </w:r>
          </w:p>
        </w:tc>
        <w:tc>
          <w:tcPr>
            <w:tcW w:w="1086" w:type="dxa"/>
            <w:tcBorders>
              <w:top w:val="nil"/>
              <w:left w:val="nil"/>
              <w:bottom w:val="dotted" w:sz="4" w:space="0" w:color="000000"/>
              <w:right w:val="dotted" w:sz="4" w:space="0" w:color="000000"/>
            </w:tcBorders>
            <w:vAlign w:val="center"/>
          </w:tcPr>
          <w:p w14:paraId="28C1401A"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Denominación de la Institución / empresa</w:t>
            </w:r>
          </w:p>
        </w:tc>
        <w:tc>
          <w:tcPr>
            <w:tcW w:w="985" w:type="dxa"/>
            <w:tcBorders>
              <w:top w:val="nil"/>
              <w:left w:val="nil"/>
              <w:bottom w:val="dotted" w:sz="4" w:space="0" w:color="000000"/>
              <w:right w:val="dotted" w:sz="4" w:space="0" w:color="000000"/>
            </w:tcBorders>
            <w:vAlign w:val="center"/>
          </w:tcPr>
          <w:p w14:paraId="18C4E36A"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Cargo o puesto desempeñado</w:t>
            </w:r>
          </w:p>
        </w:tc>
        <w:tc>
          <w:tcPr>
            <w:tcW w:w="864" w:type="dxa"/>
            <w:tcBorders>
              <w:top w:val="nil"/>
              <w:left w:val="nil"/>
              <w:bottom w:val="nil"/>
              <w:right w:val="dotted" w:sz="4" w:space="0" w:color="000000"/>
            </w:tcBorders>
            <w:vAlign w:val="center"/>
          </w:tcPr>
          <w:p w14:paraId="5455154D"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Campo de experiencia</w:t>
            </w:r>
          </w:p>
        </w:tc>
        <w:tc>
          <w:tcPr>
            <w:tcW w:w="997" w:type="dxa"/>
            <w:tcBorders>
              <w:top w:val="nil"/>
              <w:left w:val="nil"/>
              <w:bottom w:val="nil"/>
              <w:right w:val="dotted" w:sz="4" w:space="0" w:color="000000"/>
            </w:tcBorders>
            <w:vAlign w:val="center"/>
          </w:tcPr>
          <w:p w14:paraId="5F1F02DD" w14:textId="77777777" w:rsidR="00DE18AA" w:rsidRDefault="005A0962">
            <w:pPr>
              <w:spacing w:after="160" w:line="25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Hipervínculo a la versión pública del currículum</w:t>
            </w:r>
          </w:p>
        </w:tc>
      </w:tr>
      <w:tr w:rsidR="00DE18AA" w14:paraId="6CC50A88" w14:textId="77777777">
        <w:trPr>
          <w:trHeight w:val="45"/>
          <w:jc w:val="center"/>
        </w:trPr>
        <w:tc>
          <w:tcPr>
            <w:tcW w:w="1662" w:type="dxa"/>
            <w:tcBorders>
              <w:top w:val="dotted" w:sz="4" w:space="0" w:color="000000"/>
              <w:left w:val="dotted" w:sz="4" w:space="0" w:color="000000"/>
              <w:bottom w:val="dotted" w:sz="4" w:space="0" w:color="000000"/>
              <w:right w:val="dotted" w:sz="4" w:space="0" w:color="000000"/>
            </w:tcBorders>
            <w:vAlign w:val="center"/>
          </w:tcPr>
          <w:p w14:paraId="5FC62307"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616" w:type="dxa"/>
            <w:tcBorders>
              <w:top w:val="dotted" w:sz="4" w:space="0" w:color="000000"/>
              <w:left w:val="nil"/>
              <w:bottom w:val="dotted" w:sz="4" w:space="0" w:color="000000"/>
              <w:right w:val="dotted" w:sz="4" w:space="0" w:color="000000"/>
            </w:tcBorders>
            <w:vAlign w:val="center"/>
          </w:tcPr>
          <w:p w14:paraId="4F3AAE64"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690" w:type="dxa"/>
            <w:tcBorders>
              <w:top w:val="dotted" w:sz="4" w:space="0" w:color="000000"/>
              <w:left w:val="nil"/>
              <w:bottom w:val="dotted" w:sz="4" w:space="0" w:color="000000"/>
              <w:right w:val="dotted" w:sz="4" w:space="0" w:color="000000"/>
            </w:tcBorders>
            <w:vAlign w:val="center"/>
          </w:tcPr>
          <w:p w14:paraId="19410CEB"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64" w:type="dxa"/>
            <w:tcBorders>
              <w:top w:val="dotted" w:sz="4" w:space="0" w:color="000000"/>
              <w:left w:val="nil"/>
              <w:bottom w:val="dotted" w:sz="4" w:space="0" w:color="000000"/>
              <w:right w:val="dotted" w:sz="4" w:space="0" w:color="000000"/>
            </w:tcBorders>
            <w:vAlign w:val="center"/>
          </w:tcPr>
          <w:p w14:paraId="6F995DFF"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64" w:type="dxa"/>
            <w:tcBorders>
              <w:top w:val="dotted" w:sz="4" w:space="0" w:color="000000"/>
              <w:left w:val="nil"/>
              <w:bottom w:val="dotted" w:sz="4" w:space="0" w:color="000000"/>
              <w:right w:val="dotted" w:sz="4" w:space="0" w:color="000000"/>
            </w:tcBorders>
            <w:vAlign w:val="center"/>
          </w:tcPr>
          <w:p w14:paraId="69B7FC8A"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1086" w:type="dxa"/>
            <w:tcBorders>
              <w:top w:val="dotted" w:sz="4" w:space="0" w:color="000000"/>
              <w:left w:val="nil"/>
              <w:bottom w:val="dotted" w:sz="4" w:space="0" w:color="000000"/>
              <w:right w:val="dotted" w:sz="4" w:space="0" w:color="000000"/>
            </w:tcBorders>
            <w:vAlign w:val="center"/>
          </w:tcPr>
          <w:p w14:paraId="5260328B"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85" w:type="dxa"/>
            <w:tcBorders>
              <w:top w:val="dotted" w:sz="4" w:space="0" w:color="000000"/>
              <w:left w:val="nil"/>
              <w:bottom w:val="dotted" w:sz="4" w:space="0" w:color="000000"/>
              <w:right w:val="dotted" w:sz="4" w:space="0" w:color="000000"/>
            </w:tcBorders>
            <w:vAlign w:val="center"/>
          </w:tcPr>
          <w:p w14:paraId="4F7FD45D"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864" w:type="dxa"/>
            <w:tcBorders>
              <w:top w:val="dotted" w:sz="4" w:space="0" w:color="000000"/>
              <w:left w:val="nil"/>
              <w:bottom w:val="nil"/>
              <w:right w:val="dotted" w:sz="4" w:space="0" w:color="000000"/>
            </w:tcBorders>
            <w:vAlign w:val="center"/>
          </w:tcPr>
          <w:p w14:paraId="7602D3C4"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97" w:type="dxa"/>
            <w:tcBorders>
              <w:top w:val="dotted" w:sz="4" w:space="0" w:color="000000"/>
              <w:left w:val="nil"/>
              <w:bottom w:val="nil"/>
              <w:right w:val="dotted" w:sz="4" w:space="0" w:color="000000"/>
            </w:tcBorders>
            <w:vAlign w:val="center"/>
          </w:tcPr>
          <w:p w14:paraId="6582FA31"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r>
      <w:tr w:rsidR="00DE18AA" w14:paraId="28743D44" w14:textId="77777777">
        <w:trPr>
          <w:trHeight w:val="45"/>
          <w:jc w:val="center"/>
        </w:trPr>
        <w:tc>
          <w:tcPr>
            <w:tcW w:w="1662" w:type="dxa"/>
            <w:tcBorders>
              <w:top w:val="nil"/>
              <w:left w:val="dotted" w:sz="4" w:space="0" w:color="000000"/>
              <w:bottom w:val="dotted" w:sz="4" w:space="0" w:color="000000"/>
              <w:right w:val="dotted" w:sz="4" w:space="0" w:color="000000"/>
            </w:tcBorders>
            <w:vAlign w:val="center"/>
          </w:tcPr>
          <w:p w14:paraId="5E31F05A"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616" w:type="dxa"/>
            <w:tcBorders>
              <w:top w:val="nil"/>
              <w:left w:val="nil"/>
              <w:bottom w:val="dotted" w:sz="4" w:space="0" w:color="000000"/>
              <w:right w:val="dotted" w:sz="4" w:space="0" w:color="000000"/>
            </w:tcBorders>
            <w:vAlign w:val="center"/>
          </w:tcPr>
          <w:p w14:paraId="3CDE8ABB"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690" w:type="dxa"/>
            <w:tcBorders>
              <w:top w:val="nil"/>
              <w:left w:val="nil"/>
              <w:bottom w:val="dotted" w:sz="4" w:space="0" w:color="000000"/>
              <w:right w:val="dotted" w:sz="4" w:space="0" w:color="000000"/>
            </w:tcBorders>
            <w:vAlign w:val="center"/>
          </w:tcPr>
          <w:p w14:paraId="407D0033"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64" w:type="dxa"/>
            <w:tcBorders>
              <w:top w:val="nil"/>
              <w:left w:val="nil"/>
              <w:bottom w:val="dotted" w:sz="4" w:space="0" w:color="000000"/>
              <w:right w:val="dotted" w:sz="4" w:space="0" w:color="000000"/>
            </w:tcBorders>
            <w:vAlign w:val="center"/>
          </w:tcPr>
          <w:p w14:paraId="167D7D52"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64" w:type="dxa"/>
            <w:tcBorders>
              <w:top w:val="nil"/>
              <w:left w:val="nil"/>
              <w:bottom w:val="dotted" w:sz="4" w:space="0" w:color="000000"/>
              <w:right w:val="dotted" w:sz="4" w:space="0" w:color="000000"/>
            </w:tcBorders>
            <w:vAlign w:val="center"/>
          </w:tcPr>
          <w:p w14:paraId="673D6FA1"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1086" w:type="dxa"/>
            <w:tcBorders>
              <w:top w:val="nil"/>
              <w:left w:val="nil"/>
              <w:bottom w:val="dotted" w:sz="4" w:space="0" w:color="000000"/>
              <w:right w:val="dotted" w:sz="4" w:space="0" w:color="000000"/>
            </w:tcBorders>
            <w:vAlign w:val="center"/>
          </w:tcPr>
          <w:p w14:paraId="3AF06036"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85" w:type="dxa"/>
            <w:tcBorders>
              <w:top w:val="nil"/>
              <w:left w:val="nil"/>
              <w:bottom w:val="dotted" w:sz="4" w:space="0" w:color="000000"/>
              <w:right w:val="dotted" w:sz="4" w:space="0" w:color="000000"/>
            </w:tcBorders>
            <w:vAlign w:val="center"/>
          </w:tcPr>
          <w:p w14:paraId="32A7C099" w14:textId="77777777" w:rsidR="00DE18AA" w:rsidRDefault="005A0962">
            <w:pPr>
              <w:spacing w:after="160" w:line="25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864" w:type="dxa"/>
            <w:tcBorders>
              <w:top w:val="dotted" w:sz="4" w:space="0" w:color="000000"/>
              <w:left w:val="nil"/>
              <w:bottom w:val="nil"/>
              <w:right w:val="dotted" w:sz="4" w:space="0" w:color="000000"/>
            </w:tcBorders>
            <w:vAlign w:val="center"/>
          </w:tcPr>
          <w:p w14:paraId="68948446"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c>
          <w:tcPr>
            <w:tcW w:w="997" w:type="dxa"/>
            <w:tcBorders>
              <w:top w:val="dotted" w:sz="4" w:space="0" w:color="000000"/>
              <w:left w:val="nil"/>
              <w:bottom w:val="nil"/>
              <w:right w:val="dotted" w:sz="4" w:space="0" w:color="000000"/>
            </w:tcBorders>
            <w:vAlign w:val="center"/>
          </w:tcPr>
          <w:p w14:paraId="24A35157" w14:textId="77777777" w:rsidR="00DE18AA" w:rsidRDefault="005A0962">
            <w:pPr>
              <w:spacing w:after="160" w:line="256" w:lineRule="auto"/>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w:t>
            </w:r>
          </w:p>
        </w:tc>
      </w:tr>
    </w:tbl>
    <w:p w14:paraId="0E5F1832" w14:textId="77777777" w:rsidR="00DE18AA" w:rsidRDefault="00DE18AA">
      <w:pPr>
        <w:spacing w:after="160" w:line="360" w:lineRule="auto"/>
        <w:ind w:right="334"/>
        <w:jc w:val="both"/>
        <w:rPr>
          <w:rFonts w:ascii="Palatino Linotype" w:eastAsia="Palatino Linotype" w:hAnsi="Palatino Linotype" w:cs="Palatino Linotype"/>
        </w:rPr>
      </w:pPr>
    </w:p>
    <w:p w14:paraId="712FFC5F" w14:textId="77777777" w:rsidR="00DE18AA" w:rsidRDefault="005A0962">
      <w:pPr>
        <w:spacing w:after="160" w:line="360" w:lineRule="auto"/>
        <w:ind w:right="334"/>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 anterior tiene sustento en el Criterio 3/09, emitido por el entonces denominado Instituto Federal de Acceso a la Información y Protección de Datos </w:t>
      </w:r>
      <w:r>
        <w:rPr>
          <w:rFonts w:ascii="Palatino Linotype" w:eastAsia="Palatino Linotype" w:hAnsi="Palatino Linotype" w:cs="Palatino Linotype"/>
        </w:rPr>
        <w:lastRenderedPageBreak/>
        <w:t xml:space="preserve">Personales, ahora Instituto Nacional de Acceso a la Información y Protección de Datos Personales, que al efecto señala: </w:t>
      </w:r>
    </w:p>
    <w:p w14:paraId="58F1A9EB" w14:textId="77777777" w:rsidR="00DE18AA" w:rsidRDefault="00DE18AA"/>
    <w:p w14:paraId="4A107B4E" w14:textId="77777777" w:rsidR="00DE18AA" w:rsidRDefault="005A0962">
      <w:pPr>
        <w:spacing w:after="160" w:line="276" w:lineRule="auto"/>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3/09.</w:t>
      </w:r>
    </w:p>
    <w:p w14:paraId="75573E7E" w14:textId="77777777" w:rsidR="00DE18AA" w:rsidRDefault="005A0962">
      <w:pPr>
        <w:spacing w:after="16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Pr>
          <w:rFonts w:ascii="Palatino Linotype" w:eastAsia="Palatino Linotype" w:hAnsi="Palatino Linotype" w:cs="Palatino Linotype"/>
          <w:i/>
          <w:sz w:val="22"/>
          <w:szCs w:val="22"/>
          <w:u w:val="single"/>
        </w:rPr>
        <w:t>tratándose del curriculum vitae de un servidor público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una de las formas en que los ciudadanos pueden evaluar sus aptitudes para desempeñar el cargo público que le ha sido encomendado,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es mediante la publicidad de ciertos datos de los ahí contenidos</w:t>
      </w:r>
      <w:r>
        <w:rPr>
          <w:rFonts w:ascii="Palatino Linotype" w:eastAsia="Palatino Linotype" w:hAnsi="Palatino Linotype" w:cs="Palatino Linotype"/>
          <w:i/>
          <w:sz w:val="22"/>
          <w:szCs w:val="22"/>
        </w:rPr>
        <w:t xml:space="preserve">. En esa tesitura, entre los datos personales del curriculum vitae de un servidor público susceptibles de hacerse del conocimiento público, ante una solicitud de acceso, </w:t>
      </w:r>
      <w:r>
        <w:rPr>
          <w:rFonts w:ascii="Palatino Linotype" w:eastAsia="Palatino Linotype" w:hAnsi="Palatino Linotype" w:cs="Palatino Linotype"/>
          <w:i/>
          <w:sz w:val="22"/>
          <w:szCs w:val="22"/>
          <w:u w:val="single"/>
        </w:rPr>
        <w:t>se encuentran los relativos a su trayectoria académica, profesional, laboral, así como todos aquellos que acrediten su capacidad, habilidades o pericia para ocupar el cargo público</w:t>
      </w:r>
      <w:r>
        <w:rPr>
          <w:rFonts w:ascii="Palatino Linotype" w:eastAsia="Palatino Linotype" w:hAnsi="Palatino Linotype" w:cs="Palatino Linotype"/>
          <w:i/>
          <w:sz w:val="22"/>
          <w:szCs w:val="22"/>
        </w:rPr>
        <w:t xml:space="preserve">. </w:t>
      </w:r>
    </w:p>
    <w:p w14:paraId="2F055BD7" w14:textId="77777777" w:rsidR="00DE18AA" w:rsidRDefault="00DE18AA">
      <w:pPr>
        <w:spacing w:line="276" w:lineRule="auto"/>
      </w:pPr>
    </w:p>
    <w:p w14:paraId="7BA10884" w14:textId="77777777" w:rsidR="00DE18AA" w:rsidRDefault="005A0962">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Expedientes: </w:t>
      </w:r>
    </w:p>
    <w:p w14:paraId="6BD09FBE" w14:textId="77777777" w:rsidR="00DE18AA" w:rsidRDefault="005A0962">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2653/08 Secretaría de Gobernación – Alonso Lujambio Irazábal </w:t>
      </w:r>
    </w:p>
    <w:p w14:paraId="3D8D3C87" w14:textId="77777777" w:rsidR="00DE18AA" w:rsidRDefault="005A0962">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5154/08 Secretaría de la Función Pública – María Marván Laborde </w:t>
      </w:r>
    </w:p>
    <w:p w14:paraId="6E57CE4C" w14:textId="77777777" w:rsidR="00DE18AA" w:rsidRDefault="005A0962">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2214/08 Procuraduría General de la República – María Marván Laborde </w:t>
      </w:r>
    </w:p>
    <w:p w14:paraId="39922FD9" w14:textId="77777777" w:rsidR="00DE18AA" w:rsidRDefault="005A0962">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1377/09 Instituto Nacional de Migración – Juan Pablo Guerrero Amparán </w:t>
      </w:r>
    </w:p>
    <w:p w14:paraId="38426396" w14:textId="77777777" w:rsidR="00DE18AA" w:rsidRDefault="005A0962">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2128/09 Comisión Nacional del Agua – Jacqueline Peschard Mariscal”              </w:t>
      </w:r>
    </w:p>
    <w:p w14:paraId="65F33D78" w14:textId="77777777" w:rsidR="00DE18AA" w:rsidRDefault="00DE18AA">
      <w:pPr>
        <w:spacing w:line="360" w:lineRule="auto"/>
        <w:jc w:val="both"/>
        <w:rPr>
          <w:rFonts w:ascii="Palatino Linotype" w:eastAsia="Palatino Linotype" w:hAnsi="Palatino Linotype" w:cs="Palatino Linotype"/>
        </w:rPr>
      </w:pPr>
    </w:p>
    <w:p w14:paraId="3F8A057A" w14:textId="77777777" w:rsidR="00DE18AA" w:rsidRDefault="005A096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forma, es menester referir </w:t>
      </w:r>
      <w:r w:rsidR="0003176D">
        <w:rPr>
          <w:rFonts w:ascii="Palatino Linotype" w:eastAsia="Palatino Linotype" w:hAnsi="Palatino Linotype" w:cs="Palatino Linotype"/>
        </w:rPr>
        <w:t xml:space="preserve">que el </w:t>
      </w:r>
      <w:r w:rsidR="0003176D">
        <w:rPr>
          <w:rFonts w:ascii="Palatino Linotype" w:eastAsia="Palatino Linotype" w:hAnsi="Palatino Linotype" w:cs="Palatino Linotype"/>
          <w:b/>
        </w:rPr>
        <w:t xml:space="preserve">SUJETO OBLIGADO </w:t>
      </w:r>
      <w:r w:rsidR="0003176D">
        <w:rPr>
          <w:rFonts w:ascii="Palatino Linotype" w:eastAsia="Palatino Linotype" w:hAnsi="Palatino Linotype" w:cs="Palatino Linotype"/>
        </w:rPr>
        <w:t xml:space="preserve">administra y posee la información solicitada ya </w:t>
      </w:r>
      <w:r>
        <w:rPr>
          <w:rFonts w:ascii="Palatino Linotype" w:eastAsia="Palatino Linotype" w:hAnsi="Palatino Linotype" w:cs="Palatino Linotype"/>
        </w:rPr>
        <w:t xml:space="preserve">que la escolaridad o el grado de estudios puede obrar de manera enunciativa más no limitativa en la ficha curricular </w:t>
      </w:r>
      <w:r w:rsidR="0003176D">
        <w:rPr>
          <w:rFonts w:ascii="Palatino Linotype" w:eastAsia="Palatino Linotype" w:hAnsi="Palatino Linotype" w:cs="Palatino Linotype"/>
        </w:rPr>
        <w:t>de los integrantes del Ayuntamiento,</w:t>
      </w:r>
      <w:r>
        <w:rPr>
          <w:rFonts w:ascii="Palatino Linotype" w:eastAsia="Palatino Linotype" w:hAnsi="Palatino Linotype" w:cs="Palatino Linotype"/>
        </w:rPr>
        <w:t xml:space="preserve"> por lo que el Pleno de este Instituto determina ordenar la entrega del documento donde conste la escolaridad o grado de estudios del s</w:t>
      </w:r>
      <w:r w:rsidR="0003176D">
        <w:rPr>
          <w:rFonts w:ascii="Palatino Linotype" w:eastAsia="Palatino Linotype" w:hAnsi="Palatino Linotype" w:cs="Palatino Linotype"/>
        </w:rPr>
        <w:t xml:space="preserve">éptimo, octavo y noveno regidor de la Administración Pública Municipal 2022-2024. </w:t>
      </w:r>
    </w:p>
    <w:p w14:paraId="2D00EDD7" w14:textId="77777777" w:rsidR="00DE18AA" w:rsidRDefault="00DE18AA">
      <w:pPr>
        <w:widowControl w:val="0"/>
        <w:spacing w:line="360" w:lineRule="auto"/>
        <w:jc w:val="both"/>
        <w:rPr>
          <w:rFonts w:ascii="Palatino Linotype" w:eastAsia="Palatino Linotype" w:hAnsi="Palatino Linotype" w:cs="Palatino Linotype"/>
        </w:rPr>
      </w:pPr>
    </w:p>
    <w:p w14:paraId="17B126C0" w14:textId="77777777" w:rsidR="00DE18AA" w:rsidRDefault="005A096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en relación a las funciones de los regidores es de señalar en primer término que los artículos 27 y 30 Bis de la Ley Orgánica Municipal del Estado de México establecen: </w:t>
      </w:r>
    </w:p>
    <w:p w14:paraId="02285ED5" w14:textId="77777777" w:rsidR="00DE18AA" w:rsidRDefault="00DE18AA">
      <w:pPr>
        <w:widowControl w:val="0"/>
        <w:spacing w:line="360" w:lineRule="auto"/>
        <w:jc w:val="both"/>
        <w:rPr>
          <w:rFonts w:ascii="Palatino Linotype" w:eastAsia="Palatino Linotype" w:hAnsi="Palatino Linotype" w:cs="Palatino Linotype"/>
        </w:rPr>
      </w:pPr>
    </w:p>
    <w:p w14:paraId="61CAC501" w14:textId="77777777" w:rsidR="00DE18AA" w:rsidRDefault="005A0962">
      <w:pPr>
        <w:widowControl w:val="0"/>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27</w:t>
      </w:r>
      <w:r>
        <w:rPr>
          <w:rFonts w:ascii="Palatino Linotype" w:eastAsia="Palatino Linotype" w:hAnsi="Palatino Linotype" w:cs="Palatino Linotype"/>
          <w:i/>
          <w:sz w:val="22"/>
          <w:szCs w:val="22"/>
        </w:rPr>
        <w:t>.- Los ayuntamientos como órganos deliberantes, deberán resolver colegiadamente los asuntos de su competencia. Para lo cual los Ayuntamientos deberán expedir o reformar, en su caso, en la tercera sesión que celebren, el Reglamento de Cabildo, debiendo publicarse en la Gaceta Municipal.</w:t>
      </w:r>
    </w:p>
    <w:p w14:paraId="3AF496FA" w14:textId="77777777" w:rsidR="00DE18AA" w:rsidRDefault="00DE18AA">
      <w:pPr>
        <w:widowControl w:val="0"/>
        <w:spacing w:line="360" w:lineRule="auto"/>
        <w:ind w:left="851" w:right="616"/>
        <w:jc w:val="both"/>
        <w:rPr>
          <w:rFonts w:ascii="Palatino Linotype" w:eastAsia="Palatino Linotype" w:hAnsi="Palatino Linotype" w:cs="Palatino Linotype"/>
          <w:i/>
          <w:sz w:val="22"/>
          <w:szCs w:val="22"/>
        </w:rPr>
      </w:pPr>
    </w:p>
    <w:p w14:paraId="5450B69B" w14:textId="77777777" w:rsidR="00DE18AA" w:rsidRDefault="005A0962">
      <w:pPr>
        <w:widowControl w:val="0"/>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30 Bis</w:t>
      </w:r>
      <w:r>
        <w:rPr>
          <w:rFonts w:ascii="Palatino Linotype" w:eastAsia="Palatino Linotype" w:hAnsi="Palatino Linotype" w:cs="Palatino Linotype"/>
          <w:i/>
          <w:sz w:val="22"/>
          <w:szCs w:val="22"/>
        </w:rPr>
        <w:t xml:space="preserve">.- El Ayuntamiento, para atender y en su caso resolver los asuntos de su competencia, funcionará en Pleno y mediante Comisiones. Asimismo, en el ejercicio de sus atribuciones se apegará a su Reglamento Interior, el cual deberá aprobarse en términos del artículo 27 de la presente Ley. El Reglamento Interior del Ayuntamiento y las demás disposiciones reglamentarias municipales deberán ajustarse a los siguientes criterios: </w:t>
      </w:r>
    </w:p>
    <w:p w14:paraId="377A4495" w14:textId="77777777" w:rsidR="00DE18AA" w:rsidRDefault="005A0962">
      <w:pPr>
        <w:widowControl w:val="0"/>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w:t>
      </w:r>
      <w:r>
        <w:rPr>
          <w:rFonts w:ascii="Palatino Linotype" w:eastAsia="Palatino Linotype" w:hAnsi="Palatino Linotype" w:cs="Palatino Linotype"/>
          <w:b/>
          <w:i/>
          <w:sz w:val="22"/>
          <w:szCs w:val="22"/>
        </w:rPr>
        <w:t>Flexibilidad y Adaptabilidad</w:t>
      </w:r>
      <w:r>
        <w:rPr>
          <w:rFonts w:ascii="Palatino Linotype" w:eastAsia="Palatino Linotype" w:hAnsi="Palatino Linotype" w:cs="Palatino Linotype"/>
          <w:i/>
          <w:sz w:val="22"/>
          <w:szCs w:val="22"/>
        </w:rPr>
        <w:t xml:space="preserve">.- Se debe prever la posibilidad de que el Reglamento se adapte a las condiciones sociopolíticas, culturales, e históricas del municipio, para resolver de manera pronta y expedita los requerimientos de la comunidad. </w:t>
      </w:r>
    </w:p>
    <w:p w14:paraId="68A5CDA9" w14:textId="77777777" w:rsidR="00DE18AA" w:rsidRDefault="005A0962">
      <w:pPr>
        <w:widowControl w:val="0"/>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b) </w:t>
      </w:r>
      <w:r>
        <w:rPr>
          <w:rFonts w:ascii="Palatino Linotype" w:eastAsia="Palatino Linotype" w:hAnsi="Palatino Linotype" w:cs="Palatino Linotype"/>
          <w:b/>
          <w:i/>
          <w:sz w:val="22"/>
          <w:szCs w:val="22"/>
        </w:rPr>
        <w:t>Claridad.</w:t>
      </w:r>
      <w:r>
        <w:rPr>
          <w:rFonts w:ascii="Palatino Linotype" w:eastAsia="Palatino Linotype" w:hAnsi="Palatino Linotype" w:cs="Palatino Linotype"/>
          <w:i/>
          <w:sz w:val="22"/>
          <w:szCs w:val="22"/>
        </w:rPr>
        <w:t xml:space="preserve">- Para su correcta y eficiente aplicación, el Reglamento debe ser claro y preciso, omitiendo toda ambigüedad en su lenguaje. </w:t>
      </w:r>
    </w:p>
    <w:p w14:paraId="3BCFBBD0" w14:textId="77777777" w:rsidR="00DE18AA" w:rsidRDefault="005A0962">
      <w:pPr>
        <w:widowControl w:val="0"/>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w:t>
      </w:r>
      <w:r>
        <w:rPr>
          <w:rFonts w:ascii="Palatino Linotype" w:eastAsia="Palatino Linotype" w:hAnsi="Palatino Linotype" w:cs="Palatino Linotype"/>
          <w:b/>
          <w:i/>
          <w:sz w:val="22"/>
          <w:szCs w:val="22"/>
        </w:rPr>
        <w:t>Simplificación.</w:t>
      </w:r>
      <w:r>
        <w:rPr>
          <w:rFonts w:ascii="Palatino Linotype" w:eastAsia="Palatino Linotype" w:hAnsi="Palatino Linotype" w:cs="Palatino Linotype"/>
          <w:i/>
          <w:sz w:val="22"/>
          <w:szCs w:val="22"/>
        </w:rPr>
        <w:t xml:space="preserve">- Debe ser conciso, atendiendo únicamente al tema que trate su materia. </w:t>
      </w:r>
    </w:p>
    <w:p w14:paraId="2B64F839" w14:textId="77777777" w:rsidR="00DE18AA" w:rsidRDefault="005A0962">
      <w:pPr>
        <w:widowControl w:val="0"/>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w:t>
      </w:r>
      <w:r>
        <w:rPr>
          <w:rFonts w:ascii="Palatino Linotype" w:eastAsia="Palatino Linotype" w:hAnsi="Palatino Linotype" w:cs="Palatino Linotype"/>
          <w:b/>
          <w:i/>
          <w:sz w:val="22"/>
          <w:szCs w:val="22"/>
        </w:rPr>
        <w:t>Justificación Jurídica</w:t>
      </w:r>
      <w:r>
        <w:rPr>
          <w:rFonts w:ascii="Palatino Linotype" w:eastAsia="Palatino Linotype" w:hAnsi="Palatino Linotype" w:cs="Palatino Linotype"/>
          <w:i/>
          <w:sz w:val="22"/>
          <w:szCs w:val="22"/>
        </w:rPr>
        <w:t>.- La reglamentación municipal solamente debe referirse a las materias permitidas por la Constitución Política de los Estados Unidos Mexicanos, la Constitución Política del Estado Libre y Soberano de México y las Leyes Federales y Estatales que de ellas emanen.</w:t>
      </w:r>
    </w:p>
    <w:p w14:paraId="5B937E7E" w14:textId="77777777" w:rsidR="00DE18AA" w:rsidRDefault="00DE18AA">
      <w:pPr>
        <w:widowControl w:val="0"/>
        <w:spacing w:line="360" w:lineRule="auto"/>
        <w:jc w:val="both"/>
        <w:rPr>
          <w:rFonts w:ascii="Palatino Linotype" w:eastAsia="Palatino Linotype" w:hAnsi="Palatino Linotype" w:cs="Palatino Linotype"/>
        </w:rPr>
      </w:pPr>
    </w:p>
    <w:p w14:paraId="4468952B" w14:textId="77777777" w:rsidR="00DE18AA" w:rsidRDefault="005A0962">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 de referir que el artículo 92 fracción III de la Ley de Transparencia y Acceso a la Información Pública del Estado de México y Municipios como obligación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poner a disposición del público de manera actualizada y permanente las facultades de cada área; ordenamiento jurídico que en su texto literal refiere:  </w:t>
      </w:r>
    </w:p>
    <w:p w14:paraId="7B2F73F3" w14:textId="77777777" w:rsidR="00DE18AA" w:rsidRDefault="00DE18AA">
      <w:pPr>
        <w:spacing w:line="360" w:lineRule="auto"/>
        <w:jc w:val="both"/>
        <w:rPr>
          <w:rFonts w:ascii="Palatino Linotype" w:eastAsia="Palatino Linotype" w:hAnsi="Palatino Linotype" w:cs="Palatino Linotype"/>
          <w:color w:val="000000"/>
        </w:rPr>
      </w:pPr>
    </w:p>
    <w:p w14:paraId="66802F9B" w14:textId="77777777" w:rsidR="00DE18AA" w:rsidRDefault="005A0962">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poner a disposición del público de manera permanente y actualizada de forma sencilla</w:t>
      </w:r>
      <w:r>
        <w:rPr>
          <w:rFonts w:ascii="Palatino Linotype" w:eastAsia="Palatino Linotype" w:hAnsi="Palatino Linotype" w:cs="Palatino Linotype"/>
          <w:i/>
          <w:sz w:val="22"/>
          <w:szCs w:val="22"/>
        </w:rPr>
        <w:t xml:space="preserve">, precisa y entendible, en los respectivos medios electrónicos, de acuerdo con sus facultades, atribuciones, funciones u objeto social, según corresponda, </w:t>
      </w:r>
      <w:r>
        <w:rPr>
          <w:rFonts w:ascii="Palatino Linotype" w:eastAsia="Palatino Linotype" w:hAnsi="Palatino Linotype" w:cs="Palatino Linotype"/>
          <w:b/>
          <w:i/>
          <w:sz w:val="22"/>
          <w:szCs w:val="22"/>
          <w:u w:val="single"/>
        </w:rPr>
        <w:t>la información, por lo menos</w:t>
      </w:r>
      <w:r>
        <w:rPr>
          <w:rFonts w:ascii="Palatino Linotype" w:eastAsia="Palatino Linotype" w:hAnsi="Palatino Linotype" w:cs="Palatino Linotype"/>
          <w:i/>
          <w:sz w:val="22"/>
          <w:szCs w:val="22"/>
        </w:rPr>
        <w:t>, de los temas, documentos y políticas que a continuación se señalan:</w:t>
      </w:r>
    </w:p>
    <w:p w14:paraId="5EAF30BD" w14:textId="77777777" w:rsidR="00DE18AA" w:rsidRDefault="005A0962">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1ED9DED" w14:textId="77777777" w:rsidR="00DE18AA" w:rsidRDefault="005A0962">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Las facultades de cada área;</w:t>
      </w:r>
    </w:p>
    <w:p w14:paraId="13D049B8" w14:textId="77777777" w:rsidR="00DE18AA" w:rsidRDefault="005A0962">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A8C94D" w14:textId="77777777" w:rsidR="00DE18AA" w:rsidRDefault="005A096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 los ordenamientos jurídicos citados se desprende que el punto analizado en este rubro, se trata de información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genera, administra y posee en el ejercicio de sus funciones de derecho público, por </w:t>
      </w:r>
      <w:r>
        <w:rPr>
          <w:rFonts w:ascii="Palatino Linotype" w:eastAsia="Palatino Linotype" w:hAnsi="Palatino Linotype" w:cs="Palatino Linotype"/>
        </w:rPr>
        <w:lastRenderedPageBreak/>
        <w:t xml:space="preserve">lo que este Organismo Garante determina dable ordenar la entrega de los  documento en los que consten las funciones  que desempeñan el séptimo, octavo y noveno regidor del Ayuntamiento de Huehuetoca. </w:t>
      </w:r>
    </w:p>
    <w:p w14:paraId="3E3F54F5" w14:textId="77777777" w:rsidR="00DE18AA" w:rsidRDefault="00DE18AA">
      <w:pPr>
        <w:spacing w:line="360" w:lineRule="auto"/>
        <w:ind w:right="49"/>
        <w:jc w:val="both"/>
        <w:rPr>
          <w:rFonts w:ascii="Palatino Linotype" w:eastAsia="Palatino Linotype" w:hAnsi="Palatino Linotype" w:cs="Palatino Linotype"/>
        </w:rPr>
      </w:pPr>
    </w:p>
    <w:p w14:paraId="1EAB0782" w14:textId="77777777" w:rsidR="00DE18AA" w:rsidRDefault="005A096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al techo presupuestal asignado a la séptima, octava y novena regidurías, si bien es cierto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omitió pronunciarse en respuesta a la solicitud, también lo es que  a través del informe justificado remitió un documento Excel en el que precisó lo montos presupuestales a cada área, el cual no fue posible poner a la vista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por formar parte del archivo comprimido que a su vez contiene documentos con datos personales visibles susceptibles de ser clasificados como información confidencial. </w:t>
      </w:r>
    </w:p>
    <w:p w14:paraId="224BCB2A" w14:textId="77777777" w:rsidR="00DE18AA" w:rsidRDefault="00DE18AA">
      <w:pPr>
        <w:spacing w:line="360" w:lineRule="auto"/>
        <w:ind w:right="49"/>
        <w:jc w:val="both"/>
        <w:rPr>
          <w:rFonts w:ascii="Palatino Linotype" w:eastAsia="Palatino Linotype" w:hAnsi="Palatino Linotype" w:cs="Palatino Linotype"/>
        </w:rPr>
      </w:pPr>
    </w:p>
    <w:p w14:paraId="50BDC1EE" w14:textId="77777777" w:rsidR="0003176D" w:rsidRDefault="0003176D">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Es oportuno precisar, que se omite el análisis del ámbito competencial respecto este rubro, toda vez que la documental remitida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contiene los puntos que atienden el requerimiento del particular, el cual se insiste no fue posible hacer del conocimiento del </w:t>
      </w:r>
      <w:r>
        <w:rPr>
          <w:rFonts w:ascii="Palatino Linotype" w:eastAsia="Palatino Linotype" w:hAnsi="Palatino Linotype" w:cs="Palatino Linotype"/>
          <w:b/>
        </w:rPr>
        <w:t xml:space="preserve">RECURRENTE. </w:t>
      </w:r>
    </w:p>
    <w:p w14:paraId="1AC59FBB" w14:textId="77777777" w:rsidR="0003176D" w:rsidRPr="0003176D" w:rsidRDefault="0003176D">
      <w:pPr>
        <w:spacing w:line="360" w:lineRule="auto"/>
        <w:ind w:right="49"/>
        <w:jc w:val="both"/>
        <w:rPr>
          <w:rFonts w:ascii="Palatino Linotype" w:eastAsia="Palatino Linotype" w:hAnsi="Palatino Linotype" w:cs="Palatino Linotype"/>
          <w:b/>
        </w:rPr>
      </w:pPr>
    </w:p>
    <w:p w14:paraId="2A8D7B5D" w14:textId="77777777" w:rsidR="00DE18AA" w:rsidRDefault="005A096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este Instituto determina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el documento en el que consta el techo presupuestal asignado a la séptima, octava y novena regiduría del Ayuntamiento de Huehuetoca al ocho de febrero de dos mil veintidós. </w:t>
      </w:r>
    </w:p>
    <w:p w14:paraId="10C25BA1" w14:textId="77777777" w:rsidR="00DE18AA" w:rsidRDefault="00DE18AA">
      <w:pPr>
        <w:widowControl w:val="0"/>
        <w:spacing w:line="360" w:lineRule="auto"/>
        <w:jc w:val="both"/>
        <w:rPr>
          <w:rFonts w:ascii="Palatino Linotype" w:eastAsia="Palatino Linotype" w:hAnsi="Palatino Linotype" w:cs="Palatino Linotype"/>
          <w:i/>
          <w:sz w:val="22"/>
          <w:szCs w:val="22"/>
        </w:rPr>
      </w:pPr>
    </w:p>
    <w:p w14:paraId="0B41F5D9"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Finalmente, de la respuesta, se advirtió que en el archivo electrónico identificado como </w:t>
      </w:r>
      <w:r>
        <w:rPr>
          <w:rFonts w:ascii="Palatino Linotype" w:eastAsia="Palatino Linotype" w:hAnsi="Palatino Linotype" w:cs="Palatino Linotype"/>
          <w:b/>
          <w:i/>
          <w:color w:val="000000"/>
        </w:rPr>
        <w:t xml:space="preserve">“Documentos Escaneadoss (1).pdf </w:t>
      </w:r>
      <w:r>
        <w:rPr>
          <w:rFonts w:ascii="Palatino Linotype" w:eastAsia="Palatino Linotype" w:hAnsi="Palatino Linotype" w:cs="Palatino Linotype"/>
          <w:color w:val="000000"/>
        </w:rPr>
        <w:t xml:space="preserve">proporcionado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respuesta  a la solicitud de información, se dejó visible, el Código </w:t>
      </w:r>
      <w:r>
        <w:rPr>
          <w:rFonts w:ascii="Palatino Linotype" w:eastAsia="Palatino Linotype" w:hAnsi="Palatino Linotype" w:cs="Palatino Linotype"/>
          <w:color w:val="000000"/>
        </w:rPr>
        <w:lastRenderedPageBreak/>
        <w:t xml:space="preserve">QR en los recibos de nómina, que al escanearse se observa al Registro Federal de Contribuyentes (RFC) de los servidores públicos, </w:t>
      </w:r>
      <w:r>
        <w:rPr>
          <w:rFonts w:ascii="Palatino Linotype" w:eastAsia="Palatino Linotype" w:hAnsi="Palatino Linotype" w:cs="Palatino Linotype"/>
        </w:rPr>
        <w:t>dato que debió protegerse ya que es considerado como confidencial</w:t>
      </w:r>
      <w:r>
        <w:rPr>
          <w:rFonts w:ascii="Palatino Linotype" w:eastAsia="Palatino Linotype" w:hAnsi="Palatino Linotype" w:cs="Palatino Linotype"/>
          <w:color w:val="000000"/>
        </w:rPr>
        <w:t>,</w:t>
      </w:r>
      <w:r>
        <w:t xml:space="preserve"> </w:t>
      </w:r>
      <w:r>
        <w:rPr>
          <w:rFonts w:ascii="Palatino Linotype" w:eastAsia="Palatino Linotype" w:hAnsi="Palatino Linotype" w:cs="Palatino Linotype"/>
          <w:color w:val="000000"/>
        </w:rPr>
        <w:t>en virtud de que su difusión afectaría su esfera de privacidad. Por lo anterior, este Organismo Garante considera procedente su clasificación, en términos del numeral 143, fracción I de la de Ley de Transparencia y Acceso a la Información Pública del Estado de México se ordena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Pr>
          <w:rFonts w:ascii="Palatino Linotype" w:eastAsia="Palatino Linotype" w:hAnsi="Palatino Linotype" w:cs="Palatino Linotype"/>
        </w:rPr>
        <w:t xml:space="preserve">, a efecto de que investigue y sancione las posibles omisiones en las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este determine lo que conforme derecho corresponda, cuyo resultado deberá ser informado a este Instituto.</w:t>
      </w:r>
    </w:p>
    <w:p w14:paraId="7C814ECF" w14:textId="77777777" w:rsidR="00DE18AA" w:rsidRDefault="00DE18AA">
      <w:pPr>
        <w:spacing w:after="240" w:line="360" w:lineRule="auto"/>
        <w:jc w:val="both"/>
        <w:rPr>
          <w:rFonts w:ascii="Palatino Linotype" w:eastAsia="Palatino Linotype" w:hAnsi="Palatino Linotype" w:cs="Palatino Linotype"/>
          <w:b/>
        </w:rPr>
      </w:pPr>
    </w:p>
    <w:p w14:paraId="07B95842"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Sujeto Obligado debe satisfacer la solicitud de acceso a la información; sin embargo, en caso de que la misma contenga  datos personales, deberá clasificarlos, observando las formalidades siguientes:</w:t>
      </w:r>
    </w:p>
    <w:p w14:paraId="6C7B9598" w14:textId="77777777" w:rsidR="00DE18AA" w:rsidRDefault="005A0962">
      <w:pPr>
        <w:shd w:val="clear" w:color="auto" w:fill="FFFFFF"/>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5C26DC35" w14:textId="77777777" w:rsidR="00DE18AA" w:rsidRDefault="005A0962">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9DABDFC" w14:textId="77777777" w:rsidR="00DE18AA" w:rsidRDefault="005A0962">
      <w:pPr>
        <w:shd w:val="clear" w:color="auto" w:fill="FFFFFF"/>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37B7597E"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3. Para los efectos de la presente Ley se entenderá por:</w:t>
      </w:r>
    </w:p>
    <w:p w14:paraId="0FF114A9"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
    <w:p w14:paraId="2EB261BA"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C5BD73E"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A5D219E"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21DF77CD"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03BF4E"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BCEBFEB"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5A57722"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7D8283F"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A8CCB02"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654E891"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14:paraId="526AB82C"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3286459"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14:paraId="1F9E878C"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C2B7D7"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C136C81"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0364995"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DB1C63A" w14:textId="77777777" w:rsidR="00DE18AA" w:rsidRDefault="00DE18AA">
      <w:pPr>
        <w:shd w:val="clear" w:color="auto" w:fill="FFFFFF"/>
        <w:ind w:left="851" w:right="851"/>
        <w:jc w:val="both"/>
        <w:rPr>
          <w:rFonts w:ascii="Palatino Linotype" w:eastAsia="Palatino Linotype" w:hAnsi="Palatino Linotype" w:cs="Palatino Linotype"/>
          <w:b/>
          <w:i/>
          <w:sz w:val="22"/>
          <w:szCs w:val="22"/>
        </w:rPr>
      </w:pPr>
    </w:p>
    <w:p w14:paraId="480E6487" w14:textId="77777777" w:rsidR="00DE18AA" w:rsidRDefault="005A0962">
      <w:pPr>
        <w:shd w:val="clear" w:color="auto" w:fill="FFFFFF"/>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B33777E" w14:textId="77777777" w:rsidR="00DE18AA" w:rsidRDefault="005A0962">
      <w:pPr>
        <w:shd w:val="clear" w:color="auto" w:fill="FFFFFF"/>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07BFE8E" w14:textId="77777777" w:rsidR="00DE18AA" w:rsidRDefault="00DE18AA">
      <w:pPr>
        <w:shd w:val="clear" w:color="auto" w:fill="FFFFFF"/>
        <w:ind w:left="851" w:right="851"/>
        <w:jc w:val="both"/>
        <w:rPr>
          <w:rFonts w:ascii="Palatino Linotype" w:eastAsia="Palatino Linotype" w:hAnsi="Palatino Linotype" w:cs="Palatino Linotype"/>
          <w:sz w:val="22"/>
          <w:szCs w:val="22"/>
        </w:rPr>
      </w:pPr>
    </w:p>
    <w:p w14:paraId="1FE16913" w14:textId="77777777" w:rsidR="00DE18AA" w:rsidRDefault="005A0962">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w:t>
      </w:r>
      <w:r>
        <w:rPr>
          <w:rFonts w:ascii="Palatino Linotype" w:eastAsia="Palatino Linotype" w:hAnsi="Palatino Linotype" w:cs="Palatino Linotype"/>
        </w:rPr>
        <w:lastRenderedPageBreak/>
        <w:t>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588CF6D" w14:textId="77777777" w:rsidR="00DE18AA" w:rsidRDefault="005A0962">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C8A540E" w14:textId="77777777" w:rsidR="00DE18AA" w:rsidRDefault="005A0962">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1C74D31"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45E91BCE" w14:textId="77777777" w:rsidR="00DE18AA" w:rsidRDefault="00DE18AA">
      <w:pPr>
        <w:ind w:left="851" w:right="851"/>
        <w:jc w:val="both"/>
        <w:rPr>
          <w:rFonts w:ascii="Palatino Linotype" w:eastAsia="Palatino Linotype" w:hAnsi="Palatino Linotype" w:cs="Palatino Linotype"/>
          <w:i/>
          <w:sz w:val="22"/>
          <w:szCs w:val="22"/>
        </w:rPr>
      </w:pPr>
    </w:p>
    <w:p w14:paraId="1ADC80DC"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1848354A" w14:textId="77777777" w:rsidR="00DE18AA" w:rsidRDefault="00DE18AA">
      <w:pPr>
        <w:ind w:left="851" w:right="851"/>
        <w:jc w:val="both"/>
        <w:rPr>
          <w:rFonts w:ascii="Palatino Linotype" w:eastAsia="Palatino Linotype" w:hAnsi="Palatino Linotype" w:cs="Palatino Linotype"/>
          <w:b/>
          <w:i/>
          <w:sz w:val="22"/>
          <w:szCs w:val="22"/>
        </w:rPr>
      </w:pPr>
    </w:p>
    <w:p w14:paraId="253128A8"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69F18786" w14:textId="77777777" w:rsidR="00DE18AA" w:rsidRDefault="00DE18AA">
      <w:pPr>
        <w:ind w:left="851" w:right="851"/>
        <w:jc w:val="both"/>
        <w:rPr>
          <w:rFonts w:ascii="Palatino Linotype" w:eastAsia="Palatino Linotype" w:hAnsi="Palatino Linotype" w:cs="Palatino Linotype"/>
          <w:i/>
          <w:sz w:val="22"/>
          <w:szCs w:val="22"/>
        </w:rPr>
      </w:pPr>
    </w:p>
    <w:p w14:paraId="71E91F5B"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1764D3AE" w14:textId="77777777" w:rsidR="00DE18AA" w:rsidRDefault="00DE18AA">
      <w:pPr>
        <w:ind w:left="851" w:right="851"/>
        <w:jc w:val="both"/>
        <w:rPr>
          <w:rFonts w:ascii="Palatino Linotype" w:eastAsia="Palatino Linotype" w:hAnsi="Palatino Linotype" w:cs="Palatino Linotype"/>
          <w:i/>
          <w:sz w:val="22"/>
          <w:szCs w:val="22"/>
        </w:rPr>
      </w:pPr>
    </w:p>
    <w:p w14:paraId="12198A2A"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78D61976" w14:textId="77777777" w:rsidR="00DE18AA" w:rsidRDefault="00DE18AA">
      <w:pPr>
        <w:ind w:left="851" w:right="851"/>
        <w:jc w:val="both"/>
        <w:rPr>
          <w:rFonts w:ascii="Palatino Linotype" w:eastAsia="Palatino Linotype" w:hAnsi="Palatino Linotype" w:cs="Palatino Linotype"/>
          <w:b/>
          <w:i/>
          <w:sz w:val="22"/>
          <w:szCs w:val="22"/>
        </w:rPr>
      </w:pPr>
    </w:p>
    <w:p w14:paraId="489BCA83" w14:textId="77777777" w:rsidR="00DE18AA" w:rsidRDefault="005A096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1BB4ED2B" w14:textId="77777777" w:rsidR="00DE18AA" w:rsidRDefault="00DE18AA">
      <w:pPr>
        <w:ind w:left="851" w:right="851"/>
        <w:jc w:val="both"/>
        <w:rPr>
          <w:rFonts w:ascii="Palatino Linotype" w:eastAsia="Palatino Linotype" w:hAnsi="Palatino Linotype" w:cs="Palatino Linotype"/>
          <w:i/>
          <w:sz w:val="22"/>
          <w:szCs w:val="22"/>
        </w:rPr>
      </w:pPr>
    </w:p>
    <w:p w14:paraId="06FB3B7A"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F257B47"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0BF74955" w14:textId="77777777" w:rsidR="00DE18AA" w:rsidRDefault="005A0962">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28C50325" w14:textId="77777777" w:rsidR="00DE18AA" w:rsidRDefault="005A096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w:t>
      </w:r>
      <w:r>
        <w:rPr>
          <w:rFonts w:ascii="Palatino Linotype" w:eastAsia="Palatino Linotype" w:hAnsi="Palatino Linotype" w:cs="Palatino Linotype"/>
        </w:rPr>
        <w:lastRenderedPageBreak/>
        <w:t>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29165DF0"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El artículo 143, fracción I, de la Ley de Transparencia y Acceso a la Información Pública del Estado de México y Municipios, establece que deberá </w:t>
      </w:r>
      <w:r>
        <w:rPr>
          <w:rFonts w:ascii="Palatino Linotype" w:eastAsia="Palatino Linotype" w:hAnsi="Palatino Linotype" w:cs="Palatino Linotype"/>
        </w:rPr>
        <w:t>omitirse, eliminarse o suprimirse la</w:t>
      </w:r>
      <w:r>
        <w:rPr>
          <w:rFonts w:ascii="Palatino Linotype" w:eastAsia="Palatino Linotype" w:hAnsi="Palatino Linotype" w:cs="Palatino Linotype"/>
          <w:color w:val="000000"/>
        </w:rPr>
        <w:t xml:space="preserve"> información </w:t>
      </w:r>
      <w:r>
        <w:rPr>
          <w:rFonts w:ascii="Palatino Linotype" w:eastAsia="Palatino Linotype" w:hAnsi="Palatino Linotype" w:cs="Palatino Linotype"/>
          <w:b/>
          <w:color w:val="000000"/>
        </w:rPr>
        <w:t>confidencial</w:t>
      </w:r>
      <w:r>
        <w:rPr>
          <w:rFonts w:ascii="Palatino Linotype" w:eastAsia="Palatino Linotype" w:hAnsi="Palatino Linotype" w:cs="Palatino Linotype"/>
        </w:rPr>
        <w:t xml:space="preserve">. </w:t>
      </w:r>
    </w:p>
    <w:p w14:paraId="5A1E7C34"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E8FC3AF"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respecto de los documentos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ha de entregar en </w:t>
      </w:r>
      <w:r>
        <w:rPr>
          <w:rFonts w:ascii="Palatino Linotype" w:eastAsia="Palatino Linotype" w:hAnsi="Palatino Linotype" w:cs="Palatino Linotype"/>
          <w:b/>
        </w:rPr>
        <w:t>versión pública</w:t>
      </w:r>
      <w:r>
        <w:rPr>
          <w:rFonts w:ascii="Palatino Linotype" w:eastAsia="Palatino Linotype" w:hAnsi="Palatino Linotype" w:cs="Palatino Linotype"/>
        </w:rPr>
        <w:t xml:space="preserve">, se deberá omitir, eliminar o suprimir la información personal de los servidores públicos, como Registro Federal de Contribuyentes (RFC), Clave única de Registro de Población (CURP), clave del Instituto de Seguridad Social del </w:t>
      </w:r>
      <w:r>
        <w:rPr>
          <w:rFonts w:ascii="Palatino Linotype" w:eastAsia="Palatino Linotype" w:hAnsi="Palatino Linotype" w:cs="Palatino Linotype"/>
        </w:rPr>
        <w:lastRenderedPageBreak/>
        <w:t xml:space="preserve">Estado de México y Municipios (ISSEMyM), </w:t>
      </w:r>
      <w:r>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Pr>
          <w:rFonts w:ascii="Palatino Linotype" w:eastAsia="Palatino Linotype" w:hAnsi="Palatino Linotype" w:cs="Palatino Linotype"/>
        </w:rPr>
        <w:t>, número de cuenta o cualquier otro dato que ponga en riesgo la vida, seguridad y salud de dichas personas.</w:t>
      </w:r>
    </w:p>
    <w:p w14:paraId="4C5306E3"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83C050A" w14:textId="77777777" w:rsidR="00DE18AA" w:rsidRDefault="005A0962">
      <w:pPr>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Al respecto, </w:t>
      </w:r>
      <w:r>
        <w:rPr>
          <w:rFonts w:ascii="Palatino Linotype" w:eastAsia="Palatino Linotype" w:hAnsi="Palatino Linotype" w:cs="Palatino Linotype"/>
          <w:color w:val="000000"/>
        </w:rPr>
        <w:t>es aplicable el Criterio 19/17 de la Segunda Época, emitido por el INAI, que dice:</w:t>
      </w:r>
      <w:r>
        <w:rPr>
          <w:rFonts w:ascii="Palatino Linotype" w:eastAsia="Palatino Linotype" w:hAnsi="Palatino Linotype" w:cs="Palatino Linotype"/>
          <w:b/>
          <w:color w:val="000000"/>
        </w:rPr>
        <w:t xml:space="preserve"> </w:t>
      </w:r>
    </w:p>
    <w:p w14:paraId="219A0A8E" w14:textId="77777777" w:rsidR="00DE18AA" w:rsidRDefault="005A0962">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14:paraId="2D93ACB9" w14:textId="77777777" w:rsidR="00DE18AA" w:rsidRDefault="005A0962">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15560575" w14:textId="77777777" w:rsidR="00DE18AA" w:rsidRDefault="005A0962">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0189/17. Morena. 08 de febrero de 2017. Por unanimidad. Comisionado Ponente Joel Salas Suárez.</w:t>
      </w:r>
    </w:p>
    <w:p w14:paraId="201C2196" w14:textId="77777777" w:rsidR="00DE18AA" w:rsidRDefault="005A0962">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0677/17. Universidad Nacional Autónoma de México. 08 de marzo de 2017. Por unanimidad. Comisionado Ponente Rosendoevgueni Monterrey Chepov. </w:t>
      </w:r>
    </w:p>
    <w:p w14:paraId="7241474A" w14:textId="77777777" w:rsidR="00DE18AA" w:rsidRDefault="005A0962">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RRA 1564/17. Tribunal Electoral del Poder Judicial de la Federación. 26 de abril de 2017. Por unanimidad. Comisionado Ponente Oscar Mauricio Guerra Ford.” (Sic)</w:t>
      </w:r>
    </w:p>
    <w:p w14:paraId="4D58CCE1" w14:textId="77777777" w:rsidR="00DE18AA" w:rsidRDefault="005A0962">
      <w:pPr>
        <w:tabs>
          <w:tab w:val="left" w:pos="7655"/>
        </w:tabs>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62B8BC43"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641B3F16"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4502CA7"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12CDA73C"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769574D9"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14:paraId="5EB090AE" w14:textId="77777777" w:rsidR="00DE18AA" w:rsidRDefault="005A0962">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36AB5A1F"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66AD3B37"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literalmente lo siguiente:</w:t>
      </w:r>
    </w:p>
    <w:p w14:paraId="1EC592A9"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xml:space="preserve">. </w:t>
      </w:r>
    </w:p>
    <w:p w14:paraId="1C982388"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1397CC7C"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3995/16. Secretaría de la Defensa Nacional. 1 de febrero de 2017. Por unanimidad. Comisionado Ponente Rosendoevgueni Monterrey Chepov.</w:t>
      </w:r>
    </w:p>
    <w:p w14:paraId="418C6DBD"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435ACA72"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0D1548A4" w14:textId="77777777" w:rsidR="00DE18AA" w:rsidRDefault="005A0962">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4906B29"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la CURP se encuentra vinculada al nombre y apellidos de la persona, lo que permite identificar fecha y lugar de nacimiento, así como el sexo; datos que únicamente le atañen a su titular, por lo que, ésta constituye </w:t>
      </w:r>
      <w:r>
        <w:rPr>
          <w:rFonts w:ascii="Palatino Linotype" w:eastAsia="Palatino Linotype" w:hAnsi="Palatino Linotype" w:cs="Palatino Linotype"/>
        </w:rPr>
        <w:lastRenderedPageBreak/>
        <w:t>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36BC47C"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85D928D"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8CC0C54"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14:paraId="5701DBF0" w14:textId="77777777" w:rsidR="00DE18AA" w:rsidRDefault="005A096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7D5F75D4"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52383895"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51DF7BA1"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14:paraId="05969E9E"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E4FBFAD"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54795D76" w14:textId="77777777" w:rsidR="00DE18AA" w:rsidRDefault="005A096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14:paraId="4F035D65"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4F22CA40" w14:textId="77777777" w:rsidR="00DE18AA" w:rsidRDefault="005A0962">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04B5DBEF" w14:textId="77777777" w:rsidR="00DE18AA" w:rsidRDefault="005A0962">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4FC31BC4" w14:textId="77777777" w:rsidR="00DE18AA" w:rsidRDefault="005A0962">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B0D1409" w14:textId="77777777" w:rsidR="00DE18AA" w:rsidRDefault="005A0962">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FC64AFB"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45372B04" w14:textId="77777777" w:rsidR="00DE18AA" w:rsidRDefault="005A096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es importante insistir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7A1C41" w14:textId="77777777" w:rsidR="00DE18AA" w:rsidRDefault="005A096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79AE7B8" w14:textId="77777777" w:rsidR="00DE18AA" w:rsidRDefault="00DE18AA">
      <w:pPr>
        <w:spacing w:line="360" w:lineRule="auto"/>
        <w:jc w:val="both"/>
        <w:rPr>
          <w:rFonts w:ascii="Palatino Linotype" w:eastAsia="Palatino Linotype" w:hAnsi="Palatino Linotype" w:cs="Palatino Linotype"/>
        </w:rPr>
      </w:pPr>
    </w:p>
    <w:p w14:paraId="2CB84C4C" w14:textId="77777777" w:rsidR="00DE18AA" w:rsidRDefault="005A0962">
      <w:pPr>
        <w:numPr>
          <w:ilvl w:val="0"/>
          <w:numId w:val="6"/>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553B9E8" w14:textId="77777777" w:rsidR="00DE18AA" w:rsidRDefault="005A096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02474/INFOEM/IP/RR/2022, </w:t>
      </w:r>
      <w:r>
        <w:rPr>
          <w:rFonts w:ascii="Palatino Linotype" w:eastAsia="Palatino Linotype" w:hAnsi="Palatino Linotype" w:cs="Palatino Linotype"/>
        </w:rPr>
        <w:t xml:space="preserve">por lo que, en </w:t>
      </w:r>
      <w:r>
        <w:rPr>
          <w:rFonts w:ascii="Palatino Linotype" w:eastAsia="Palatino Linotype" w:hAnsi="Palatino Linotype" w:cs="Palatino Linotype"/>
        </w:rPr>
        <w:lastRenderedPageBreak/>
        <w:t>términos del Considerando Cuarto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680FB8E5" w14:textId="77777777" w:rsidR="00DE18AA" w:rsidRDefault="005A0962">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 los Considerandos Cuarto y Quinto de esta resolución, haga entrega vía Sistema de Acceso a la Información Mexiquense (SAIMEX), de ser procedente en versión pública, los documentos donde conste la siguiente información:</w:t>
      </w:r>
    </w:p>
    <w:p w14:paraId="3E350B33" w14:textId="77777777" w:rsidR="00DE18AA" w:rsidRDefault="005A0962">
      <w:pPr>
        <w:numPr>
          <w:ilvl w:val="0"/>
          <w:numId w:val="2"/>
        </w:numPr>
        <w:pBdr>
          <w:top w:val="nil"/>
          <w:left w:val="nil"/>
          <w:bottom w:val="nil"/>
          <w:right w:val="nil"/>
          <w:between w:val="nil"/>
        </w:pBdr>
        <w:spacing w:before="240" w:line="360" w:lineRule="auto"/>
        <w:ind w:left="1560" w:hanging="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Nombre, escolaridad, salario, funciones, y puesto o categoría de los regidores: séptimo, octavo y noveno del Ayuntamiento de Huehuetoca, de la Administración Pública Municipal 2022-2024; </w:t>
      </w:r>
    </w:p>
    <w:p w14:paraId="13FB6D7C" w14:textId="77777777" w:rsidR="00DE18AA" w:rsidRDefault="005A0962">
      <w:pPr>
        <w:numPr>
          <w:ilvl w:val="0"/>
          <w:numId w:val="2"/>
        </w:numPr>
        <w:pBdr>
          <w:top w:val="nil"/>
          <w:left w:val="nil"/>
          <w:bottom w:val="nil"/>
          <w:right w:val="nil"/>
          <w:between w:val="nil"/>
        </w:pBdr>
        <w:spacing w:before="240" w:line="360" w:lineRule="auto"/>
        <w:ind w:left="1560" w:hanging="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Techo presupuestal asignado a la séptima, octava y novena regidurías del Ayuntamiento de Huehuetoca al ocho de febrero de dos mil veintidós. </w:t>
      </w:r>
    </w:p>
    <w:p w14:paraId="2FA3EC3D" w14:textId="77777777" w:rsidR="00DE18AA" w:rsidRDefault="00DE18AA">
      <w:pPr>
        <w:pBdr>
          <w:top w:val="nil"/>
          <w:left w:val="nil"/>
          <w:bottom w:val="nil"/>
          <w:right w:val="nil"/>
          <w:between w:val="nil"/>
        </w:pBdr>
        <w:spacing w:line="360" w:lineRule="auto"/>
        <w:ind w:left="1560" w:right="49"/>
        <w:jc w:val="both"/>
        <w:rPr>
          <w:rFonts w:ascii="Palatino Linotype" w:eastAsia="Palatino Linotype" w:hAnsi="Palatino Linotype" w:cs="Palatino Linotype"/>
          <w:i/>
          <w:color w:val="000000"/>
          <w:sz w:val="20"/>
          <w:szCs w:val="20"/>
        </w:rPr>
      </w:pPr>
    </w:p>
    <w:p w14:paraId="3EAAB0DC" w14:textId="77777777" w:rsidR="00DE18AA" w:rsidRDefault="005A0962">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354FB373" w14:textId="77777777" w:rsidR="00DE18AA" w:rsidRDefault="00DE18AA">
      <w:pPr>
        <w:spacing w:before="120" w:after="120"/>
        <w:ind w:right="49"/>
        <w:jc w:val="both"/>
        <w:rPr>
          <w:rFonts w:ascii="Palatino Linotype" w:eastAsia="Palatino Linotype" w:hAnsi="Palatino Linotype" w:cs="Palatino Linotype"/>
          <w:color w:val="FF0000"/>
        </w:rPr>
      </w:pPr>
    </w:p>
    <w:p w14:paraId="4DA42036" w14:textId="77777777" w:rsidR="00DE18AA" w:rsidRDefault="005A0962">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 xml:space="preserve">al Responsable de la Unidad de Transparencia del Sujeto Obligado la presente resolución, para que conforme a los artículos 186, último párrafo y 189, párrafo segundo de la Ley de Transparencia y Acceso a la Información Pública del Estado de México y Municipios dé </w:t>
      </w:r>
      <w:r>
        <w:rPr>
          <w:rFonts w:ascii="Palatino Linotype" w:eastAsia="Palatino Linotype" w:hAnsi="Palatino Linotype" w:cs="Palatino Linotype"/>
        </w:rPr>
        <w:lastRenderedPageBreak/>
        <w:t>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2C74A4DD"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E585AF"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46446C" w14:textId="77777777" w:rsidR="00DE18AA" w:rsidRDefault="005A096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SEXTO. Gírese</w:t>
      </w:r>
      <w:r>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7BBB9F66" w14:textId="660C1508" w:rsidR="00DE18AA" w:rsidRDefault="005A0962">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 xml:space="preserve">ASÍ LO RESUELVE, POR </w:t>
      </w:r>
      <w:r w:rsidR="00045442">
        <w:rPr>
          <w:rFonts w:ascii="Palatino Linotype" w:eastAsia="Palatino Linotype" w:hAnsi="Palatino Linotype" w:cs="Palatino Linotype"/>
        </w:rPr>
        <w:t>MAYORÍA</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713DA">
        <w:rPr>
          <w:rFonts w:ascii="Palatino Linotype" w:eastAsia="Palatino Linotype" w:hAnsi="Palatino Linotype" w:cs="Palatino Linotype"/>
        </w:rPr>
        <w:t xml:space="preserve"> </w:t>
      </w:r>
      <w:r w:rsidR="007713DA">
        <w:rPr>
          <w:rFonts w:ascii="Palatino Linotype" w:eastAsia="Palatino Linotype" w:hAnsi="Palatino Linotype" w:cs="Palatino Linotype"/>
        </w:rPr>
        <w:lastRenderedPageBreak/>
        <w:t>EMITIENDO VOTO DISIDENTE CONCURRENTE</w:t>
      </w:r>
      <w:r>
        <w:rPr>
          <w:rFonts w:ascii="Palatino Linotype" w:eastAsia="Palatino Linotype" w:hAnsi="Palatino Linotype" w:cs="Palatino Linotype"/>
        </w:rPr>
        <w:t>; LUIS GUSTAVO PARRA NORIEGA Y GUADALUPE RAMÍREZ PEÑA</w:t>
      </w:r>
      <w:r w:rsidR="007713DA">
        <w:rPr>
          <w:rFonts w:ascii="Palatino Linotype" w:eastAsia="Palatino Linotype" w:hAnsi="Palatino Linotype" w:cs="Palatino Linotype"/>
        </w:rPr>
        <w:t xml:space="preserve"> EMITIENDO VOTO DISIDENTE CONCURRENTE</w:t>
      </w:r>
      <w:r>
        <w:rPr>
          <w:rFonts w:ascii="Palatino Linotype" w:eastAsia="Palatino Linotype" w:hAnsi="Palatino Linotype" w:cs="Palatino Linotype"/>
        </w:rPr>
        <w:t>; EN LA DÉCIMA NOVENA SESIÓN ORDINARIA CELEBRADA EL VEINTICINCO DE MAYO DE DOS MIL VEINTIDÓS, ANTE EL SECRETARIO TÉCNICO DEL PLENO, ALEXIS TAPIA RAMÍREZ.</w:t>
      </w:r>
    </w:p>
    <w:p w14:paraId="67DF06C9" w14:textId="77777777" w:rsidR="00DE18AA" w:rsidRDefault="00DE18AA">
      <w:pPr>
        <w:spacing w:before="240" w:after="240"/>
        <w:jc w:val="both"/>
        <w:rPr>
          <w:rFonts w:ascii="Palatino Linotype" w:eastAsia="Palatino Linotype" w:hAnsi="Palatino Linotype" w:cs="Palatino Linotype"/>
          <w:sz w:val="20"/>
          <w:szCs w:val="20"/>
        </w:rPr>
      </w:pPr>
    </w:p>
    <w:p w14:paraId="72143B3C" w14:textId="3DA42C0E" w:rsidR="00DE18AA" w:rsidRDefault="00045442">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60288" behindDoc="0" locked="0" layoutInCell="1" allowOverlap="1" wp14:anchorId="5E3AF19F" wp14:editId="3F510278">
                <wp:simplePos x="0" y="0"/>
                <wp:positionH relativeFrom="column">
                  <wp:posOffset>429687</wp:posOffset>
                </wp:positionH>
                <wp:positionV relativeFrom="paragraph">
                  <wp:posOffset>204011</wp:posOffset>
                </wp:positionV>
                <wp:extent cx="4731489" cy="5124893"/>
                <wp:effectExtent l="38100" t="19050" r="69215" b="95250"/>
                <wp:wrapNone/>
                <wp:docPr id="1" name="Conector recto 1"/>
                <wp:cNvGraphicFramePr/>
                <a:graphic xmlns:a="http://schemas.openxmlformats.org/drawingml/2006/main">
                  <a:graphicData uri="http://schemas.microsoft.com/office/word/2010/wordprocessingShape">
                    <wps:wsp>
                      <wps:cNvCnPr/>
                      <wps:spPr>
                        <a:xfrm>
                          <a:off x="0" y="0"/>
                          <a:ext cx="4731489" cy="51248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1DD7F"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85pt,16.05pt" to="406.4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" strokecolor="#4f81bd [3204]" strokeweight="2pt">
                <v:shadow on="t" color="black" opacity="24903f" origin=",.5" offset="0,.55556mm"/>
              </v:line>
            </w:pict>
          </mc:Fallback>
        </mc:AlternateContent>
      </w:r>
    </w:p>
    <w:p w14:paraId="0D31746C" w14:textId="77777777" w:rsidR="00DE18AA" w:rsidRDefault="00DE18AA">
      <w:pPr>
        <w:spacing w:before="240" w:after="240"/>
        <w:jc w:val="both"/>
        <w:rPr>
          <w:rFonts w:ascii="Palatino Linotype" w:eastAsia="Palatino Linotype" w:hAnsi="Palatino Linotype" w:cs="Palatino Linotype"/>
          <w:sz w:val="20"/>
          <w:szCs w:val="20"/>
        </w:rPr>
      </w:pPr>
    </w:p>
    <w:p w14:paraId="3D4BFE05" w14:textId="77777777" w:rsidR="00DE18AA" w:rsidRDefault="00DE18AA">
      <w:pPr>
        <w:spacing w:before="240" w:after="240"/>
        <w:jc w:val="both"/>
        <w:rPr>
          <w:rFonts w:ascii="Palatino Linotype" w:eastAsia="Palatino Linotype" w:hAnsi="Palatino Linotype" w:cs="Palatino Linotype"/>
          <w:sz w:val="20"/>
          <w:szCs w:val="20"/>
        </w:rPr>
      </w:pPr>
    </w:p>
    <w:p w14:paraId="275CD4CB" w14:textId="77777777" w:rsidR="00DE18AA" w:rsidRDefault="00DE18AA">
      <w:pPr>
        <w:spacing w:before="240" w:after="240"/>
        <w:jc w:val="both"/>
        <w:rPr>
          <w:rFonts w:ascii="Palatino Linotype" w:eastAsia="Palatino Linotype" w:hAnsi="Palatino Linotype" w:cs="Palatino Linotype"/>
          <w:sz w:val="20"/>
          <w:szCs w:val="20"/>
        </w:rPr>
      </w:pPr>
    </w:p>
    <w:p w14:paraId="2F5C3475" w14:textId="77777777" w:rsidR="00DE18AA" w:rsidRDefault="00DE18AA">
      <w:pPr>
        <w:spacing w:before="240" w:after="240"/>
        <w:jc w:val="both"/>
        <w:rPr>
          <w:rFonts w:ascii="Palatino Linotype" w:eastAsia="Palatino Linotype" w:hAnsi="Palatino Linotype" w:cs="Palatino Linotype"/>
          <w:sz w:val="20"/>
          <w:szCs w:val="20"/>
        </w:rPr>
      </w:pPr>
    </w:p>
    <w:p w14:paraId="7F5535A1" w14:textId="77777777" w:rsidR="00DE18AA" w:rsidRDefault="00DE18AA">
      <w:pPr>
        <w:spacing w:before="240" w:after="240"/>
        <w:jc w:val="both"/>
        <w:rPr>
          <w:rFonts w:ascii="Palatino Linotype" w:eastAsia="Palatino Linotype" w:hAnsi="Palatino Linotype" w:cs="Palatino Linotype"/>
          <w:sz w:val="20"/>
          <w:szCs w:val="20"/>
        </w:rPr>
      </w:pPr>
    </w:p>
    <w:p w14:paraId="02F76C7C" w14:textId="77777777" w:rsidR="00DE18AA" w:rsidRDefault="00DE18AA">
      <w:pPr>
        <w:spacing w:before="240" w:after="240"/>
        <w:jc w:val="both"/>
        <w:rPr>
          <w:rFonts w:ascii="Palatino Linotype" w:eastAsia="Palatino Linotype" w:hAnsi="Palatino Linotype" w:cs="Palatino Linotype"/>
          <w:sz w:val="20"/>
          <w:szCs w:val="20"/>
        </w:rPr>
      </w:pPr>
    </w:p>
    <w:p w14:paraId="6909826C" w14:textId="77777777" w:rsidR="00DE18AA" w:rsidRDefault="00DE18AA">
      <w:pPr>
        <w:spacing w:before="240" w:after="240"/>
        <w:jc w:val="both"/>
        <w:rPr>
          <w:rFonts w:ascii="Palatino Linotype" w:eastAsia="Palatino Linotype" w:hAnsi="Palatino Linotype" w:cs="Palatino Linotype"/>
          <w:sz w:val="20"/>
          <w:szCs w:val="20"/>
        </w:rPr>
      </w:pPr>
    </w:p>
    <w:p w14:paraId="2CDD5DFA" w14:textId="77777777" w:rsidR="00DE18AA" w:rsidRDefault="00DE18AA">
      <w:pPr>
        <w:spacing w:before="240" w:after="240"/>
        <w:jc w:val="both"/>
        <w:rPr>
          <w:rFonts w:ascii="Palatino Linotype" w:eastAsia="Palatino Linotype" w:hAnsi="Palatino Linotype" w:cs="Palatino Linotype"/>
          <w:sz w:val="20"/>
          <w:szCs w:val="20"/>
        </w:rPr>
      </w:pPr>
    </w:p>
    <w:p w14:paraId="436B0A26" w14:textId="77777777" w:rsidR="00DE18AA" w:rsidRDefault="00DE18AA">
      <w:pPr>
        <w:spacing w:before="240" w:after="240"/>
        <w:jc w:val="both"/>
        <w:rPr>
          <w:rFonts w:ascii="Palatino Linotype" w:eastAsia="Palatino Linotype" w:hAnsi="Palatino Linotype" w:cs="Palatino Linotype"/>
          <w:sz w:val="20"/>
          <w:szCs w:val="20"/>
        </w:rPr>
      </w:pPr>
    </w:p>
    <w:p w14:paraId="7C7134D5" w14:textId="77777777" w:rsidR="00DE18AA" w:rsidRDefault="00DE18AA">
      <w:pPr>
        <w:spacing w:before="240" w:after="240"/>
        <w:jc w:val="both"/>
        <w:rPr>
          <w:rFonts w:ascii="Palatino Linotype" w:eastAsia="Palatino Linotype" w:hAnsi="Palatino Linotype" w:cs="Palatino Linotype"/>
          <w:sz w:val="20"/>
          <w:szCs w:val="20"/>
        </w:rPr>
      </w:pPr>
    </w:p>
    <w:p w14:paraId="1E04D833" w14:textId="77777777" w:rsidR="00DE18AA" w:rsidRDefault="00DE18AA">
      <w:pPr>
        <w:spacing w:before="240" w:after="240"/>
        <w:jc w:val="both"/>
        <w:rPr>
          <w:rFonts w:ascii="Palatino Linotype" w:eastAsia="Palatino Linotype" w:hAnsi="Palatino Linotype" w:cs="Palatino Linotype"/>
          <w:sz w:val="20"/>
          <w:szCs w:val="20"/>
        </w:rPr>
      </w:pPr>
    </w:p>
    <w:p w14:paraId="3AE6EA14" w14:textId="77777777" w:rsidR="00DE18AA" w:rsidRDefault="00DE18AA">
      <w:pPr>
        <w:spacing w:before="240" w:after="240"/>
        <w:jc w:val="both"/>
        <w:rPr>
          <w:rFonts w:ascii="Palatino Linotype" w:eastAsia="Palatino Linotype" w:hAnsi="Palatino Linotype" w:cs="Palatino Linotype"/>
          <w:sz w:val="20"/>
          <w:szCs w:val="20"/>
        </w:rPr>
      </w:pPr>
    </w:p>
    <w:p w14:paraId="47AEDB08" w14:textId="77777777" w:rsidR="00DE18AA" w:rsidRDefault="00DE18AA">
      <w:pPr>
        <w:spacing w:before="240" w:after="240"/>
        <w:jc w:val="both"/>
        <w:rPr>
          <w:rFonts w:ascii="Palatino Linotype" w:eastAsia="Palatino Linotype" w:hAnsi="Palatino Linotype" w:cs="Palatino Linotype"/>
          <w:sz w:val="20"/>
          <w:szCs w:val="20"/>
        </w:rPr>
      </w:pPr>
    </w:p>
    <w:p w14:paraId="1A158C9D" w14:textId="77777777" w:rsidR="00DE18AA" w:rsidRDefault="00DE18AA">
      <w:pPr>
        <w:spacing w:before="240" w:after="240"/>
        <w:jc w:val="both"/>
        <w:rPr>
          <w:rFonts w:ascii="Palatino Linotype" w:eastAsia="Palatino Linotype" w:hAnsi="Palatino Linotype" w:cs="Palatino Linotype"/>
          <w:sz w:val="20"/>
          <w:szCs w:val="20"/>
        </w:rPr>
      </w:pPr>
    </w:p>
    <w:p w14:paraId="47C01A2F" w14:textId="77777777" w:rsidR="00DE18AA" w:rsidRDefault="00DE18AA">
      <w:pPr>
        <w:spacing w:before="240" w:after="240"/>
        <w:jc w:val="both"/>
        <w:rPr>
          <w:rFonts w:ascii="Palatino Linotype" w:eastAsia="Palatino Linotype" w:hAnsi="Palatino Linotype" w:cs="Palatino Linotype"/>
          <w:sz w:val="20"/>
          <w:szCs w:val="20"/>
        </w:rPr>
      </w:pPr>
    </w:p>
    <w:p w14:paraId="2FB94AED" w14:textId="77777777" w:rsidR="00DE18AA" w:rsidRDefault="00DE18AA">
      <w:pPr>
        <w:spacing w:before="240" w:after="240"/>
        <w:jc w:val="both"/>
        <w:rPr>
          <w:rFonts w:ascii="Palatino Linotype" w:eastAsia="Palatino Linotype" w:hAnsi="Palatino Linotype" w:cs="Palatino Linotype"/>
          <w:sz w:val="20"/>
          <w:szCs w:val="20"/>
        </w:rPr>
      </w:pPr>
    </w:p>
    <w:p w14:paraId="727C355E" w14:textId="77777777" w:rsidR="00DE18AA" w:rsidRDefault="00DE18AA">
      <w:pPr>
        <w:spacing w:before="240" w:after="240"/>
        <w:jc w:val="both"/>
        <w:rPr>
          <w:rFonts w:ascii="Palatino Linotype" w:eastAsia="Palatino Linotype" w:hAnsi="Palatino Linotype" w:cs="Palatino Linotype"/>
          <w:sz w:val="20"/>
          <w:szCs w:val="20"/>
        </w:rPr>
      </w:pPr>
    </w:p>
    <w:p w14:paraId="22185E19" w14:textId="77777777" w:rsidR="00DE18AA" w:rsidRDefault="00DE18AA">
      <w:pPr>
        <w:spacing w:before="240" w:after="240"/>
        <w:jc w:val="both"/>
        <w:rPr>
          <w:rFonts w:ascii="Palatino Linotype" w:eastAsia="Palatino Linotype" w:hAnsi="Palatino Linotype" w:cs="Palatino Linotype"/>
          <w:sz w:val="20"/>
          <w:szCs w:val="20"/>
        </w:rPr>
      </w:pPr>
    </w:p>
    <w:p w14:paraId="1BDE9DCE" w14:textId="77777777" w:rsidR="00DE18AA" w:rsidRDefault="00DE18AA">
      <w:pPr>
        <w:spacing w:before="240" w:after="240"/>
        <w:jc w:val="both"/>
        <w:rPr>
          <w:rFonts w:ascii="Palatino Linotype" w:eastAsia="Palatino Linotype" w:hAnsi="Palatino Linotype" w:cs="Palatino Linotype"/>
          <w:sz w:val="20"/>
          <w:szCs w:val="20"/>
        </w:rPr>
      </w:pPr>
    </w:p>
    <w:p w14:paraId="4658AE91" w14:textId="77777777" w:rsidR="00DE18AA" w:rsidRDefault="00DE18AA">
      <w:pPr>
        <w:spacing w:before="240" w:after="240"/>
        <w:jc w:val="both"/>
        <w:rPr>
          <w:rFonts w:ascii="Palatino Linotype" w:eastAsia="Palatino Linotype" w:hAnsi="Palatino Linotype" w:cs="Palatino Linotype"/>
          <w:sz w:val="20"/>
          <w:szCs w:val="20"/>
        </w:rPr>
      </w:pPr>
    </w:p>
    <w:p w14:paraId="532DDC7F" w14:textId="77777777" w:rsidR="00DE18AA" w:rsidRDefault="00DE18AA">
      <w:pPr>
        <w:spacing w:before="240" w:after="240"/>
        <w:jc w:val="both"/>
        <w:rPr>
          <w:rFonts w:ascii="Palatino Linotype" w:eastAsia="Palatino Linotype" w:hAnsi="Palatino Linotype" w:cs="Palatino Linotype"/>
          <w:sz w:val="20"/>
          <w:szCs w:val="20"/>
        </w:rPr>
      </w:pPr>
    </w:p>
    <w:sectPr w:rsidR="00DE18AA">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E8DA3" w14:textId="77777777" w:rsidR="002114C9" w:rsidRDefault="002114C9">
      <w:r>
        <w:separator/>
      </w:r>
    </w:p>
  </w:endnote>
  <w:endnote w:type="continuationSeparator" w:id="0">
    <w:p w14:paraId="29F21AED" w14:textId="77777777" w:rsidR="002114C9" w:rsidRDefault="0021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7E955" w14:textId="77777777" w:rsidR="00DE18AA" w:rsidRDefault="005A09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96136">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96136">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198F31AE" w14:textId="77777777" w:rsidR="00DE18AA" w:rsidRDefault="00DE18A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5B41" w14:textId="77777777" w:rsidR="00DE18AA" w:rsidRDefault="005A096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9613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96136">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32817D65" w14:textId="77777777" w:rsidR="00DE18AA" w:rsidRDefault="00DE18A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03E92" w14:textId="77777777" w:rsidR="002114C9" w:rsidRDefault="002114C9">
      <w:r>
        <w:separator/>
      </w:r>
    </w:p>
  </w:footnote>
  <w:footnote w:type="continuationSeparator" w:id="0">
    <w:p w14:paraId="6F1CC316" w14:textId="77777777" w:rsidR="002114C9" w:rsidRDefault="002114C9">
      <w:r>
        <w:continuationSeparator/>
      </w:r>
    </w:p>
  </w:footnote>
  <w:footnote w:id="1">
    <w:p w14:paraId="21627723" w14:textId="77777777" w:rsidR="00DE18AA" w:rsidRDefault="005A0962">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9814A09" w14:textId="77777777" w:rsidR="00DE18AA" w:rsidRDefault="005A096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00230AE" w14:textId="77777777" w:rsidR="00DE18AA" w:rsidRDefault="005A0962">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F536B" w14:textId="77777777" w:rsidR="00DE18AA" w:rsidRDefault="005A096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F006CC0" wp14:editId="3E58D931">
          <wp:simplePos x="0" y="0"/>
          <wp:positionH relativeFrom="column">
            <wp:posOffset>-1080130</wp:posOffset>
          </wp:positionH>
          <wp:positionV relativeFrom="paragraph">
            <wp:posOffset>-396397</wp:posOffset>
          </wp:positionV>
          <wp:extent cx="7809865" cy="10165715"/>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DE18AA" w14:paraId="6F04B844" w14:textId="77777777">
      <w:tc>
        <w:tcPr>
          <w:tcW w:w="2489" w:type="dxa"/>
          <w:shd w:val="clear" w:color="auto" w:fill="auto"/>
        </w:tcPr>
        <w:p w14:paraId="42BFE66B" w14:textId="77777777" w:rsidR="00DE18AA" w:rsidRDefault="005A096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6F779B3" w14:textId="77777777" w:rsidR="00DE18AA" w:rsidRDefault="005A0962">
          <w:pPr>
            <w:ind w:right="175"/>
            <w:jc w:val="both"/>
            <w:rPr>
              <w:rFonts w:ascii="Palatino Linotype" w:eastAsia="Palatino Linotype" w:hAnsi="Palatino Linotype" w:cs="Palatino Linotype"/>
              <w:b/>
            </w:rPr>
          </w:pPr>
          <w:r>
            <w:rPr>
              <w:rFonts w:ascii="Palatino Linotype" w:eastAsia="Palatino Linotype" w:hAnsi="Palatino Linotype" w:cs="Palatino Linotype"/>
              <w:b/>
            </w:rPr>
            <w:t>02474/INFOEM/IP/RR/2022</w:t>
          </w:r>
        </w:p>
      </w:tc>
    </w:tr>
    <w:tr w:rsidR="00DE18AA" w14:paraId="4BD8616F" w14:textId="77777777">
      <w:trPr>
        <w:trHeight w:val="228"/>
      </w:trPr>
      <w:tc>
        <w:tcPr>
          <w:tcW w:w="2489" w:type="dxa"/>
          <w:shd w:val="clear" w:color="auto" w:fill="auto"/>
          <w:vAlign w:val="center"/>
        </w:tcPr>
        <w:p w14:paraId="231E0CA7" w14:textId="77777777" w:rsidR="00DE18AA" w:rsidRDefault="005A096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52D83790" w14:textId="77777777" w:rsidR="00DE18AA" w:rsidRDefault="005A0962">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Huehuetoca</w:t>
          </w:r>
        </w:p>
      </w:tc>
    </w:tr>
    <w:tr w:rsidR="00DE18AA" w14:paraId="0EFE7C7B" w14:textId="77777777">
      <w:trPr>
        <w:trHeight w:val="311"/>
      </w:trPr>
      <w:tc>
        <w:tcPr>
          <w:tcW w:w="2489" w:type="dxa"/>
          <w:shd w:val="clear" w:color="auto" w:fill="auto"/>
          <w:vAlign w:val="center"/>
        </w:tcPr>
        <w:p w14:paraId="471EBC29" w14:textId="77777777" w:rsidR="00DE18AA" w:rsidRDefault="005A0962">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01254CC3" w14:textId="77777777" w:rsidR="00DE18AA" w:rsidRDefault="005A0962">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3FA3188" w14:textId="77777777" w:rsidR="00DE18AA" w:rsidRDefault="005A096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DDAFF" w14:textId="77777777" w:rsidR="00DE18AA" w:rsidRDefault="005A096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19105AA" wp14:editId="639334EE">
          <wp:simplePos x="0" y="0"/>
          <wp:positionH relativeFrom="column">
            <wp:posOffset>-943608</wp:posOffset>
          </wp:positionH>
          <wp:positionV relativeFrom="paragraph">
            <wp:posOffset>-360678</wp:posOffset>
          </wp:positionV>
          <wp:extent cx="7809865" cy="10165715"/>
          <wp:effectExtent l="0" t="0" r="0" b="0"/>
          <wp:wrapNone/>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261" w:type="dxa"/>
      <w:tblLayout w:type="fixed"/>
      <w:tblLook w:val="0400" w:firstRow="0" w:lastRow="0" w:firstColumn="0" w:lastColumn="0" w:noHBand="0" w:noVBand="1"/>
    </w:tblPr>
    <w:tblGrid>
      <w:gridCol w:w="2551"/>
      <w:gridCol w:w="3544"/>
    </w:tblGrid>
    <w:tr w:rsidR="00DE18AA" w14:paraId="205A58E3" w14:textId="77777777">
      <w:tc>
        <w:tcPr>
          <w:tcW w:w="2551" w:type="dxa"/>
          <w:shd w:val="clear" w:color="auto" w:fill="auto"/>
          <w:vAlign w:val="center"/>
        </w:tcPr>
        <w:p w14:paraId="5B572B06" w14:textId="77777777" w:rsidR="00DE18AA" w:rsidRDefault="005A096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3A1A5C79" w14:textId="77777777" w:rsidR="00DE18AA" w:rsidRDefault="005A0962">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02474/INFOEM/IP/RR/2022</w:t>
          </w:r>
        </w:p>
      </w:tc>
    </w:tr>
    <w:tr w:rsidR="00DE18AA" w14:paraId="25DA4A3C" w14:textId="77777777">
      <w:trPr>
        <w:trHeight w:val="130"/>
      </w:trPr>
      <w:tc>
        <w:tcPr>
          <w:tcW w:w="2551" w:type="dxa"/>
          <w:shd w:val="clear" w:color="auto" w:fill="auto"/>
          <w:vAlign w:val="center"/>
        </w:tcPr>
        <w:p w14:paraId="4510C884" w14:textId="77777777" w:rsidR="00DE18AA" w:rsidRDefault="005A096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2FE957CE" w14:textId="3EBC0696" w:rsidR="00DE18AA" w:rsidRDefault="00F96136" w:rsidP="00F96136">
          <w:pPr>
            <w:jc w:val="both"/>
            <w:rPr>
              <w:rFonts w:ascii="Palatino Linotype" w:eastAsia="Palatino Linotype" w:hAnsi="Palatino Linotype" w:cs="Palatino Linotype"/>
              <w:b/>
            </w:rPr>
          </w:pPr>
          <w:r>
            <w:rPr>
              <w:rFonts w:ascii="Palatino Linotype" w:eastAsia="Palatino Linotype" w:hAnsi="Palatino Linotype" w:cs="Palatino Linotype"/>
              <w:b/>
            </w:rPr>
            <w:t>Xxxxxx</w:t>
          </w:r>
          <w:r w:rsidR="005A0962">
            <w:rPr>
              <w:rFonts w:ascii="Palatino Linotype" w:eastAsia="Palatino Linotype" w:hAnsi="Palatino Linotype" w:cs="Palatino Linotype"/>
              <w:b/>
            </w:rPr>
            <w:t xml:space="preserve"> </w:t>
          </w:r>
          <w:r>
            <w:rPr>
              <w:rFonts w:ascii="Palatino Linotype" w:eastAsia="Palatino Linotype" w:hAnsi="Palatino Linotype" w:cs="Palatino Linotype"/>
              <w:b/>
            </w:rPr>
            <w:t>Xxxxxxxxxx</w:t>
          </w:r>
          <w:r w:rsidR="005A0962">
            <w:rPr>
              <w:rFonts w:ascii="Palatino Linotype" w:eastAsia="Palatino Linotype" w:hAnsi="Palatino Linotype" w:cs="Palatino Linotype"/>
              <w:b/>
            </w:rPr>
            <w:t xml:space="preserve"> </w:t>
          </w:r>
          <w:r>
            <w:rPr>
              <w:rFonts w:ascii="Palatino Linotype" w:eastAsia="Palatino Linotype" w:hAnsi="Palatino Linotype" w:cs="Palatino Linotype"/>
              <w:b/>
            </w:rPr>
            <w:t>Xxxxxx</w:t>
          </w:r>
        </w:p>
      </w:tc>
    </w:tr>
    <w:tr w:rsidR="00DE18AA" w14:paraId="18D78C6F" w14:textId="77777777">
      <w:trPr>
        <w:trHeight w:val="228"/>
      </w:trPr>
      <w:tc>
        <w:tcPr>
          <w:tcW w:w="2551" w:type="dxa"/>
          <w:shd w:val="clear" w:color="auto" w:fill="auto"/>
          <w:vAlign w:val="center"/>
        </w:tcPr>
        <w:p w14:paraId="425EB5D1" w14:textId="77777777" w:rsidR="00DE18AA" w:rsidRDefault="005A096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4671DA7B" w14:textId="77777777" w:rsidR="00DE18AA" w:rsidRDefault="005A0962">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Huehuetoca</w:t>
          </w:r>
        </w:p>
      </w:tc>
    </w:tr>
    <w:tr w:rsidR="00DE18AA" w14:paraId="02CC30AF" w14:textId="77777777">
      <w:tc>
        <w:tcPr>
          <w:tcW w:w="2551" w:type="dxa"/>
          <w:shd w:val="clear" w:color="auto" w:fill="auto"/>
          <w:vAlign w:val="center"/>
        </w:tcPr>
        <w:p w14:paraId="20333972" w14:textId="77777777" w:rsidR="00DE18AA" w:rsidRDefault="005A096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682F89F3" w14:textId="77777777" w:rsidR="00DE18AA" w:rsidRDefault="005A0962">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E745149" w14:textId="77777777" w:rsidR="00DE18AA" w:rsidRDefault="00DE18A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D4EC7"/>
    <w:multiLevelType w:val="multilevel"/>
    <w:tmpl w:val="C2D88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C510F6"/>
    <w:multiLevelType w:val="multilevel"/>
    <w:tmpl w:val="9CEA36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B2437B"/>
    <w:multiLevelType w:val="multilevel"/>
    <w:tmpl w:val="1290646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762561"/>
    <w:multiLevelType w:val="multilevel"/>
    <w:tmpl w:val="5128F8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AFF7E54"/>
    <w:multiLevelType w:val="multilevel"/>
    <w:tmpl w:val="823A57F2"/>
    <w:lvl w:ilvl="0">
      <w:start w:val="1"/>
      <w:numFmt w:val="lowerLetter"/>
      <w:pStyle w:val="Listaconvietas3"/>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92B4672"/>
    <w:multiLevelType w:val="multilevel"/>
    <w:tmpl w:val="6FE06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AA"/>
    <w:rsid w:val="0003176D"/>
    <w:rsid w:val="00045442"/>
    <w:rsid w:val="002114C9"/>
    <w:rsid w:val="00482F19"/>
    <w:rsid w:val="005A0962"/>
    <w:rsid w:val="00702EC1"/>
    <w:rsid w:val="007140FA"/>
    <w:rsid w:val="007713DA"/>
    <w:rsid w:val="009532A6"/>
    <w:rsid w:val="00973FE4"/>
    <w:rsid w:val="00983E8A"/>
    <w:rsid w:val="00AC3949"/>
    <w:rsid w:val="00C53203"/>
    <w:rsid w:val="00CD2DC8"/>
    <w:rsid w:val="00DE18AA"/>
    <w:rsid w:val="00E9202C"/>
    <w:rsid w:val="00F96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81BD"/>
  <w15:docId w15:val="{F62CDCF8-6F21-4ED8-A8DF-CCA50F3A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left w:w="115" w:type="dxa"/>
        <w:right w:w="115" w:type="dxa"/>
      </w:tblCellMar>
    </w:tblPr>
  </w:style>
  <w:style w:type="table" w:customStyle="1" w:styleId="6">
    <w:name w:val="6"/>
    <w:basedOn w:val="TableNormal1"/>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2">
    <w:basedOn w:val="TableNormal0"/>
    <w:rPr>
      <w:sz w:val="22"/>
      <w:szCs w:val="22"/>
    </w:rPr>
    <w:tblPr>
      <w:tblStyleRowBandSize w:val="1"/>
      <w:tblStyleColBandSize w:val="1"/>
      <w:tblCellMar>
        <w:left w:w="115" w:type="dxa"/>
        <w:right w:w="115" w:type="dxa"/>
      </w:tblCellMar>
    </w:tblPr>
  </w:style>
  <w:style w:type="table" w:customStyle="1" w:styleId="a3">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v7ogJJZZmeAzJwlOp+qv90Xkg==">AMUW2mWAjH5wMrrUrTqJfA/ZJwUFsEEdb1tZIoXJKaGlqR7PBcSo13GugzoIeGbqoOZ+qHr951aWtLBaBA5zOaHq/qxxDL7EoQU+IrBPAsHc4lSeUXXmCuxyY5tqam/fM6varQspoPdPphE9Rd8GJnQMz15Zpw4Bq9lYJriv6NDo59+x0J2jlaE=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12905</Words>
  <Characters>70979</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2022-05-30T05:55:00Z</cp:lastPrinted>
  <dcterms:created xsi:type="dcterms:W3CDTF">2022-06-08T01:47:00Z</dcterms:created>
  <dcterms:modified xsi:type="dcterms:W3CDTF">2022-06-08T01:48:00Z</dcterms:modified>
</cp:coreProperties>
</file>