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ind w:right="139"/>
        <w:jc w:val="both"/>
        <w:rPr>
          <w:rFonts w:ascii="Palatino Linotype" w:cs="Palatino Linotype" w:eastAsia="Palatino Linotype" w:hAnsi="Palatino Linotype"/>
          <w:b w:val="1"/>
          <w:sz w:val="24"/>
          <w:szCs w:val="24"/>
        </w:rPr>
      </w:pPr>
      <w:bookmarkStart w:colFirst="0" w:colLast="0" w:name="_heading=h.30j0zll" w:id="0"/>
      <w:bookmarkEnd w:id="0"/>
      <w:r w:rsidDel="00000000" w:rsidR="00000000" w:rsidRPr="00000000">
        <w:rPr>
          <w:rFonts w:ascii="Palatino Linotype" w:cs="Palatino Linotype" w:eastAsia="Palatino Linotype" w:hAnsi="Palatino Linotype"/>
          <w:b w:val="1"/>
          <w:sz w:val="24"/>
          <w:szCs w:val="24"/>
          <w:rtl w:val="0"/>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CUADRAGÉSIMA PRIMERA SESIÓN ORDINARIA CELEBRADA EL DIECISÉIS DE NOVIEMBRE DE DOS MIL VEINTIDÓS, EN EL RECURSO DE REVISIÓN 15309/INFOEM/IP/RR/2022.</w:t>
      </w:r>
    </w:p>
    <w:p w:rsidR="00000000" w:rsidDel="00000000" w:rsidP="00000000" w:rsidRDefault="00000000" w:rsidRPr="00000000" w14:paraId="00000002">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 fundamento en lo dispuesto por el artículo 14, fracciones X y XI, del Reglamento del Instituto de Transparencia, Acceso a la Información Pública y Protección de Datos Personales del Estado de México y Municipios, la que suscribe, Guadalupe Ramírez Peña, emite </w:t>
      </w:r>
      <w:r w:rsidDel="00000000" w:rsidR="00000000" w:rsidRPr="00000000">
        <w:rPr>
          <w:rFonts w:ascii="Palatino Linotype" w:cs="Palatino Linotype" w:eastAsia="Palatino Linotype" w:hAnsi="Palatino Linotype"/>
          <w:b w:val="1"/>
          <w:sz w:val="24"/>
          <w:szCs w:val="24"/>
          <w:rtl w:val="0"/>
        </w:rPr>
        <w:t xml:space="preserve">VOTO DISIDENTE</w:t>
      </w:r>
      <w:r w:rsidDel="00000000" w:rsidR="00000000" w:rsidRPr="00000000">
        <w:rPr>
          <w:rFonts w:ascii="Palatino Linotype" w:cs="Palatino Linotype" w:eastAsia="Palatino Linotype" w:hAnsi="Palatino Linotype"/>
          <w:sz w:val="24"/>
          <w:szCs w:val="24"/>
          <w:rtl w:val="0"/>
        </w:rPr>
        <w:t xml:space="preserve"> respecto a la resolución dictada en el recurso de revisión número </w:t>
      </w:r>
      <w:r w:rsidDel="00000000" w:rsidR="00000000" w:rsidRPr="00000000">
        <w:rPr>
          <w:rFonts w:ascii="Palatino Linotype" w:cs="Palatino Linotype" w:eastAsia="Palatino Linotype" w:hAnsi="Palatino Linotype"/>
          <w:b w:val="1"/>
          <w:sz w:val="24"/>
          <w:szCs w:val="24"/>
          <w:rtl w:val="0"/>
        </w:rPr>
        <w:t xml:space="preserve">15309/INFOEM/IP/RR/2022</w:t>
      </w:r>
      <w:r w:rsidDel="00000000" w:rsidR="00000000" w:rsidRPr="00000000">
        <w:rPr>
          <w:rFonts w:ascii="Palatino Linotype" w:cs="Palatino Linotype" w:eastAsia="Palatino Linotype" w:hAnsi="Palatino Linotype"/>
          <w:sz w:val="24"/>
          <w:szCs w:val="24"/>
          <w:rtl w:val="0"/>
        </w:rPr>
        <w:t xml:space="preserve">, pronunciada por el Pleno de este Instituto ante el proyecto presentado por la suscrita, el cual fue engrosado conforme al criterio mayoritario del Pleno, que es del tenor siguiente: </w:t>
      </w:r>
    </w:p>
    <w:p w:rsidR="00000000" w:rsidDel="00000000" w:rsidP="00000000" w:rsidRDefault="00000000" w:rsidRPr="00000000" w14:paraId="00000003">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I. Antecedentes.</w:t>
      </w:r>
      <w:r w:rsidDel="00000000" w:rsidR="00000000" w:rsidRPr="00000000">
        <w:rPr>
          <w:rtl w:val="0"/>
        </w:rPr>
      </w:r>
    </w:p>
    <w:p w:rsidR="00000000" w:rsidDel="00000000" w:rsidP="00000000" w:rsidRDefault="00000000" w:rsidRPr="00000000" w14:paraId="00000004">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Como quedó debidamente asentado en la resolución, materia del presente voto disidente, la persona solicitante requirió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conocer cuánto gana el presidente de la República.</w:t>
      </w:r>
    </w:p>
    <w:p w:rsidR="00000000" w:rsidDel="00000000" w:rsidP="00000000" w:rsidRDefault="00000000" w:rsidRPr="00000000" w14:paraId="00000005">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ejercicio de la facultad conferida en el artículo 159, primer párrafo de la Ley de Transparencia y Acceso a la Información Pública del Estado de México,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a través de la Titular de la Unidad de Transparencia, requirió a la persona solicitante al quinto día hábil posterior a la presentación de la solicitud, a efecto de que, dentro de los diez días hábiles siguientes, </w:t>
      </w:r>
      <w:r w:rsidDel="00000000" w:rsidR="00000000" w:rsidRPr="00000000">
        <w:rPr>
          <w:rFonts w:ascii="Palatino Linotype" w:cs="Palatino Linotype" w:eastAsia="Palatino Linotype" w:hAnsi="Palatino Linotype"/>
          <w:b w:val="1"/>
          <w:sz w:val="24"/>
          <w:szCs w:val="24"/>
          <w:rtl w:val="0"/>
        </w:rPr>
        <w:t xml:space="preserve">realizara la aclaración de la solicitud, </w:t>
      </w:r>
      <w:r w:rsidDel="00000000" w:rsidR="00000000" w:rsidRPr="00000000">
        <w:rPr>
          <w:rFonts w:ascii="Palatino Linotype" w:cs="Palatino Linotype" w:eastAsia="Palatino Linotype" w:hAnsi="Palatino Linotype"/>
          <w:sz w:val="24"/>
          <w:szCs w:val="24"/>
          <w:rtl w:val="0"/>
        </w:rPr>
        <w:t xml:space="preserve">ampliando los datos de la misma a efecto de asegurar la continuidad del proceso de acceso a la información, debiendo especificar correctamente los elementos requeridos.</w:t>
      </w:r>
    </w:p>
    <w:p w:rsidR="00000000" w:rsidDel="00000000" w:rsidP="00000000" w:rsidRDefault="00000000" w:rsidRPr="00000000" w14:paraId="00000006">
      <w:pPr>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Una vez desahogado el requerimiento de información adicional por parte de la persona solicitante, en el que se limitó a referir que la solicitud era muy clara,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a través de la Unidad de Transparencia, en respuesta, hizo saber a la persona solicitante que dentro de las funciones encomendadas al Sujeto Obligado no se encontraba el poder proporcionar respuesta alguna con relación a su solicitud toda vez que el contenido de la petición es dirigido a OTRO SUJETO OBLIGADO, que en este caso es para el Poder Ejecutivo Federal o bien para el Gobierno Federal, en tal virtud, al verse incapaz de poder dar procedencia a la petición proporcionó el enlace del sistema SAIMEX donde la persona interesada podría realizar la solicitud de información.</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Conocida la respuesta por la persona solicitante, al no estar conforme con los términos de la misma, interpuso el recurso de revisión que nos ocupa, mediante el cual señaló, como motivo de inconformidad, que no se le entregó el acta mediante la cual se declara la incompetencia.</w:t>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Admitido el presente recurso de revisión, en términos del artículo 185 fracción II</w:t>
      </w:r>
      <w:r w:rsidDel="00000000" w:rsidR="00000000" w:rsidRPr="00000000">
        <w:rPr>
          <w:rFonts w:ascii="Palatino Linotype" w:cs="Palatino Linotype" w:eastAsia="Palatino Linotype" w:hAnsi="Palatino Linotype"/>
          <w:sz w:val="24"/>
          <w:szCs w:val="24"/>
          <w:vertAlign w:val="superscript"/>
        </w:rPr>
        <w:footnoteReference w:customMarkFollows="0" w:id="0"/>
      </w:r>
      <w:r w:rsidDel="00000000" w:rsidR="00000000" w:rsidRPr="00000000">
        <w:rPr>
          <w:rFonts w:ascii="Palatino Linotype" w:cs="Palatino Linotype" w:eastAsia="Palatino Linotype" w:hAnsi="Palatino Linotype"/>
          <w:sz w:val="24"/>
          <w:szCs w:val="24"/>
          <w:rtl w:val="0"/>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tal sentido, derivado del análisis efectuado, se consideró que los motivos de inconformidad aducidos por la persona solicitante resultaban  fundados, y se determinó modificar la respuesta emitida, procediendo a ordenar la entrega de lo siguiente:</w:t>
      </w:r>
    </w:p>
    <w:p w:rsidR="00000000" w:rsidDel="00000000" w:rsidP="00000000" w:rsidRDefault="00000000" w:rsidRPr="00000000" w14:paraId="0000000A">
      <w:pPr>
        <w:spacing w:after="240" w:before="24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Segundo. </w:t>
      </w:r>
      <w:r w:rsidDel="00000000" w:rsidR="00000000" w:rsidRPr="00000000">
        <w:rPr>
          <w:rFonts w:ascii="Palatino Linotype" w:cs="Palatino Linotype" w:eastAsia="Palatino Linotype" w:hAnsi="Palatino Linotype"/>
          <w:i w:val="1"/>
          <w:rtl w:val="0"/>
        </w:rPr>
        <w:t xml:space="preserve">Se </w:t>
      </w:r>
      <w:r w:rsidDel="00000000" w:rsidR="00000000" w:rsidRPr="00000000">
        <w:rPr>
          <w:rFonts w:ascii="Palatino Linotype" w:cs="Palatino Linotype" w:eastAsia="Palatino Linotype" w:hAnsi="Palatino Linotype"/>
          <w:b w:val="1"/>
          <w:i w:val="1"/>
          <w:rtl w:val="0"/>
        </w:rPr>
        <w:t xml:space="preserve">Ordena</w:t>
      </w:r>
      <w:r w:rsidDel="00000000" w:rsidR="00000000" w:rsidRPr="00000000">
        <w:rPr>
          <w:rFonts w:ascii="Palatino Linotype" w:cs="Palatino Linotype" w:eastAsia="Palatino Linotype" w:hAnsi="Palatino Linotype"/>
          <w:i w:val="1"/>
          <w:rtl w:val="0"/>
        </w:rPr>
        <w:t xml:space="preserve"> al </w:t>
      </w:r>
      <w:r w:rsidDel="00000000" w:rsidR="00000000" w:rsidRPr="00000000">
        <w:rPr>
          <w:rFonts w:ascii="Palatino Linotype" w:cs="Palatino Linotype" w:eastAsia="Palatino Linotype" w:hAnsi="Palatino Linotype"/>
          <w:b w:val="1"/>
          <w:i w:val="1"/>
          <w:rtl w:val="0"/>
        </w:rPr>
        <w:t xml:space="preserve">Sujeto Obligado</w:t>
      </w:r>
      <w:r w:rsidDel="00000000" w:rsidR="00000000" w:rsidRPr="00000000">
        <w:rPr>
          <w:rFonts w:ascii="Palatino Linotype" w:cs="Palatino Linotype" w:eastAsia="Palatino Linotype" w:hAnsi="Palatino Linotype"/>
          <w:i w:val="1"/>
          <w:rtl w:val="0"/>
        </w:rPr>
        <w:t xml:space="preserve">, en términos de los Considerandos </w:t>
      </w:r>
      <w:r w:rsidDel="00000000" w:rsidR="00000000" w:rsidRPr="00000000">
        <w:rPr>
          <w:rFonts w:ascii="Palatino Linotype" w:cs="Palatino Linotype" w:eastAsia="Palatino Linotype" w:hAnsi="Palatino Linotype"/>
          <w:b w:val="1"/>
          <w:i w:val="1"/>
          <w:rtl w:val="0"/>
        </w:rPr>
        <w:t xml:space="preserve">Cuarto </w:t>
      </w:r>
      <w:r w:rsidDel="00000000" w:rsidR="00000000" w:rsidRPr="00000000">
        <w:rPr>
          <w:rFonts w:ascii="Palatino Linotype" w:cs="Palatino Linotype" w:eastAsia="Palatino Linotype" w:hAnsi="Palatino Linotype"/>
          <w:i w:val="1"/>
          <w:rtl w:val="0"/>
        </w:rPr>
        <w:t xml:space="preserve">y </w:t>
      </w:r>
      <w:r w:rsidDel="00000000" w:rsidR="00000000" w:rsidRPr="00000000">
        <w:rPr>
          <w:rFonts w:ascii="Palatino Linotype" w:cs="Palatino Linotype" w:eastAsia="Palatino Linotype" w:hAnsi="Palatino Linotype"/>
          <w:b w:val="1"/>
          <w:i w:val="1"/>
          <w:rtl w:val="0"/>
        </w:rPr>
        <w:t xml:space="preserve">Quinto </w:t>
      </w:r>
      <w:r w:rsidDel="00000000" w:rsidR="00000000" w:rsidRPr="00000000">
        <w:rPr>
          <w:rFonts w:ascii="Palatino Linotype" w:cs="Palatino Linotype" w:eastAsia="Palatino Linotype" w:hAnsi="Palatino Linotype"/>
          <w:i w:val="1"/>
          <w:rtl w:val="0"/>
        </w:rPr>
        <w:t xml:space="preserve">de esta resolución, haga entrega, vía SAIMEX, de lo siguiente:</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1134" w:right="900" w:firstLine="0"/>
        <w:jc w:val="both"/>
        <w:rPr>
          <w:rFonts w:ascii="Palatino Linotype" w:cs="Palatino Linotype" w:eastAsia="Palatino Linotype" w:hAnsi="Palatino Linotype"/>
          <w:i w:val="1"/>
        </w:rPr>
      </w:pPr>
      <w:bookmarkStart w:colFirst="0" w:colLast="0" w:name="_heading=h.17dp8vu" w:id="1"/>
      <w:bookmarkEnd w:id="1"/>
      <w:r w:rsidDel="00000000" w:rsidR="00000000" w:rsidRPr="00000000">
        <w:rPr>
          <w:rFonts w:ascii="Palatino Linotype" w:cs="Palatino Linotype" w:eastAsia="Palatino Linotype" w:hAnsi="Palatino Linotype"/>
          <w:i w:val="1"/>
          <w:rtl w:val="0"/>
        </w:rPr>
        <w:t xml:space="preserve">Acuerdo que emita el Comité de Transparencia mediante el que confirme la declaratoria de incompetencia del </w:t>
      </w:r>
      <w:r w:rsidDel="00000000" w:rsidR="00000000" w:rsidRPr="00000000">
        <w:rPr>
          <w:rFonts w:ascii="Palatino Linotype" w:cs="Palatino Linotype" w:eastAsia="Palatino Linotype" w:hAnsi="Palatino Linotype"/>
          <w:b w:val="1"/>
          <w:i w:val="1"/>
          <w:rtl w:val="0"/>
        </w:rPr>
        <w:t xml:space="preserve">Sujeto Obligado</w:t>
      </w:r>
      <w:r w:rsidDel="00000000" w:rsidR="00000000" w:rsidRPr="00000000">
        <w:rPr>
          <w:rFonts w:ascii="Palatino Linotype" w:cs="Palatino Linotype" w:eastAsia="Palatino Linotype" w:hAnsi="Palatino Linotype"/>
          <w:i w:val="1"/>
          <w:rtl w:val="0"/>
        </w:rPr>
        <w:t xml:space="preserve">, respecto de la información solicitada.”</w:t>
      </w:r>
    </w:p>
    <w:p w:rsidR="00000000" w:rsidDel="00000000" w:rsidP="00000000" w:rsidRDefault="00000000" w:rsidRPr="00000000" w14:paraId="0000000C">
      <w:pPr>
        <w:spacing w:after="240" w:before="24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0D">
      <w:pPr>
        <w:spacing w:after="240" w:before="240" w:line="360" w:lineRule="auto"/>
        <w:ind w:right="139"/>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0E">
      <w:pPr>
        <w:spacing w:after="240" w:before="240" w:line="360" w:lineRule="auto"/>
        <w:ind w:right="139"/>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II. Razones del Voto Disidente.</w:t>
      </w:r>
    </w:p>
    <w:p w:rsidR="00000000" w:rsidDel="00000000" w:rsidP="00000000" w:rsidRDefault="00000000" w:rsidRPr="00000000" w14:paraId="0000000F">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términos generales es de señalar que no se comparte el sentido de la resolución, por los argumentos que se exponen a continuación:</w:t>
      </w:r>
    </w:p>
    <w:p w:rsidR="00000000" w:rsidDel="00000000" w:rsidP="00000000" w:rsidRDefault="00000000" w:rsidRPr="00000000" w14:paraId="00000010">
      <w:pPr>
        <w:tabs>
          <w:tab w:val="left" w:pos="142"/>
          <w:tab w:val="left" w:pos="284"/>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Respecto a la Declaración de Incompetencia la Ley de Transparencia y Acceso a la Información Pública del Estado de México, establece, en los artículos 49, fracción II y 167, lo siguiente: </w:t>
      </w:r>
    </w:p>
    <w:p w:rsidR="00000000" w:rsidDel="00000000" w:rsidP="00000000" w:rsidRDefault="00000000" w:rsidRPr="00000000" w14:paraId="00000011">
      <w:pPr>
        <w:tabs>
          <w:tab w:val="left" w:pos="142"/>
          <w:tab w:val="left" w:pos="284"/>
        </w:tabs>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49.</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Los Comités de Transparencia</w:t>
      </w:r>
      <w:r w:rsidDel="00000000" w:rsidR="00000000" w:rsidRPr="00000000">
        <w:rPr>
          <w:rFonts w:ascii="Palatino Linotype" w:cs="Palatino Linotype" w:eastAsia="Palatino Linotype" w:hAnsi="Palatino Linotype"/>
          <w:i w:val="1"/>
          <w:rtl w:val="0"/>
        </w:rPr>
        <w:t xml:space="preserve"> tendrán las siguientes atribuciones:</w:t>
      </w:r>
    </w:p>
    <w:p w:rsidR="00000000" w:rsidDel="00000000" w:rsidP="00000000" w:rsidRDefault="00000000" w:rsidRPr="00000000" w14:paraId="00000012">
      <w:pPr>
        <w:tabs>
          <w:tab w:val="left" w:pos="142"/>
          <w:tab w:val="left" w:pos="284"/>
        </w:tabs>
        <w:spacing w:after="120" w:before="120" w:line="240" w:lineRule="auto"/>
        <w:ind w:left="1134"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013">
      <w:pPr>
        <w:tabs>
          <w:tab w:val="left" w:pos="142"/>
          <w:tab w:val="left" w:pos="284"/>
        </w:tabs>
        <w:spacing w:after="120" w:before="120" w:line="240" w:lineRule="auto"/>
        <w:ind w:left="1134" w:right="902" w:firstLine="0"/>
        <w:jc w:val="both"/>
        <w:rPr>
          <w:rFonts w:ascii="Palatino Linotype" w:cs="Palatino Linotype" w:eastAsia="Palatino Linotype" w:hAnsi="Palatino Linotype"/>
          <w:b w:val="1"/>
          <w:i w:val="1"/>
          <w:u w:val="single"/>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tl w:val="0"/>
        </w:rPr>
        <w:t xml:space="preserve"> </w:t>
      </w:r>
      <w:r w:rsidDel="00000000" w:rsidR="00000000" w:rsidRPr="00000000">
        <w:rPr>
          <w:rFonts w:ascii="Palatino Linotype" w:cs="Palatino Linotype" w:eastAsia="Palatino Linotype" w:hAnsi="Palatino Linotype"/>
          <w:b w:val="1"/>
          <w:i w:val="1"/>
          <w:rtl w:val="0"/>
        </w:rPr>
        <w:t xml:space="preserve">Confirmar, modificar o revocar</w:t>
      </w:r>
      <w:r w:rsidDel="00000000" w:rsidR="00000000" w:rsidRPr="00000000">
        <w:rPr>
          <w:rFonts w:ascii="Palatino Linotype" w:cs="Palatino Linotype" w:eastAsia="Palatino Linotype" w:hAnsi="Palatino Linotype"/>
          <w:i w:val="1"/>
          <w:rtl w:val="0"/>
        </w:rPr>
        <w:t xml:space="preserve"> las determinaciones que en materia de ampliación del plazo de respuesta, clasificación de la información </w:t>
      </w:r>
      <w:r w:rsidDel="00000000" w:rsidR="00000000" w:rsidRPr="00000000">
        <w:rPr>
          <w:rFonts w:ascii="Palatino Linotype" w:cs="Palatino Linotype" w:eastAsia="Palatino Linotype" w:hAnsi="Palatino Linotype"/>
          <w:b w:val="1"/>
          <w:i w:val="1"/>
          <w:rtl w:val="0"/>
        </w:rPr>
        <w:t xml:space="preserve">y declaración</w:t>
      </w:r>
      <w:r w:rsidDel="00000000" w:rsidR="00000000" w:rsidRPr="00000000">
        <w:rPr>
          <w:rFonts w:ascii="Palatino Linotype" w:cs="Palatino Linotype" w:eastAsia="Palatino Linotype" w:hAnsi="Palatino Linotype"/>
          <w:i w:val="1"/>
          <w:rtl w:val="0"/>
        </w:rPr>
        <w:t xml:space="preserve"> de inexistencia o </w:t>
      </w:r>
      <w:r w:rsidDel="00000000" w:rsidR="00000000" w:rsidRPr="00000000">
        <w:rPr>
          <w:rFonts w:ascii="Palatino Linotype" w:cs="Palatino Linotype" w:eastAsia="Palatino Linotype" w:hAnsi="Palatino Linotype"/>
          <w:b w:val="1"/>
          <w:i w:val="1"/>
          <w:rtl w:val="0"/>
        </w:rPr>
        <w:t xml:space="preserve">de incompetencia realicen los titulares de las áreas de los sujetos obligados;</w:t>
      </w:r>
      <w:r w:rsidDel="00000000" w:rsidR="00000000" w:rsidRPr="00000000">
        <w:rPr>
          <w:rtl w:val="0"/>
        </w:rPr>
      </w:r>
    </w:p>
    <w:p w:rsidR="00000000" w:rsidDel="00000000" w:rsidP="00000000" w:rsidRDefault="00000000" w:rsidRPr="00000000" w14:paraId="00000014">
      <w:pPr>
        <w:tabs>
          <w:tab w:val="left" w:pos="142"/>
          <w:tab w:val="left" w:pos="284"/>
        </w:tabs>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015">
      <w:pPr>
        <w:tabs>
          <w:tab w:val="left" w:pos="142"/>
          <w:tab w:val="left" w:pos="284"/>
        </w:tabs>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Artículo 167</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Cuando las unidades de transparencia determinen la notoria incompetencia</w:t>
      </w:r>
      <w:r w:rsidDel="00000000" w:rsidR="00000000" w:rsidRPr="00000000">
        <w:rPr>
          <w:rFonts w:ascii="Palatino Linotype" w:cs="Palatino Linotype" w:eastAsia="Palatino Linotype" w:hAnsi="Palatino Linotype"/>
          <w:i w:val="1"/>
          <w:rtl w:val="0"/>
        </w:rPr>
        <w:t xml:space="preserve"> por parte de los sujetos obligados, dentro del ámbito de aplicación, para atender la solicitud de acceso a la información, </w:t>
      </w:r>
      <w:r w:rsidDel="00000000" w:rsidR="00000000" w:rsidRPr="00000000">
        <w:rPr>
          <w:rFonts w:ascii="Palatino Linotype" w:cs="Palatino Linotype" w:eastAsia="Palatino Linotype" w:hAnsi="Palatino Linotype"/>
          <w:b w:val="1"/>
          <w:i w:val="1"/>
          <w:rtl w:val="0"/>
        </w:rPr>
        <w:t xml:space="preserve">deberán comunicarlo al solicitante, dentro de los tres días hábiles posteriores a la recepción de la solicitud</w:t>
      </w:r>
      <w:r w:rsidDel="00000000" w:rsidR="00000000" w:rsidRPr="00000000">
        <w:rPr>
          <w:rFonts w:ascii="Palatino Linotype" w:cs="Palatino Linotype" w:eastAsia="Palatino Linotype" w:hAnsi="Palatino Linotype"/>
          <w:i w:val="1"/>
          <w:rtl w:val="0"/>
        </w:rPr>
        <w:t xml:space="preserve"> y, </w:t>
      </w:r>
      <w:r w:rsidDel="00000000" w:rsidR="00000000" w:rsidRPr="00000000">
        <w:rPr>
          <w:rFonts w:ascii="Palatino Linotype" w:cs="Palatino Linotype" w:eastAsia="Palatino Linotype" w:hAnsi="Palatino Linotype"/>
          <w:b w:val="1"/>
          <w:i w:val="1"/>
          <w:rtl w:val="0"/>
        </w:rPr>
        <w:t xml:space="preserve">en su caso orientar al solicitante, el o los sujetos obligados competentes.</w:t>
      </w:r>
    </w:p>
    <w:p w:rsidR="00000000" w:rsidDel="00000000" w:rsidP="00000000" w:rsidRDefault="00000000" w:rsidRPr="00000000" w14:paraId="00000016">
      <w:pPr>
        <w:spacing w:after="120" w:before="120" w:line="240" w:lineRule="auto"/>
        <w:ind w:left="851" w:right="902"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7">
      <w:pPr>
        <w:tabs>
          <w:tab w:val="left" w:pos="142"/>
          <w:tab w:val="left" w:pos="284"/>
        </w:tabs>
        <w:spacing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De los preceptos citados se desprende que es atribución del Comité de Transparencia confirmar, modificar o revocar, en su caso, la declaración de incompetencia,</w:t>
      </w:r>
      <w:r w:rsidDel="00000000" w:rsidR="00000000" w:rsidRPr="00000000">
        <w:rPr>
          <w:rFonts w:ascii="Palatino Linotype" w:cs="Palatino Linotype" w:eastAsia="Palatino Linotype" w:hAnsi="Palatino Linotype"/>
          <w:b w:val="1"/>
          <w:sz w:val="24"/>
          <w:szCs w:val="24"/>
          <w:rtl w:val="0"/>
        </w:rPr>
        <w:t xml:space="preserve"> en aquellos casos en los que no se trate de una notoria incompetencia. </w:t>
      </w:r>
    </w:p>
    <w:p w:rsidR="00000000" w:rsidDel="00000000" w:rsidP="00000000" w:rsidRDefault="00000000" w:rsidRPr="00000000" w14:paraId="00000018">
      <w:pPr>
        <w:tabs>
          <w:tab w:val="left" w:pos="142"/>
          <w:tab w:val="left" w:pos="284"/>
        </w:tabs>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9">
      <w:pPr>
        <w:tabs>
          <w:tab w:val="left" w:pos="142"/>
          <w:tab w:val="left" w:pos="284"/>
        </w:tabs>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Puesto que la Ley también prevé que dicho acuerdo no es necesario cuando la Unidad de Transparencia determine que la incompetencia es notoria dando un plazo de tres días hábiles para hacerlo del conocimiento del particular, por lo que si bien, en el caso particular, no fue respetado dicho plazo, ello no cambia la circunstancia de que la incompetencia de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para dar atención a la solicitud de información siga siendo notoria. </w:t>
      </w:r>
    </w:p>
    <w:p w:rsidR="00000000" w:rsidDel="00000000" w:rsidP="00000000" w:rsidRDefault="00000000" w:rsidRPr="00000000" w14:paraId="0000001A">
      <w:pPr>
        <w:tabs>
          <w:tab w:val="left" w:pos="142"/>
          <w:tab w:val="left" w:pos="284"/>
        </w:tabs>
        <w:spacing w:line="360" w:lineRule="auto"/>
        <w:jc w:val="both"/>
        <w:rPr>
          <w:rFonts w:ascii="Palatino Linotype" w:cs="Palatino Linotype" w:eastAsia="Palatino Linotype" w:hAnsi="Palatino Linotype"/>
          <w:sz w:val="24"/>
          <w:szCs w:val="24"/>
          <w:u w:val="single"/>
        </w:rPr>
      </w:pPr>
      <w:r w:rsidDel="00000000" w:rsidR="00000000" w:rsidRPr="00000000">
        <w:rPr>
          <w:rFonts w:ascii="Palatino Linotype" w:cs="Palatino Linotype" w:eastAsia="Palatino Linotype" w:hAnsi="Palatino Linotype"/>
          <w:sz w:val="24"/>
          <w:szCs w:val="24"/>
          <w:rtl w:val="0"/>
        </w:rPr>
        <w:t xml:space="preserve">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Del="00000000" w:rsidR="00000000" w:rsidRPr="00000000">
        <w:rPr>
          <w:rFonts w:ascii="Palatino Linotype" w:cs="Palatino Linotype" w:eastAsia="Palatino Linotype" w:hAnsi="Palatino Linotype"/>
          <w:sz w:val="24"/>
          <w:szCs w:val="24"/>
          <w:u w:val="single"/>
          <w:rtl w:val="0"/>
        </w:rPr>
        <w:t xml:space="preserve">para su aprobación. </w:t>
      </w:r>
    </w:p>
    <w:p w:rsidR="00000000" w:rsidDel="00000000" w:rsidP="00000000" w:rsidRDefault="00000000" w:rsidRPr="00000000" w14:paraId="0000001B">
      <w:pPr>
        <w:spacing w:after="360" w:before="240" w:line="360" w:lineRule="auto"/>
        <w:ind w:right="1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sz w:val="24"/>
          <w:szCs w:val="24"/>
          <w:rtl w:val="0"/>
        </w:rPr>
        <w:t xml:space="preserve">Como sustento de lo anterior, resulta aplicable el Criterio 20/20, emitido por el Instituto Nacional de Transparencia, Acceso a la Información, y Protección de Datos Personales, INAI, que lleva por rubro y texto los siguientes: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40" w:before="240" w:line="240" w:lineRule="auto"/>
        <w:ind w:left="851" w:right="90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b w:val="1"/>
          <w:i w:val="1"/>
          <w:color w:val="000000"/>
          <w:rtl w:val="0"/>
        </w:rPr>
        <w:t xml:space="preserve">“Declaración de incompetencia por parte del Comité, cuando no sea notoria o manifiesta.</w:t>
      </w:r>
      <w:r w:rsidDel="00000000" w:rsidR="00000000" w:rsidRPr="00000000">
        <w:rPr>
          <w:rFonts w:ascii="Palatino Linotype" w:cs="Palatino Linotype" w:eastAsia="Palatino Linotype" w:hAnsi="Palatino Linotype"/>
          <w:i w:val="1"/>
          <w:color w:val="000000"/>
          <w:rtl w:val="0"/>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rsidR="00000000" w:rsidDel="00000000" w:rsidP="00000000" w:rsidRDefault="00000000" w:rsidRPr="00000000" w14:paraId="0000001D">
      <w:pPr>
        <w:tabs>
          <w:tab w:val="left" w:pos="142"/>
          <w:tab w:val="left" w:pos="284"/>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b w:val="1"/>
          <w:sz w:val="24"/>
          <w:szCs w:val="24"/>
          <w:u w:val="single"/>
          <w:rtl w:val="0"/>
        </w:rPr>
        <w:t xml:space="preserve">duda razonable sobre la administración del documento materia de la solicitud de información</w:t>
      </w:r>
      <w:r w:rsidDel="00000000" w:rsidR="00000000" w:rsidRPr="00000000">
        <w:rPr>
          <w:rFonts w:ascii="Palatino Linotype" w:cs="Palatino Linotype" w:eastAsia="Palatino Linotype" w:hAnsi="Palatino Linotype"/>
          <w:sz w:val="24"/>
          <w:szCs w:val="24"/>
          <w:rtl w:val="0"/>
        </w:rPr>
        <w:t xml:space="preserve">, como se lee enseguida:</w:t>
      </w:r>
    </w:p>
    <w:p w:rsidR="00000000" w:rsidDel="00000000" w:rsidP="00000000" w:rsidRDefault="00000000" w:rsidRPr="00000000" w14:paraId="0000001E">
      <w:pPr>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“DECLARATORIA DE INCOMPETENCIA DEL SUJETO OBLIGADO. SUPUESTO PARA CONFIRMARLA POR ACUERDO DEL COMITÉ DE TRANSPARENCIA. </w:t>
      </w:r>
      <w:r w:rsidDel="00000000" w:rsidR="00000000" w:rsidRPr="00000000">
        <w:rPr>
          <w:rFonts w:ascii="Palatino Linotype" w:cs="Palatino Linotype" w:eastAsia="Palatino Linotype" w:hAnsi="Palatino Linotype"/>
          <w:i w:val="1"/>
          <w:rtl w:val="0"/>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Del="00000000" w:rsidR="00000000" w:rsidRPr="00000000">
        <w:rPr>
          <w:rFonts w:ascii="Palatino Linotype" w:cs="Palatino Linotype" w:eastAsia="Palatino Linotype" w:hAnsi="Palatino Linotype"/>
          <w:b w:val="1"/>
          <w:i w:val="1"/>
          <w:rtl w:val="0"/>
        </w:rPr>
        <w:t xml:space="preserve">al ejercer el derecho de acceso a la información pública cabe la posibilidad de que existan atribuciones concurrentes entre dos o más Sujetos Obligados que </w:t>
      </w:r>
      <w:r w:rsidDel="00000000" w:rsidR="00000000" w:rsidRPr="00000000">
        <w:rPr>
          <w:rFonts w:ascii="Palatino Linotype" w:cs="Palatino Linotype" w:eastAsia="Palatino Linotype" w:hAnsi="Palatino Linotype"/>
          <w:b w:val="1"/>
          <w:i w:val="1"/>
          <w:u w:val="single"/>
          <w:rtl w:val="0"/>
        </w:rPr>
        <w:t xml:space="preserve">impiden determinar dentro del término legal de tres días hábiles</w:t>
      </w:r>
      <w:r w:rsidDel="00000000" w:rsidR="00000000" w:rsidRPr="00000000">
        <w:rPr>
          <w:rFonts w:ascii="Palatino Linotype" w:cs="Palatino Linotype" w:eastAsia="Palatino Linotype" w:hAnsi="Palatino Linotype"/>
          <w:b w:val="1"/>
          <w:i w:val="1"/>
          <w:rtl w:val="0"/>
        </w:rPr>
        <w:t xml:space="preserve">, si se posee o no la información por el Sujeto Obligado requerid</w:t>
      </w:r>
      <w:r w:rsidDel="00000000" w:rsidR="00000000" w:rsidRPr="00000000">
        <w:rPr>
          <w:rFonts w:ascii="Palatino Linotype" w:cs="Palatino Linotype" w:eastAsia="Palatino Linotype" w:hAnsi="Palatino Linotype"/>
          <w:i w:val="1"/>
          <w:rtl w:val="0"/>
        </w:rPr>
        <w:t xml:space="preserve">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000000" w:rsidDel="00000000" w:rsidP="00000000" w:rsidRDefault="00000000" w:rsidRPr="00000000" w14:paraId="0000001F">
      <w:pPr>
        <w:tabs>
          <w:tab w:val="left" w:pos="142"/>
          <w:tab w:val="left" w:pos="284"/>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caso particular en la resolución de mérito se señaló de manera textual lo siguiente: </w:t>
      </w:r>
    </w:p>
    <w:p w:rsidR="00000000" w:rsidDel="00000000" w:rsidP="00000000" w:rsidRDefault="00000000" w:rsidRPr="00000000" w14:paraId="00000020">
      <w:pPr>
        <w:spacing w:after="120" w:before="120" w:line="240" w:lineRule="auto"/>
        <w:ind w:left="851" w:right="902"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oportuno mencionar que del análisis al marco normativo que rige la actuación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se advierte que le faculte para generar, administrar o poseer información o el soporte documental que dé cuenta del sueldo, remuneraciones, o percepciones del presidente de la República, esto de conformidad con los artículos 115 de la Constitución Política de los Estados Unidos Mexicanos, 112, 113, 122, 123 y 125 de la Constitución Política del Estado Libre y Soberano de México, y 16 de la Ley Orgánica Municipal del Estado de México, que en su parte conducente señalan lo siguiente: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115</w:t>
      </w:r>
      <w:r w:rsidDel="00000000" w:rsidR="00000000" w:rsidRPr="00000000">
        <w:rPr>
          <w:rFonts w:ascii="Palatino Linotype" w:cs="Palatino Linotype" w:eastAsia="Palatino Linotype" w:hAnsi="Palatino Linotype"/>
          <w:i w:val="1"/>
          <w:rtl w:val="0"/>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Cada Municipio será gobernado por un Ayuntamiento de elección popular directa, integrado por un </w:t>
      </w:r>
      <w:r w:rsidDel="00000000" w:rsidR="00000000" w:rsidRPr="00000000">
        <w:rPr>
          <w:rFonts w:ascii="Palatino Linotype" w:cs="Palatino Linotype" w:eastAsia="Palatino Linotype" w:hAnsi="Palatino Linotype"/>
          <w:b w:val="1"/>
          <w:i w:val="1"/>
          <w:u w:val="single"/>
          <w:rtl w:val="0"/>
        </w:rPr>
        <w:t xml:space="preserve">Presidente o Presidenta Municipal</w:t>
      </w:r>
      <w:r w:rsidDel="00000000" w:rsidR="00000000" w:rsidRPr="00000000">
        <w:rPr>
          <w:rFonts w:ascii="Palatino Linotype" w:cs="Palatino Linotype" w:eastAsia="Palatino Linotype" w:hAnsi="Palatino Linotype"/>
          <w:i w:val="1"/>
          <w:rtl w:val="0"/>
        </w:rPr>
        <w:t xml:space="preserve">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Los municipios estarán investidos de personalidad jurídica y manejarán su patrimonio conforme a la ley.</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Los Municipios tendrán a su cargo las funciones y servicios públicos siguientes: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Los municipios administrarán libremente su hacienda, la cual se formará de los rendimientos de los bienes que les pertenezcan, así como de las contribuciones y otros ingresos que las legislaturas establezcan a su favor, y en todo caso:</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w:t>
      </w:r>
      <w:r w:rsidDel="00000000" w:rsidR="00000000" w:rsidRPr="00000000">
        <w:rPr>
          <w:rFonts w:ascii="Palatino Linotype" w:cs="Palatino Linotype" w:eastAsia="Palatino Linotype" w:hAnsi="Palatino Linotype"/>
          <w:i w:val="1"/>
          <w:rtl w:val="0"/>
        </w:rPr>
        <w:t xml:space="preserve"> Los Municipios, en los términos de las leyes federales y Estatales relativas, estarán facultados para:</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 Formular, aprobar y administrar la zonificación y planes de desarrollo urbano municipal, así como los planes en materia de movilidad y seguridad vial;</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b) Participar en la creación y administración de sus reservas territoriales;</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c) Participar en la formulación de planes de desarrollo regional, los cuales deberán estar en concordancia con los planes generales de la materia. Cuando la Federación o los Estados elaboren proyectos de desarrollo regional deberán asegurar la participación de los municipios;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d) Autorizar, controlar y vigilar la utilización del suelo, en el ámbito de su competencia, en sus jurisdicciones territoriales;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 Intervenir en la regularización de la tenencia de la tierra urbana;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f) Otorgar licencias y permisos para construcciones;</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g) Participar en la creación y administración de zonas de reservas ecológicas y en la elaboración y aplicación de programas de ordenamiento en esta materia;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h) Intervenir en la formulación y aplicación de programas de transporte público de pasajeros cuando aquellos afecten su ámbito territorial; e</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i) Celebrar convenios para la administración y custodia de las zonas federales.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112.-</w:t>
      </w:r>
      <w:r w:rsidDel="00000000" w:rsidR="00000000" w:rsidRPr="00000000">
        <w:rPr>
          <w:rFonts w:ascii="Palatino Linotype" w:cs="Palatino Linotype" w:eastAsia="Palatino Linotype" w:hAnsi="Palatino Linotype"/>
          <w:i w:val="1"/>
          <w:rtl w:val="0"/>
        </w:rPr>
        <w:t xml:space="preserve"> 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 Los municipios del Estado, su denominación y la de sus cabeceras, serán los que señale la ley de la materia.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113</w:t>
      </w:r>
      <w:r w:rsidDel="00000000" w:rsidR="00000000" w:rsidRPr="00000000">
        <w:rPr>
          <w:rFonts w:ascii="Palatino Linotype" w:cs="Palatino Linotype" w:eastAsia="Palatino Linotype" w:hAnsi="Palatino Linotype"/>
          <w:i w:val="1"/>
          <w:rtl w:val="0"/>
        </w:rPr>
        <w:t xml:space="preserve">.- Cada municipio será gobernado por un ayuntamiento con la competencia que le otorga la Constitución Política de los Estados Unidos Mexicanos, la presente Constitución y las leyes que de ellas emanen.</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122</w:t>
      </w:r>
      <w:r w:rsidDel="00000000" w:rsidR="00000000" w:rsidRPr="00000000">
        <w:rPr>
          <w:rFonts w:ascii="Palatino Linotype" w:cs="Palatino Linotype" w:eastAsia="Palatino Linotype" w:hAnsi="Palatino Linotype"/>
          <w:i w:val="1"/>
          <w:rtl w:val="0"/>
        </w:rPr>
        <w:t xml:space="preserve">.- Los ayuntamientos de los municipios tienen las atribuciones que establecen la Constitución Federal, esta Constitución, y demás disposiciones legales aplicables.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municipios tendrán a su cargo las funciones y servicios públicos que señala la fracción III del artículo 115 de la Constitución Política de los Estados Unidos Mexicanos.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123</w:t>
      </w:r>
      <w:r w:rsidDel="00000000" w:rsidR="00000000" w:rsidRPr="00000000">
        <w:rPr>
          <w:rFonts w:ascii="Palatino Linotype" w:cs="Palatino Linotype" w:eastAsia="Palatino Linotype" w:hAnsi="Palatino Linotype"/>
          <w:i w:val="1"/>
          <w:rtl w:val="0"/>
        </w:rPr>
        <w:t xml:space="preserve">.- Los ayuntamientos, en el ámbito de su competencia, desempeñarán facultades normativas, para el régimen de gobierno y administración del Municipio, así como lo relacionado al Sistema Municipal Anticorrupción y funciones de inspección, concernientes al cumplimiento de las disposiciones de observancia general aplicables. En la designación de los cargos de dirección de la administración pública municipal se observará el principio de igualdad y equidad de género.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124</w:t>
      </w:r>
      <w:r w:rsidDel="00000000" w:rsidR="00000000" w:rsidRPr="00000000">
        <w:rPr>
          <w:rFonts w:ascii="Palatino Linotype" w:cs="Palatino Linotype" w:eastAsia="Palatino Linotype" w:hAnsi="Palatino Linotype"/>
          <w:i w:val="1"/>
          <w:rtl w:val="0"/>
        </w:rPr>
        <w:t xml:space="preserve">.- Los ayuntamientos expedirán el Bando Municipal, que será promulgado y publicado el 5 de febrero de cada año; los reglamentos; y todas las normas necesarias para su organización y funcionamiento, conforme a las previsiones de la Constitución General de la República, de la presente Constitución, de la Ley Orgánica Municipal y demás ordenamientos aplicables.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caso de no promulgarse un nuevo bando municipal el día señalado, se publicará y observará el inmediato anterior.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125</w:t>
      </w:r>
      <w:r w:rsidDel="00000000" w:rsidR="00000000" w:rsidRPr="00000000">
        <w:rPr>
          <w:rFonts w:ascii="Palatino Linotype" w:cs="Palatino Linotype" w:eastAsia="Palatino Linotype" w:hAnsi="Palatino Linotype"/>
          <w:i w:val="1"/>
          <w:rtl w:val="0"/>
        </w:rPr>
        <w:t xml:space="preserve">.- Los municipios administrarán libremente su hacienda, la cual se formará de los rendimientos de los bienes que les pertenezcan, así como de las contribuciones y otros ingresos que la ley establezca, y en todo caso:</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 Percibirán las contribuciones, incluyendo tasas adicionales sobre la propiedad inmobiliaria, de su fraccionamiento, división, consolidación, traslación y mejora, así como las que tengan como base el cambio del valor de los inmuebles;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municipios podrán celebrar convenios con el Estado, para que éste se haga cargo de algunas de las funciones relacionadas con la administración de esas contribuciones;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 Las participaciones federales que serán cubiertas por la Federación a los municipios, con arreglo a las bases, montos y plazos que anualmente determine la Legislatura;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III. Los ingresos derivados de la prestación de los servicios públicos a su cargo. Las leyes del Estado no podrán establecer exenciones o subsidios en favor de persona o institución alguna, respecto de las contribuciones anteriormente citadas. Sólo estarán exentos los bienes de dominio público de la Federación, del Estado y los municipios. Los bienes públicos que sean utilizados por organismos auxiliares, fideicomisos públicos o por particulares bajo cualquier título, para fines administrativos o propósitos distintos a los de su objeto público, causarán las mencionadas contribuciones.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 en los términos que señalen las leyes de la materia.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Ayuntamientos podrán celebrar sesiones extraordinarias de cabildo cuando la Ley de ingresos aprobada por la Legislatura, implique adecuaciones a su Presupuesto de Egresos, asi como por la asignación de las participaciones y aportaciones federales y estatales. Estas sesiones tendrán como único objeto concordar con el Presupuesto de Egresos. La Presidenta o el Presidente Municipal, promulgará y publicará el Presupuesto de Egresos Municipal, a más tardar el día 25 de febrero de cada año debiendo enviarlo al Órgano Superior de Fiscalización en la misma fecha.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Presupuesto deberá incluir los tabuladores desglosados de las remuneraciones que perciban las y los servidores públicos municipales, sujetándose a lo dispuesto en el artículo 147 de esta Constitución.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recursos que integran la hacienda municipal serán ejercidos en forma directa por los ayuntamientos, o por quien ellos autoricen, conforme a la ley, bajo los principios de eficiencia, eficacia, economía, transparencia y honradez”</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16.-</w:t>
      </w:r>
      <w:r w:rsidDel="00000000" w:rsidR="00000000" w:rsidRPr="00000000">
        <w:rPr>
          <w:rFonts w:ascii="Palatino Linotype" w:cs="Palatino Linotype" w:eastAsia="Palatino Linotype" w:hAnsi="Palatino Linotype"/>
          <w:i w:val="1"/>
          <w:rtl w:val="0"/>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 </w:t>
      </w:r>
      <w:r w:rsidDel="00000000" w:rsidR="00000000" w:rsidRPr="00000000">
        <w:rPr>
          <w:rFonts w:ascii="Palatino Linotype" w:cs="Palatino Linotype" w:eastAsia="Palatino Linotype" w:hAnsi="Palatino Linotype"/>
          <w:b w:val="1"/>
          <w:i w:val="1"/>
          <w:rtl w:val="0"/>
        </w:rPr>
        <w:t xml:space="preserve">Un</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presidente</w:t>
      </w:r>
      <w:r w:rsidDel="00000000" w:rsidR="00000000" w:rsidRPr="00000000">
        <w:rPr>
          <w:rFonts w:ascii="Palatino Linotype" w:cs="Palatino Linotype" w:eastAsia="Palatino Linotype" w:hAnsi="Palatino Linotype"/>
          <w:i w:val="1"/>
          <w:rtl w:val="0"/>
        </w:rPr>
        <w:t xml:space="preserve">, un síndico y cuatro regidores, electos por planilla según el principio de mayoría relativa, y tres regidores designados según el principio de representación proporcional, cuando se trate de municipios que tengan una población de menos 150 mil habitantes.</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ind w:left="1134" w:right="1185"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IV. Derogada.”</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40" w:before="240" w:line="240" w:lineRule="auto"/>
        <w:ind w:left="851" w:right="90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los preceptos citados se desprende la Constitución Política del Estado Libre y Soberano de México, reconoce a los Municipios como la base de la división territorial y organización política y administrativa del Estado, además de establecer las funciones y atribuciones contenidas en la Constitución Política de los Estados Unidos Mexicanos, cuestiones que no se pasaron por alto al emitir la Ley Orgánica Municipal del Estado de México, en virtud de que la misma, acoge en su artículo 16 lo establecido por la Constitución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w:t>
      </w:r>
      <w:r w:rsidDel="00000000" w:rsidR="00000000" w:rsidRPr="00000000">
        <w:rPr>
          <w:rFonts w:ascii="Palatino Linotype" w:cs="Palatino Linotype" w:eastAsia="Palatino Linotype" w:hAnsi="Palatino Linotype"/>
          <w:i w:val="1"/>
          <w:rtl w:val="0"/>
        </w:rPr>
        <w:t xml:space="preserve">Presidente Municipal</w:t>
      </w:r>
      <w:r w:rsidDel="00000000" w:rsidR="00000000" w:rsidRPr="00000000">
        <w:rPr>
          <w:rFonts w:ascii="Palatino Linotype" w:cs="Palatino Linotype" w:eastAsia="Palatino Linotype" w:hAnsi="Palatino Linotype"/>
          <w:rtl w:val="0"/>
        </w:rPr>
        <w:t xml:space="preserve">, y el número de regidores y síndicos que la ley determine.</w:t>
      </w:r>
    </w:p>
    <w:p w:rsidR="00000000" w:rsidDel="00000000" w:rsidP="00000000" w:rsidRDefault="00000000" w:rsidRPr="00000000" w14:paraId="0000004D">
      <w:pPr>
        <w:tabs>
          <w:tab w:val="left" w:pos="142"/>
          <w:tab w:val="left" w:pos="284"/>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Advirtiéndose que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resulta incompetente para tener en sus archivos la información relativa al sueldo o remuneraciones del presidente de la República, toda vez que, en el caso particular, no se observa que cuente con alguna atribución de la cual pudiera desprenderse dicha información, siendo otros Sujetos Obligados los que podrían contar con la misma, por ello la Suscrita estima que no resultaba procedente ordenar la emisión del acuerdo de incompetencia</w:t>
      </w:r>
      <w:r w:rsidDel="00000000" w:rsidR="00000000" w:rsidRPr="00000000">
        <w:rPr>
          <w:rFonts w:ascii="Palatino Linotype" w:cs="Palatino Linotype" w:eastAsia="Palatino Linotype" w:hAnsi="Palatino Linotype"/>
          <w:sz w:val="18"/>
          <w:szCs w:val="18"/>
          <w:rtl w:val="0"/>
        </w:rPr>
        <w:t xml:space="preserve">,</w:t>
      </w:r>
      <w:r w:rsidDel="00000000" w:rsidR="00000000" w:rsidRPr="00000000">
        <w:rPr>
          <w:rFonts w:ascii="Palatino Linotype" w:cs="Palatino Linotype" w:eastAsia="Palatino Linotype" w:hAnsi="Palatino Linotype"/>
          <w:sz w:val="24"/>
          <w:szCs w:val="24"/>
          <w:rtl w:val="0"/>
        </w:rPr>
        <w:t xml:space="preserve"> aun cuando la Unidad de Transparencia  efectuó la declaración de la notoria incompetencia por parte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para atender favorablemente la solicitud de información, de manera posterior a los tres días de haberse recibido la solicitud de información.</w:t>
      </w:r>
    </w:p>
    <w:p w:rsidR="00000000" w:rsidDel="00000000" w:rsidP="00000000" w:rsidRDefault="00000000" w:rsidRPr="00000000" w14:paraId="0000004E">
      <w:pPr>
        <w:tabs>
          <w:tab w:val="left" w:pos="142"/>
          <w:tab w:val="left" w:pos="284"/>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 anterior se estima así, en virtud de que, desde mi perspectiva, ordenar al Comité de Transparencia del Sujeto Obligado que sesione para que emita un acuerdo en el que confirme la declaratoria de incompetencia para garantizar el derecho de la parte Recurrente dilata los plazos del procedimiento, genera una carga adicional al Sujeto Obligado, y ello no modifica el hecho de que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no obtendrá la información que es de su interés por ésta vía, en virtud de que la propia ponencia ha determinado que </w:t>
      </w:r>
      <w:r w:rsidDel="00000000" w:rsidR="00000000" w:rsidRPr="00000000">
        <w:rPr>
          <w:rFonts w:ascii="Palatino Linotype" w:cs="Palatino Linotype" w:eastAsia="Palatino Linotype" w:hAnsi="Palatino Linotype"/>
          <w:b w:val="1"/>
          <w:sz w:val="24"/>
          <w:szCs w:val="24"/>
          <w:u w:val="single"/>
          <w:rtl w:val="0"/>
        </w:rPr>
        <w:t xml:space="preserve">el Sujeto Obligado no cuenta con competencia para atender el requerimiento señalado por la persona solicitante, por ende no se</w:t>
      </w:r>
      <w:r w:rsidDel="00000000" w:rsidR="00000000" w:rsidRPr="00000000">
        <w:rPr>
          <w:b w:val="1"/>
          <w:sz w:val="24"/>
          <w:szCs w:val="24"/>
          <w:u w:val="single"/>
          <w:rtl w:val="0"/>
        </w:rPr>
        <w:t xml:space="preserve"> </w:t>
      </w:r>
      <w:r w:rsidDel="00000000" w:rsidR="00000000" w:rsidRPr="00000000">
        <w:rPr>
          <w:rFonts w:ascii="Palatino Linotype" w:cs="Palatino Linotype" w:eastAsia="Palatino Linotype" w:hAnsi="Palatino Linotype"/>
          <w:b w:val="1"/>
          <w:sz w:val="24"/>
          <w:szCs w:val="24"/>
          <w:u w:val="single"/>
          <w:rtl w:val="0"/>
        </w:rPr>
        <w:t xml:space="preserve">encuentra constreñido a entregar la información requerida ante la falta de atribuciones para generar, poseer o administrar lo solicitado.</w:t>
      </w:r>
      <w:r w:rsidDel="00000000" w:rsidR="00000000" w:rsidRPr="00000000">
        <w:rPr>
          <w:rFonts w:ascii="Palatino Linotype" w:cs="Palatino Linotype" w:eastAsia="Palatino Linotype" w:hAnsi="Palatino Linotype"/>
          <w:b w:val="1"/>
          <w:i w:val="1"/>
          <w:sz w:val="24"/>
          <w:szCs w:val="24"/>
          <w:u w:val="single"/>
          <w:rtl w:val="0"/>
        </w:rPr>
        <w:t xml:space="preserve"> </w:t>
      </w:r>
      <w:r w:rsidDel="00000000" w:rsidR="00000000" w:rsidRPr="00000000">
        <w:rPr>
          <w:rtl w:val="0"/>
        </w:rPr>
      </w:r>
    </w:p>
    <w:p w:rsidR="00000000" w:rsidDel="00000000" w:rsidP="00000000" w:rsidRDefault="00000000" w:rsidRPr="00000000" w14:paraId="0000004F">
      <w:pPr>
        <w:tabs>
          <w:tab w:val="left" w:pos="142"/>
          <w:tab w:val="left" w:pos="284"/>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ello, instruir al Comité de Transparencia para que sesione y emita una resolución en la que se confirme una notoria incompetencia que ya fue declarada por el Sujeto Obligado y analizada por este Organismo Garante, se aparta de los principios de sencillez y rapidez establecidos por la Ley de Transparencia y Acceso a la Información Pública del Estado de México y Municipios, en sus artículos 2, fracciones II y III, 21 y 150. </w:t>
      </w:r>
    </w:p>
    <w:p w:rsidR="00000000" w:rsidDel="00000000" w:rsidP="00000000" w:rsidRDefault="00000000" w:rsidRPr="00000000" w14:paraId="00000050">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por todo lo vertido en líneas anteriores que la Suscrita no comparte el sentido de la resolución, y formula el presente voto disidente.</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3">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4">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5">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6">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7">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8">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9">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A">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B">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sectPr>
      <w:headerReference r:id="rId8" w:type="default"/>
      <w:footerReference r:id="rId9" w:type="default"/>
      <w:pgSz w:h="15840" w:w="12240" w:orient="portrait"/>
      <w:pgMar w:bottom="2778" w:top="2438" w:left="1701" w:right="1701"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pos="4419"/>
        <w:tab w:val="right" w:pos="8838"/>
      </w:tabs>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pos="4419"/>
        <w:tab w:val="right" w:pos="8838"/>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720" w:hanging="720"/>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w:t>
      </w:r>
      <w:r w:rsidDel="00000000" w:rsidR="00000000" w:rsidRPr="00000000">
        <w:rPr>
          <w:rFonts w:ascii="Palatino Linotype" w:cs="Palatino Linotype" w:eastAsia="Palatino Linotype" w:hAnsi="Palatino Linotype"/>
          <w:b w:val="1"/>
          <w:color w:val="000000"/>
          <w:sz w:val="16"/>
          <w:szCs w:val="16"/>
          <w:rtl w:val="0"/>
        </w:rPr>
        <w:t xml:space="preserve">Artículo 185.</w:t>
      </w:r>
      <w:r w:rsidDel="00000000" w:rsidR="00000000" w:rsidRPr="00000000">
        <w:rPr>
          <w:rFonts w:ascii="Palatino Linotype" w:cs="Palatino Linotype" w:eastAsia="Palatino Linotype" w:hAnsi="Palatino Linotype"/>
          <w:color w:val="000000"/>
          <w:sz w:val="16"/>
          <w:szCs w:val="16"/>
          <w:rtl w:val="0"/>
        </w:rPr>
        <w:t xml:space="preserve"> El Instituto resolverá el recurso de revisión conforme a lo siguiente: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pos="4419"/>
        <w:tab w:val="right"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VOTO DISIDENTE</w:t>
    </w:r>
    <w:r w:rsidDel="00000000" w:rsidR="00000000" w:rsidRPr="00000000">
      <w:drawing>
        <wp:anchor allowOverlap="1" behindDoc="1" distB="0" distT="0" distL="0" distR="0" hidden="0" layoutInCell="1" locked="0" relativeHeight="0" simplePos="0">
          <wp:simplePos x="0" y="0"/>
          <wp:positionH relativeFrom="column">
            <wp:posOffset>-952496</wp:posOffset>
          </wp:positionH>
          <wp:positionV relativeFrom="paragraph">
            <wp:posOffset>-568957</wp:posOffset>
          </wp:positionV>
          <wp:extent cx="7510628" cy="9883775"/>
          <wp:effectExtent b="0" l="0" r="0" t="0"/>
          <wp:wrapNone/>
          <wp:docPr id="2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10628" cy="9883775"/>
                  </a:xfrm>
                  <a:prstGeom prst="rect"/>
                  <a:ln/>
                </pic:spPr>
              </pic:pic>
            </a:graphicData>
          </a:graphic>
        </wp:anchor>
      </w:drawing>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pos="4419"/>
        <w:tab w:val="right"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RECURSO DE REVISIÓN 15309/INFOEM/IP/RR/2022</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pos="4419"/>
        <w:tab w:val="right"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607BA"/>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0607BA"/>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0607BA"/>
    <w:rPr>
      <w:rFonts w:ascii="Times New Roman" w:cs="Times New Roman" w:eastAsia="Times New Roman" w:hAnsi="Times New Roman"/>
      <w:sz w:val="24"/>
      <w:szCs w:val="24"/>
      <w:lang w:eastAsia="es-ES" w:val="es-ES"/>
    </w:rPr>
  </w:style>
  <w:style w:type="paragraph" w:styleId="NormalWeb">
    <w:name w:val="Normal (Web)"/>
    <w:basedOn w:val="Normal"/>
    <w:uiPriority w:val="99"/>
    <w:rsid w:val="000607BA"/>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607BA"/>
    <w:pPr>
      <w:spacing w:after="0" w:line="240" w:lineRule="auto"/>
      <w:ind w:left="720"/>
      <w:contextualSpacing w:val="1"/>
    </w:pPr>
    <w:rPr>
      <w:rFonts w:ascii="Times New Roman" w:cs="Times New Roman" w:hAnsi="Times New Roman"/>
      <w:sz w:val="24"/>
      <w:szCs w:val="24"/>
      <w:lang w:eastAsia="es-ES" w:val="es-ES"/>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0607BA"/>
    <w:rPr>
      <w:rFonts w:ascii="Times New Roman" w:cs="Times New Roman" w:eastAsia="Calibri" w:hAnsi="Times New Roman"/>
      <w:sz w:val="24"/>
      <w:szCs w:val="24"/>
      <w:lang w:eastAsia="es-ES" w:val="es-ES"/>
    </w:rPr>
  </w:style>
  <w:style w:type="paragraph" w:styleId="Textodeglobo">
    <w:name w:val="Balloon Text"/>
    <w:basedOn w:val="Normal"/>
    <w:link w:val="TextodegloboCar"/>
    <w:uiPriority w:val="99"/>
    <w:semiHidden w:val="1"/>
    <w:unhideWhenUsed w:val="1"/>
    <w:rsid w:val="0045646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56467"/>
    <w:rPr>
      <w:rFonts w:ascii="Segoe UI" w:cs="Segoe UI" w:hAnsi="Segoe UI"/>
      <w:sz w:val="18"/>
      <w:szCs w:val="18"/>
    </w:rPr>
  </w:style>
  <w:style w:type="character" w:styleId="apple-converted-space" w:customStyle="1">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921613"/>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val="1"/>
    <w:qFormat w:val="1"/>
    <w:rsid w:val="00921613"/>
    <w:rPr>
      <w:vertAlign w:val="superscript"/>
    </w:rPr>
  </w:style>
  <w:style w:type="character" w:styleId="Hipervnculo">
    <w:name w:val="Hyperlink"/>
    <w:basedOn w:val="Fuentedeprrafopredeter"/>
    <w:uiPriority w:val="99"/>
    <w:semiHidden w:val="1"/>
    <w:unhideWhenUsed w:val="1"/>
    <w:rsid w:val="00696A57"/>
    <w:rPr>
      <w:color w:val="0000ff"/>
      <w:u w:val="single"/>
    </w:rPr>
  </w:style>
  <w:style w:type="paragraph" w:styleId="Sinespaciado">
    <w:name w:val="No Spacing"/>
    <w:aliases w:val="Francesa,INAI"/>
    <w:link w:val="SinespaciadoCar"/>
    <w:uiPriority w:val="1"/>
    <w:qFormat w:val="1"/>
    <w:rsid w:val="00F33522"/>
    <w:pPr>
      <w:spacing w:after="0" w:line="240" w:lineRule="auto"/>
    </w:pPr>
  </w:style>
  <w:style w:type="character" w:styleId="SinespaciadoCar" w:customStyle="1">
    <w:name w:val="Sin espaciado Car"/>
    <w:aliases w:val="Francesa Car,INAI Car"/>
    <w:link w:val="Sinespaciado"/>
    <w:uiPriority w:val="1"/>
    <w:locked w:val="1"/>
    <w:rsid w:val="00F33522"/>
  </w:style>
  <w:style w:type="table" w:styleId="TableNormal1" w:customStyle="1">
    <w:name w:val="Table Normal"/>
    <w:uiPriority w:val="2"/>
    <w:semiHidden w:val="1"/>
    <w:unhideWhenUsed w:val="1"/>
    <w:qFormat w:val="1"/>
    <w:rsid w:val="00B21C09"/>
    <w:pPr>
      <w:widowControl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Pr>
  </w:style>
  <w:style w:type="paragraph" w:styleId="Listaconvietas2">
    <w:name w:val="List Bullet 2"/>
    <w:basedOn w:val="Normal"/>
    <w:uiPriority w:val="99"/>
    <w:unhideWhenUsed w:val="1"/>
    <w:rsid w:val="004500CD"/>
    <w:pPr>
      <w:numPr>
        <w:numId w:val="1"/>
      </w:numPr>
      <w:spacing w:after="0" w:line="240" w:lineRule="auto"/>
      <w:contextualSpacing w:val="1"/>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77ULvKpNgtbtDIBdQH6h1GTuhg==">AMUW2mVK3svQFicRb1y/fOvea4Kvne4PZDItFPYebbk09aJtbGoyW6kQHp/nbaRNxkxPAc6HMRtm0ObGtoVT+8UzpvslfEwjzMf82BsiQEOw+vESqNv9K0R06TRHSy/7daBeBwZSCn2qZGBhi5EgugFsDUTZnr/d0g==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2022-11-22T01:09:00Z</dcterms:created>
  <dc:creator>USUARIO</dc:creator>
</cp:coreProperties>
</file>