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64B" w:rsidRDefault="005A7243">
      <w:pPr>
        <w:spacing w:before="240" w:after="240" w:line="360" w:lineRule="auto"/>
        <w:ind w:right="139"/>
        <w:jc w:val="both"/>
        <w:rPr>
          <w:rFonts w:ascii="Palatino Linotype" w:eastAsia="Palatino Linotype" w:hAnsi="Palatino Linotype" w:cs="Palatino Linotype"/>
          <w:b/>
          <w:sz w:val="24"/>
          <w:szCs w:val="24"/>
        </w:rPr>
      </w:pPr>
      <w:bookmarkStart w:id="0" w:name="_heading=h.30j0zll" w:colFirst="0" w:colLast="0"/>
      <w:bookmarkEnd w:id="0"/>
      <w:r>
        <w:rPr>
          <w:rFonts w:ascii="Palatino Linotype" w:eastAsia="Palatino Linotype" w:hAnsi="Palatino Linotype" w:cs="Palatino Linotype"/>
          <w:b/>
          <w:sz w:val="24"/>
          <w:szCs w:val="24"/>
        </w:rPr>
        <w:t xml:space="preserve">VOTO DISIDENTE QUE FORMULA LA COMISIONADA GUADALUPE RAMÍREZ PEÑA, EN RELACIÓN CON LA RESOLUCIÓN DICTADA POR EL </w:t>
      </w:r>
      <w:bookmarkStart w:id="1" w:name="_GoBack"/>
      <w:bookmarkEnd w:id="1"/>
      <w:r>
        <w:rPr>
          <w:rFonts w:ascii="Palatino Linotype" w:eastAsia="Palatino Linotype" w:hAnsi="Palatino Linotype" w:cs="Palatino Linotype"/>
          <w:b/>
          <w:sz w:val="24"/>
          <w:szCs w:val="24"/>
        </w:rPr>
        <w:t>PLENO DEL INSTITUTO DE TRANSPARENCIA, ACCESO A LA INFORMACIÓN PÚBLICA Y PROTECCIÓN DE DATOS PERSONALES DEL ESTADO DE MÉXICO Y MUNICIPIOS, EN LA TRIGÉSIMA SEXTA SESIÓN ORDINARIA CELEBRADA EL CINCO DE OCTUBRE DE DOS MIL VEINTIDÓS, EN EL RECURSO DE REVISIÓN 11951/INFOEM/IP/RR/2022.</w:t>
      </w:r>
    </w:p>
    <w:p w:rsidR="00EC264B" w:rsidRDefault="005A7243">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Pr>
          <w:rFonts w:ascii="Palatino Linotype" w:eastAsia="Palatino Linotype" w:hAnsi="Palatino Linotype" w:cs="Palatino Linotype"/>
          <w:b/>
          <w:sz w:val="24"/>
          <w:szCs w:val="24"/>
        </w:rPr>
        <w:t>VOTO DISIDENTE</w:t>
      </w:r>
      <w:r>
        <w:rPr>
          <w:rFonts w:ascii="Palatino Linotype" w:eastAsia="Palatino Linotype" w:hAnsi="Palatino Linotype" w:cs="Palatino Linotype"/>
          <w:sz w:val="24"/>
          <w:szCs w:val="24"/>
        </w:rPr>
        <w:t xml:space="preserve"> respecto a la resolución dictada en el recurso de revisión número </w:t>
      </w:r>
      <w:r>
        <w:rPr>
          <w:rFonts w:ascii="Palatino Linotype" w:eastAsia="Palatino Linotype" w:hAnsi="Palatino Linotype" w:cs="Palatino Linotype"/>
          <w:b/>
          <w:sz w:val="24"/>
          <w:szCs w:val="24"/>
        </w:rPr>
        <w:t>11951/INFOEM/IP/RR/2022</w:t>
      </w:r>
      <w:r>
        <w:rPr>
          <w:rFonts w:ascii="Palatino Linotype" w:eastAsia="Palatino Linotype" w:hAnsi="Palatino Linotype" w:cs="Palatino Linotype"/>
          <w:sz w:val="24"/>
          <w:szCs w:val="24"/>
        </w:rPr>
        <w:t xml:space="preserve">, pronunciada por el Pleno de este Instituto ante el proyecto presentado por el Comisionado Luis Gustavo Parra Noriega, el cual fue engrosado conforme al criterio mayoritario del Pleno, que es del tenor siguiente: </w:t>
      </w:r>
    </w:p>
    <w:p w:rsidR="00EC264B" w:rsidRDefault="005A7243">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I. Antecedentes.</w:t>
      </w:r>
    </w:p>
    <w:p w:rsidR="00EC264B" w:rsidRDefault="005A7243">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quedó debidamente asentado en la resolución, materia del presente voto disidente, la persona solicitante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conocer la versión pública de las declaraciones patrimoniales de los servidores públicos adscritos al cabildo y las diferentes direcciones de la administración municipal. </w:t>
      </w:r>
    </w:p>
    <w:p w:rsidR="00EC264B" w:rsidRDefault="005A724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 xml:space="preserve">En respuesta,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señala que el formato para la presentación de la Declaración de situación patrimonial, contiene el apartado Datos Generales del declarante, los relacionados con el Registro Federal de Contribuyentes, Clave Única de Registro de Población, correo electrónico personal, estado civil, país y entidad en el que nació, nacionalidad, domicilio particular y </w:t>
      </w:r>
      <w:r>
        <w:rPr>
          <w:rFonts w:ascii="Palatino Linotype" w:eastAsia="Palatino Linotype" w:hAnsi="Palatino Linotype" w:cs="Palatino Linotype"/>
          <w:sz w:val="24"/>
          <w:szCs w:val="24"/>
        </w:rPr>
        <w:t>número</w:t>
      </w:r>
      <w:r>
        <w:rPr>
          <w:rFonts w:ascii="Palatino Linotype" w:eastAsia="Palatino Linotype" w:hAnsi="Palatino Linotype" w:cs="Palatino Linotype"/>
          <w:color w:val="000000"/>
          <w:sz w:val="24"/>
          <w:szCs w:val="24"/>
        </w:rPr>
        <w:t xml:space="preserve"> celular, por lo que los datos no pueden ser visualizados en las versiones públicas consultables en la página de Declaranet, ni públicos por tratarse de datos inherentes a una persona física identificable, y por ende constituye información confidencial, en términos del artículo 113, fracción I, de la Ley de Transparencia y Acceso a la Información Pública, misma situación guarda la información relacionada con el apartado de Datos Patrimoniales que contienen información del cónyuge o dependientes económicos, ingresos mensuales, bienes muebles e inmuebles del declarante, cuentas bancarias, cuyos datos sólo pueden ser visualizados previa autorización del servidor público de conformidad con el artículo de la Ley Federal de Responsabilidades Administrativas de los Servidores Públicos. En virtud de lo anterior la presente solicitud se archiva como concluida</w:t>
      </w:r>
    </w:p>
    <w:p w:rsidR="00EC264B" w:rsidRDefault="00EC264B">
      <w:pPr>
        <w:spacing w:after="0" w:line="360" w:lineRule="auto"/>
        <w:jc w:val="both"/>
        <w:rPr>
          <w:rFonts w:ascii="Palatino Linotype" w:eastAsia="Palatino Linotype" w:hAnsi="Palatino Linotype" w:cs="Palatino Linotype"/>
          <w:color w:val="000000"/>
          <w:sz w:val="24"/>
          <w:szCs w:val="24"/>
        </w:rPr>
      </w:pPr>
    </w:p>
    <w:p w:rsidR="00EC264B" w:rsidRDefault="005A7243">
      <w:pPr>
        <w:spacing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expresando lo siguiente: </w:t>
      </w:r>
    </w:p>
    <w:p w:rsidR="00EC264B" w:rsidRDefault="005A7243">
      <w:pPr>
        <w:ind w:left="850" w:right="901"/>
        <w:jc w:val="both"/>
        <w:rPr>
          <w:rFonts w:ascii="Palatino Linotype" w:eastAsia="Palatino Linotype" w:hAnsi="Palatino Linotype" w:cs="Palatino Linotype"/>
          <w:i/>
        </w:rPr>
      </w:pPr>
      <w:r>
        <w:rPr>
          <w:rFonts w:ascii="Palatino Linotype" w:eastAsia="Palatino Linotype" w:hAnsi="Palatino Linotype" w:cs="Palatino Linotype"/>
          <w:i/>
        </w:rPr>
        <w:t>“El sujeto obligado alega confidencialidad de la información solicitada.” (Sic)</w:t>
      </w:r>
    </w:p>
    <w:p w:rsidR="00EC264B" w:rsidRDefault="005A724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Admitido el recurso de revisión, en términos del artículo 185 fracción II</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fue omiso en rendir su informe justificado, por lo que respecta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resultó de igual forma omisa de emitir manifestaciones.</w:t>
      </w:r>
    </w:p>
    <w:p w:rsidR="00EC264B" w:rsidRDefault="005A724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ponencia resolutora tuvo a bien realizar un Requerimiento adicional, el cual consistió en el siguiente:</w:t>
      </w:r>
    </w:p>
    <w:p w:rsidR="00EC264B" w:rsidRDefault="005A7243">
      <w:pPr>
        <w:pBdr>
          <w:top w:val="nil"/>
          <w:left w:val="nil"/>
          <w:bottom w:val="nil"/>
          <w:right w:val="nil"/>
          <w:between w:val="nil"/>
        </w:pBdr>
        <w:spacing w:before="240" w:after="240" w:line="276" w:lineRule="auto"/>
        <w:ind w:left="566" w:right="771"/>
        <w:jc w:val="both"/>
        <w:rPr>
          <w:rFonts w:ascii="Palatino Linotype" w:eastAsia="Palatino Linotype" w:hAnsi="Palatino Linotype" w:cs="Palatino Linotype"/>
          <w:i/>
        </w:rPr>
      </w:pPr>
      <w:r>
        <w:rPr>
          <w:rFonts w:ascii="Palatino Linotype" w:eastAsia="Palatino Linotype" w:hAnsi="Palatino Linotype" w:cs="Palatino Linotype"/>
          <w:i/>
        </w:rPr>
        <w:t>“… con el objeto de contar con los elementos necesarios para la elaboración del proyecto de resolución correspondiente, requiere al Sujeto Obligado para que indique lo siguiente:</w:t>
      </w:r>
    </w:p>
    <w:p w:rsidR="00EC264B" w:rsidRDefault="005A7243">
      <w:pPr>
        <w:pBdr>
          <w:top w:val="nil"/>
          <w:left w:val="nil"/>
          <w:bottom w:val="nil"/>
          <w:right w:val="nil"/>
          <w:between w:val="nil"/>
        </w:pBdr>
        <w:spacing w:before="240" w:after="240" w:line="276" w:lineRule="auto"/>
        <w:ind w:left="566" w:right="771"/>
        <w:jc w:val="both"/>
        <w:rPr>
          <w:rFonts w:ascii="Palatino Linotype" w:eastAsia="Palatino Linotype" w:hAnsi="Palatino Linotype" w:cs="Palatino Linotype"/>
          <w:i/>
        </w:rPr>
      </w:pPr>
      <w:r>
        <w:rPr>
          <w:rFonts w:ascii="Palatino Linotype" w:eastAsia="Palatino Linotype" w:hAnsi="Palatino Linotype" w:cs="Palatino Linotype"/>
          <w:i/>
        </w:rPr>
        <w:t>Si en los archivos de la Contraloría Municipal, obran las declaraciones patrimoniales requeridas, a la fecha de la solicitud, y</w:t>
      </w:r>
    </w:p>
    <w:p w:rsidR="00EC264B" w:rsidRDefault="005A7243">
      <w:pPr>
        <w:pBdr>
          <w:top w:val="nil"/>
          <w:left w:val="nil"/>
          <w:bottom w:val="nil"/>
          <w:right w:val="nil"/>
          <w:between w:val="nil"/>
        </w:pBdr>
        <w:spacing w:before="240" w:after="240" w:line="276" w:lineRule="auto"/>
        <w:ind w:left="566" w:right="771"/>
        <w:jc w:val="both"/>
        <w:rPr>
          <w:rFonts w:ascii="Palatino Linotype" w:eastAsia="Palatino Linotype" w:hAnsi="Palatino Linotype" w:cs="Palatino Linotype"/>
          <w:i/>
        </w:rPr>
      </w:pPr>
      <w:r>
        <w:rPr>
          <w:rFonts w:ascii="Palatino Linotype" w:eastAsia="Palatino Linotype" w:hAnsi="Palatino Linotype" w:cs="Palatino Linotype"/>
          <w:i/>
        </w:rPr>
        <w:t>El sistema mediante el cual se presentaron y a quién pertenece…” (Sic)</w:t>
      </w:r>
    </w:p>
    <w:p w:rsidR="00EC264B" w:rsidRDefault="005A724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Ayuntamiento de Melchor Ocampo desahogó del requerimiento, como sigue:</w:t>
      </w:r>
    </w:p>
    <w:p w:rsidR="00EC264B" w:rsidRDefault="005A7243" w:rsidP="003F2778">
      <w:pPr>
        <w:pBdr>
          <w:top w:val="nil"/>
          <w:left w:val="nil"/>
          <w:bottom w:val="nil"/>
          <w:right w:val="nil"/>
          <w:between w:val="nil"/>
        </w:pBdr>
        <w:spacing w:before="240" w:after="240" w:line="360" w:lineRule="auto"/>
        <w:ind w:left="567" w:right="616"/>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 xml:space="preserve">“… atentos a lo precedente, mediante oficio número el cual se adjunta al presente, la Contraloría Municipal manifiesta, según se observa, no contar con </w:t>
      </w:r>
      <w:r>
        <w:rPr>
          <w:rFonts w:ascii="Palatino Linotype" w:eastAsia="Palatino Linotype" w:hAnsi="Palatino Linotype" w:cs="Palatino Linotype"/>
          <w:i/>
          <w:sz w:val="24"/>
          <w:szCs w:val="24"/>
        </w:rPr>
        <w:lastRenderedPageBreak/>
        <w:t xml:space="preserve">copia del Acuse de la Declaración de Situación Patrimonial y de Intereses del personal referido en la solicitud de origen, además de señalar el sistema mediante el cual los servidores públicos cumplen con la obligación, al cual se puede ingresar mediante la siguiente dirección electrónica: </w:t>
      </w:r>
      <w:hyperlink r:id="rId7">
        <w:r>
          <w:rPr>
            <w:rFonts w:ascii="Palatino Linotype" w:eastAsia="Palatino Linotype" w:hAnsi="Palatino Linotype" w:cs="Palatino Linotype"/>
            <w:i/>
            <w:sz w:val="24"/>
            <w:szCs w:val="24"/>
          </w:rPr>
          <w:t>https://declaranet.secogem.gob.mx/</w:t>
        </w:r>
      </w:hyperlink>
      <w:r>
        <w:rPr>
          <w:rFonts w:ascii="Palatino Linotype" w:eastAsia="Palatino Linotype" w:hAnsi="Palatino Linotype" w:cs="Palatino Linotype"/>
          <w:i/>
          <w:sz w:val="24"/>
          <w:szCs w:val="24"/>
        </w:rPr>
        <w:t>, es administrado en su totalidad por la Secretaría de la Contraloría del Gobierno del Estado de México…” (Sic)</w:t>
      </w:r>
    </w:p>
    <w:p w:rsidR="00EC264B" w:rsidRDefault="005A724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sentido, derivado del análisis efectuado, consideró que los motivos de inconformidad aducidos por la persona solicitante resultaban fundados, y determinó revocar la respuesta emitida, procediendo a ordenar la entrega de lo siguiente:</w:t>
      </w:r>
    </w:p>
    <w:p w:rsidR="00EC264B" w:rsidRDefault="005A7243">
      <w:pPr>
        <w:pBdr>
          <w:top w:val="nil"/>
          <w:left w:val="nil"/>
          <w:bottom w:val="nil"/>
          <w:right w:val="nil"/>
          <w:between w:val="nil"/>
        </w:pBdr>
        <w:spacing w:before="240" w:after="240" w:line="360" w:lineRule="auto"/>
        <w:ind w:left="567" w:right="616"/>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“SEGUNDO. Se ORDENA al Ayuntamiento de Melchor Ocampo, a efecto de que entregue, a través del Sistema de Acceso a la Información Mexiquense (SAIMEX), lo siguiente:</w:t>
      </w:r>
    </w:p>
    <w:p w:rsidR="00EC264B" w:rsidRDefault="005A7243">
      <w:pPr>
        <w:pBdr>
          <w:top w:val="nil"/>
          <w:left w:val="nil"/>
          <w:bottom w:val="nil"/>
          <w:right w:val="nil"/>
          <w:between w:val="nil"/>
        </w:pBdr>
        <w:spacing w:before="240" w:after="240" w:line="360" w:lineRule="auto"/>
        <w:ind w:left="567" w:right="616"/>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Acuerdo emitido por el Comité de Transparencia, que confirme la incompetencia para conocer de las declaraciones patrimoniales de los servidores públicos adscritos al Ayuntamiento de Melchor Ocampo…</w:t>
      </w:r>
      <w:r w:rsidR="003F2778">
        <w:rPr>
          <w:rFonts w:ascii="Palatino Linotype" w:eastAsia="Palatino Linotype" w:hAnsi="Palatino Linotype" w:cs="Palatino Linotype"/>
          <w:i/>
          <w:sz w:val="24"/>
          <w:szCs w:val="24"/>
        </w:rPr>
        <w:t>” (</w:t>
      </w:r>
      <w:r>
        <w:rPr>
          <w:rFonts w:ascii="Palatino Linotype" w:eastAsia="Palatino Linotype" w:hAnsi="Palatino Linotype" w:cs="Palatino Linotype"/>
          <w:i/>
          <w:sz w:val="24"/>
          <w:szCs w:val="24"/>
        </w:rPr>
        <w:t>Sic)</w:t>
      </w:r>
    </w:p>
    <w:p w:rsidR="00EC264B" w:rsidRDefault="005A7243">
      <w:pPr>
        <w:spacing w:before="240" w:after="24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Disidente.</w:t>
      </w:r>
    </w:p>
    <w:p w:rsidR="00EC264B" w:rsidRDefault="005A7243">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se comparte el sentido de la resolución, por los argumentos que se exponen a continuación:</w:t>
      </w:r>
    </w:p>
    <w:p w:rsidR="00EC264B" w:rsidRDefault="005A7243">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Respecto a la Declaración de Incompetencia la Ley de Transparencia y Acceso a la Información Pública del Estado de México, establece, en los artículos 49, fracción II y 167, lo siguiente: </w:t>
      </w:r>
    </w:p>
    <w:p w:rsidR="00EC264B" w:rsidRDefault="005A7243" w:rsidP="003F2778">
      <w:pPr>
        <w:tabs>
          <w:tab w:val="left" w:pos="142"/>
          <w:tab w:val="left" w:pos="284"/>
        </w:tabs>
        <w:spacing w:before="120" w:after="120" w:line="240" w:lineRule="auto"/>
        <w:ind w:left="993" w:right="104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EC264B" w:rsidRDefault="005A7243" w:rsidP="003F2778">
      <w:pPr>
        <w:tabs>
          <w:tab w:val="left" w:pos="142"/>
          <w:tab w:val="left" w:pos="284"/>
        </w:tabs>
        <w:spacing w:before="120" w:after="120" w:line="240" w:lineRule="auto"/>
        <w:ind w:left="993" w:right="1041"/>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EC264B" w:rsidRDefault="005A7243" w:rsidP="003F2778">
      <w:pPr>
        <w:tabs>
          <w:tab w:val="left" w:pos="142"/>
          <w:tab w:val="left" w:pos="284"/>
        </w:tabs>
        <w:spacing w:before="120" w:after="120" w:line="240" w:lineRule="auto"/>
        <w:ind w:left="993" w:right="1041"/>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EC264B" w:rsidRDefault="005A7243" w:rsidP="003F2778">
      <w:pPr>
        <w:tabs>
          <w:tab w:val="left" w:pos="142"/>
          <w:tab w:val="left" w:pos="284"/>
        </w:tabs>
        <w:spacing w:before="120" w:after="120" w:line="240" w:lineRule="auto"/>
        <w:ind w:left="993" w:right="1041"/>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EC264B" w:rsidRDefault="005A7243" w:rsidP="003F2778">
      <w:pPr>
        <w:tabs>
          <w:tab w:val="left" w:pos="142"/>
          <w:tab w:val="left" w:pos="284"/>
        </w:tabs>
        <w:spacing w:before="120" w:after="120" w:line="240" w:lineRule="auto"/>
        <w:ind w:left="993" w:right="1041"/>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r w:rsidR="003F2778">
        <w:rPr>
          <w:rFonts w:ascii="Palatino Linotype" w:eastAsia="Palatino Linotype" w:hAnsi="Palatino Linotype" w:cs="Palatino Linotype"/>
          <w:b/>
          <w:i/>
        </w:rPr>
        <w:t>” (Sic)</w:t>
      </w:r>
    </w:p>
    <w:p w:rsidR="00EC264B" w:rsidRDefault="00EC264B">
      <w:pPr>
        <w:spacing w:before="120" w:after="120" w:line="240" w:lineRule="auto"/>
        <w:ind w:left="851" w:right="902"/>
        <w:jc w:val="both"/>
        <w:rPr>
          <w:rFonts w:ascii="Palatino Linotype" w:eastAsia="Palatino Linotype" w:hAnsi="Palatino Linotype" w:cs="Palatino Linotype"/>
        </w:rPr>
      </w:pPr>
    </w:p>
    <w:p w:rsidR="00EC264B" w:rsidRDefault="005A7243">
      <w:pPr>
        <w:tabs>
          <w:tab w:val="left" w:pos="142"/>
          <w:tab w:val="left" w:pos="284"/>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De los preceptos citados se desprende que es atribución del Comité de Transparencia confirmar, modificar o revocar, en su caso, la declaración de incompetencia,</w:t>
      </w:r>
      <w:r>
        <w:rPr>
          <w:rFonts w:ascii="Palatino Linotype" w:eastAsia="Palatino Linotype" w:hAnsi="Palatino Linotype" w:cs="Palatino Linotype"/>
          <w:b/>
          <w:sz w:val="24"/>
          <w:szCs w:val="24"/>
        </w:rPr>
        <w:t xml:space="preserve"> en aquellos casos en los que no se trate de una notoria incompetencia. </w:t>
      </w:r>
    </w:p>
    <w:p w:rsidR="00EC264B" w:rsidRDefault="005A7243">
      <w:pPr>
        <w:tabs>
          <w:tab w:val="left" w:pos="142"/>
          <w:tab w:val="left" w:pos="284"/>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Puesto que la Ley también prevé que dicho acuerdo no es necesario cuando la Unidad de Transparencia determine que la incompetencia es notoria dando un plazo de tres días hábiles para hacerlo del conocimiento del particular, por lo que si bien, </w:t>
      </w:r>
      <w:r>
        <w:rPr>
          <w:rFonts w:ascii="Palatino Linotype" w:eastAsia="Palatino Linotype" w:hAnsi="Palatino Linotype" w:cs="Palatino Linotype"/>
          <w:sz w:val="24"/>
          <w:szCs w:val="24"/>
        </w:rPr>
        <w:lastRenderedPageBreak/>
        <w:t xml:space="preserve">en el caso particular, no fue respetado dicho plazo, ello no cambia la circunstancia de que la incompetencia de sujeto obligado para dar atención a la solicitud de información siga siendo notoria. </w:t>
      </w:r>
    </w:p>
    <w:p w:rsidR="00EC264B" w:rsidRDefault="005A7243">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EC264B" w:rsidRDefault="005A7243">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Como sustento de lo anterior, resulta aplicable el Criterio 20/20, emitido por el Instituto Nacional de Transparencia, Acceso a la Información, y Protección de Datos Personales, INAI, que lleva por rubro y texto los siguientes:  </w:t>
      </w:r>
    </w:p>
    <w:p w:rsidR="00EC264B" w:rsidRDefault="005A7243">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“Declaración de incompetencia por parte del Comité, cuando no sea notoria o manifiesta.</w:t>
      </w:r>
      <w:r>
        <w:rPr>
          <w:rFonts w:ascii="Palatino Linotype" w:eastAsia="Palatino Linotype" w:hAnsi="Palatino Linotype" w:cs="Palatino Linotype"/>
          <w:i/>
          <w:color w:val="00000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r w:rsidR="003F2778">
        <w:rPr>
          <w:rFonts w:ascii="Palatino Linotype" w:eastAsia="Palatino Linotype" w:hAnsi="Palatino Linotype" w:cs="Palatino Linotype"/>
          <w:i/>
          <w:color w:val="000000"/>
        </w:rPr>
        <w:t>(Sic)</w:t>
      </w:r>
    </w:p>
    <w:p w:rsidR="00EC264B" w:rsidRDefault="005A7243">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EC264B" w:rsidRDefault="005A7243">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“DECLARATORIA DE INCOMPETENCIA DEL SUJETO OBLIGADO. SUPUESTO PARA CONFIRMARLA POR ACUERDO DEL COMITÉ DE TRANSPARENCIA. </w:t>
      </w:r>
      <w:r>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EC264B" w:rsidRDefault="005A7243">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en la resolución de mérito se señaló de manera textual lo siguiente: </w:t>
      </w:r>
    </w:p>
    <w:p w:rsidR="00EC264B" w:rsidRPr="003F2778" w:rsidRDefault="005A7243">
      <w:pPr>
        <w:spacing w:line="360" w:lineRule="auto"/>
        <w:ind w:left="567" w:right="758"/>
        <w:jc w:val="both"/>
        <w:rPr>
          <w:rFonts w:ascii="Palatino Linotype" w:eastAsia="Palatino Linotype" w:hAnsi="Palatino Linotype" w:cs="Palatino Linotype"/>
          <w:i/>
        </w:rPr>
      </w:pPr>
      <w:r w:rsidRPr="003F2778">
        <w:rPr>
          <w:rFonts w:ascii="Palatino Linotype" w:eastAsia="Palatino Linotype" w:hAnsi="Palatino Linotype" w:cs="Palatino Linotype"/>
          <w:i/>
        </w:rPr>
        <w:lastRenderedPageBreak/>
        <w:t>“…toda vez que las declaraciones de situación patrimonial, se presentan en un sistema administrado y controlado por la Secretaría de la Contraloría del Estado de México, este Instituto colige que el pronunciamiento realizado por el Sujeto Obligado, se refiere a que es incompetente para conocer de lo requerido, por lo que, se procede a su análisis.</w:t>
      </w:r>
    </w:p>
    <w:p w:rsidR="00EC264B" w:rsidRPr="003F2778" w:rsidRDefault="005A7243">
      <w:pPr>
        <w:spacing w:line="360" w:lineRule="auto"/>
        <w:ind w:left="567" w:right="758"/>
        <w:jc w:val="both"/>
        <w:rPr>
          <w:rFonts w:ascii="Palatino Linotype" w:eastAsia="Palatino Linotype" w:hAnsi="Palatino Linotype" w:cs="Palatino Linotype"/>
          <w:b/>
          <w:i/>
        </w:rPr>
      </w:pPr>
      <w:r w:rsidRPr="003F2778">
        <w:rPr>
          <w:rFonts w:ascii="Palatino Linotype" w:eastAsia="Palatino Linotype" w:hAnsi="Palatino Linotype" w:cs="Palatino Linotype"/>
          <w:i/>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3F2778">
        <w:rPr>
          <w:rFonts w:ascii="Palatino Linotype" w:eastAsia="Palatino Linotype" w:hAnsi="Palatino Linotype" w:cs="Palatino Linotype"/>
          <w:b/>
          <w:i/>
        </w:rPr>
        <w:t>cuando la misma no sea competencia del sujeto obligado ante el cual se formule la solicitud de acceso.</w:t>
      </w:r>
    </w:p>
    <w:p w:rsidR="00EC264B" w:rsidRPr="003F2778" w:rsidRDefault="005A7243">
      <w:pPr>
        <w:spacing w:line="360" w:lineRule="auto"/>
        <w:ind w:left="567" w:right="758"/>
        <w:jc w:val="both"/>
        <w:rPr>
          <w:rFonts w:ascii="Palatino Linotype" w:eastAsia="Palatino Linotype" w:hAnsi="Palatino Linotype" w:cs="Palatino Linotype"/>
          <w:i/>
        </w:rPr>
      </w:pPr>
      <w:r w:rsidRPr="003F2778">
        <w:rPr>
          <w:rFonts w:ascii="Palatino Linotype" w:eastAsia="Palatino Linotype" w:hAnsi="Palatino Linotype" w:cs="Palatino Linotype"/>
          <w:i/>
        </w:rPr>
        <w:t xml:space="preserve">Asimismo, que los Comités de Transparencia tienen entre sus atribuciones confirmar, modificar o revocar la </w:t>
      </w:r>
      <w:r w:rsidRPr="003F2778">
        <w:rPr>
          <w:rFonts w:ascii="Palatino Linotype" w:eastAsia="Palatino Linotype" w:hAnsi="Palatino Linotype" w:cs="Palatino Linotype"/>
          <w:b/>
          <w:i/>
        </w:rPr>
        <w:t>declaración de incompetencia</w:t>
      </w:r>
      <w:r w:rsidRPr="003F2778">
        <w:rPr>
          <w:rFonts w:ascii="Palatino Linotype" w:eastAsia="Palatino Linotype" w:hAnsi="Palatino Linotype" w:cs="Palatino Linotype"/>
          <w:i/>
        </w:rPr>
        <w:t xml:space="preserve"> que realicen los titulares de las unidades administrativas.</w:t>
      </w:r>
    </w:p>
    <w:p w:rsidR="00EC264B" w:rsidRPr="003F2778" w:rsidRDefault="005A7243">
      <w:pPr>
        <w:spacing w:line="360" w:lineRule="auto"/>
        <w:ind w:left="567" w:right="758"/>
        <w:jc w:val="both"/>
        <w:rPr>
          <w:rFonts w:ascii="Palatino Linotype" w:eastAsia="Palatino Linotype" w:hAnsi="Palatino Linotype" w:cs="Palatino Linotype"/>
          <w:b/>
          <w:i/>
        </w:rPr>
      </w:pPr>
      <w:r w:rsidRPr="003F2778">
        <w:rPr>
          <w:rFonts w:ascii="Palatino Linotype" w:eastAsia="Palatino Linotype" w:hAnsi="Palatino Linotype" w:cs="Palatino Linotype"/>
          <w:i/>
        </w:rPr>
        <w:t xml:space="preserve">Así, cuando las Unidades de Transparencia determinen </w:t>
      </w:r>
      <w:r w:rsidRPr="003F2778">
        <w:rPr>
          <w:rFonts w:ascii="Palatino Linotype" w:eastAsia="Palatino Linotype" w:hAnsi="Palatino Linotype" w:cs="Palatino Linotype"/>
          <w:b/>
          <w:i/>
        </w:rPr>
        <w:t>la notoria incompetencia</w:t>
      </w:r>
      <w:r w:rsidRPr="003F2778">
        <w:rPr>
          <w:rFonts w:ascii="Palatino Linotype" w:eastAsia="Palatino Linotype" w:hAnsi="Palatino Linotype" w:cs="Palatino Linotype"/>
          <w:i/>
        </w:rPr>
        <w:t xml:space="preserve"> por parte de los sujetos obligados deberán comunicar al solicitante la misma </w:t>
      </w:r>
      <w:r w:rsidRPr="003F2778">
        <w:rPr>
          <w:rFonts w:ascii="Palatino Linotype" w:eastAsia="Palatino Linotype" w:hAnsi="Palatino Linotype" w:cs="Palatino Linotype"/>
          <w:b/>
          <w:i/>
        </w:rPr>
        <w:t>dentro de los tres días posteriores a la recepción de la solicitud.</w:t>
      </w:r>
    </w:p>
    <w:p w:rsidR="00EC264B" w:rsidRPr="003F2778" w:rsidRDefault="005A7243">
      <w:pPr>
        <w:tabs>
          <w:tab w:val="left" w:pos="4962"/>
        </w:tabs>
        <w:spacing w:line="360" w:lineRule="auto"/>
        <w:ind w:left="567" w:right="758"/>
        <w:jc w:val="both"/>
        <w:rPr>
          <w:rFonts w:ascii="Palatino Linotype" w:eastAsia="Palatino Linotype" w:hAnsi="Palatino Linotype" w:cs="Palatino Linotype"/>
          <w:i/>
        </w:rPr>
      </w:pPr>
      <w:r w:rsidRPr="003F2778">
        <w:rPr>
          <w:rFonts w:ascii="Palatino Linotype" w:eastAsia="Palatino Linotype" w:hAnsi="Palatino Linotype" w:cs="Palatino Linotype"/>
          <w:i/>
        </w:rPr>
        <w:t xml:space="preserve">Bajo esa tesitura, se procede a analizar si en la especie, el Ente Recurrido cuenta con atribuciones para conocer sobre la información requerida, para lo cual es necesario traer a colación, los artículos 18, inciso f, y 28, fracción XXVI del Reglamento Orgánico de la Administración Pública Municipal de Melchor Ocampo, precisan que el Sujeto Obligado cuenta con una Contraloría Municipal, encargada de inscribir y mantener actualizada en el sistema de evolución patrimonial, con relación a la </w:t>
      </w:r>
      <w:r w:rsidRPr="003F2778">
        <w:rPr>
          <w:rFonts w:ascii="Palatino Linotype" w:eastAsia="Palatino Linotype" w:hAnsi="Palatino Linotype" w:cs="Palatino Linotype"/>
          <w:i/>
        </w:rPr>
        <w:lastRenderedPageBreak/>
        <w:t>información correspondiente de los declarantes de la administración pública municipal.</w:t>
      </w:r>
    </w:p>
    <w:p w:rsidR="00EC264B" w:rsidRPr="003F2778" w:rsidRDefault="005A7243">
      <w:pPr>
        <w:spacing w:line="360" w:lineRule="auto"/>
        <w:ind w:left="567" w:right="758"/>
        <w:jc w:val="both"/>
        <w:rPr>
          <w:rFonts w:ascii="Palatino Linotype" w:eastAsia="Palatino Linotype" w:hAnsi="Palatino Linotype" w:cs="Palatino Linotype"/>
          <w:i/>
          <w:color w:val="000000"/>
        </w:rPr>
      </w:pPr>
      <w:r w:rsidRPr="003F2778">
        <w:rPr>
          <w:rFonts w:ascii="Palatino Linotype" w:eastAsia="Palatino Linotype" w:hAnsi="Palatino Linotype" w:cs="Palatino Linotype"/>
          <w:i/>
          <w:color w:val="000000"/>
        </w:rPr>
        <w:t>Sin embargo, no se localizó ninguna atribución para poder recibir, recabar o analizar las declaraciones patrimoniales presentadas por los servidores públicos; por lo que, en primera instancia carece de atribuciones para conocer de la información peticionada.</w:t>
      </w:r>
    </w:p>
    <w:p w:rsidR="00EC264B" w:rsidRPr="003F2778" w:rsidRDefault="005A7243">
      <w:pPr>
        <w:spacing w:line="360" w:lineRule="auto"/>
        <w:ind w:left="567" w:right="758"/>
        <w:jc w:val="both"/>
        <w:rPr>
          <w:rFonts w:ascii="Palatino Linotype" w:eastAsia="Palatino Linotype" w:hAnsi="Palatino Linotype" w:cs="Palatino Linotype"/>
          <w:i/>
          <w:color w:val="000000"/>
        </w:rPr>
      </w:pPr>
      <w:r w:rsidRPr="003F2778">
        <w:rPr>
          <w:rFonts w:ascii="Palatino Linotype" w:eastAsia="Palatino Linotype" w:hAnsi="Palatino Linotype" w:cs="Palatino Linotype"/>
          <w:i/>
          <w:color w:val="000000"/>
        </w:rPr>
        <w:t xml:space="preserve">Lo anterior, toma relevancia, pues conforme a la página oficial de la Secretaría de la Contraloría, en el apartado de Declaración Patrimonial y de Intereses (consultada en la liga electrónica </w:t>
      </w:r>
      <w:hyperlink r:id="rId8">
        <w:r w:rsidRPr="003F2778">
          <w:rPr>
            <w:rFonts w:ascii="Palatino Linotype" w:eastAsia="Palatino Linotype" w:hAnsi="Palatino Linotype" w:cs="Palatino Linotype"/>
            <w:i/>
            <w:color w:val="0000FF"/>
            <w:u w:val="single"/>
          </w:rPr>
          <w:t>https://portal.secogem.gob.mx/declaranet</w:t>
        </w:r>
      </w:hyperlink>
      <w:r w:rsidRPr="003F2778">
        <w:rPr>
          <w:rFonts w:ascii="Palatino Linotype" w:eastAsia="Palatino Linotype" w:hAnsi="Palatino Linotype" w:cs="Palatino Linotype"/>
          <w:i/>
          <w:color w:val="000000"/>
        </w:rPr>
        <w:t xml:space="preserve">, el veintiséis de septiembre de dos mil veintidós, a las trece horas) precisa que dicha dependencia ofrece el portal </w:t>
      </w:r>
      <w:r w:rsidRPr="003F2778">
        <w:rPr>
          <w:rFonts w:ascii="Palatino Linotype" w:eastAsia="Palatino Linotype" w:hAnsi="Palatino Linotype" w:cs="Palatino Linotype"/>
          <w:b/>
          <w:i/>
          <w:color w:val="000000"/>
        </w:rPr>
        <w:t>Decl@ranet</w:t>
      </w:r>
      <w:r w:rsidRPr="003F2778">
        <w:rPr>
          <w:rFonts w:ascii="Palatino Linotype" w:eastAsia="Palatino Linotype" w:hAnsi="Palatino Linotype" w:cs="Palatino Linotype"/>
          <w:i/>
          <w:color w:val="000000"/>
        </w:rPr>
        <w:t>, con la finalidad de facilitar a los servidores públicos del Estado de México, presenten su Declaración de Situación Patrimonial, Declaración de Intereses o Posible Conflicto de Intereses y presentación de Constancia de Declaración Fiscal.</w:t>
      </w:r>
    </w:p>
    <w:p w:rsidR="00EC264B" w:rsidRPr="003F2778" w:rsidRDefault="005A7243">
      <w:pPr>
        <w:spacing w:line="360" w:lineRule="auto"/>
        <w:ind w:left="567" w:right="758"/>
        <w:jc w:val="both"/>
        <w:rPr>
          <w:rFonts w:ascii="Palatino Linotype" w:eastAsia="Palatino Linotype" w:hAnsi="Palatino Linotype" w:cs="Palatino Linotype"/>
          <w:i/>
          <w:color w:val="000000"/>
        </w:rPr>
      </w:pPr>
      <w:r w:rsidRPr="003F2778">
        <w:rPr>
          <w:rFonts w:ascii="Palatino Linotype" w:eastAsia="Palatino Linotype" w:hAnsi="Palatino Linotype" w:cs="Palatino Linotype"/>
          <w:i/>
          <w:color w:val="000000"/>
        </w:rPr>
        <w:t xml:space="preserve">Además, que el díptico denominado “Sistema Declaranet” (consultado el día previamente referido, en la liga </w:t>
      </w:r>
      <w:hyperlink r:id="rId9">
        <w:r w:rsidRPr="003F2778">
          <w:rPr>
            <w:rFonts w:ascii="Palatino Linotype" w:eastAsia="Palatino Linotype" w:hAnsi="Palatino Linotype" w:cs="Palatino Linotype"/>
            <w:i/>
            <w:color w:val="0000FF"/>
            <w:u w:val="single"/>
          </w:rPr>
          <w:t>http://www.edomex.gob.mx/sites/edomex.gob.mx/files/files/39.pdf</w:t>
        </w:r>
      </w:hyperlink>
      <w:r w:rsidRPr="003F2778">
        <w:rPr>
          <w:rFonts w:ascii="Palatino Linotype" w:eastAsia="Palatino Linotype" w:hAnsi="Palatino Linotype" w:cs="Palatino Linotype"/>
          <w:i/>
          <w:color w:val="000000"/>
        </w:rPr>
        <w:t xml:space="preserve">), precisa que dicho sistema es administrado por la </w:t>
      </w:r>
      <w:r w:rsidRPr="003F2778">
        <w:rPr>
          <w:rFonts w:ascii="Palatino Linotype" w:eastAsia="Palatino Linotype" w:hAnsi="Palatino Linotype" w:cs="Palatino Linotype"/>
          <w:b/>
          <w:i/>
          <w:color w:val="000000"/>
        </w:rPr>
        <w:t>Secretaría de la Contraloría</w:t>
      </w:r>
      <w:r w:rsidRPr="003F2778">
        <w:rPr>
          <w:rFonts w:ascii="Palatino Linotype" w:eastAsia="Palatino Linotype" w:hAnsi="Palatino Linotype" w:cs="Palatino Linotype"/>
          <w:i/>
          <w:color w:val="000000"/>
        </w:rPr>
        <w:t>, y cuyo fin es los servidores públicos del Poder Ejecutivo y los ciento veinticinco Ayuntamientos, presenten su Manifestación de Bienes o Declaración Patrimonial.</w:t>
      </w:r>
    </w:p>
    <w:p w:rsidR="00EC264B" w:rsidRPr="003F2778" w:rsidRDefault="005A7243">
      <w:pPr>
        <w:spacing w:line="360" w:lineRule="auto"/>
        <w:ind w:left="567" w:right="758"/>
        <w:jc w:val="both"/>
        <w:rPr>
          <w:rFonts w:ascii="Palatino Linotype" w:eastAsia="Palatino Linotype" w:hAnsi="Palatino Linotype" w:cs="Palatino Linotype"/>
          <w:i/>
          <w:color w:val="000000"/>
        </w:rPr>
      </w:pPr>
      <w:r w:rsidRPr="003F2778">
        <w:rPr>
          <w:rFonts w:ascii="Palatino Linotype" w:eastAsia="Palatino Linotype" w:hAnsi="Palatino Linotype" w:cs="Palatino Linotype"/>
          <w:i/>
          <w:color w:val="000000"/>
        </w:rPr>
        <w:t xml:space="preserve">Como se logra observar, el Sistema Decl@ranet, es administrado y operado únicamente por la Secretaría de la Contraloría, por lo que, es la única dependencia que tiene acceso a las declaraciones presentadas por dicha plataforma; situación que se robustece con el </w:t>
      </w:r>
      <w:r w:rsidRPr="003F2778">
        <w:rPr>
          <w:rFonts w:ascii="Palatino Linotype" w:eastAsia="Palatino Linotype" w:hAnsi="Palatino Linotype" w:cs="Palatino Linotype"/>
          <w:i/>
          <w:color w:val="000000"/>
        </w:rPr>
        <w:lastRenderedPageBreak/>
        <w:t xml:space="preserve">Manual General de Organización de la </w:t>
      </w:r>
      <w:r w:rsidRPr="003F2778">
        <w:rPr>
          <w:rFonts w:ascii="Palatino Linotype" w:eastAsia="Palatino Linotype" w:hAnsi="Palatino Linotype" w:cs="Palatino Linotype"/>
          <w:b/>
          <w:i/>
          <w:color w:val="000000"/>
        </w:rPr>
        <w:t>Secretaría de la Contraloría</w:t>
      </w:r>
      <w:r w:rsidRPr="003F2778">
        <w:rPr>
          <w:rFonts w:ascii="Palatino Linotype" w:eastAsia="Palatino Linotype" w:hAnsi="Palatino Linotype" w:cs="Palatino Linotype"/>
          <w:i/>
          <w:color w:val="000000"/>
        </w:rPr>
        <w:t xml:space="preserve">, que precisa que dicha dependencia cuenta con diversas unidades administrativas para el ejercicio de sus funciones, entre las cuales se encuentra la </w:t>
      </w:r>
      <w:r w:rsidRPr="003F2778">
        <w:rPr>
          <w:rFonts w:ascii="Palatino Linotype" w:eastAsia="Palatino Linotype" w:hAnsi="Palatino Linotype" w:cs="Palatino Linotype"/>
          <w:b/>
          <w:i/>
          <w:color w:val="000000"/>
        </w:rPr>
        <w:t>Dirección de Registro de Declaraciones y de Sanciones, encargada de realizar la recepción, registro y resguardo de las declaraciones de situación patrimonial de los servidores públicos de las Administraciones Públicas Estatal y Municipal.</w:t>
      </w:r>
    </w:p>
    <w:p w:rsidR="00EC264B" w:rsidRPr="003F2778" w:rsidRDefault="005A7243">
      <w:pPr>
        <w:tabs>
          <w:tab w:val="left" w:pos="4962"/>
        </w:tabs>
        <w:spacing w:line="360" w:lineRule="auto"/>
        <w:ind w:left="567" w:right="758"/>
        <w:jc w:val="both"/>
        <w:rPr>
          <w:rFonts w:ascii="Palatino Linotype" w:eastAsia="Palatino Linotype" w:hAnsi="Palatino Linotype" w:cs="Palatino Linotype"/>
          <w:b/>
          <w:i/>
        </w:rPr>
      </w:pPr>
      <w:r w:rsidRPr="003F2778">
        <w:rPr>
          <w:rFonts w:ascii="Palatino Linotype" w:eastAsia="Palatino Linotype" w:hAnsi="Palatino Linotype" w:cs="Palatino Linotype"/>
          <w:i/>
        </w:rPr>
        <w:t xml:space="preserve">Conforme a lo anterior, se logra vislumbrar que el Sujeto Obligado es </w:t>
      </w:r>
      <w:r w:rsidRPr="003F2778">
        <w:rPr>
          <w:rFonts w:ascii="Palatino Linotype" w:eastAsia="Palatino Linotype" w:hAnsi="Palatino Linotype" w:cs="Palatino Linotype"/>
          <w:b/>
          <w:i/>
        </w:rPr>
        <w:t xml:space="preserve">incompetente para conocer de la información peticionada, pues el encargado de recibir, registrar y resguardar las declaraciones patrimoniales del Ayuntamiento, es únicamente la Secretaría de la Contraloría. </w:t>
      </w:r>
    </w:p>
    <w:p w:rsidR="00EC264B" w:rsidRPr="003F2778" w:rsidRDefault="005A7243">
      <w:pPr>
        <w:tabs>
          <w:tab w:val="left" w:pos="4962"/>
        </w:tabs>
        <w:spacing w:line="360" w:lineRule="auto"/>
        <w:ind w:left="567" w:right="758"/>
        <w:jc w:val="both"/>
        <w:rPr>
          <w:rFonts w:ascii="Palatino Linotype" w:eastAsia="Palatino Linotype" w:hAnsi="Palatino Linotype" w:cs="Palatino Linotype"/>
          <w:i/>
        </w:rPr>
      </w:pPr>
      <w:r w:rsidRPr="003F2778">
        <w:rPr>
          <w:rFonts w:ascii="Palatino Linotype" w:eastAsia="Palatino Linotype" w:hAnsi="Palatino Linotype" w:cs="Palatino Linotype"/>
          <w:i/>
        </w:rPr>
        <w:t>En ese contexto, es necesario traer a colación el en el Criterio de Interpretación, de la Segunda Época, con número de registro SO/002/2020, emitido por el Instituto Nacional de Transparencia, Acceso a la Información y Protección de Datos Personales, que precisa que cuando la incompetencia no sea manifestada por el Sujeto Obligado, o bien, que se necesite efectuar un análisis mayor, a la verificación de atribuciones, será necesario que sea declarada por el Comité de Transparencia.</w:t>
      </w:r>
    </w:p>
    <w:p w:rsidR="00EC264B" w:rsidRPr="003F2778" w:rsidRDefault="005A7243">
      <w:pPr>
        <w:tabs>
          <w:tab w:val="left" w:pos="4962"/>
        </w:tabs>
        <w:spacing w:line="360" w:lineRule="auto"/>
        <w:ind w:left="567" w:right="758"/>
        <w:jc w:val="both"/>
        <w:rPr>
          <w:rFonts w:ascii="Palatino Linotype" w:eastAsia="Palatino Linotype" w:hAnsi="Palatino Linotype" w:cs="Palatino Linotype"/>
          <w:i/>
        </w:rPr>
      </w:pPr>
      <w:r w:rsidRPr="003F2778">
        <w:rPr>
          <w:rFonts w:ascii="Palatino Linotype" w:eastAsia="Palatino Linotype" w:hAnsi="Palatino Linotype" w:cs="Palatino Linotype"/>
          <w:i/>
        </w:rPr>
        <w:t xml:space="preserve">En ese orden de ideas, en el presente caso, se logra vislumbrar que el Sujeto Obligado no manifestó que era incompetente, aunado que se necesitó un requerimiento de información adicional, con el fin de que este aclarara si obraban en sus archivos las declaraciones de situación patrimonial; por lo que, para dar por atendida la solicitud de acceso a la información, se considera procedente ordenar la entrega del Acuerdo emitido por el Comité de Transparencia del Ayuntamiento de Melchor Ocampo, a </w:t>
      </w:r>
      <w:r w:rsidRPr="003F2778">
        <w:rPr>
          <w:rFonts w:ascii="Palatino Linotype" w:eastAsia="Palatino Linotype" w:hAnsi="Palatino Linotype" w:cs="Palatino Linotype"/>
          <w:i/>
        </w:rPr>
        <w:lastRenderedPageBreak/>
        <w:t>efecto de confirmar la incompetencia para conocer de las Declaraciones Patrimoniales de los servidores públicos referidos en la solicitud de información.” (Sic)</w:t>
      </w:r>
    </w:p>
    <w:p w:rsidR="00EC264B" w:rsidRDefault="005A7243">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Advirtiéndose que la Secretaría de la Contraloría es la dependencia encargada de recibir, registrar y resguardar las declaraciones patrimoniales del Sujeto Obligado, consecuentemente, se advierte que el </w:t>
      </w:r>
      <w:r>
        <w:rPr>
          <w:rFonts w:ascii="Palatino Linotype" w:eastAsia="Palatino Linotype" w:hAnsi="Palatino Linotype" w:cs="Palatino Linotype"/>
          <w:b/>
          <w:sz w:val="24"/>
          <w:szCs w:val="24"/>
        </w:rPr>
        <w:t xml:space="preserve">Ayuntamiento de Melchor Ocampo, </w:t>
      </w:r>
      <w:r>
        <w:rPr>
          <w:rFonts w:ascii="Palatino Linotype" w:eastAsia="Palatino Linotype" w:hAnsi="Palatino Linotype" w:cs="Palatino Linotype"/>
          <w:sz w:val="24"/>
          <w:szCs w:val="24"/>
        </w:rPr>
        <w:t>resulta incompetente para tener en sus archivos la información relativa a las declaraciones patrimoniales de los servidores públicos adscritos al cabildo y las diferentes direcciones de la administración municipal, por ello la Suscrita estima que no resultaba procedente ordenar la emisión del acuerdo de incompetencia</w:t>
      </w:r>
      <w:r>
        <w:rPr>
          <w:rFonts w:ascii="Palatino Linotype" w:eastAsia="Palatino Linotype" w:hAnsi="Palatino Linotype" w:cs="Palatino Linotype"/>
          <w:sz w:val="18"/>
          <w:szCs w:val="18"/>
        </w:rPr>
        <w:t>,</w:t>
      </w:r>
      <w:r>
        <w:rPr>
          <w:rFonts w:ascii="Palatino Linotype" w:eastAsia="Palatino Linotype" w:hAnsi="Palatino Linotype" w:cs="Palatino Linotype"/>
          <w:sz w:val="24"/>
          <w:szCs w:val="24"/>
        </w:rPr>
        <w:t xml:space="preserve"> aun cuando la Unidad de Transparencia no efectuó la declaración de la notoria incompetencia por parte del Sujeto Obligado para atender favorablemente la solicitud de información.</w:t>
      </w:r>
    </w:p>
    <w:p w:rsidR="00EC264B" w:rsidRDefault="005A7243">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Recurrente no obtendrá la información que es de su interés por ésta vía, en virtud de que la propia ponencia ha determinado 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 xml:space="preserve">encuentra constreñido a </w:t>
      </w:r>
      <w:r>
        <w:rPr>
          <w:rFonts w:ascii="Palatino Linotype" w:eastAsia="Palatino Linotype" w:hAnsi="Palatino Linotype" w:cs="Palatino Linotype"/>
          <w:b/>
          <w:i/>
          <w:sz w:val="24"/>
          <w:szCs w:val="24"/>
          <w:u w:val="single"/>
        </w:rPr>
        <w:lastRenderedPageBreak/>
        <w:t xml:space="preserve">entregar la información requerida ante la falta de atribuciones para generar, poseer o administrar lo solicitado. </w:t>
      </w:r>
    </w:p>
    <w:p w:rsidR="00EC264B" w:rsidRDefault="005A7243">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EC264B" w:rsidRDefault="005A7243">
      <w:pPr>
        <w:spacing w:before="240" w:after="240" w:line="360" w:lineRule="auto"/>
        <w:ind w:right="139"/>
        <w:jc w:val="both"/>
        <w:rPr>
          <w:rFonts w:ascii="Palatino Linotype" w:eastAsia="Palatino Linotype" w:hAnsi="Palatino Linotype" w:cs="Palatino Linotype"/>
          <w:sz w:val="24"/>
          <w:szCs w:val="24"/>
        </w:rPr>
      </w:pPr>
      <w:bookmarkStart w:id="2" w:name="_heading=h.gjdgxs" w:colFirst="0" w:colLast="0"/>
      <w:bookmarkEnd w:id="2"/>
      <w:r>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p>
    <w:p w:rsidR="00EC264B" w:rsidRDefault="003F2778">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168634</wp:posOffset>
                </wp:positionH>
                <wp:positionV relativeFrom="paragraph">
                  <wp:posOffset>1089</wp:posOffset>
                </wp:positionV>
                <wp:extent cx="5534167" cy="3480179"/>
                <wp:effectExtent l="0" t="0" r="28575" b="25400"/>
                <wp:wrapNone/>
                <wp:docPr id="1" name="Conector recto 1"/>
                <wp:cNvGraphicFramePr/>
                <a:graphic xmlns:a="http://schemas.openxmlformats.org/drawingml/2006/main">
                  <a:graphicData uri="http://schemas.microsoft.com/office/word/2010/wordprocessingShape">
                    <wps:wsp>
                      <wps:cNvCnPr/>
                      <wps:spPr>
                        <a:xfrm>
                          <a:off x="0" y="0"/>
                          <a:ext cx="5534167" cy="34801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60445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pt,.1pt" to="449.05pt,2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" strokecolor="black [3200]" strokeweight=".5pt">
                <v:stroke joinstyle="miter"/>
              </v:line>
            </w:pict>
          </mc:Fallback>
        </mc:AlternateContent>
      </w:r>
    </w:p>
    <w:p w:rsidR="00EC264B" w:rsidRDefault="00EC264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p w:rsidR="00EC264B" w:rsidRDefault="00EC264B">
      <w:pPr>
        <w:spacing w:before="240" w:after="240" w:line="360" w:lineRule="auto"/>
        <w:ind w:right="139"/>
        <w:jc w:val="both"/>
        <w:rPr>
          <w:rFonts w:ascii="Palatino Linotype" w:eastAsia="Palatino Linotype" w:hAnsi="Palatino Linotype" w:cs="Palatino Linotype"/>
          <w:sz w:val="24"/>
          <w:szCs w:val="24"/>
        </w:rPr>
      </w:pPr>
    </w:p>
    <w:sectPr w:rsidR="00EC264B">
      <w:headerReference w:type="default" r:id="rId10"/>
      <w:footerReference w:type="default" r:id="rId11"/>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6B9" w:rsidRDefault="009326B9">
      <w:pPr>
        <w:spacing w:after="0" w:line="240" w:lineRule="auto"/>
      </w:pPr>
      <w:r>
        <w:separator/>
      </w:r>
    </w:p>
  </w:endnote>
  <w:endnote w:type="continuationSeparator" w:id="0">
    <w:p w:rsidR="009326B9" w:rsidRDefault="0093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4B" w:rsidRDefault="005A724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B33676">
      <w:rPr>
        <w:rFonts w:ascii="Times New Roman" w:eastAsia="Times New Roman" w:hAnsi="Times New Roman" w:cs="Times New Roman"/>
        <w:b/>
        <w:noProof/>
        <w:color w:val="000000"/>
        <w:sz w:val="20"/>
        <w:szCs w:val="20"/>
      </w:rPr>
      <w:t>13</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B33676">
      <w:rPr>
        <w:rFonts w:ascii="Times New Roman" w:eastAsia="Times New Roman" w:hAnsi="Times New Roman" w:cs="Times New Roman"/>
        <w:b/>
        <w:noProof/>
        <w:color w:val="000000"/>
        <w:sz w:val="20"/>
        <w:szCs w:val="20"/>
      </w:rPr>
      <w:t>13</w:t>
    </w:r>
    <w:r>
      <w:rPr>
        <w:rFonts w:ascii="Times New Roman" w:eastAsia="Times New Roman" w:hAnsi="Times New Roman" w:cs="Times New Roman"/>
        <w:b/>
        <w:color w:val="000000"/>
        <w:sz w:val="20"/>
        <w:szCs w:val="20"/>
      </w:rPr>
      <w:fldChar w:fldCharType="end"/>
    </w:r>
  </w:p>
  <w:p w:rsidR="00EC264B" w:rsidRDefault="00EC264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6B9" w:rsidRDefault="009326B9">
      <w:pPr>
        <w:spacing w:after="0" w:line="240" w:lineRule="auto"/>
      </w:pPr>
      <w:r>
        <w:separator/>
      </w:r>
    </w:p>
  </w:footnote>
  <w:footnote w:type="continuationSeparator" w:id="0">
    <w:p w:rsidR="009326B9" w:rsidRDefault="009326B9">
      <w:pPr>
        <w:spacing w:after="0" w:line="240" w:lineRule="auto"/>
      </w:pPr>
      <w:r>
        <w:continuationSeparator/>
      </w:r>
    </w:p>
  </w:footnote>
  <w:footnote w:id="1">
    <w:p w:rsidR="00EC264B" w:rsidRDefault="005A7243">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EC264B" w:rsidRDefault="005A724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4B" w:rsidRDefault="005A724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simplePos x="0" y="0"/>
          <wp:positionH relativeFrom="column">
            <wp:posOffset>-952496</wp:posOffset>
          </wp:positionH>
          <wp:positionV relativeFrom="paragraph">
            <wp:posOffset>-568957</wp:posOffset>
          </wp:positionV>
          <wp:extent cx="7510628" cy="9883775"/>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EC264B" w:rsidRDefault="005A724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11951/INFOEM/IP/RR/2022</w:t>
    </w:r>
  </w:p>
  <w:p w:rsidR="00EC264B" w:rsidRDefault="00EC264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4B"/>
    <w:rsid w:val="003F2778"/>
    <w:rsid w:val="005A7243"/>
    <w:rsid w:val="009326B9"/>
    <w:rsid w:val="00B33676"/>
    <w:rsid w:val="00EC26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8AAA6-F7BC-4056-8EE3-B856D7FF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2">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rtal.secogem.gob.mx/declar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claranet.secogem.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omex.gob.mx/sites/edomex.gob.mx/files/files/3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gUe/Z5zjaWRYnLZtAGlBQxG3PA==">AMUW2mUvSnHeTOg3qLOpNwXp28VSRNt7EWBmn4R1HvRLe+MyJ6P8+KHu/jv+hbwzCL+/7FduYgJnhVLt1SD6h4MbVB55XIOjHx8pC2SfrYnE0x265cY6SCpRNmki/XEkPzz9tl5rVxJc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2739</Words>
  <Characters>15070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3</cp:revision>
  <cp:lastPrinted>2022-10-10T17:09:00Z</cp:lastPrinted>
  <dcterms:created xsi:type="dcterms:W3CDTF">2022-10-08T00:56:00Z</dcterms:created>
  <dcterms:modified xsi:type="dcterms:W3CDTF">2022-10-10T17:09:00Z</dcterms:modified>
</cp:coreProperties>
</file>