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47363A90" w:rsidR="009B728D" w:rsidRDefault="009B728D" w:rsidP="00E32E57">
      <w:pPr>
        <w:widowControl w:val="0"/>
        <w:ind w:right="-164"/>
        <w:contextualSpacing/>
        <w:jc w:val="both"/>
        <w:rPr>
          <w:rFonts w:ascii="Palatino Linotype" w:hAnsi="Palatino Linotype" w:cs="Arial"/>
          <w:b/>
          <w:sz w:val="20"/>
          <w:szCs w:val="20"/>
        </w:rPr>
      </w:pPr>
      <w:bookmarkStart w:id="0" w:name="_GoBack"/>
      <w:bookmarkEnd w:id="0"/>
    </w:p>
    <w:p w14:paraId="067174C4" w14:textId="49993D7F" w:rsidR="005B436C" w:rsidRDefault="005B436C" w:rsidP="00E32E57">
      <w:pPr>
        <w:widowControl w:val="0"/>
        <w:ind w:right="-164"/>
        <w:contextualSpacing/>
        <w:jc w:val="both"/>
        <w:rPr>
          <w:rFonts w:ascii="Palatino Linotype" w:hAnsi="Palatino Linotype" w:cs="Arial"/>
          <w:b/>
          <w:sz w:val="20"/>
          <w:szCs w:val="20"/>
        </w:rPr>
      </w:pPr>
    </w:p>
    <w:p w14:paraId="16D9171E" w14:textId="2158958B" w:rsidR="005B436C" w:rsidRDefault="005B436C" w:rsidP="00E32E57">
      <w:pPr>
        <w:widowControl w:val="0"/>
        <w:ind w:right="-164"/>
        <w:contextualSpacing/>
        <w:jc w:val="both"/>
        <w:rPr>
          <w:rFonts w:ascii="Palatino Linotype" w:hAnsi="Palatino Linotype" w:cs="Arial"/>
          <w:b/>
          <w:sz w:val="20"/>
          <w:szCs w:val="20"/>
        </w:rPr>
      </w:pPr>
    </w:p>
    <w:p w14:paraId="5E6DBF73" w14:textId="77777777" w:rsidR="005B436C" w:rsidRPr="00A90BE0" w:rsidRDefault="005B436C" w:rsidP="00E32E57">
      <w:pPr>
        <w:widowControl w:val="0"/>
        <w:ind w:right="-164"/>
        <w:contextualSpacing/>
        <w:jc w:val="both"/>
        <w:rPr>
          <w:rFonts w:ascii="Palatino Linotype" w:hAnsi="Palatino Linotype" w:cs="Arial"/>
          <w:b/>
          <w:sz w:val="20"/>
          <w:szCs w:val="20"/>
        </w:rPr>
      </w:pPr>
    </w:p>
    <w:p w14:paraId="2BDAD2F4" w14:textId="177AF4EE" w:rsidR="00E81438" w:rsidRPr="0056567F" w:rsidRDefault="00747D86" w:rsidP="00E32E57">
      <w:pPr>
        <w:widowControl w:val="0"/>
        <w:ind w:right="-164"/>
        <w:contextualSpacing/>
        <w:jc w:val="both"/>
        <w:rPr>
          <w:rFonts w:ascii="Palatino Linotype" w:hAnsi="Palatino Linotype" w:cs="Arial"/>
          <w:b/>
        </w:rPr>
      </w:pPr>
      <w:r w:rsidRPr="0056567F">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TREIGÉSIMA TERCERA </w:t>
      </w:r>
      <w:r w:rsidRPr="0056567F">
        <w:rPr>
          <w:rFonts w:ascii="Palatino Linotype" w:hAnsi="Palatino Linotype" w:cs="Arial"/>
          <w:b/>
        </w:rPr>
        <w:t xml:space="preserve">SESIÓN ORDINARIA CELEBRADA EL </w:t>
      </w:r>
      <w:r>
        <w:rPr>
          <w:rFonts w:ascii="Palatino Linotype" w:hAnsi="Palatino Linotype" w:cs="Arial"/>
          <w:b/>
        </w:rPr>
        <w:t>CATORCE</w:t>
      </w:r>
      <w:r w:rsidRPr="0056567F">
        <w:rPr>
          <w:rFonts w:ascii="Palatino Linotype" w:hAnsi="Palatino Linotype" w:cs="Arial"/>
          <w:b/>
        </w:rPr>
        <w:t xml:space="preserve"> DE </w:t>
      </w:r>
      <w:r>
        <w:rPr>
          <w:rFonts w:ascii="Palatino Linotype" w:hAnsi="Palatino Linotype" w:cs="Arial"/>
          <w:b/>
        </w:rPr>
        <w:t>SEPTIEMBRE</w:t>
      </w:r>
      <w:r w:rsidRPr="0056567F">
        <w:rPr>
          <w:rFonts w:ascii="Palatino Linotype" w:hAnsi="Palatino Linotype" w:cs="Arial"/>
          <w:b/>
        </w:rPr>
        <w:t xml:space="preserve"> DE DOS MIL VE</w:t>
      </w:r>
      <w:r>
        <w:rPr>
          <w:rFonts w:ascii="Palatino Linotype" w:hAnsi="Palatino Linotype" w:cs="Arial"/>
          <w:b/>
        </w:rPr>
        <w:t>I</w:t>
      </w:r>
      <w:r w:rsidRPr="0056567F">
        <w:rPr>
          <w:rFonts w:ascii="Palatino Linotype" w:hAnsi="Palatino Linotype" w:cs="Arial"/>
          <w:b/>
        </w:rPr>
        <w:t xml:space="preserve">NTIDÓS, EN EL RECURSO DE REVISIÓN </w:t>
      </w:r>
      <w:r>
        <w:rPr>
          <w:rFonts w:ascii="Palatino Linotype" w:hAnsi="Palatino Linotype"/>
          <w:b/>
          <w:bCs/>
          <w:color w:val="000000" w:themeColor="text1"/>
        </w:rPr>
        <w:t>11952</w:t>
      </w:r>
      <w:r w:rsidRPr="0056567F">
        <w:rPr>
          <w:rFonts w:ascii="Palatino Linotype" w:hAnsi="Palatino Linotype"/>
          <w:b/>
          <w:bCs/>
          <w:color w:val="000000" w:themeColor="text1"/>
        </w:rPr>
        <w:t>/INFOEM/IP/RR/2022.</w:t>
      </w:r>
    </w:p>
    <w:p w14:paraId="7ADE6D68" w14:textId="77777777" w:rsidR="009B728D" w:rsidRPr="0056567F" w:rsidRDefault="009B728D" w:rsidP="00E32E57">
      <w:pPr>
        <w:widowControl w:val="0"/>
        <w:spacing w:line="360" w:lineRule="auto"/>
        <w:ind w:right="-164"/>
        <w:contextualSpacing/>
        <w:jc w:val="both"/>
        <w:rPr>
          <w:rFonts w:ascii="Palatino Linotype" w:eastAsia="Calibri" w:hAnsi="Palatino Linotype" w:cs="Arial"/>
          <w:b/>
          <w:color w:val="000000"/>
        </w:rPr>
      </w:pPr>
    </w:p>
    <w:p w14:paraId="42181C1A" w14:textId="1654E4BB" w:rsidR="00E81438" w:rsidRPr="00B02CF7" w:rsidRDefault="00E81438" w:rsidP="00E32E57">
      <w:pPr>
        <w:widowControl w:val="0"/>
        <w:spacing w:line="360" w:lineRule="auto"/>
        <w:ind w:right="-164"/>
        <w:contextualSpacing/>
        <w:jc w:val="both"/>
        <w:rPr>
          <w:rFonts w:ascii="Palatino Linotype" w:hAnsi="Palatino Linotype" w:cs="Arial"/>
          <w:b/>
          <w:sz w:val="22"/>
          <w:szCs w:val="22"/>
        </w:rPr>
      </w:pPr>
      <w:r w:rsidRPr="00B02CF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C12B90" w:rsidRPr="00B02CF7">
        <w:rPr>
          <w:rFonts w:ascii="Palatino Linotype" w:hAnsi="Palatino Linotype" w:cs="Arial"/>
          <w:b/>
          <w:sz w:val="22"/>
          <w:szCs w:val="22"/>
          <w:lang w:val="es-ES_tradnl"/>
        </w:rPr>
        <w:t xml:space="preserve">, </w:t>
      </w:r>
      <w:r w:rsidRPr="00B02CF7">
        <w:rPr>
          <w:rFonts w:ascii="Palatino Linotype" w:hAnsi="Palatino Linotype" w:cs="Arial"/>
          <w:sz w:val="22"/>
          <w:szCs w:val="22"/>
        </w:rPr>
        <w:t xml:space="preserve">emite </w:t>
      </w:r>
      <w:r w:rsidRPr="00B02CF7">
        <w:rPr>
          <w:rFonts w:ascii="Palatino Linotype" w:hAnsi="Palatino Linotype" w:cs="Arial"/>
          <w:b/>
          <w:sz w:val="22"/>
          <w:szCs w:val="22"/>
        </w:rPr>
        <w:t xml:space="preserve">VOTO </w:t>
      </w:r>
      <w:r w:rsidR="00406D8C" w:rsidRPr="00B02CF7">
        <w:rPr>
          <w:rFonts w:ascii="Palatino Linotype" w:hAnsi="Palatino Linotype" w:cs="Arial"/>
          <w:b/>
          <w:sz w:val="22"/>
          <w:szCs w:val="22"/>
        </w:rPr>
        <w:t>DISIDENTE</w:t>
      </w:r>
      <w:r w:rsidRPr="00B02CF7">
        <w:rPr>
          <w:rFonts w:ascii="Palatino Linotype" w:hAnsi="Palatino Linotype" w:cs="Arial"/>
          <w:b/>
          <w:sz w:val="22"/>
          <w:szCs w:val="22"/>
        </w:rPr>
        <w:t xml:space="preserve"> </w:t>
      </w:r>
      <w:r w:rsidRPr="00B02CF7">
        <w:rPr>
          <w:rFonts w:ascii="Palatino Linotype" w:hAnsi="Palatino Linotype" w:cs="Arial"/>
          <w:sz w:val="22"/>
          <w:szCs w:val="22"/>
        </w:rPr>
        <w:t xml:space="preserve">respecto de la resolución dictada en el </w:t>
      </w:r>
      <w:r w:rsidR="00333436" w:rsidRPr="00B02CF7">
        <w:rPr>
          <w:rFonts w:ascii="Palatino Linotype" w:hAnsi="Palatino Linotype" w:cs="Arial"/>
          <w:sz w:val="22"/>
          <w:szCs w:val="22"/>
        </w:rPr>
        <w:t>Recurso de Revisión</w:t>
      </w:r>
      <w:r w:rsidRPr="00B02CF7">
        <w:rPr>
          <w:rFonts w:ascii="Palatino Linotype" w:hAnsi="Palatino Linotype" w:cs="Arial"/>
          <w:sz w:val="22"/>
          <w:szCs w:val="22"/>
        </w:rPr>
        <w:t xml:space="preserve"> </w:t>
      </w:r>
      <w:r w:rsidR="003D70E5">
        <w:rPr>
          <w:rFonts w:ascii="Palatino Linotype" w:hAnsi="Palatino Linotype"/>
          <w:b/>
          <w:bCs/>
          <w:color w:val="000000" w:themeColor="text1"/>
          <w:sz w:val="22"/>
          <w:szCs w:val="22"/>
        </w:rPr>
        <w:t>11952</w:t>
      </w:r>
      <w:r w:rsidR="00B737A0" w:rsidRPr="00B02CF7">
        <w:rPr>
          <w:rFonts w:ascii="Palatino Linotype" w:hAnsi="Palatino Linotype"/>
          <w:b/>
          <w:bCs/>
          <w:color w:val="000000" w:themeColor="text1"/>
          <w:sz w:val="22"/>
          <w:szCs w:val="22"/>
        </w:rPr>
        <w:t>/</w:t>
      </w:r>
      <w:r w:rsidR="00333436" w:rsidRPr="00B02CF7">
        <w:rPr>
          <w:rFonts w:ascii="Palatino Linotype" w:hAnsi="Palatino Linotype"/>
          <w:b/>
          <w:bCs/>
          <w:color w:val="000000" w:themeColor="text1"/>
          <w:sz w:val="22"/>
          <w:szCs w:val="22"/>
        </w:rPr>
        <w:t>INFOEM/IP/RR/2022</w:t>
      </w:r>
      <w:r w:rsidR="00B737A0" w:rsidRPr="00B02CF7">
        <w:rPr>
          <w:rFonts w:ascii="Palatino Linotype" w:hAnsi="Palatino Linotype"/>
          <w:b/>
          <w:bCs/>
          <w:color w:val="000000" w:themeColor="text1"/>
          <w:sz w:val="22"/>
          <w:szCs w:val="22"/>
        </w:rPr>
        <w:t>,</w:t>
      </w:r>
      <w:r w:rsidRPr="00B02CF7">
        <w:rPr>
          <w:rFonts w:ascii="Palatino Linotype" w:hAnsi="Palatino Linotype" w:cs="Arial"/>
          <w:sz w:val="22"/>
          <w:szCs w:val="22"/>
        </w:rPr>
        <w:t xml:space="preserve"> pronunciada por el Pleno de este Instituto ante el proyecto presentado </w:t>
      </w:r>
      <w:r w:rsidR="00B737A0" w:rsidRPr="00B02CF7">
        <w:rPr>
          <w:rFonts w:ascii="Palatino Linotype" w:hAnsi="Palatino Linotype" w:cs="Arial"/>
          <w:sz w:val="22"/>
          <w:szCs w:val="22"/>
        </w:rPr>
        <w:t xml:space="preserve">por </w:t>
      </w:r>
      <w:r w:rsidR="00940CFC" w:rsidRPr="00B02CF7">
        <w:rPr>
          <w:rFonts w:ascii="Palatino Linotype" w:hAnsi="Palatino Linotype" w:cs="Arial"/>
          <w:sz w:val="22"/>
          <w:szCs w:val="22"/>
        </w:rPr>
        <w:t xml:space="preserve">engrose por la </w:t>
      </w:r>
      <w:r w:rsidR="00940CFC" w:rsidRPr="00B02CF7">
        <w:rPr>
          <w:rFonts w:ascii="Palatino Linotype" w:hAnsi="Palatino Linotype" w:cs="Arial"/>
          <w:b/>
          <w:sz w:val="22"/>
          <w:szCs w:val="22"/>
        </w:rPr>
        <w:t>Comisionada Sharon Cristina Morales</w:t>
      </w:r>
      <w:r w:rsidR="00C12B90" w:rsidRPr="00B02CF7">
        <w:rPr>
          <w:rFonts w:ascii="Palatino Linotype" w:hAnsi="Palatino Linotype" w:cs="Arial"/>
          <w:b/>
          <w:sz w:val="22"/>
          <w:szCs w:val="22"/>
        </w:rPr>
        <w:t xml:space="preserve"> Martínez</w:t>
      </w:r>
      <w:r w:rsidR="003332CC">
        <w:rPr>
          <w:rFonts w:ascii="Palatino Linotype" w:hAnsi="Palatino Linotype" w:cs="Arial"/>
          <w:b/>
          <w:sz w:val="22"/>
          <w:szCs w:val="22"/>
        </w:rPr>
        <w:t xml:space="preserve">, </w:t>
      </w:r>
      <w:r w:rsidR="003332CC">
        <w:rPr>
          <w:rFonts w:ascii="Palatino Linotype" w:hAnsi="Palatino Linotype" w:cs="Arial"/>
          <w:sz w:val="22"/>
          <w:szCs w:val="22"/>
        </w:rPr>
        <w:t>al tenor siguiente:</w:t>
      </w:r>
    </w:p>
    <w:p w14:paraId="31FAEBE3" w14:textId="77777777" w:rsidR="00595D69" w:rsidRPr="00B02CF7" w:rsidRDefault="00595D69" w:rsidP="00E32E57">
      <w:pPr>
        <w:spacing w:line="360" w:lineRule="auto"/>
        <w:contextualSpacing/>
        <w:jc w:val="both"/>
        <w:rPr>
          <w:rFonts w:ascii="Palatino Linotype" w:hAnsi="Palatino Linotype" w:cs="Arial"/>
          <w:sz w:val="22"/>
          <w:szCs w:val="22"/>
        </w:rPr>
      </w:pPr>
    </w:p>
    <w:p w14:paraId="02382029" w14:textId="46ACD240" w:rsidR="003868B5" w:rsidRPr="00B02CF7" w:rsidRDefault="00E81438" w:rsidP="00E32E57">
      <w:pPr>
        <w:spacing w:line="360" w:lineRule="auto"/>
        <w:contextualSpacing/>
        <w:jc w:val="both"/>
        <w:rPr>
          <w:rFonts w:ascii="Palatino Linotype" w:hAnsi="Palatino Linotype"/>
          <w:sz w:val="22"/>
          <w:szCs w:val="22"/>
        </w:rPr>
      </w:pPr>
      <w:r w:rsidRPr="00B02CF7">
        <w:rPr>
          <w:rFonts w:ascii="Palatino Linotype" w:hAnsi="Palatino Linotype"/>
          <w:sz w:val="22"/>
          <w:szCs w:val="22"/>
        </w:rPr>
        <w:t xml:space="preserve">Es de destacar, que la suscrita </w:t>
      </w:r>
      <w:r w:rsidR="003868B5" w:rsidRPr="00B02CF7">
        <w:rPr>
          <w:rFonts w:ascii="Palatino Linotype" w:hAnsi="Palatino Linotype"/>
          <w:sz w:val="22"/>
          <w:szCs w:val="22"/>
        </w:rPr>
        <w:t xml:space="preserve">no </w:t>
      </w:r>
      <w:r w:rsidRPr="00B02CF7">
        <w:rPr>
          <w:rFonts w:ascii="Palatino Linotype" w:hAnsi="Palatino Linotype"/>
          <w:sz w:val="22"/>
          <w:szCs w:val="22"/>
        </w:rPr>
        <w:t>co</w:t>
      </w:r>
      <w:r w:rsidR="00313375" w:rsidRPr="00B02CF7">
        <w:rPr>
          <w:rFonts w:ascii="Palatino Linotype" w:hAnsi="Palatino Linotype"/>
          <w:sz w:val="22"/>
          <w:szCs w:val="22"/>
        </w:rPr>
        <w:t xml:space="preserve">incide </w:t>
      </w:r>
      <w:r w:rsidR="002D46DF" w:rsidRPr="00B02CF7">
        <w:rPr>
          <w:rFonts w:ascii="Palatino Linotype" w:hAnsi="Palatino Linotype"/>
          <w:sz w:val="22"/>
          <w:szCs w:val="22"/>
        </w:rPr>
        <w:t>con el</w:t>
      </w:r>
      <w:r w:rsidRPr="00B02CF7">
        <w:rPr>
          <w:rFonts w:ascii="Palatino Linotype" w:hAnsi="Palatino Linotype"/>
          <w:sz w:val="22"/>
          <w:szCs w:val="22"/>
        </w:rPr>
        <w:t xml:space="preserve"> estudio realizado en la resolución del </w:t>
      </w:r>
      <w:r w:rsidR="00333436" w:rsidRPr="00B02CF7">
        <w:rPr>
          <w:rFonts w:ascii="Palatino Linotype" w:hAnsi="Palatino Linotype"/>
          <w:sz w:val="22"/>
          <w:szCs w:val="22"/>
        </w:rPr>
        <w:t>Recurso de Revisión</w:t>
      </w:r>
      <w:r w:rsidR="003868B5" w:rsidRPr="00B02CF7">
        <w:rPr>
          <w:rFonts w:ascii="Palatino Linotype" w:hAnsi="Palatino Linotype"/>
          <w:sz w:val="22"/>
          <w:szCs w:val="22"/>
        </w:rPr>
        <w:t>, en atención a l</w:t>
      </w:r>
      <w:r w:rsidR="003332CC">
        <w:rPr>
          <w:rFonts w:ascii="Palatino Linotype" w:hAnsi="Palatino Linotype"/>
          <w:sz w:val="22"/>
          <w:szCs w:val="22"/>
        </w:rPr>
        <w:t>as consideraciones que se enuncian enseguida</w:t>
      </w:r>
      <w:r w:rsidR="003868B5" w:rsidRPr="00B02CF7">
        <w:rPr>
          <w:rFonts w:ascii="Palatino Linotype" w:hAnsi="Palatino Linotype"/>
          <w:sz w:val="22"/>
          <w:szCs w:val="22"/>
        </w:rPr>
        <w:t>:</w:t>
      </w:r>
    </w:p>
    <w:p w14:paraId="3E367D51" w14:textId="77777777" w:rsidR="003868B5" w:rsidRPr="00B02CF7" w:rsidRDefault="003868B5" w:rsidP="00E32E57">
      <w:pPr>
        <w:spacing w:line="360" w:lineRule="auto"/>
        <w:contextualSpacing/>
        <w:jc w:val="both"/>
        <w:rPr>
          <w:rFonts w:ascii="Palatino Linotype" w:hAnsi="Palatino Linotype"/>
          <w:sz w:val="22"/>
          <w:szCs w:val="22"/>
        </w:rPr>
      </w:pPr>
    </w:p>
    <w:p w14:paraId="7287B15A" w14:textId="6514E334" w:rsidR="00B737A0" w:rsidRPr="0079345D" w:rsidRDefault="003868B5" w:rsidP="00E32E57">
      <w:pPr>
        <w:spacing w:line="276" w:lineRule="auto"/>
        <w:ind w:right="49"/>
        <w:jc w:val="both"/>
        <w:rPr>
          <w:rFonts w:ascii="Palatino Linotype" w:hAnsi="Palatino Linotype"/>
          <w:i/>
          <w:color w:val="000000"/>
          <w:sz w:val="22"/>
          <w:szCs w:val="22"/>
        </w:rPr>
      </w:pPr>
      <w:r w:rsidRPr="00B02CF7">
        <w:rPr>
          <w:rFonts w:ascii="Palatino Linotype" w:hAnsi="Palatino Linotype"/>
          <w:sz w:val="22"/>
          <w:szCs w:val="22"/>
        </w:rPr>
        <w:t>T</w:t>
      </w:r>
      <w:r w:rsidR="00E81438" w:rsidRPr="00B02CF7">
        <w:rPr>
          <w:rFonts w:ascii="Palatino Linotype" w:hAnsi="Palatino Linotype"/>
          <w:sz w:val="22"/>
          <w:szCs w:val="22"/>
        </w:rPr>
        <w:t>a</w:t>
      </w:r>
      <w:r w:rsidRPr="00B02CF7">
        <w:rPr>
          <w:rFonts w:ascii="Palatino Linotype" w:hAnsi="Palatino Linotype"/>
          <w:sz w:val="22"/>
          <w:szCs w:val="22"/>
        </w:rPr>
        <w:t>l y como quedó</w:t>
      </w:r>
      <w:r w:rsidR="00E81438" w:rsidRPr="00B02CF7">
        <w:rPr>
          <w:rFonts w:ascii="Palatino Linotype" w:hAnsi="Palatino Linotype"/>
          <w:sz w:val="22"/>
          <w:szCs w:val="22"/>
        </w:rPr>
        <w:t xml:space="preserve"> asentado en la resolución materia del presente voto, </w:t>
      </w:r>
      <w:r w:rsidR="00F22A66" w:rsidRPr="00B02CF7">
        <w:rPr>
          <w:rFonts w:ascii="Palatino Linotype" w:hAnsi="Palatino Linotype"/>
          <w:sz w:val="22"/>
          <w:szCs w:val="22"/>
        </w:rPr>
        <w:t>el</w:t>
      </w:r>
      <w:r w:rsidR="00E81438" w:rsidRPr="00B02CF7">
        <w:rPr>
          <w:rFonts w:ascii="Palatino Linotype" w:hAnsi="Palatino Linotype"/>
          <w:sz w:val="22"/>
          <w:szCs w:val="22"/>
        </w:rPr>
        <w:t xml:space="preserve"> particular requirió del </w:t>
      </w:r>
      <w:r w:rsidR="00E81438" w:rsidRPr="00B02CF7">
        <w:rPr>
          <w:rFonts w:ascii="Palatino Linotype" w:hAnsi="Palatino Linotype"/>
          <w:b/>
          <w:sz w:val="22"/>
          <w:szCs w:val="22"/>
        </w:rPr>
        <w:t>SUJETO OBLIGADO</w:t>
      </w:r>
      <w:r w:rsidR="00FC4426" w:rsidRPr="00B02CF7">
        <w:rPr>
          <w:rFonts w:ascii="Palatino Linotype" w:hAnsi="Palatino Linotype"/>
          <w:b/>
          <w:sz w:val="22"/>
          <w:szCs w:val="22"/>
        </w:rPr>
        <w:t xml:space="preserve"> </w:t>
      </w:r>
      <w:r w:rsidR="00FE56C0" w:rsidRPr="00B02CF7">
        <w:rPr>
          <w:rFonts w:ascii="Palatino Linotype" w:hAnsi="Palatino Linotype"/>
          <w:sz w:val="22"/>
          <w:szCs w:val="22"/>
        </w:rPr>
        <w:t xml:space="preserve">en la Solicitud de Información </w:t>
      </w:r>
      <w:r w:rsidR="003D70E5" w:rsidRPr="003D70E5">
        <w:rPr>
          <w:rFonts w:ascii="Palatino Linotype" w:hAnsi="Palatino Linotype" w:cs="Arial"/>
          <w:b/>
          <w:sz w:val="22"/>
          <w:szCs w:val="22"/>
        </w:rPr>
        <w:t>00091/MELOCAM/IP/2022</w:t>
      </w:r>
      <w:r w:rsidR="00B737A0" w:rsidRPr="00B02CF7">
        <w:rPr>
          <w:rFonts w:ascii="Palatino Linotype" w:hAnsi="Palatino Linotype" w:cs="Arial"/>
          <w:sz w:val="22"/>
          <w:szCs w:val="22"/>
          <w:lang w:val="es-419"/>
        </w:rPr>
        <w:t>, mediante la cual solicitó:</w:t>
      </w:r>
    </w:p>
    <w:p w14:paraId="37C89B0D" w14:textId="77777777" w:rsidR="001A6A40" w:rsidRPr="001A6A40" w:rsidRDefault="001A6A40" w:rsidP="00E32E57">
      <w:pPr>
        <w:spacing w:line="360" w:lineRule="auto"/>
        <w:ind w:left="567" w:right="567"/>
        <w:jc w:val="both"/>
        <w:rPr>
          <w:rFonts w:ascii="Palatino Linotype" w:hAnsi="Palatino Linotype" w:cs="Arial"/>
          <w:sz w:val="22"/>
          <w:szCs w:val="22"/>
          <w:lang w:val="es-419"/>
        </w:rPr>
      </w:pPr>
    </w:p>
    <w:p w14:paraId="620D979D" w14:textId="5DA50BF2" w:rsidR="003D70E5" w:rsidRPr="003D70E5" w:rsidRDefault="003D70E5" w:rsidP="00E32E57">
      <w:pPr>
        <w:ind w:left="567" w:right="567"/>
        <w:jc w:val="both"/>
        <w:rPr>
          <w:rFonts w:ascii="Palatino Linotype" w:hAnsi="Palatino Linotype" w:cs="Arial"/>
          <w:i/>
          <w:sz w:val="22"/>
          <w:szCs w:val="22"/>
        </w:rPr>
      </w:pPr>
      <w:r w:rsidRPr="003D70E5">
        <w:rPr>
          <w:rFonts w:ascii="Palatino Linotype" w:hAnsi="Palatino Linotype" w:cs="Arial"/>
          <w:i/>
          <w:sz w:val="22"/>
          <w:szCs w:val="22"/>
        </w:rPr>
        <w:t xml:space="preserve">“De los servidores públicos adscritos hasta el día 31 de mayo de 2022 a la Presidencia, Secretaría del Ayuntamiento, Sindicatura, Primera Regiduría, Segunda Regiduría, Tercera Regiduría, Cuarta Regiduría. Quinta Regiduría, Sexta Regiduría, Séptima Regiduría, Tesorería, Contraloría Interna, Dirección de Administración, Dirección de Comunicación Social, Dirección de Obras Públicas, Dirección de Desarrollo Urbano y Medio Ambiente, Dirección de Seguridad Ciudadana y Movilidad, Dirección de Agua Potable, Drenaje y Alcantarillado, Dirección de Desarrollo Social, Dirección de </w:t>
      </w:r>
      <w:r w:rsidRPr="003D70E5">
        <w:rPr>
          <w:rFonts w:ascii="Palatino Linotype" w:hAnsi="Palatino Linotype" w:cs="Arial"/>
          <w:i/>
          <w:sz w:val="22"/>
          <w:szCs w:val="22"/>
        </w:rPr>
        <w:lastRenderedPageBreak/>
        <w:t>Desarrollo Económico y Fomento al Empleo, Dirección Jurídica, Dirección de Servicios Públicos, Dirección de Atención a la Mujer, Coordinación Municipal de Gestión Integral de Riesgos, Protección Civil y Bomberos, Unidad de Transparencia y Sistema Municipal para el Desarrollo Integral de la Familia (DIF), de la actual Administración Municipal 2022-2024, solicito versión publica de la siguiente información: a) Documento donde conste su nombre, cargo, sueldo neto y bruto. b) Documentos donde conste el Perfil de Puestos que tenga vigentes al veinticuatro de enero de dos mil veintidós. c) Documento donde conste su información curricular. d) Documentos comprobatorios de su experiencia laboral. e) Documentos que acrediten la relación laboral con el Sujeto Obligado (nombramiento, contrato o formato único de Movimientos de Personal)” (</w:t>
      </w:r>
      <w:r w:rsidR="003332CC" w:rsidRPr="003D70E5">
        <w:rPr>
          <w:rFonts w:ascii="Palatino Linotype" w:hAnsi="Palatino Linotype" w:cs="Arial"/>
          <w:i/>
          <w:sz w:val="22"/>
          <w:szCs w:val="22"/>
        </w:rPr>
        <w:t>Sic</w:t>
      </w:r>
      <w:r w:rsidRPr="003D70E5">
        <w:rPr>
          <w:rFonts w:ascii="Palatino Linotype" w:hAnsi="Palatino Linotype" w:cs="Arial"/>
          <w:i/>
          <w:sz w:val="22"/>
          <w:szCs w:val="22"/>
        </w:rPr>
        <w:t>).</w:t>
      </w:r>
    </w:p>
    <w:p w14:paraId="2C372672" w14:textId="77777777" w:rsidR="001A6A40" w:rsidRPr="00B02CF7" w:rsidRDefault="001A6A40" w:rsidP="00E32E57">
      <w:pPr>
        <w:spacing w:line="360" w:lineRule="auto"/>
        <w:ind w:left="851" w:right="1134"/>
        <w:jc w:val="both"/>
        <w:rPr>
          <w:rFonts w:ascii="Palatino Linotype" w:hAnsi="Palatino Linotype" w:cs="Arial"/>
          <w:sz w:val="22"/>
          <w:szCs w:val="22"/>
          <w:lang w:val="es-419"/>
        </w:rPr>
      </w:pPr>
    </w:p>
    <w:p w14:paraId="22B3F323" w14:textId="4772E37C" w:rsidR="00BD695C" w:rsidRDefault="00725E1F" w:rsidP="00E32E57">
      <w:pPr>
        <w:spacing w:line="360" w:lineRule="auto"/>
        <w:contextualSpacing/>
        <w:jc w:val="both"/>
        <w:rPr>
          <w:rFonts w:ascii="Palatino Linotype" w:hAnsi="Palatino Linotype"/>
          <w:sz w:val="22"/>
          <w:szCs w:val="22"/>
        </w:rPr>
      </w:pPr>
      <w:r w:rsidRPr="00B02CF7">
        <w:rPr>
          <w:rFonts w:ascii="Palatino Linotype" w:hAnsi="Palatino Linotype" w:cs="Arial"/>
          <w:sz w:val="22"/>
          <w:szCs w:val="22"/>
        </w:rPr>
        <w:t>En</w:t>
      </w:r>
      <w:r w:rsidR="00E81438" w:rsidRPr="00B02CF7">
        <w:rPr>
          <w:rFonts w:ascii="Palatino Linotype" w:hAnsi="Palatino Linotype" w:cs="Arial"/>
          <w:sz w:val="22"/>
          <w:szCs w:val="22"/>
        </w:rPr>
        <w:t xml:space="preserve"> respuesta, </w:t>
      </w:r>
      <w:r w:rsidR="00E81438" w:rsidRPr="00B02CF7">
        <w:rPr>
          <w:rFonts w:ascii="Palatino Linotype" w:hAnsi="Palatino Linotype" w:cs="Arial"/>
          <w:b/>
          <w:sz w:val="22"/>
          <w:szCs w:val="22"/>
        </w:rPr>
        <w:t>EL SUJETO OBLIGADO</w:t>
      </w:r>
      <w:r w:rsidR="007B2D3C" w:rsidRPr="00B02CF7">
        <w:rPr>
          <w:rFonts w:ascii="Palatino Linotype" w:hAnsi="Palatino Linotype" w:cs="Arial"/>
          <w:sz w:val="22"/>
          <w:szCs w:val="22"/>
        </w:rPr>
        <w:t xml:space="preserve">, </w:t>
      </w:r>
      <w:r w:rsidR="00046BFE" w:rsidRPr="00B02CF7">
        <w:rPr>
          <w:rFonts w:ascii="Palatino Linotype" w:hAnsi="Palatino Linotype"/>
          <w:sz w:val="22"/>
          <w:szCs w:val="22"/>
        </w:rPr>
        <w:t>señaló lo siguiente:</w:t>
      </w:r>
    </w:p>
    <w:p w14:paraId="17782357" w14:textId="77777777" w:rsidR="003D70E5" w:rsidRPr="003D70E5" w:rsidRDefault="003D70E5" w:rsidP="00E32E57">
      <w:pPr>
        <w:ind w:left="851" w:right="899"/>
        <w:jc w:val="both"/>
        <w:rPr>
          <w:rFonts w:ascii="Palatino Linotype" w:hAnsi="Palatino Linotype" w:cs="Arial"/>
          <w:color w:val="000000" w:themeColor="text1"/>
        </w:rPr>
      </w:pPr>
      <w:r w:rsidRPr="003D70E5">
        <w:rPr>
          <w:rFonts w:ascii="Palatino Linotype" w:hAnsi="Palatino Linotype" w:cs="Arial"/>
          <w:color w:val="000000" w:themeColor="text1"/>
        </w:rPr>
        <w:t>“Melchor Ocampo, México a 21 de Junio de 2022</w:t>
      </w:r>
    </w:p>
    <w:p w14:paraId="76F07188" w14:textId="77777777" w:rsidR="003D70E5" w:rsidRPr="003D70E5" w:rsidRDefault="003D70E5" w:rsidP="00E32E57">
      <w:pPr>
        <w:ind w:left="851" w:right="899"/>
        <w:jc w:val="both"/>
        <w:rPr>
          <w:rFonts w:ascii="Palatino Linotype" w:hAnsi="Palatino Linotype" w:cs="Arial"/>
          <w:color w:val="000000" w:themeColor="text1"/>
        </w:rPr>
      </w:pPr>
      <w:r w:rsidRPr="003D70E5">
        <w:rPr>
          <w:rFonts w:ascii="Palatino Linotype" w:hAnsi="Palatino Linotype" w:cs="Arial"/>
          <w:color w:val="000000" w:themeColor="text1"/>
        </w:rPr>
        <w:t>Nombre del solicitante: C. Solicitante</w:t>
      </w:r>
    </w:p>
    <w:p w14:paraId="01405FB4" w14:textId="77777777" w:rsidR="003D70E5" w:rsidRPr="003D70E5" w:rsidRDefault="003D70E5" w:rsidP="00E32E57">
      <w:pPr>
        <w:ind w:left="851" w:right="899"/>
        <w:jc w:val="both"/>
        <w:rPr>
          <w:rFonts w:ascii="Palatino Linotype" w:hAnsi="Palatino Linotype" w:cs="Arial"/>
          <w:color w:val="000000" w:themeColor="text1"/>
        </w:rPr>
      </w:pPr>
      <w:r w:rsidRPr="003D70E5">
        <w:rPr>
          <w:rFonts w:ascii="Palatino Linotype" w:hAnsi="Palatino Linotype" w:cs="Arial"/>
          <w:color w:val="000000" w:themeColor="text1"/>
        </w:rPr>
        <w:t>Folio de la solicitud: 00091/MELOCAM/IP/2022</w:t>
      </w:r>
    </w:p>
    <w:p w14:paraId="1DA42215" w14:textId="77777777" w:rsidR="003D70E5" w:rsidRPr="003D70E5" w:rsidRDefault="003D70E5" w:rsidP="00E32E57">
      <w:pPr>
        <w:ind w:left="851" w:right="899"/>
        <w:jc w:val="both"/>
        <w:rPr>
          <w:rFonts w:ascii="Palatino Linotype" w:hAnsi="Palatino Linotype" w:cs="Arial"/>
          <w:color w:val="000000" w:themeColor="text1"/>
        </w:rPr>
      </w:pPr>
      <w:r w:rsidRPr="003D70E5">
        <w:rPr>
          <w:rFonts w:ascii="Palatino Linotype" w:hAnsi="Palatino Linotype" w:cs="Arial"/>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BC411E" w14:textId="77777777" w:rsidR="003D70E5" w:rsidRPr="003D70E5" w:rsidRDefault="003D70E5" w:rsidP="00E32E57">
      <w:pPr>
        <w:ind w:left="851" w:right="899"/>
        <w:jc w:val="both"/>
        <w:rPr>
          <w:rFonts w:ascii="Palatino Linotype" w:hAnsi="Palatino Linotype" w:cs="Arial"/>
          <w:color w:val="000000" w:themeColor="text1"/>
        </w:rPr>
      </w:pPr>
      <w:r w:rsidRPr="003D70E5">
        <w:rPr>
          <w:rFonts w:ascii="Palatino Linotype" w:hAnsi="Palatino Linotype" w:cs="Arial"/>
          <w:color w:val="000000" w:themeColor="text1"/>
        </w:rPr>
        <w:t xml:space="preserve">Estando en tiempo y forma en términos de los artículos 12, 150, 157, 163 y demás relativos de la Ley de Transparencia y Acceso a la Información Pública del Estado de México y Municipios vigente, con respecto a su petición 00091/MELOCAM/IP/2022 mediante el sistema SAIMEX, se le informa: se realiza cambio de modalidad a consulta directa, para dar respuesta a la solicitud con fundamento en el artículo 158 y demás aplicables de la Ley de Transparencia y Acceso a la Información Pública del Estado de México y Municipios. señalando los días catorce y quince de julio del presente año para la consulta directa de la información respecto de la solicitud número 00091/MELOCAM/IP/2022 en un horario de 09:00 a 15:00 horas, en las oficinas que ocupa la Dirección de Administración, en el palacio municipal de Melchor Ocampo, ubicado en calle Adolfo López Mateos, Numero 72, Barrio Señor de los Milagros, Municipio de Melchor Ocampo, Estado de México, con atención de la C. Mariana Herrera Sánchez servidor público adscrito a dicha </w:t>
      </w:r>
      <w:proofErr w:type="spellStart"/>
      <w:r w:rsidRPr="003D70E5">
        <w:rPr>
          <w:rFonts w:ascii="Palatino Linotype" w:hAnsi="Palatino Linotype" w:cs="Arial"/>
          <w:color w:val="000000" w:themeColor="text1"/>
        </w:rPr>
        <w:t>Dirección.En</w:t>
      </w:r>
      <w:proofErr w:type="spellEnd"/>
      <w:r w:rsidRPr="003D70E5">
        <w:rPr>
          <w:rFonts w:ascii="Palatino Linotype" w:hAnsi="Palatino Linotype" w:cs="Arial"/>
          <w:color w:val="000000" w:themeColor="text1"/>
        </w:rPr>
        <w:t xml:space="preserve"> virtud de lo anterior la presente solicitud se archiva como concluida, y en términos del artículo 176, 177 y 178 de la Ley de Transparencia </w:t>
      </w:r>
      <w:r w:rsidRPr="003D70E5">
        <w:rPr>
          <w:rFonts w:ascii="Palatino Linotype" w:hAnsi="Palatino Linotype" w:cs="Arial"/>
          <w:color w:val="000000" w:themeColor="text1"/>
        </w:rPr>
        <w:lastRenderedPageBreak/>
        <w:t>y Acceso a la Información del Estado de México y Municipios vigente se hace de su conocimiento que tiene el derecho de interponer el recurso de revisión en un término de quince días hábiles.</w:t>
      </w:r>
    </w:p>
    <w:p w14:paraId="1D1AF7CD" w14:textId="77777777" w:rsidR="003D70E5" w:rsidRPr="003D70E5" w:rsidRDefault="003D70E5" w:rsidP="00E32E57">
      <w:pPr>
        <w:ind w:left="851" w:right="899"/>
        <w:jc w:val="both"/>
        <w:rPr>
          <w:rFonts w:ascii="Palatino Linotype" w:hAnsi="Palatino Linotype" w:cs="Arial"/>
          <w:color w:val="000000" w:themeColor="text1"/>
        </w:rPr>
      </w:pPr>
      <w:r w:rsidRPr="003D70E5">
        <w:rPr>
          <w:rFonts w:ascii="Palatino Linotype" w:hAnsi="Palatino Linotype" w:cs="Arial"/>
          <w:color w:val="000000" w:themeColor="text1"/>
        </w:rPr>
        <w:t>ATENTAMENTE</w:t>
      </w:r>
    </w:p>
    <w:p w14:paraId="2EA131D0" w14:textId="77777777" w:rsidR="003D70E5" w:rsidRPr="003D70E5" w:rsidRDefault="003D70E5" w:rsidP="00E32E57">
      <w:pPr>
        <w:ind w:left="851" w:right="899"/>
        <w:jc w:val="both"/>
        <w:rPr>
          <w:rFonts w:ascii="Palatino Linotype" w:hAnsi="Palatino Linotype" w:cs="Arial"/>
          <w:color w:val="000000" w:themeColor="text1"/>
        </w:rPr>
      </w:pPr>
      <w:r w:rsidRPr="003D70E5">
        <w:rPr>
          <w:rFonts w:ascii="Palatino Linotype" w:hAnsi="Palatino Linotype" w:cs="Arial"/>
          <w:color w:val="000000" w:themeColor="text1"/>
        </w:rPr>
        <w:t>MUNICIPIO DE MELCHOR OCAMPO”</w:t>
      </w:r>
    </w:p>
    <w:p w14:paraId="69909C54" w14:textId="77777777" w:rsidR="003D70E5" w:rsidRDefault="003D70E5" w:rsidP="00E32E57">
      <w:pPr>
        <w:ind w:right="899"/>
        <w:jc w:val="both"/>
        <w:rPr>
          <w:rFonts w:ascii="Palatino Linotype" w:hAnsi="Palatino Linotype" w:cs="Arial"/>
          <w:color w:val="000000" w:themeColor="text1"/>
        </w:rPr>
      </w:pPr>
    </w:p>
    <w:p w14:paraId="2AC0FC64" w14:textId="304C82D0" w:rsidR="004B5988" w:rsidRDefault="003D70E5" w:rsidP="00E32E57">
      <w:pPr>
        <w:ind w:right="899"/>
        <w:jc w:val="both"/>
        <w:rPr>
          <w:rFonts w:ascii="Palatino Linotype" w:hAnsi="Palatino Linotype" w:cs="Arial"/>
          <w:color w:val="000000" w:themeColor="text1"/>
        </w:rPr>
      </w:pPr>
      <w:r w:rsidRPr="003D70E5">
        <w:rPr>
          <w:rFonts w:ascii="Palatino Linotype" w:hAnsi="Palatino Linotype" w:cs="Arial"/>
          <w:color w:val="000000" w:themeColor="text1"/>
        </w:rPr>
        <w:t>Por otra parte, se agregó a la respuesta el archivo digital denominado “10.pdf”; del cuyo contenido se observa el acta de la décima sesión ordinaria del Comité de Transparencia 2022-2024 del Ayuntamiento de Melchor Ocampo, por medio de la cual, se acuerda la aprobación del cambio de modalidad a consulta directa para proporcionar la información requerida en la solicitud de acceso a la información 00091/MELOCAM/IP/2022.</w:t>
      </w:r>
    </w:p>
    <w:p w14:paraId="6094F547" w14:textId="77777777" w:rsidR="001A6A40" w:rsidRDefault="001A6A40" w:rsidP="00E32E57">
      <w:pPr>
        <w:spacing w:line="360" w:lineRule="auto"/>
        <w:jc w:val="both"/>
        <w:rPr>
          <w:rFonts w:ascii="Palatino Linotype" w:hAnsi="Palatino Linotype" w:cs="Segoe UI"/>
          <w:sz w:val="22"/>
          <w:szCs w:val="22"/>
          <w:lang w:eastAsia="es-MX"/>
        </w:rPr>
      </w:pPr>
    </w:p>
    <w:p w14:paraId="0D6CFA7F" w14:textId="0EE90AEC" w:rsidR="0035304E" w:rsidRPr="00B02CF7" w:rsidRDefault="0035304E" w:rsidP="00E32E57">
      <w:pPr>
        <w:spacing w:line="360" w:lineRule="auto"/>
        <w:jc w:val="both"/>
        <w:rPr>
          <w:rFonts w:ascii="Palatino Linotype" w:hAnsi="Palatino Linotype" w:cs="Arial"/>
          <w:sz w:val="22"/>
          <w:szCs w:val="22"/>
          <w:lang w:val="es-419"/>
        </w:rPr>
      </w:pPr>
      <w:r w:rsidRPr="00B02CF7">
        <w:rPr>
          <w:rFonts w:ascii="Palatino Linotype" w:hAnsi="Palatino Linotype" w:cs="Arial"/>
          <w:sz w:val="22"/>
          <w:szCs w:val="22"/>
          <w:lang w:val="es-419"/>
        </w:rPr>
        <w:t xml:space="preserve">Inconforme con la respuesta, </w:t>
      </w:r>
      <w:r w:rsidRPr="003468BB">
        <w:rPr>
          <w:rFonts w:ascii="Palatino Linotype" w:hAnsi="Palatino Linotype" w:cs="Arial"/>
          <w:b/>
          <w:sz w:val="22"/>
          <w:szCs w:val="22"/>
          <w:lang w:val="es-419"/>
        </w:rPr>
        <w:t>EL RECURRENTE</w:t>
      </w:r>
      <w:r w:rsidRPr="00B02CF7">
        <w:rPr>
          <w:rFonts w:ascii="Palatino Linotype" w:hAnsi="Palatino Linotype" w:cs="Arial"/>
          <w:sz w:val="22"/>
          <w:szCs w:val="22"/>
          <w:lang w:val="es-419"/>
        </w:rPr>
        <w:t xml:space="preserve"> interpuso el presente medio de defensa, señalando como razones o motivos de inconformidad:</w:t>
      </w:r>
    </w:p>
    <w:p w14:paraId="6C4DECD4" w14:textId="77777777" w:rsidR="00E52DF9" w:rsidRDefault="00E52DF9" w:rsidP="00E32E57">
      <w:pPr>
        <w:spacing w:line="360" w:lineRule="auto"/>
        <w:jc w:val="both"/>
        <w:rPr>
          <w:rFonts w:ascii="Palatino Linotype" w:hAnsi="Palatino Linotype" w:cs="Arial"/>
          <w:sz w:val="22"/>
          <w:szCs w:val="22"/>
        </w:rPr>
      </w:pPr>
    </w:p>
    <w:p w14:paraId="64A2DFAB" w14:textId="2A53E254" w:rsidR="00E52DF9" w:rsidRPr="00C70E0D" w:rsidRDefault="0035304E" w:rsidP="00E32E57">
      <w:pPr>
        <w:spacing w:line="360" w:lineRule="auto"/>
        <w:jc w:val="both"/>
        <w:rPr>
          <w:rFonts w:ascii="Palatino Linotype" w:hAnsi="Palatino Linotype" w:cs="Arial"/>
          <w:b/>
          <w:sz w:val="22"/>
          <w:szCs w:val="22"/>
        </w:rPr>
      </w:pPr>
      <w:r w:rsidRPr="00B02CF7">
        <w:rPr>
          <w:rFonts w:ascii="Palatino Linotype" w:hAnsi="Palatino Linotype" w:cs="Arial"/>
          <w:b/>
          <w:sz w:val="22"/>
          <w:szCs w:val="22"/>
        </w:rPr>
        <w:t>Acto Impugnado:</w:t>
      </w:r>
    </w:p>
    <w:p w14:paraId="439C778B" w14:textId="7931109D" w:rsidR="00E52DF9" w:rsidRDefault="003D70E5" w:rsidP="00E32E57">
      <w:pPr>
        <w:spacing w:line="360" w:lineRule="auto"/>
        <w:ind w:left="708"/>
        <w:jc w:val="both"/>
        <w:rPr>
          <w:rFonts w:ascii="Palatino Linotype" w:hAnsi="Palatino Linotype" w:cs="Arial"/>
          <w:i/>
          <w:iCs/>
          <w:sz w:val="22"/>
          <w:szCs w:val="20"/>
          <w:lang w:val="es-MX"/>
        </w:rPr>
      </w:pPr>
      <w:r w:rsidRPr="003D70E5">
        <w:rPr>
          <w:rFonts w:ascii="Palatino Linotype" w:hAnsi="Palatino Linotype" w:cs="Arial"/>
          <w:i/>
          <w:iCs/>
          <w:sz w:val="22"/>
          <w:szCs w:val="20"/>
          <w:lang w:val="es-MX"/>
        </w:rPr>
        <w:t>“NO SE HACE ENTREGA DE LA INFORMACION SOLICITADA” (Sic).</w:t>
      </w:r>
    </w:p>
    <w:p w14:paraId="384C4B2E" w14:textId="77777777" w:rsidR="00C70E0D" w:rsidRPr="00C70E0D" w:rsidRDefault="00C70E0D" w:rsidP="00E32E57">
      <w:pPr>
        <w:spacing w:line="360" w:lineRule="auto"/>
        <w:ind w:left="708" w:hanging="708"/>
        <w:rPr>
          <w:rFonts w:ascii="Palatino Linotype" w:hAnsi="Palatino Linotype" w:cs="Arial"/>
          <w:b/>
          <w:iCs/>
          <w:sz w:val="22"/>
          <w:szCs w:val="20"/>
          <w:lang w:val="es-MX"/>
        </w:rPr>
      </w:pPr>
      <w:r w:rsidRPr="00C70E0D">
        <w:rPr>
          <w:rFonts w:ascii="Palatino Linotype" w:hAnsi="Palatino Linotype" w:cs="Arial"/>
          <w:b/>
          <w:iCs/>
          <w:sz w:val="22"/>
          <w:szCs w:val="20"/>
          <w:lang w:val="es-MX"/>
        </w:rPr>
        <w:t>Razones o motivos de inconformidad:</w:t>
      </w:r>
    </w:p>
    <w:p w14:paraId="23F5B9F0" w14:textId="3B91C369" w:rsidR="004B5988" w:rsidRDefault="003D70E5" w:rsidP="00E32E57">
      <w:pPr>
        <w:spacing w:line="360" w:lineRule="auto"/>
        <w:ind w:left="851" w:right="1183"/>
        <w:jc w:val="both"/>
        <w:rPr>
          <w:rFonts w:ascii="Palatino Linotype" w:hAnsi="Palatino Linotype" w:cs="Arial"/>
          <w:i/>
          <w:iCs/>
          <w:sz w:val="22"/>
          <w:szCs w:val="20"/>
          <w:lang w:val="es-MX"/>
        </w:rPr>
      </w:pPr>
      <w:r w:rsidRPr="003D70E5">
        <w:rPr>
          <w:rFonts w:ascii="Palatino Linotype" w:hAnsi="Palatino Linotype" w:cs="Arial"/>
          <w:i/>
          <w:iCs/>
          <w:sz w:val="22"/>
          <w:szCs w:val="20"/>
          <w:lang w:val="es-MX"/>
        </w:rPr>
        <w:t>“EL SUJETO OBLIGADO PRETENDE SOLAMENTE PONER DISPONIBLE LA INFORMACIÓN PARA CONSULTA DIRECTA, SIENDO QUE LA SOLICITUD SE PIDIÓ QUE FUERA VIA SISTEMA SAIMEX.” (Sic).</w:t>
      </w:r>
    </w:p>
    <w:p w14:paraId="62025DFF" w14:textId="77777777" w:rsidR="003D70E5" w:rsidRPr="00E52DF9" w:rsidRDefault="003D70E5" w:rsidP="00E32E57">
      <w:pPr>
        <w:spacing w:line="360" w:lineRule="auto"/>
        <w:ind w:left="851" w:right="1183"/>
        <w:jc w:val="both"/>
        <w:rPr>
          <w:rFonts w:ascii="Palatino Linotype" w:hAnsi="Palatino Linotype" w:cs="Arial"/>
          <w:i/>
          <w:iCs/>
          <w:sz w:val="22"/>
          <w:szCs w:val="20"/>
          <w:lang w:val="es-MX"/>
        </w:rPr>
      </w:pPr>
    </w:p>
    <w:p w14:paraId="66FA1EAB" w14:textId="29D9E67C" w:rsidR="00C70E0D" w:rsidRPr="00C70E0D" w:rsidRDefault="00C70E0D" w:rsidP="00E32E57">
      <w:pPr>
        <w:spacing w:line="360" w:lineRule="auto"/>
        <w:jc w:val="both"/>
        <w:rPr>
          <w:rFonts w:ascii="Palatino Linotype" w:hAnsi="Palatino Linotype" w:cs="Arial"/>
          <w:sz w:val="22"/>
          <w:szCs w:val="22"/>
          <w:lang w:eastAsia="es-MX"/>
        </w:rPr>
      </w:pPr>
      <w:r>
        <w:rPr>
          <w:rFonts w:ascii="Palatino Linotype" w:hAnsi="Palatino Linotype" w:cs="Arial"/>
          <w:sz w:val="22"/>
          <w:szCs w:val="22"/>
          <w:lang w:eastAsia="es-MX"/>
        </w:rPr>
        <w:t>Cab</w:t>
      </w:r>
      <w:r w:rsidRPr="00C70E0D">
        <w:rPr>
          <w:rFonts w:ascii="Palatino Linotype" w:hAnsi="Palatino Linotype" w:cs="Arial"/>
          <w:sz w:val="22"/>
          <w:szCs w:val="22"/>
          <w:lang w:eastAsia="es-MX"/>
        </w:rPr>
        <w:t>e</w:t>
      </w:r>
      <w:r>
        <w:rPr>
          <w:rFonts w:ascii="Palatino Linotype" w:hAnsi="Palatino Linotype" w:cs="Arial"/>
          <w:sz w:val="22"/>
          <w:szCs w:val="22"/>
          <w:lang w:eastAsia="es-MX"/>
        </w:rPr>
        <w:t xml:space="preserve"> destacar que de</w:t>
      </w:r>
      <w:r w:rsidRPr="00C70E0D">
        <w:rPr>
          <w:rFonts w:ascii="Palatino Linotype" w:hAnsi="Palatino Linotype" w:cs="Arial"/>
          <w:sz w:val="22"/>
          <w:szCs w:val="22"/>
          <w:lang w:eastAsia="es-MX"/>
        </w:rPr>
        <w:t xml:space="preserve"> acuerdo a las constancias digitales que obran en EL SAIMEX se desprende que conforme a lo dispuesto en el artículo 185, fracciones II y IV de la Ley de Transparencia y Acceso a la Información Pública del Estado de México y Municipios, dentro del t</w:t>
      </w:r>
      <w:r w:rsidR="004B5988">
        <w:rPr>
          <w:rFonts w:ascii="Palatino Linotype" w:hAnsi="Palatino Linotype" w:cs="Arial"/>
          <w:sz w:val="22"/>
          <w:szCs w:val="22"/>
          <w:lang w:eastAsia="es-MX"/>
        </w:rPr>
        <w:t>érmino legalmente concedido a el</w:t>
      </w:r>
      <w:r w:rsidRPr="00C70E0D">
        <w:rPr>
          <w:rFonts w:ascii="Palatino Linotype" w:hAnsi="Palatino Linotype" w:cs="Arial"/>
          <w:sz w:val="22"/>
          <w:szCs w:val="22"/>
          <w:lang w:eastAsia="es-MX"/>
        </w:rPr>
        <w:t xml:space="preserve"> </w:t>
      </w:r>
      <w:r w:rsidR="004B5988" w:rsidRPr="00C70E0D">
        <w:rPr>
          <w:rFonts w:ascii="Palatino Linotype" w:hAnsi="Palatino Linotype" w:cs="Arial"/>
          <w:sz w:val="22"/>
          <w:szCs w:val="22"/>
          <w:lang w:eastAsia="es-MX"/>
        </w:rPr>
        <w:t>Recurrente</w:t>
      </w:r>
      <w:r w:rsidRPr="00C70E0D">
        <w:rPr>
          <w:rFonts w:ascii="Palatino Linotype" w:hAnsi="Palatino Linotype" w:cs="Arial"/>
          <w:sz w:val="22"/>
          <w:szCs w:val="22"/>
          <w:lang w:eastAsia="es-MX"/>
        </w:rPr>
        <w:t xml:space="preserve">, éste no realizó manifestación alguna; </w:t>
      </w:r>
      <w:r w:rsidR="004B5988">
        <w:rPr>
          <w:rFonts w:ascii="Palatino Linotype" w:hAnsi="Palatino Linotype" w:cs="Arial"/>
          <w:sz w:val="22"/>
          <w:szCs w:val="22"/>
          <w:lang w:eastAsia="es-MX"/>
        </w:rPr>
        <w:t>en el mismo supuesto</w:t>
      </w:r>
      <w:r w:rsidRPr="00C70E0D">
        <w:rPr>
          <w:rFonts w:ascii="Palatino Linotype" w:hAnsi="Palatino Linotype" w:cs="Arial"/>
          <w:sz w:val="22"/>
          <w:szCs w:val="22"/>
          <w:lang w:eastAsia="es-MX"/>
        </w:rPr>
        <w:t xml:space="preserve">, </w:t>
      </w:r>
      <w:r w:rsidR="004B5988">
        <w:rPr>
          <w:rFonts w:ascii="Palatino Linotype" w:hAnsi="Palatino Linotype" w:cs="Arial"/>
          <w:sz w:val="22"/>
          <w:szCs w:val="22"/>
          <w:lang w:eastAsia="es-MX"/>
        </w:rPr>
        <w:t>e</w:t>
      </w:r>
      <w:r w:rsidR="004B5988" w:rsidRPr="00C70E0D">
        <w:rPr>
          <w:rFonts w:ascii="Palatino Linotype" w:hAnsi="Palatino Linotype" w:cs="Arial"/>
          <w:sz w:val="22"/>
          <w:szCs w:val="22"/>
          <w:lang w:eastAsia="es-MX"/>
        </w:rPr>
        <w:t xml:space="preserve">l Sujeto Obligado </w:t>
      </w:r>
      <w:r w:rsidR="004B5988">
        <w:rPr>
          <w:rFonts w:ascii="Palatino Linotype" w:hAnsi="Palatino Linotype" w:cs="Arial"/>
          <w:sz w:val="22"/>
          <w:szCs w:val="22"/>
          <w:lang w:eastAsia="es-MX"/>
        </w:rPr>
        <w:t>omitió rendir su informe justificado.</w:t>
      </w:r>
    </w:p>
    <w:p w14:paraId="74462905" w14:textId="77777777" w:rsidR="00C70E0D" w:rsidRPr="00B02CF7" w:rsidRDefault="00C70E0D" w:rsidP="00E32E57">
      <w:pPr>
        <w:spacing w:line="360" w:lineRule="auto"/>
        <w:jc w:val="both"/>
        <w:rPr>
          <w:rFonts w:ascii="Palatino Linotype" w:hAnsi="Palatino Linotype" w:cs="Tahoma"/>
          <w:sz w:val="22"/>
          <w:szCs w:val="22"/>
        </w:rPr>
      </w:pPr>
    </w:p>
    <w:p w14:paraId="6EC0B4D5" w14:textId="69716D45" w:rsidR="003332CC" w:rsidRDefault="008D2E26" w:rsidP="00E32E57">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 xml:space="preserve">Es así que, la Ponencia Resolutora realizó un estudio para determinar si </w:t>
      </w:r>
      <w:r w:rsidRPr="00161B88">
        <w:rPr>
          <w:rFonts w:ascii="Palatino Linotype" w:hAnsi="Palatino Linotype" w:cs="Arial"/>
          <w:b/>
          <w:bCs/>
          <w:sz w:val="22"/>
          <w:szCs w:val="22"/>
        </w:rPr>
        <w:t>EL SUJETO OBLIGADO</w:t>
      </w:r>
      <w:r w:rsidRPr="00B02CF7">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el artículo 179</w:t>
      </w:r>
      <w:r w:rsidR="003D70E5">
        <w:rPr>
          <w:rFonts w:ascii="Palatino Linotype" w:hAnsi="Palatino Linotype" w:cs="Arial"/>
          <w:sz w:val="22"/>
          <w:szCs w:val="22"/>
        </w:rPr>
        <w:t>,</w:t>
      </w:r>
      <w:r w:rsidR="003332CC">
        <w:rPr>
          <w:rFonts w:ascii="Palatino Linotype" w:hAnsi="Palatino Linotype" w:cs="Arial"/>
          <w:sz w:val="22"/>
          <w:szCs w:val="22"/>
        </w:rPr>
        <w:t xml:space="preserve"> fracción</w:t>
      </w:r>
      <w:r w:rsidR="003D70E5">
        <w:rPr>
          <w:rFonts w:ascii="Palatino Linotype" w:hAnsi="Palatino Linotype" w:cs="Arial"/>
          <w:sz w:val="22"/>
          <w:szCs w:val="22"/>
        </w:rPr>
        <w:t xml:space="preserve"> VIII</w:t>
      </w:r>
      <w:r w:rsidR="003D70E5" w:rsidRPr="004645A9">
        <w:rPr>
          <w:rFonts w:ascii="Palatino Linotype" w:hAnsi="Palatino Linotype" w:cs="Arial"/>
          <w:sz w:val="22"/>
          <w:szCs w:val="22"/>
        </w:rPr>
        <w:t xml:space="preserve"> de la Ley de Transparencia y Acceso a la Información Pública del Estado de México y sus Municipios, que establece</w:t>
      </w:r>
      <w:r w:rsidR="003332CC">
        <w:rPr>
          <w:rFonts w:ascii="Palatino Linotype" w:hAnsi="Palatino Linotype" w:cs="Arial"/>
          <w:sz w:val="22"/>
          <w:szCs w:val="22"/>
        </w:rPr>
        <w:t xml:space="preserve"> la notificación, entrega o puesta a disposición de información en una modalidad o formato distinto al solicitado. </w:t>
      </w:r>
    </w:p>
    <w:p w14:paraId="1708F0D6" w14:textId="379B18A5" w:rsidR="003E66B1" w:rsidRPr="00B02CF7" w:rsidRDefault="003E66B1" w:rsidP="00E32E57">
      <w:pPr>
        <w:spacing w:line="360" w:lineRule="auto"/>
        <w:contextualSpacing/>
        <w:jc w:val="both"/>
        <w:rPr>
          <w:rFonts w:ascii="Palatino Linotype" w:hAnsi="Palatino Linotype" w:cs="Arial"/>
          <w:sz w:val="22"/>
          <w:szCs w:val="22"/>
        </w:rPr>
      </w:pPr>
    </w:p>
    <w:p w14:paraId="36184390" w14:textId="3985475A" w:rsidR="00BE7409" w:rsidRPr="00B02CF7" w:rsidRDefault="00BE7409" w:rsidP="00E32E57">
      <w:pPr>
        <w:spacing w:line="360" w:lineRule="auto"/>
        <w:jc w:val="both"/>
        <w:rPr>
          <w:rFonts w:ascii="Palatino Linotype" w:hAnsi="Palatino Linotype"/>
          <w:i/>
          <w:color w:val="000000"/>
          <w:sz w:val="22"/>
          <w:szCs w:val="22"/>
        </w:rPr>
      </w:pPr>
      <w:r w:rsidRPr="00B02CF7">
        <w:rPr>
          <w:rFonts w:ascii="Palatino Linotype" w:hAnsi="Palatino Linotype"/>
          <w:color w:val="000000"/>
          <w:sz w:val="22"/>
          <w:szCs w:val="22"/>
        </w:rPr>
        <w:t xml:space="preserve">En esa tesitura, </w:t>
      </w:r>
      <w:r w:rsidR="00296257" w:rsidRPr="00B02CF7">
        <w:rPr>
          <w:rFonts w:ascii="Palatino Linotype" w:hAnsi="Palatino Linotype"/>
          <w:color w:val="000000"/>
          <w:sz w:val="22"/>
          <w:szCs w:val="22"/>
        </w:rPr>
        <w:t xml:space="preserve">el presente recurso se </w:t>
      </w:r>
      <w:r w:rsidR="00E53ECE">
        <w:rPr>
          <w:rFonts w:ascii="Palatino Linotype" w:hAnsi="Palatino Linotype"/>
          <w:color w:val="000000"/>
          <w:sz w:val="22"/>
          <w:szCs w:val="22"/>
        </w:rPr>
        <w:t>elaboró</w:t>
      </w:r>
      <w:r w:rsidR="00296257" w:rsidRPr="00B02CF7">
        <w:rPr>
          <w:rFonts w:ascii="Palatino Linotype" w:hAnsi="Palatino Linotype"/>
          <w:color w:val="000000"/>
          <w:sz w:val="22"/>
          <w:szCs w:val="22"/>
        </w:rPr>
        <w:t xml:space="preserve"> con engrose y criterio mayoritario por el Pleno de este Instituto, en el que só</w:t>
      </w:r>
      <w:r w:rsidRPr="00B02CF7">
        <w:rPr>
          <w:rFonts w:ascii="Palatino Linotype" w:hAnsi="Palatino Linotype"/>
          <w:color w:val="000000"/>
          <w:sz w:val="22"/>
          <w:szCs w:val="22"/>
        </w:rPr>
        <w:t xml:space="preserve">lo se hizo especial énfasis como dato a reservar el nombre de los elementos de </w:t>
      </w:r>
      <w:r w:rsidR="00296257" w:rsidRPr="00B02CF7">
        <w:rPr>
          <w:rFonts w:ascii="Palatino Linotype" w:hAnsi="Palatino Linotype"/>
          <w:color w:val="000000"/>
          <w:sz w:val="22"/>
          <w:szCs w:val="22"/>
        </w:rPr>
        <w:t>Seguridad Pública</w:t>
      </w:r>
      <w:r w:rsidRPr="00B02CF7">
        <w:rPr>
          <w:rFonts w:ascii="Palatino Linotype" w:hAnsi="Palatino Linotype"/>
          <w:color w:val="000000"/>
          <w:sz w:val="22"/>
          <w:szCs w:val="22"/>
        </w:rPr>
        <w:t>, basándose para ello en el criterio 6-09, del Instituto Federal de Acceso a la Información Pública (IFAI), ahora, Instituto Nacional de Transparencia, Acceso a la Información y Protección de Datos Personales, antes (INAI), cuyo rubro es: “</w:t>
      </w:r>
      <w:r w:rsidRPr="00B02CF7">
        <w:rPr>
          <w:rFonts w:ascii="Palatino Linotype" w:hAnsi="Palatino Linotype"/>
          <w:i/>
          <w:color w:val="000000"/>
          <w:sz w:val="22"/>
          <w:szCs w:val="22"/>
        </w:rPr>
        <w:t>Nombres de servidores públicos dedicados a actividades en materia de seguridad, por excepción pueden considerarse información reservada”.</w:t>
      </w:r>
    </w:p>
    <w:p w14:paraId="5BE4AD06" w14:textId="77777777" w:rsidR="00BE7409" w:rsidRPr="00B02CF7" w:rsidRDefault="00BE7409" w:rsidP="00E32E57">
      <w:pPr>
        <w:spacing w:line="360" w:lineRule="auto"/>
        <w:contextualSpacing/>
        <w:jc w:val="both"/>
        <w:rPr>
          <w:rFonts w:ascii="Palatino Linotype" w:hAnsi="Palatino Linotype" w:cs="Arial"/>
          <w:sz w:val="22"/>
          <w:szCs w:val="22"/>
        </w:rPr>
      </w:pPr>
    </w:p>
    <w:p w14:paraId="403A35AE" w14:textId="6840BB38" w:rsidR="00D734D9" w:rsidRPr="00B02CF7" w:rsidRDefault="003F6468" w:rsidP="00E32E57">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En ese sentido, la Ponencia Resolutora</w:t>
      </w:r>
      <w:r w:rsidR="00296257" w:rsidRPr="00B02CF7">
        <w:rPr>
          <w:rFonts w:ascii="Palatino Linotype" w:hAnsi="Palatino Linotype" w:cs="Arial"/>
          <w:sz w:val="22"/>
          <w:szCs w:val="22"/>
        </w:rPr>
        <w:t xml:space="preserve"> realizó engrose y</w:t>
      </w:r>
      <w:r w:rsidRPr="00B02CF7">
        <w:rPr>
          <w:rFonts w:ascii="Palatino Linotype" w:hAnsi="Palatino Linotype" w:cs="Arial"/>
          <w:sz w:val="22"/>
          <w:szCs w:val="22"/>
        </w:rPr>
        <w:t xml:space="preserve"> </w:t>
      </w:r>
      <w:r w:rsidR="008E75B6" w:rsidRPr="00B02CF7">
        <w:rPr>
          <w:rFonts w:ascii="Palatino Linotype" w:hAnsi="Palatino Linotype" w:cs="Arial"/>
          <w:sz w:val="22"/>
          <w:szCs w:val="22"/>
        </w:rPr>
        <w:t>orden</w:t>
      </w:r>
      <w:r w:rsidR="004365C0" w:rsidRPr="00B02CF7">
        <w:rPr>
          <w:rFonts w:ascii="Palatino Linotype" w:hAnsi="Palatino Linotype" w:cs="Arial"/>
          <w:sz w:val="22"/>
          <w:szCs w:val="22"/>
        </w:rPr>
        <w:t>ó</w:t>
      </w:r>
      <w:r w:rsidR="008E75B6" w:rsidRPr="00B02CF7">
        <w:rPr>
          <w:rFonts w:ascii="Palatino Linotype" w:hAnsi="Palatino Linotype" w:cs="Arial"/>
          <w:sz w:val="22"/>
          <w:szCs w:val="22"/>
        </w:rPr>
        <w:t xml:space="preserve"> </w:t>
      </w:r>
      <w:r w:rsidR="00D734D9" w:rsidRPr="00B02CF7">
        <w:rPr>
          <w:rFonts w:ascii="Palatino Linotype" w:hAnsi="Palatino Linotype" w:cs="Arial"/>
          <w:sz w:val="22"/>
          <w:szCs w:val="22"/>
        </w:rPr>
        <w:t xml:space="preserve">entregar la información solicitada por el recurrente únicamente reservando del nombre de los elementos </w:t>
      </w:r>
      <w:r w:rsidR="00D27FB7" w:rsidRPr="00B02CF7">
        <w:rPr>
          <w:rFonts w:ascii="Palatino Linotype" w:hAnsi="Palatino Linotype" w:cs="Arial"/>
          <w:sz w:val="22"/>
          <w:szCs w:val="22"/>
        </w:rPr>
        <w:t xml:space="preserve">operativos de </w:t>
      </w:r>
      <w:r w:rsidR="00296257" w:rsidRPr="00B02CF7">
        <w:rPr>
          <w:rFonts w:ascii="Palatino Linotype" w:hAnsi="Palatino Linotype" w:cs="Arial"/>
          <w:sz w:val="22"/>
          <w:szCs w:val="22"/>
        </w:rPr>
        <w:t>Seguridad Pública</w:t>
      </w:r>
      <w:r w:rsidR="00D734D9" w:rsidRPr="00B02CF7">
        <w:rPr>
          <w:rFonts w:ascii="Palatino Linotype" w:hAnsi="Palatino Linotype" w:cs="Arial"/>
          <w:sz w:val="22"/>
          <w:szCs w:val="22"/>
        </w:rPr>
        <w:t xml:space="preserve"> que se encuentren activos</w:t>
      </w:r>
      <w:r w:rsidR="00D27FB7" w:rsidRPr="00B02CF7">
        <w:rPr>
          <w:rFonts w:ascii="Palatino Linotype" w:hAnsi="Palatino Linotype" w:cs="Arial"/>
          <w:sz w:val="22"/>
          <w:szCs w:val="22"/>
        </w:rPr>
        <w:t xml:space="preserve"> en el </w:t>
      </w:r>
      <w:r w:rsidR="00296257" w:rsidRPr="00B02CF7">
        <w:rPr>
          <w:rFonts w:ascii="Palatino Linotype" w:hAnsi="Palatino Linotype" w:cs="Arial"/>
          <w:sz w:val="22"/>
          <w:szCs w:val="22"/>
        </w:rPr>
        <w:t>Ayuntamiento</w:t>
      </w:r>
      <w:r w:rsidR="00D27FB7" w:rsidRPr="00B02CF7">
        <w:rPr>
          <w:rFonts w:ascii="Palatino Linotype" w:hAnsi="Palatino Linotype" w:cs="Arial"/>
          <w:sz w:val="22"/>
          <w:szCs w:val="22"/>
        </w:rPr>
        <w:t xml:space="preserve"> de </w:t>
      </w:r>
      <w:r w:rsidR="003D70E5">
        <w:rPr>
          <w:rFonts w:ascii="Palatino Linotype" w:hAnsi="Palatino Linotype"/>
          <w:color w:val="000000"/>
          <w:sz w:val="22"/>
          <w:szCs w:val="22"/>
        </w:rPr>
        <w:t>Melchor Ocampo</w:t>
      </w:r>
      <w:r w:rsidR="00D734D9" w:rsidRPr="00B02CF7">
        <w:rPr>
          <w:rFonts w:ascii="Palatino Linotype" w:hAnsi="Palatino Linotype" w:cs="Arial"/>
          <w:sz w:val="22"/>
          <w:szCs w:val="22"/>
        </w:rPr>
        <w:t xml:space="preserve">, en términos del artículo 140, fracción IV, de la </w:t>
      </w:r>
      <w:r w:rsidR="008E75B6" w:rsidRPr="00B02CF7">
        <w:rPr>
          <w:rFonts w:ascii="Palatino Linotype" w:hAnsi="Palatino Linotype" w:cs="Arial"/>
          <w:sz w:val="22"/>
          <w:szCs w:val="22"/>
        </w:rPr>
        <w:t xml:space="preserve">Ley de Transparencia y Acceso a </w:t>
      </w:r>
      <w:r w:rsidR="00D734D9" w:rsidRPr="00B02CF7">
        <w:rPr>
          <w:rFonts w:ascii="Palatino Linotype" w:hAnsi="Palatino Linotype" w:cs="Arial"/>
          <w:sz w:val="22"/>
          <w:szCs w:val="22"/>
        </w:rPr>
        <w:t>la Información Pública del Estado de México y Municipios.</w:t>
      </w:r>
    </w:p>
    <w:p w14:paraId="7E6BA0D2" w14:textId="77777777" w:rsidR="00BE7409" w:rsidRPr="00B02CF7" w:rsidRDefault="00BE7409" w:rsidP="00E32E57">
      <w:pPr>
        <w:spacing w:line="360" w:lineRule="auto"/>
        <w:contextualSpacing/>
        <w:jc w:val="both"/>
        <w:rPr>
          <w:rFonts w:ascii="Palatino Linotype" w:hAnsi="Palatino Linotype" w:cs="Arial"/>
          <w:sz w:val="22"/>
          <w:szCs w:val="22"/>
        </w:rPr>
      </w:pPr>
    </w:p>
    <w:p w14:paraId="62A5A15A" w14:textId="06FE5A70" w:rsidR="009D50D6" w:rsidRPr="00B02CF7" w:rsidRDefault="008D2E26" w:rsidP="00E32E57">
      <w:pPr>
        <w:spacing w:line="360" w:lineRule="auto"/>
        <w:contextualSpacing/>
        <w:jc w:val="both"/>
        <w:rPr>
          <w:rFonts w:ascii="Palatino Linotype" w:hAnsi="Palatino Linotype"/>
          <w:color w:val="000000"/>
          <w:sz w:val="22"/>
          <w:szCs w:val="22"/>
        </w:rPr>
      </w:pPr>
      <w:r w:rsidRPr="00B02CF7">
        <w:rPr>
          <w:rFonts w:ascii="Palatino Linotype" w:hAnsi="Palatino Linotype" w:cs="Arial"/>
          <w:sz w:val="22"/>
          <w:szCs w:val="22"/>
        </w:rPr>
        <w:t>Estudi</w:t>
      </w:r>
      <w:r w:rsidR="00AD5C25" w:rsidRPr="00B02CF7">
        <w:rPr>
          <w:rFonts w:ascii="Palatino Linotype" w:hAnsi="Palatino Linotype" w:cs="Arial"/>
          <w:sz w:val="22"/>
          <w:szCs w:val="22"/>
        </w:rPr>
        <w:t>o</w:t>
      </w:r>
      <w:r w:rsidR="00492D79" w:rsidRPr="00B02CF7">
        <w:rPr>
          <w:rFonts w:ascii="Palatino Linotype" w:hAnsi="Palatino Linotype" w:cs="Arial"/>
          <w:sz w:val="22"/>
          <w:szCs w:val="22"/>
        </w:rPr>
        <w:t xml:space="preserve"> con el cual esta Ponencia no </w:t>
      </w:r>
      <w:r w:rsidR="009D50D6" w:rsidRPr="00B02CF7">
        <w:rPr>
          <w:rFonts w:ascii="Palatino Linotype" w:hAnsi="Palatino Linotype" w:cs="Arial"/>
          <w:sz w:val="22"/>
          <w:szCs w:val="22"/>
        </w:rPr>
        <w:t>coincide</w:t>
      </w:r>
      <w:r w:rsidR="00492D79" w:rsidRPr="00B02CF7">
        <w:rPr>
          <w:rFonts w:ascii="Palatino Linotype" w:hAnsi="Palatino Linotype" w:cs="Arial"/>
          <w:sz w:val="22"/>
          <w:szCs w:val="22"/>
        </w:rPr>
        <w:t xml:space="preserve">, </w:t>
      </w:r>
      <w:r w:rsidR="009D50D6" w:rsidRPr="00B02CF7">
        <w:rPr>
          <w:rFonts w:ascii="Palatino Linotype" w:hAnsi="Palatino Linotype" w:cs="Arial"/>
          <w:sz w:val="22"/>
          <w:szCs w:val="22"/>
        </w:rPr>
        <w:t xml:space="preserve">ya que </w:t>
      </w:r>
      <w:r w:rsidR="009D50D6" w:rsidRPr="00B02CF7">
        <w:rPr>
          <w:rFonts w:ascii="Palatino Linotype" w:hAnsi="Palatino Linotype"/>
          <w:color w:val="000000"/>
          <w:sz w:val="22"/>
          <w:szCs w:val="22"/>
        </w:rPr>
        <w:t xml:space="preserve">la entrega de la información </w:t>
      </w:r>
      <w:r w:rsidR="00A07096" w:rsidRPr="00B02CF7">
        <w:rPr>
          <w:rFonts w:ascii="Palatino Linotype" w:hAnsi="Palatino Linotype"/>
          <w:color w:val="000000"/>
          <w:sz w:val="22"/>
          <w:szCs w:val="22"/>
        </w:rPr>
        <w:t xml:space="preserve">del cargo y área de adscripción del personal de </w:t>
      </w:r>
      <w:r w:rsidR="00296257" w:rsidRPr="00B02CF7">
        <w:rPr>
          <w:rFonts w:ascii="Palatino Linotype" w:hAnsi="Palatino Linotype"/>
          <w:color w:val="000000"/>
          <w:sz w:val="22"/>
          <w:szCs w:val="22"/>
        </w:rPr>
        <w:t>Seguridad Pública</w:t>
      </w:r>
      <w:r w:rsidR="00A07096" w:rsidRPr="00B02CF7">
        <w:rPr>
          <w:rFonts w:ascii="Palatino Linotype" w:hAnsi="Palatino Linotype"/>
          <w:color w:val="000000"/>
          <w:sz w:val="22"/>
          <w:szCs w:val="22"/>
        </w:rPr>
        <w:t xml:space="preserve">, </w:t>
      </w:r>
      <w:r w:rsidR="009D50D6" w:rsidRPr="00B02CF7">
        <w:rPr>
          <w:rFonts w:ascii="Palatino Linotype" w:hAnsi="Palatino Linotype"/>
          <w:color w:val="000000"/>
          <w:sz w:val="22"/>
          <w:szCs w:val="22"/>
        </w:rPr>
        <w:t>en su respectiva versión pública puede hacer identificable a</w:t>
      </w:r>
      <w:r w:rsidR="006D5765" w:rsidRPr="00B02CF7">
        <w:rPr>
          <w:rFonts w:ascii="Palatino Linotype" w:hAnsi="Palatino Linotype"/>
          <w:color w:val="000000"/>
          <w:sz w:val="22"/>
          <w:szCs w:val="22"/>
        </w:rPr>
        <w:t xml:space="preserve"> dichos elementos de seguridad</w:t>
      </w:r>
      <w:r w:rsidR="009D50D6" w:rsidRPr="00B02CF7">
        <w:rPr>
          <w:rFonts w:ascii="Palatino Linotype" w:hAnsi="Palatino Linotype"/>
          <w:color w:val="000000"/>
          <w:sz w:val="22"/>
          <w:szCs w:val="22"/>
        </w:rPr>
        <w:t xml:space="preserve">. </w:t>
      </w:r>
    </w:p>
    <w:p w14:paraId="3DA15A42" w14:textId="072BD5A3" w:rsidR="009D50D6" w:rsidRPr="00B02CF7" w:rsidRDefault="009D50D6" w:rsidP="00E32E57">
      <w:pPr>
        <w:spacing w:line="360" w:lineRule="auto"/>
        <w:contextualSpacing/>
        <w:jc w:val="both"/>
        <w:rPr>
          <w:rFonts w:ascii="Palatino Linotype" w:hAnsi="Palatino Linotype" w:cs="Arial"/>
          <w:sz w:val="22"/>
          <w:szCs w:val="22"/>
        </w:rPr>
      </w:pPr>
    </w:p>
    <w:p w14:paraId="3FD39E5F" w14:textId="71D3852A" w:rsidR="006D5765" w:rsidRPr="00B02CF7" w:rsidRDefault="009D50D6" w:rsidP="00E32E57">
      <w:pPr>
        <w:spacing w:line="360" w:lineRule="auto"/>
        <w:contextualSpacing/>
        <w:jc w:val="both"/>
        <w:rPr>
          <w:rFonts w:ascii="Palatino Linotype" w:hAnsi="Palatino Linotype"/>
          <w:iCs/>
          <w:color w:val="000000"/>
          <w:sz w:val="22"/>
          <w:szCs w:val="22"/>
        </w:rPr>
      </w:pPr>
      <w:r w:rsidRPr="00B02CF7">
        <w:rPr>
          <w:rFonts w:ascii="Palatino Linotype" w:hAnsi="Palatino Linotype" w:cs="Arial"/>
          <w:sz w:val="22"/>
          <w:szCs w:val="22"/>
        </w:rPr>
        <w:lastRenderedPageBreak/>
        <w:t xml:space="preserve">Aunado a ello, </w:t>
      </w:r>
      <w:r w:rsidR="00492D79" w:rsidRPr="00B02CF7">
        <w:rPr>
          <w:rFonts w:ascii="Palatino Linotype" w:hAnsi="Palatino Linotype" w:cs="Arial"/>
          <w:sz w:val="22"/>
          <w:szCs w:val="22"/>
        </w:rPr>
        <w:t>la</w:t>
      </w:r>
      <w:r w:rsidR="00AD5C25" w:rsidRPr="00B02CF7">
        <w:rPr>
          <w:rFonts w:ascii="Palatino Linotype" w:hAnsi="Palatino Linotype" w:cs="Arial"/>
          <w:sz w:val="22"/>
          <w:szCs w:val="22"/>
        </w:rPr>
        <w:t xml:space="preserve"> Suprema Corte de Justicia de la Nación </w:t>
      </w:r>
      <w:r w:rsidR="004365C0" w:rsidRPr="00B02CF7">
        <w:rPr>
          <w:rFonts w:ascii="Palatino Linotype" w:hAnsi="Palatino Linotype" w:cs="Arial"/>
          <w:sz w:val="22"/>
          <w:szCs w:val="22"/>
        </w:rPr>
        <w:t xml:space="preserve">el </w:t>
      </w:r>
      <w:r w:rsidR="00A84394" w:rsidRPr="00B02CF7">
        <w:rPr>
          <w:rFonts w:ascii="Palatino Linotype" w:hAnsi="Palatino Linotype" w:cs="Arial"/>
          <w:sz w:val="22"/>
          <w:szCs w:val="22"/>
        </w:rPr>
        <w:t xml:space="preserve">doce de mayo de dos mil veintidós, resolvió la Controversia Constitucional 325/2019, en </w:t>
      </w:r>
      <w:r w:rsidRPr="00B02CF7">
        <w:rPr>
          <w:rFonts w:ascii="Palatino Linotype" w:hAnsi="Palatino Linotype" w:cs="Arial"/>
          <w:sz w:val="22"/>
          <w:szCs w:val="22"/>
        </w:rPr>
        <w:t xml:space="preserve">la </w:t>
      </w:r>
      <w:r w:rsidR="00A84394" w:rsidRPr="00B02CF7">
        <w:rPr>
          <w:rFonts w:ascii="Palatino Linotype" w:hAnsi="Palatino Linotype" w:cs="Arial"/>
          <w:sz w:val="22"/>
          <w:szCs w:val="22"/>
        </w:rPr>
        <w:t xml:space="preserve">que determinó clasificar como reservada la información relativa al personal sustantivo/operativo, </w:t>
      </w:r>
      <w:r w:rsidR="006D5765" w:rsidRPr="00B02CF7">
        <w:rPr>
          <w:rFonts w:ascii="Palatino Linotype" w:hAnsi="Palatino Linotype" w:cs="Arial"/>
          <w:sz w:val="22"/>
          <w:szCs w:val="22"/>
        </w:rPr>
        <w:t xml:space="preserve">entendiéndose aquellos servidores públicos que realizan funciones sustantivas y de averiguación, en </w:t>
      </w:r>
      <w:r w:rsidR="00E601D1" w:rsidRPr="00B02CF7">
        <w:rPr>
          <w:rFonts w:ascii="Palatino Linotype" w:hAnsi="Palatino Linotype" w:cs="Arial"/>
          <w:sz w:val="22"/>
          <w:szCs w:val="22"/>
        </w:rPr>
        <w:t xml:space="preserve">la </w:t>
      </w:r>
      <w:r w:rsidR="006D5765" w:rsidRPr="00B02CF7">
        <w:rPr>
          <w:rFonts w:ascii="Palatino Linotype" w:hAnsi="Palatino Linotype" w:cs="Arial"/>
          <w:sz w:val="22"/>
          <w:szCs w:val="22"/>
        </w:rPr>
        <w:t xml:space="preserve">citada resolución determinó que divulgar su información </w:t>
      </w:r>
      <w:r w:rsidR="006D5765" w:rsidRPr="00B02CF7">
        <w:rPr>
          <w:rFonts w:ascii="Palatino Linotype" w:hAnsi="Palatino Linotype" w:cs="Arial"/>
          <w:b/>
          <w:bCs/>
          <w:sz w:val="22"/>
          <w:szCs w:val="22"/>
        </w:rPr>
        <w:t xml:space="preserve">representa un riesgo real, demostrable e identificable, </w:t>
      </w:r>
      <w:r w:rsidR="006D5765" w:rsidRPr="00B02CF7">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B02CF7">
        <w:rPr>
          <w:rFonts w:ascii="Palatino Linotype" w:hAnsi="Palatino Linotype" w:cs="Arial"/>
          <w:sz w:val="22"/>
          <w:szCs w:val="22"/>
        </w:rPr>
        <w:t xml:space="preserve">como notas periodísticas, redes sociales Twitter, Facebook, Instagram y LinkedIn </w:t>
      </w:r>
      <w:r w:rsidR="006D5765" w:rsidRPr="00B02CF7">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B02CF7" w:rsidRDefault="00A07096" w:rsidP="00E32E57">
      <w:pPr>
        <w:spacing w:line="360" w:lineRule="auto"/>
        <w:contextualSpacing/>
        <w:jc w:val="both"/>
        <w:rPr>
          <w:rFonts w:ascii="Palatino Linotype" w:hAnsi="Palatino Linotype" w:cs="Arial"/>
          <w:sz w:val="22"/>
          <w:szCs w:val="22"/>
        </w:rPr>
      </w:pPr>
    </w:p>
    <w:p w14:paraId="59146F1E" w14:textId="4A9DEA3C" w:rsidR="00C70E0D" w:rsidRDefault="006D5765" w:rsidP="00E32E57">
      <w:pPr>
        <w:spacing w:line="360" w:lineRule="auto"/>
        <w:contextualSpacing/>
        <w:jc w:val="both"/>
        <w:rPr>
          <w:rFonts w:ascii="Palatino Linotype" w:hAnsi="Palatino Linotype"/>
          <w:i/>
          <w:color w:val="000000"/>
          <w:sz w:val="22"/>
          <w:szCs w:val="22"/>
          <w:lang w:val="es-MX"/>
        </w:rPr>
      </w:pPr>
      <w:r w:rsidRPr="00B02CF7">
        <w:rPr>
          <w:rFonts w:ascii="Palatino Linotype" w:hAnsi="Palatino Linotype"/>
          <w:bCs/>
          <w:color w:val="000000"/>
          <w:sz w:val="22"/>
          <w:szCs w:val="22"/>
        </w:rPr>
        <w:t>Es por ello</w:t>
      </w:r>
      <w:r w:rsidRPr="00B02CF7">
        <w:rPr>
          <w:rFonts w:ascii="Palatino Linotype" w:hAnsi="Palatino Linotype"/>
          <w:b/>
          <w:color w:val="000000"/>
          <w:sz w:val="22"/>
          <w:szCs w:val="22"/>
        </w:rPr>
        <w:t xml:space="preserve">, que la suscrita considera de </w:t>
      </w:r>
      <w:r w:rsidR="008D2E26" w:rsidRPr="00B02CF7">
        <w:rPr>
          <w:rFonts w:ascii="Palatino Linotype" w:hAnsi="Palatino Linotype"/>
          <w:b/>
          <w:color w:val="000000"/>
          <w:sz w:val="22"/>
          <w:szCs w:val="22"/>
        </w:rPr>
        <w:t xml:space="preserve">suma importancia </w:t>
      </w:r>
      <w:r w:rsidRPr="00B02CF7">
        <w:rPr>
          <w:rFonts w:ascii="Palatino Linotype" w:hAnsi="Palatino Linotype"/>
          <w:b/>
          <w:color w:val="000000"/>
          <w:sz w:val="22"/>
          <w:szCs w:val="22"/>
        </w:rPr>
        <w:t xml:space="preserve">la </w:t>
      </w:r>
      <w:r w:rsidR="008D2E26" w:rsidRPr="00B02CF7">
        <w:rPr>
          <w:rFonts w:ascii="Palatino Linotype" w:hAnsi="Palatino Linotype"/>
          <w:b/>
          <w:color w:val="000000"/>
          <w:sz w:val="22"/>
          <w:szCs w:val="22"/>
        </w:rPr>
        <w:t xml:space="preserve">reserva respecto al cargo y área de adscripción del personal de Seguridad Pública </w:t>
      </w:r>
      <w:r w:rsidR="008D2E26" w:rsidRPr="00B02CF7">
        <w:rPr>
          <w:rFonts w:ascii="Palatino Linotype" w:hAnsi="Palatino Linotype"/>
          <w:color w:val="000000"/>
          <w:sz w:val="22"/>
          <w:szCs w:val="22"/>
        </w:rPr>
        <w:t xml:space="preserve">del Ayuntamiento de </w:t>
      </w:r>
      <w:r w:rsidR="003D70E5">
        <w:rPr>
          <w:rFonts w:ascii="Palatino Linotype" w:hAnsi="Palatino Linotype"/>
          <w:color w:val="000000"/>
          <w:sz w:val="22"/>
          <w:szCs w:val="22"/>
        </w:rPr>
        <w:t>Melchor Ocampo</w:t>
      </w:r>
      <w:r w:rsidR="008D2E26" w:rsidRPr="00B02CF7">
        <w:rPr>
          <w:rFonts w:ascii="Palatino Linotype" w:hAnsi="Palatino Linotype"/>
          <w:color w:val="000000"/>
          <w:sz w:val="22"/>
          <w:szCs w:val="22"/>
        </w:rPr>
        <w:t>, pues se ordenó l</w:t>
      </w:r>
      <w:r w:rsidR="0056567F" w:rsidRPr="00B02CF7">
        <w:rPr>
          <w:rFonts w:ascii="Palatino Linotype" w:hAnsi="Palatino Linotype"/>
          <w:color w:val="000000"/>
          <w:sz w:val="22"/>
          <w:szCs w:val="22"/>
        </w:rPr>
        <w:t>a entrega de</w:t>
      </w:r>
      <w:r w:rsidR="00161B88">
        <w:rPr>
          <w:rFonts w:ascii="Palatino Linotype" w:hAnsi="Palatino Linotype"/>
          <w:color w:val="000000"/>
          <w:sz w:val="22"/>
          <w:szCs w:val="22"/>
        </w:rPr>
        <w:t xml:space="preserve"> </w:t>
      </w:r>
      <w:r w:rsidR="00E53ECE">
        <w:rPr>
          <w:rFonts w:ascii="Palatino Linotype" w:hAnsi="Palatino Linotype"/>
          <w:color w:val="000000"/>
          <w:sz w:val="22"/>
          <w:szCs w:val="22"/>
        </w:rPr>
        <w:t>“</w:t>
      </w:r>
      <w:r w:rsidR="003D70E5" w:rsidRPr="003D70E5">
        <w:rPr>
          <w:rFonts w:ascii="Palatino Linotype" w:hAnsi="Palatino Linotype"/>
          <w:i/>
          <w:color w:val="000000"/>
          <w:sz w:val="22"/>
          <w:szCs w:val="22"/>
          <w:lang w:val="es-MX"/>
        </w:rPr>
        <w:t xml:space="preserve">El nombre, cargo, sueldo neto, sueldo bruto; perfil de puestos vigentes al veinticuatro de enero de dos mil veintidós; información curricular; experiencia laboral; relación laboral con el ayuntamiento de los servidores públicos adscritos hasta el treinta y uno de mayo del año en curso, que ostenten los siguientes cargos: Presidencia, Secretaría del Ayuntamiento, Síndicos; Regidores, Tesorería, Contraloría Interna, Dirección de Administración, Dirección de Comunicación Social, Dirección de Obras Públicas, Dirección de Desarrollo Urbano y Medio Ambiente, </w:t>
      </w:r>
      <w:r w:rsidR="003D70E5" w:rsidRPr="003D70E5">
        <w:rPr>
          <w:rFonts w:ascii="Palatino Linotype" w:hAnsi="Palatino Linotype"/>
          <w:b/>
          <w:i/>
          <w:color w:val="000000"/>
          <w:sz w:val="22"/>
          <w:szCs w:val="22"/>
          <w:lang w:val="es-MX"/>
        </w:rPr>
        <w:t>Dirección De Seguridad Ciudadana</w:t>
      </w:r>
      <w:r w:rsidR="00DC33BB" w:rsidRPr="003D70E5">
        <w:rPr>
          <w:rFonts w:ascii="Palatino Linotype" w:hAnsi="Palatino Linotype"/>
          <w:i/>
          <w:color w:val="000000"/>
          <w:sz w:val="22"/>
          <w:szCs w:val="22"/>
          <w:lang w:val="es-MX"/>
        </w:rPr>
        <w:t xml:space="preserve"> y </w:t>
      </w:r>
      <w:r w:rsidR="003D70E5" w:rsidRPr="003D70E5">
        <w:rPr>
          <w:rFonts w:ascii="Palatino Linotype" w:hAnsi="Palatino Linotype"/>
          <w:i/>
          <w:color w:val="000000"/>
          <w:sz w:val="22"/>
          <w:szCs w:val="22"/>
          <w:lang w:val="es-MX"/>
        </w:rPr>
        <w:t xml:space="preserve">Movilidad, Dirección de Agua Potable, Drenaje </w:t>
      </w:r>
      <w:r w:rsidR="00DC33BB" w:rsidRPr="003D70E5">
        <w:rPr>
          <w:rFonts w:ascii="Palatino Linotype" w:hAnsi="Palatino Linotype"/>
          <w:i/>
          <w:color w:val="000000"/>
          <w:sz w:val="22"/>
          <w:szCs w:val="22"/>
          <w:lang w:val="es-MX"/>
        </w:rPr>
        <w:t xml:space="preserve">y </w:t>
      </w:r>
      <w:r w:rsidR="003D70E5" w:rsidRPr="003D70E5">
        <w:rPr>
          <w:rFonts w:ascii="Palatino Linotype" w:hAnsi="Palatino Linotype"/>
          <w:i/>
          <w:color w:val="000000"/>
          <w:sz w:val="22"/>
          <w:szCs w:val="22"/>
          <w:lang w:val="es-MX"/>
        </w:rPr>
        <w:t xml:space="preserve">Alcantarillado, Dirección de Desarrollo Social, Dirección de Desarrollo Económico, </w:t>
      </w:r>
      <w:r w:rsidR="00DC33BB" w:rsidRPr="003D70E5">
        <w:rPr>
          <w:rFonts w:ascii="Palatino Linotype" w:hAnsi="Palatino Linotype"/>
          <w:i/>
          <w:color w:val="000000"/>
          <w:sz w:val="22"/>
          <w:szCs w:val="22"/>
          <w:lang w:val="es-MX"/>
        </w:rPr>
        <w:t>y</w:t>
      </w:r>
      <w:r w:rsidR="003D70E5" w:rsidRPr="003D70E5">
        <w:rPr>
          <w:rFonts w:ascii="Palatino Linotype" w:hAnsi="Palatino Linotype"/>
          <w:i/>
          <w:color w:val="000000"/>
          <w:sz w:val="22"/>
          <w:szCs w:val="22"/>
          <w:lang w:val="es-MX"/>
        </w:rPr>
        <w:t xml:space="preserve"> Fomento Al Empleo , Dirección Jurídica, Dirección de Servicios Públicos, Dirección de Atención a la Mujer, Coordinación Municipal de Gestión Integral De Riesgos, Protección Civil </w:t>
      </w:r>
      <w:r w:rsidR="00DC33BB" w:rsidRPr="003D70E5">
        <w:rPr>
          <w:rFonts w:ascii="Palatino Linotype" w:hAnsi="Palatino Linotype"/>
          <w:i/>
          <w:color w:val="000000"/>
          <w:sz w:val="22"/>
          <w:szCs w:val="22"/>
          <w:lang w:val="es-MX"/>
        </w:rPr>
        <w:t>y</w:t>
      </w:r>
      <w:r w:rsidR="003D70E5" w:rsidRPr="003D70E5">
        <w:rPr>
          <w:rFonts w:ascii="Palatino Linotype" w:hAnsi="Palatino Linotype"/>
          <w:i/>
          <w:color w:val="000000"/>
          <w:sz w:val="22"/>
          <w:szCs w:val="22"/>
          <w:lang w:val="es-MX"/>
        </w:rPr>
        <w:t xml:space="preserve"> Bomberos, Unidad De Transparencia </w:t>
      </w:r>
      <w:r w:rsidR="00DC33BB" w:rsidRPr="003D70E5">
        <w:rPr>
          <w:rFonts w:ascii="Palatino Linotype" w:hAnsi="Palatino Linotype"/>
          <w:i/>
          <w:color w:val="000000"/>
          <w:sz w:val="22"/>
          <w:szCs w:val="22"/>
          <w:lang w:val="es-MX"/>
        </w:rPr>
        <w:t>y</w:t>
      </w:r>
      <w:r w:rsidR="003D70E5" w:rsidRPr="003D70E5">
        <w:rPr>
          <w:rFonts w:ascii="Palatino Linotype" w:hAnsi="Palatino Linotype"/>
          <w:i/>
          <w:color w:val="000000"/>
          <w:sz w:val="22"/>
          <w:szCs w:val="22"/>
          <w:lang w:val="es-MX"/>
        </w:rPr>
        <w:t xml:space="preserve"> Sistema Municipal para el Desarrollo Integral de la Familia.</w:t>
      </w:r>
      <w:r w:rsidR="00DC33BB">
        <w:rPr>
          <w:rFonts w:ascii="Palatino Linotype" w:hAnsi="Palatino Linotype"/>
          <w:i/>
          <w:color w:val="000000"/>
          <w:sz w:val="22"/>
          <w:szCs w:val="22"/>
          <w:lang w:val="es-MX"/>
        </w:rPr>
        <w:t>”</w:t>
      </w:r>
    </w:p>
    <w:p w14:paraId="199D51CF" w14:textId="2B2DE70B" w:rsidR="003D70E5" w:rsidRDefault="003D70E5" w:rsidP="00E32E57">
      <w:pPr>
        <w:spacing w:line="360" w:lineRule="auto"/>
        <w:contextualSpacing/>
        <w:jc w:val="both"/>
        <w:rPr>
          <w:rFonts w:ascii="Palatino Linotype" w:hAnsi="Palatino Linotype"/>
          <w:i/>
          <w:color w:val="000000"/>
          <w:sz w:val="22"/>
          <w:szCs w:val="22"/>
          <w:lang w:val="es-MX"/>
        </w:rPr>
      </w:pPr>
    </w:p>
    <w:p w14:paraId="399637A7" w14:textId="7FF7B9BF" w:rsidR="008D2E26" w:rsidRPr="00B02CF7" w:rsidRDefault="00C70E0D" w:rsidP="00E32E57">
      <w:pPr>
        <w:spacing w:line="360" w:lineRule="auto"/>
        <w:contextualSpacing/>
        <w:jc w:val="both"/>
        <w:rPr>
          <w:rFonts w:ascii="Palatino Linotype" w:hAnsi="Palatino Linotype" w:cs="Arial"/>
          <w:sz w:val="22"/>
          <w:szCs w:val="22"/>
        </w:rPr>
      </w:pPr>
      <w:r>
        <w:rPr>
          <w:rFonts w:ascii="Palatino Linotype" w:hAnsi="Palatino Linotype"/>
          <w:color w:val="000000"/>
          <w:sz w:val="22"/>
          <w:szCs w:val="22"/>
        </w:rPr>
        <w:lastRenderedPageBreak/>
        <w:t>P</w:t>
      </w:r>
      <w:r w:rsidR="0056567F" w:rsidRPr="00B02CF7">
        <w:rPr>
          <w:rFonts w:ascii="Palatino Linotype" w:hAnsi="Palatino Linotype"/>
          <w:color w:val="000000"/>
          <w:sz w:val="22"/>
          <w:szCs w:val="22"/>
        </w:rPr>
        <w:t xml:space="preserve">or lo tanto, </w:t>
      </w:r>
      <w:r w:rsidR="008D2E26" w:rsidRPr="00B02CF7">
        <w:rPr>
          <w:rFonts w:ascii="Palatino Linotype" w:hAnsi="Palatino Linotype"/>
          <w:color w:val="000000"/>
          <w:sz w:val="22"/>
          <w:szCs w:val="22"/>
        </w:rPr>
        <w:t>dar a conocer</w:t>
      </w:r>
      <w:r w:rsidR="00296257" w:rsidRPr="00B02CF7">
        <w:rPr>
          <w:rFonts w:ascii="Palatino Linotype" w:hAnsi="Palatino Linotype"/>
          <w:color w:val="000000"/>
          <w:sz w:val="22"/>
          <w:szCs w:val="22"/>
        </w:rPr>
        <w:t xml:space="preserve"> dicha</w:t>
      </w:r>
      <w:r w:rsidR="008D2E26" w:rsidRPr="00B02CF7">
        <w:rPr>
          <w:rFonts w:ascii="Palatino Linotype" w:hAnsi="Palatino Linotype"/>
          <w:color w:val="000000"/>
          <w:sz w:val="22"/>
          <w:szCs w:val="22"/>
        </w:rPr>
        <w:t xml:space="preserve"> información de aquellos servidores públicos que realizan funciones en materia de </w:t>
      </w:r>
      <w:r w:rsidR="00296257" w:rsidRPr="00B02CF7">
        <w:rPr>
          <w:rFonts w:ascii="Palatino Linotype" w:hAnsi="Palatino Linotype"/>
          <w:color w:val="000000"/>
          <w:sz w:val="22"/>
          <w:szCs w:val="22"/>
        </w:rPr>
        <w:t>Seguridad Pública</w:t>
      </w:r>
      <w:r w:rsidR="008D2E26" w:rsidRPr="00B02CF7">
        <w:rPr>
          <w:rFonts w:ascii="Palatino Linotype" w:hAnsi="Palatino Linotype"/>
          <w:color w:val="000000"/>
          <w:sz w:val="22"/>
          <w:szCs w:val="22"/>
        </w:rPr>
        <w:t xml:space="preserve">, tal como es el caso de los policías, los vuelve identificables y posiblemente reconocibles para grupos delictivos, que pudieran relacionarlos directamente con actividades u operativos, o simplemente </w:t>
      </w:r>
      <w:r w:rsidR="00BE7409" w:rsidRPr="00B02CF7">
        <w:rPr>
          <w:rFonts w:ascii="Palatino Linotype" w:hAnsi="Palatino Linotype"/>
          <w:color w:val="000000"/>
          <w:sz w:val="22"/>
          <w:szCs w:val="22"/>
        </w:rPr>
        <w:t xml:space="preserve">ubicarlos </w:t>
      </w:r>
      <w:r w:rsidR="008D2E26" w:rsidRPr="00B02CF7">
        <w:rPr>
          <w:rFonts w:ascii="Palatino Linotype" w:hAnsi="Palatino Linotype"/>
          <w:color w:val="000000"/>
          <w:sz w:val="22"/>
          <w:szCs w:val="22"/>
        </w:rPr>
        <w:t>por el hecho de pertenecer o haber pertenecido a una organización que llev</w:t>
      </w:r>
      <w:r w:rsidR="00BE7409" w:rsidRPr="00B02CF7">
        <w:rPr>
          <w:rFonts w:ascii="Palatino Linotype" w:hAnsi="Palatino Linotype"/>
          <w:color w:val="000000"/>
          <w:sz w:val="22"/>
          <w:szCs w:val="22"/>
        </w:rPr>
        <w:t>a</w:t>
      </w:r>
      <w:r w:rsidR="008D2E26" w:rsidRPr="00B02CF7">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B02CF7" w:rsidRDefault="008D2E26" w:rsidP="00E32E57">
      <w:pPr>
        <w:spacing w:line="360" w:lineRule="auto"/>
        <w:jc w:val="both"/>
        <w:rPr>
          <w:rFonts w:ascii="Palatino Linotype" w:hAnsi="Palatino Linotype"/>
          <w:color w:val="000000"/>
          <w:sz w:val="22"/>
          <w:szCs w:val="22"/>
        </w:rPr>
      </w:pPr>
    </w:p>
    <w:p w14:paraId="3C616AE7" w14:textId="264C061A" w:rsidR="008D2E26" w:rsidRPr="00B02CF7" w:rsidRDefault="00AE47F4" w:rsidP="00E32E57">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t>Aunado a ello,</w:t>
      </w:r>
      <w:r w:rsidR="00927E8E" w:rsidRPr="00B02CF7">
        <w:rPr>
          <w:rFonts w:ascii="Palatino Linotype" w:hAnsi="Palatino Linotype"/>
          <w:color w:val="000000"/>
          <w:sz w:val="22"/>
          <w:szCs w:val="22"/>
        </w:rPr>
        <w:t xml:space="preserve"> dar </w:t>
      </w:r>
      <w:r w:rsidR="008D2E26" w:rsidRPr="00B02CF7">
        <w:rPr>
          <w:rFonts w:ascii="Palatino Linotype" w:hAnsi="Palatino Linotype"/>
          <w:color w:val="000000"/>
          <w:sz w:val="22"/>
          <w:szCs w:val="22"/>
        </w:rPr>
        <w:t xml:space="preserve">esa información </w:t>
      </w:r>
      <w:r w:rsidR="00927E8E" w:rsidRPr="00B02CF7">
        <w:rPr>
          <w:rFonts w:ascii="Palatino Linotype" w:hAnsi="Palatino Linotype"/>
          <w:color w:val="000000"/>
          <w:sz w:val="22"/>
          <w:szCs w:val="22"/>
        </w:rPr>
        <w:t xml:space="preserve">puede </w:t>
      </w:r>
      <w:r w:rsidR="008D2E26" w:rsidRPr="00B02CF7">
        <w:rPr>
          <w:rFonts w:ascii="Palatino Linotype" w:hAnsi="Palatino Linotype"/>
          <w:color w:val="000000"/>
          <w:sz w:val="22"/>
          <w:szCs w:val="22"/>
        </w:rPr>
        <w:t xml:space="preserve">vulnerar la vida, </w:t>
      </w:r>
      <w:r w:rsidR="00927E8E" w:rsidRPr="00B02CF7">
        <w:rPr>
          <w:rFonts w:ascii="Palatino Linotype" w:hAnsi="Palatino Linotype"/>
          <w:color w:val="000000"/>
          <w:sz w:val="22"/>
          <w:szCs w:val="22"/>
        </w:rPr>
        <w:t xml:space="preserve">integridad, </w:t>
      </w:r>
      <w:r w:rsidR="008D2E26" w:rsidRPr="00B02CF7">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B02CF7">
        <w:rPr>
          <w:rFonts w:ascii="Palatino Linotype" w:hAnsi="Palatino Linotype"/>
          <w:color w:val="000000"/>
          <w:sz w:val="22"/>
          <w:szCs w:val="22"/>
        </w:rPr>
        <w:t xml:space="preserve">amenazar, </w:t>
      </w:r>
      <w:r w:rsidR="008D2E26" w:rsidRPr="00B02CF7">
        <w:rPr>
          <w:rFonts w:ascii="Palatino Linotype" w:hAnsi="Palatino Linotype"/>
          <w:color w:val="000000"/>
          <w:sz w:val="22"/>
          <w:szCs w:val="22"/>
        </w:rPr>
        <w:t xml:space="preserve">inhibir o </w:t>
      </w:r>
      <w:r w:rsidR="00551E7F" w:rsidRPr="00B02CF7">
        <w:rPr>
          <w:rFonts w:ascii="Palatino Linotype" w:hAnsi="Palatino Linotype"/>
          <w:color w:val="000000"/>
          <w:sz w:val="22"/>
          <w:szCs w:val="22"/>
        </w:rPr>
        <w:t xml:space="preserve">extorsionar </w:t>
      </w:r>
      <w:r w:rsidR="008D2E26" w:rsidRPr="00B02CF7">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B02CF7" w:rsidRDefault="008D2E26" w:rsidP="00E32E57">
      <w:pPr>
        <w:spacing w:line="360" w:lineRule="auto"/>
        <w:jc w:val="both"/>
        <w:rPr>
          <w:rFonts w:ascii="Palatino Linotype" w:hAnsi="Palatino Linotype"/>
          <w:color w:val="000000"/>
          <w:sz w:val="22"/>
          <w:szCs w:val="22"/>
        </w:rPr>
      </w:pPr>
    </w:p>
    <w:p w14:paraId="6DA5BD9E" w14:textId="494B368F" w:rsidR="008D2E26" w:rsidRPr="00B02CF7" w:rsidRDefault="008D2E26" w:rsidP="00E32E57">
      <w:pPr>
        <w:spacing w:line="360" w:lineRule="auto"/>
        <w:contextualSpacing/>
        <w:jc w:val="both"/>
        <w:rPr>
          <w:rFonts w:ascii="Palatino Linotype" w:hAnsi="Palatino Linotype"/>
          <w:iCs/>
          <w:color w:val="000000"/>
          <w:sz w:val="22"/>
          <w:szCs w:val="22"/>
        </w:rPr>
      </w:pPr>
      <w:r w:rsidRPr="00B02CF7">
        <w:rPr>
          <w:rFonts w:ascii="Palatino Linotype" w:hAnsi="Palatino Linotype"/>
          <w:color w:val="000000"/>
          <w:sz w:val="22"/>
          <w:szCs w:val="22"/>
        </w:rPr>
        <w:t xml:space="preserve">Ahora bien, </w:t>
      </w:r>
      <w:r w:rsidR="006D150E" w:rsidRPr="00B02CF7">
        <w:rPr>
          <w:rFonts w:ascii="Palatino Linotype" w:hAnsi="Palatino Linotype"/>
          <w:color w:val="000000"/>
          <w:sz w:val="22"/>
          <w:szCs w:val="22"/>
        </w:rPr>
        <w:t xml:space="preserve">al </w:t>
      </w:r>
      <w:r w:rsidRPr="00B02CF7">
        <w:rPr>
          <w:rFonts w:ascii="Palatino Linotype" w:hAnsi="Palatino Linotype"/>
          <w:color w:val="000000"/>
          <w:sz w:val="22"/>
          <w:szCs w:val="22"/>
        </w:rPr>
        <w:t>reservarse</w:t>
      </w:r>
      <w:r w:rsidR="00BE7409" w:rsidRPr="00B02CF7">
        <w:rPr>
          <w:rFonts w:ascii="Palatino Linotype" w:hAnsi="Palatino Linotype"/>
          <w:color w:val="000000"/>
          <w:sz w:val="22"/>
          <w:szCs w:val="22"/>
        </w:rPr>
        <w:t xml:space="preserve"> solo</w:t>
      </w:r>
      <w:r w:rsidRPr="00B02CF7">
        <w:rPr>
          <w:rFonts w:ascii="Palatino Linotype" w:hAnsi="Palatino Linotype"/>
          <w:color w:val="000000"/>
          <w:sz w:val="22"/>
          <w:szCs w:val="22"/>
        </w:rPr>
        <w:t xml:space="preserve"> los nombres del personal adscrito al área de Seguridad Pública del </w:t>
      </w:r>
      <w:r w:rsidR="00296257" w:rsidRPr="00B02CF7">
        <w:rPr>
          <w:rFonts w:ascii="Palatino Linotype" w:hAnsi="Palatino Linotype"/>
          <w:color w:val="000000"/>
          <w:sz w:val="22"/>
          <w:szCs w:val="22"/>
        </w:rPr>
        <w:t xml:space="preserve">Ayuntamiento </w:t>
      </w:r>
      <w:r w:rsidRPr="00B02CF7">
        <w:rPr>
          <w:rFonts w:ascii="Palatino Linotype" w:hAnsi="Palatino Linotype"/>
          <w:color w:val="000000"/>
          <w:sz w:val="22"/>
          <w:szCs w:val="22"/>
        </w:rPr>
        <w:t xml:space="preserve">de </w:t>
      </w:r>
      <w:r w:rsidR="003D70E5">
        <w:rPr>
          <w:rFonts w:ascii="Palatino Linotype" w:hAnsi="Palatino Linotype"/>
          <w:color w:val="000000"/>
          <w:sz w:val="22"/>
          <w:szCs w:val="22"/>
        </w:rPr>
        <w:t xml:space="preserve">Melchor Ocampo </w:t>
      </w:r>
      <w:r w:rsidR="006D150E" w:rsidRPr="00B02CF7">
        <w:rPr>
          <w:rFonts w:ascii="Palatino Linotype" w:hAnsi="Palatino Linotype"/>
          <w:color w:val="000000"/>
          <w:sz w:val="22"/>
          <w:szCs w:val="22"/>
        </w:rPr>
        <w:t xml:space="preserve">y </w:t>
      </w:r>
      <w:r w:rsidRPr="00B02CF7">
        <w:rPr>
          <w:rFonts w:ascii="Palatino Linotype" w:hAnsi="Palatino Linotype"/>
          <w:iCs/>
          <w:color w:val="000000"/>
          <w:sz w:val="22"/>
          <w:szCs w:val="22"/>
        </w:rPr>
        <w:t xml:space="preserve">al entregar </w:t>
      </w:r>
      <w:r w:rsidR="00882E1C">
        <w:rPr>
          <w:rFonts w:ascii="Palatino Linotype" w:hAnsi="Palatino Linotype"/>
          <w:iCs/>
          <w:color w:val="000000"/>
          <w:sz w:val="22"/>
          <w:szCs w:val="22"/>
        </w:rPr>
        <w:t>los documentos donde</w:t>
      </w:r>
      <w:r w:rsidR="00C70E0D">
        <w:rPr>
          <w:rFonts w:ascii="Palatino Linotype" w:hAnsi="Palatino Linotype"/>
          <w:iCs/>
          <w:color w:val="000000"/>
          <w:sz w:val="22"/>
          <w:szCs w:val="22"/>
        </w:rPr>
        <w:t xml:space="preserve"> conste también la</w:t>
      </w:r>
      <w:r w:rsidR="00C70E0D" w:rsidRPr="00C70E0D">
        <w:rPr>
          <w:rFonts w:ascii="Palatino Linotype" w:hAnsi="Palatino Linotype"/>
          <w:iCs/>
          <w:color w:val="000000"/>
          <w:sz w:val="22"/>
          <w:szCs w:val="22"/>
        </w:rPr>
        <w:t xml:space="preserve"> fecha de ingreso, cargo y área de adscripción </w:t>
      </w:r>
      <w:r w:rsidR="00E52DF9">
        <w:rPr>
          <w:rFonts w:ascii="Palatino Linotype" w:hAnsi="Palatino Linotype"/>
          <w:iCs/>
          <w:color w:val="000000"/>
          <w:sz w:val="22"/>
          <w:szCs w:val="22"/>
        </w:rPr>
        <w:t>d</w:t>
      </w:r>
      <w:r w:rsidR="00C70E0D">
        <w:rPr>
          <w:rFonts w:ascii="Palatino Linotype" w:hAnsi="Palatino Linotype"/>
          <w:iCs/>
          <w:color w:val="000000"/>
          <w:sz w:val="22"/>
          <w:szCs w:val="22"/>
        </w:rPr>
        <w:t>el ayuntamiento</w:t>
      </w:r>
      <w:r w:rsidR="00E52DF9">
        <w:rPr>
          <w:rFonts w:ascii="Palatino Linotype" w:hAnsi="Palatino Linotype"/>
          <w:iCs/>
          <w:color w:val="000000"/>
          <w:sz w:val="22"/>
          <w:szCs w:val="22"/>
        </w:rPr>
        <w:t>;</w:t>
      </w:r>
      <w:r w:rsidR="00882E1C">
        <w:rPr>
          <w:rFonts w:ascii="Palatino Linotype" w:hAnsi="Palatino Linotype"/>
          <w:iCs/>
          <w:color w:val="000000"/>
          <w:sz w:val="22"/>
          <w:szCs w:val="22"/>
        </w:rPr>
        <w:t xml:space="preserve"> </w:t>
      </w:r>
      <w:r w:rsidRPr="00B02CF7">
        <w:rPr>
          <w:rFonts w:ascii="Palatino Linotype" w:hAnsi="Palatino Linotype"/>
          <w:iCs/>
          <w:color w:val="000000"/>
          <w:sz w:val="22"/>
          <w:szCs w:val="22"/>
        </w:rPr>
        <w:t xml:space="preserve">el </w:t>
      </w:r>
      <w:r w:rsidR="00A07096" w:rsidRPr="00B02CF7">
        <w:rPr>
          <w:rFonts w:ascii="Palatino Linotype" w:hAnsi="Palatino Linotype"/>
          <w:iCs/>
          <w:color w:val="000000"/>
          <w:sz w:val="22"/>
          <w:szCs w:val="22"/>
        </w:rPr>
        <w:t xml:space="preserve">referido </w:t>
      </w:r>
      <w:r w:rsidRPr="00B02CF7">
        <w:rPr>
          <w:rFonts w:ascii="Palatino Linotype" w:hAnsi="Palatino Linotype"/>
          <w:iCs/>
          <w:color w:val="000000"/>
          <w:sz w:val="22"/>
          <w:szCs w:val="22"/>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B02CF7" w:rsidRDefault="008D2E26" w:rsidP="00E32E57">
      <w:pPr>
        <w:spacing w:line="360" w:lineRule="auto"/>
        <w:contextualSpacing/>
        <w:jc w:val="both"/>
        <w:rPr>
          <w:rFonts w:ascii="Palatino Linotype" w:hAnsi="Palatino Linotype"/>
          <w:iCs/>
          <w:color w:val="000000"/>
          <w:sz w:val="22"/>
          <w:szCs w:val="22"/>
        </w:rPr>
      </w:pPr>
    </w:p>
    <w:p w14:paraId="0C2FC6E4" w14:textId="6328A579" w:rsidR="008D2E26" w:rsidRPr="00B02CF7" w:rsidRDefault="00F51F44" w:rsidP="00E32E57">
      <w:pPr>
        <w:spacing w:line="360" w:lineRule="auto"/>
        <w:contextualSpacing/>
        <w:jc w:val="both"/>
        <w:rPr>
          <w:rFonts w:ascii="Palatino Linotype" w:hAnsi="Palatino Linotype"/>
          <w:iCs/>
          <w:color w:val="000000"/>
          <w:sz w:val="22"/>
          <w:szCs w:val="22"/>
        </w:rPr>
      </w:pPr>
      <w:r w:rsidRPr="00B02CF7">
        <w:rPr>
          <w:rFonts w:ascii="Palatino Linotype" w:hAnsi="Palatino Linotype"/>
          <w:iCs/>
          <w:color w:val="000000"/>
          <w:sz w:val="22"/>
          <w:szCs w:val="22"/>
        </w:rPr>
        <w:t>Es importante,</w:t>
      </w:r>
      <w:r w:rsidR="008D2E26" w:rsidRPr="00B02CF7">
        <w:rPr>
          <w:rFonts w:ascii="Palatino Linotype" w:hAnsi="Palatino Linotype"/>
          <w:iCs/>
          <w:color w:val="000000"/>
          <w:sz w:val="22"/>
          <w:szCs w:val="22"/>
        </w:rPr>
        <w:t xml:space="preserve"> hacer alusión, además, al artículo 110, de la Ley General Sistema Nacional de Seguridad Pública, el cual establece que se deberá </w:t>
      </w:r>
      <w:r w:rsidR="008D2E26" w:rsidRPr="00B02CF7">
        <w:rPr>
          <w:rFonts w:ascii="Palatino Linotype" w:hAnsi="Palatino Linotype"/>
          <w:b/>
          <w:iCs/>
          <w:color w:val="000000"/>
          <w:sz w:val="22"/>
          <w:szCs w:val="22"/>
          <w:u w:val="single"/>
        </w:rPr>
        <w:t>clasificar como reservada</w:t>
      </w:r>
      <w:r w:rsidR="008D2E26" w:rsidRPr="00B02CF7">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1FEDD7C5" w14:textId="77777777" w:rsidR="008D2E26" w:rsidRPr="00B02CF7" w:rsidRDefault="008D2E26" w:rsidP="00E32E57">
      <w:pPr>
        <w:ind w:left="1134" w:right="1467"/>
        <w:jc w:val="both"/>
        <w:rPr>
          <w:rFonts w:ascii="Palatino Linotype" w:hAnsi="Palatino Linotype"/>
          <w:b/>
          <w:i/>
          <w:iCs/>
          <w:color w:val="000000"/>
          <w:sz w:val="22"/>
          <w:szCs w:val="22"/>
        </w:rPr>
      </w:pPr>
    </w:p>
    <w:p w14:paraId="027B6A3A" w14:textId="77777777" w:rsidR="008D2E26" w:rsidRPr="00B02CF7" w:rsidRDefault="008D2E26" w:rsidP="00E32E57">
      <w:pPr>
        <w:ind w:left="1417" w:right="1468"/>
        <w:jc w:val="both"/>
        <w:rPr>
          <w:rFonts w:ascii="Palatino Linotype" w:hAnsi="Palatino Linotype"/>
          <w:i/>
          <w:iCs/>
          <w:color w:val="000000"/>
          <w:sz w:val="22"/>
          <w:szCs w:val="22"/>
        </w:rPr>
      </w:pPr>
      <w:r w:rsidRPr="00B02CF7">
        <w:rPr>
          <w:rFonts w:ascii="Palatino Linotype" w:hAnsi="Palatino Linotype"/>
          <w:b/>
          <w:i/>
          <w:iCs/>
          <w:color w:val="000000"/>
          <w:sz w:val="22"/>
          <w:szCs w:val="22"/>
        </w:rPr>
        <w:t>Artículo 110.</w:t>
      </w:r>
      <w:r w:rsidRPr="00B02CF7">
        <w:rPr>
          <w:rFonts w:ascii="Palatino Linotype" w:hAnsi="Palatino Linotype"/>
          <w:i/>
          <w:iCs/>
          <w:color w:val="000000"/>
          <w:sz w:val="22"/>
          <w:szCs w:val="22"/>
        </w:rPr>
        <w:t xml:space="preserve">- Los integrantes del Sistema están obligados a permitir la interconexión de sus Bases de Datos para compartir la información sobre </w:t>
      </w:r>
      <w:r w:rsidRPr="00B02CF7">
        <w:rPr>
          <w:rFonts w:ascii="Palatino Linotype" w:hAnsi="Palatino Linotype"/>
          <w:i/>
          <w:iCs/>
          <w:color w:val="000000"/>
          <w:sz w:val="22"/>
          <w:szCs w:val="22"/>
        </w:rPr>
        <w:lastRenderedPageBreak/>
        <w:t>Seguridad Pública con el Sistema Nacional de Información, en los términos de esta Ley y otras disposiciones jurídicas aplicables.</w:t>
      </w:r>
    </w:p>
    <w:p w14:paraId="53A6D563" w14:textId="77777777" w:rsidR="008D2E26" w:rsidRPr="00B02CF7" w:rsidRDefault="008D2E26" w:rsidP="00E32E57">
      <w:pPr>
        <w:ind w:left="1417" w:right="1468"/>
        <w:jc w:val="both"/>
        <w:rPr>
          <w:rFonts w:ascii="Palatino Linotype" w:hAnsi="Palatino Linotype"/>
          <w:i/>
          <w:iCs/>
          <w:color w:val="000000"/>
          <w:sz w:val="22"/>
          <w:szCs w:val="22"/>
        </w:rPr>
      </w:pPr>
    </w:p>
    <w:p w14:paraId="42551826" w14:textId="77777777" w:rsidR="008D2E26" w:rsidRPr="00B02CF7" w:rsidRDefault="008D2E26" w:rsidP="00E32E57">
      <w:pPr>
        <w:ind w:left="1417" w:right="1468"/>
        <w:jc w:val="both"/>
        <w:rPr>
          <w:rFonts w:ascii="Palatino Linotype" w:hAnsi="Palatino Linotype"/>
          <w:b/>
          <w:i/>
          <w:iCs/>
          <w:color w:val="000000"/>
          <w:sz w:val="22"/>
          <w:szCs w:val="22"/>
        </w:rPr>
      </w:pPr>
      <w:r w:rsidRPr="00B02CF7">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B02CF7">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B02CF7" w:rsidRDefault="008D2E26" w:rsidP="00E32E57">
      <w:pPr>
        <w:ind w:left="1134" w:right="1467"/>
        <w:jc w:val="both"/>
        <w:rPr>
          <w:rFonts w:ascii="Palatino Linotype" w:hAnsi="Palatino Linotype"/>
          <w:b/>
          <w:i/>
          <w:iCs/>
          <w:color w:val="000000"/>
          <w:sz w:val="22"/>
          <w:szCs w:val="22"/>
        </w:rPr>
      </w:pPr>
    </w:p>
    <w:p w14:paraId="021FD634" w14:textId="4247EB4F" w:rsidR="008D2E26" w:rsidRPr="00B02CF7" w:rsidRDefault="00AE47F4" w:rsidP="00E32E57">
      <w:pPr>
        <w:spacing w:line="360" w:lineRule="auto"/>
        <w:jc w:val="both"/>
        <w:rPr>
          <w:rFonts w:ascii="Palatino Linotype" w:hAnsi="Palatino Linotype"/>
          <w:color w:val="000000"/>
          <w:sz w:val="22"/>
          <w:szCs w:val="22"/>
        </w:rPr>
      </w:pPr>
      <w:r w:rsidRPr="00B02CF7">
        <w:rPr>
          <w:rFonts w:ascii="Palatino Linotype" w:hAnsi="Palatino Linotype"/>
          <w:color w:val="000000"/>
          <w:sz w:val="22"/>
          <w:szCs w:val="22"/>
        </w:rPr>
        <w:t xml:space="preserve">Criterio </w:t>
      </w:r>
      <w:r w:rsidR="008D2E26" w:rsidRPr="00B02CF7">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B02CF7" w:rsidRDefault="008D2E26" w:rsidP="00E32E57">
      <w:pPr>
        <w:spacing w:line="360" w:lineRule="auto"/>
        <w:jc w:val="both"/>
        <w:rPr>
          <w:rFonts w:ascii="Palatino Linotype" w:hAnsi="Palatino Linotype"/>
          <w:color w:val="000000"/>
          <w:sz w:val="22"/>
          <w:szCs w:val="22"/>
        </w:rPr>
      </w:pPr>
    </w:p>
    <w:p w14:paraId="5060894A" w14:textId="77777777" w:rsidR="008D2E26" w:rsidRPr="00B02CF7" w:rsidRDefault="008D2E26" w:rsidP="00E32E57">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cs="Arial"/>
          <w:i/>
          <w:color w:val="000000"/>
          <w:sz w:val="22"/>
          <w:szCs w:val="22"/>
          <w:lang w:val="es-MX" w:eastAsia="es-MX"/>
        </w:rPr>
        <w:t>“La información reservada podrá clasificarse aquella cuya publicación: </w:t>
      </w:r>
    </w:p>
    <w:p w14:paraId="227FC5D5" w14:textId="77777777" w:rsidR="008D2E26" w:rsidRPr="00B02CF7" w:rsidRDefault="008D2E26" w:rsidP="00E32E57">
      <w:pPr>
        <w:ind w:left="1417" w:right="1468"/>
        <w:jc w:val="both"/>
        <w:rPr>
          <w:rFonts w:ascii="Palatino Linotype" w:hAnsi="Palatino Linotype" w:cs="Arial"/>
          <w:i/>
          <w:color w:val="000000"/>
          <w:sz w:val="22"/>
          <w:szCs w:val="22"/>
          <w:lang w:val="es-MX" w:eastAsia="es-MX"/>
        </w:rPr>
      </w:pPr>
      <w:r w:rsidRPr="00B02CF7">
        <w:rPr>
          <w:rFonts w:ascii="Palatino Linotype" w:hAnsi="Palatino Linotype"/>
          <w:i/>
          <w:sz w:val="22"/>
          <w:szCs w:val="22"/>
          <w:lang w:val="es-MX" w:eastAsia="es-MX"/>
        </w:rPr>
        <w:br/>
      </w:r>
      <w:r w:rsidRPr="00B02CF7">
        <w:rPr>
          <w:rFonts w:ascii="Palatino Linotype" w:hAnsi="Palatino Linotype" w:cs="Arial"/>
          <w:b/>
          <w:i/>
          <w:color w:val="000000"/>
          <w:sz w:val="22"/>
          <w:szCs w:val="22"/>
          <w:lang w:val="es-MX" w:eastAsia="es-MX"/>
        </w:rPr>
        <w:t>I.</w:t>
      </w:r>
      <w:r w:rsidRPr="00B02CF7">
        <w:rPr>
          <w:rFonts w:ascii="Palatino Linotype" w:hAnsi="Palatino Linotype" w:cs="Arial"/>
          <w:i/>
          <w:color w:val="000000"/>
          <w:sz w:val="22"/>
          <w:szCs w:val="22"/>
          <w:lang w:val="es-MX" w:eastAsia="es-MX"/>
        </w:rPr>
        <w:t xml:space="preserve"> Comprometa la </w:t>
      </w:r>
      <w:r w:rsidRPr="00B02CF7">
        <w:rPr>
          <w:rFonts w:ascii="Palatino Linotype" w:hAnsi="Palatino Linotype" w:cs="Arial"/>
          <w:b/>
          <w:bCs/>
          <w:i/>
          <w:color w:val="000000"/>
          <w:sz w:val="22"/>
          <w:szCs w:val="22"/>
          <w:u w:val="single"/>
          <w:lang w:val="es-MX" w:eastAsia="es-MX"/>
        </w:rPr>
        <w:t>Seguridad Nacional, la Seguridad Pública</w:t>
      </w:r>
      <w:r w:rsidRPr="00B02CF7">
        <w:rPr>
          <w:rFonts w:ascii="Palatino Linotype" w:hAnsi="Palatino Linotype" w:cs="Arial"/>
          <w:i/>
          <w:color w:val="000000"/>
          <w:sz w:val="22"/>
          <w:szCs w:val="22"/>
          <w:lang w:val="es-MX" w:eastAsia="es-MX"/>
        </w:rPr>
        <w:t xml:space="preserve"> con la defensa Nacional…</w:t>
      </w:r>
    </w:p>
    <w:p w14:paraId="1AD55014" w14:textId="77777777" w:rsidR="008D2E26" w:rsidRPr="00B02CF7" w:rsidRDefault="008D2E26" w:rsidP="00E32E57">
      <w:pPr>
        <w:ind w:left="1417" w:right="1468"/>
        <w:jc w:val="both"/>
        <w:textAlignment w:val="baseline"/>
        <w:rPr>
          <w:rFonts w:ascii="Palatino Linotype" w:hAnsi="Palatino Linotype" w:cs="Arial"/>
          <w:b/>
          <w:i/>
          <w:color w:val="000000"/>
          <w:sz w:val="22"/>
          <w:szCs w:val="22"/>
          <w:lang w:val="es-MX" w:eastAsia="es-MX"/>
        </w:rPr>
      </w:pPr>
      <w:r w:rsidRPr="00B02CF7">
        <w:rPr>
          <w:rFonts w:ascii="Palatino Linotype" w:hAnsi="Palatino Linotype" w:cs="Arial"/>
          <w:b/>
          <w:i/>
          <w:color w:val="000000"/>
          <w:sz w:val="22"/>
          <w:szCs w:val="22"/>
          <w:lang w:val="es-MX" w:eastAsia="es-MX"/>
        </w:rPr>
        <w:t xml:space="preserve">V. Pueda poner en riesgo la vida, seguridad o salud de una persona física.” </w:t>
      </w:r>
    </w:p>
    <w:p w14:paraId="046DBEA0" w14:textId="77777777" w:rsidR="008D2E26" w:rsidRPr="00B02CF7" w:rsidRDefault="008D2E26" w:rsidP="00E32E57">
      <w:pPr>
        <w:ind w:left="1417" w:right="1468"/>
        <w:jc w:val="both"/>
        <w:textAlignment w:val="baseline"/>
        <w:rPr>
          <w:rFonts w:ascii="Palatino Linotype" w:hAnsi="Palatino Linotype" w:cs="Arial"/>
          <w:b/>
          <w:i/>
          <w:color w:val="000000"/>
          <w:sz w:val="22"/>
          <w:szCs w:val="22"/>
          <w:lang w:val="es-MX" w:eastAsia="es-MX"/>
        </w:rPr>
      </w:pPr>
    </w:p>
    <w:p w14:paraId="0136ABD0" w14:textId="77777777" w:rsidR="008D2E26" w:rsidRPr="00B02CF7" w:rsidRDefault="008D2E26" w:rsidP="00E32E57">
      <w:pPr>
        <w:ind w:left="708" w:right="1752"/>
        <w:jc w:val="both"/>
        <w:textAlignment w:val="baseline"/>
        <w:rPr>
          <w:rFonts w:ascii="Palatino Linotype" w:hAnsi="Palatino Linotype" w:cs="Arial"/>
          <w:b/>
          <w:i/>
          <w:color w:val="000000"/>
          <w:sz w:val="22"/>
          <w:szCs w:val="22"/>
          <w:lang w:val="es-MX" w:eastAsia="es-MX"/>
        </w:rPr>
      </w:pPr>
    </w:p>
    <w:p w14:paraId="017C8407" w14:textId="55B6B733" w:rsidR="008D2E26" w:rsidRPr="00B02CF7" w:rsidRDefault="00AE47F4" w:rsidP="00E32E57">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tenor, </w:t>
      </w:r>
      <w:r w:rsidR="008D2E26" w:rsidRPr="00B02CF7">
        <w:rPr>
          <w:rFonts w:ascii="Palatino Linotype" w:hAnsi="Palatino Linotype"/>
          <w:color w:val="000000"/>
          <w:sz w:val="22"/>
          <w:szCs w:val="22"/>
        </w:rPr>
        <w:t>la suscrita considera que, para proteger cabalmente a los elementos</w:t>
      </w:r>
      <w:r w:rsidR="00F51F44" w:rsidRPr="00B02CF7">
        <w:rPr>
          <w:rFonts w:ascii="Palatino Linotype" w:hAnsi="Palatino Linotype"/>
          <w:color w:val="000000"/>
          <w:sz w:val="22"/>
          <w:szCs w:val="22"/>
        </w:rPr>
        <w:t xml:space="preserve"> sustantivos/operativos</w:t>
      </w:r>
      <w:r w:rsidR="008D2E26" w:rsidRPr="00B02CF7">
        <w:rPr>
          <w:rFonts w:ascii="Palatino Linotype" w:hAnsi="Palatino Linotype"/>
          <w:color w:val="000000"/>
          <w:sz w:val="22"/>
          <w:szCs w:val="22"/>
        </w:rPr>
        <w:t xml:space="preserve"> de dicha área, no solo deben resguardarse los datos relativos a sus nombres, sino también los relativos a sus </w:t>
      </w:r>
      <w:r w:rsidR="008D2E26" w:rsidRPr="00B02CF7">
        <w:rPr>
          <w:rFonts w:ascii="Palatino Linotype" w:hAnsi="Palatino Linotype"/>
          <w:b/>
          <w:color w:val="000000"/>
          <w:sz w:val="22"/>
          <w:szCs w:val="22"/>
          <w:u w:val="single"/>
        </w:rPr>
        <w:t>cargos y adscripciones</w:t>
      </w:r>
      <w:r w:rsidR="008D2E26" w:rsidRPr="00B02CF7">
        <w:rPr>
          <w:rFonts w:ascii="Palatino Linotype" w:hAnsi="Palatino Linotype"/>
          <w:color w:val="000000"/>
          <w:sz w:val="22"/>
          <w:szCs w:val="22"/>
        </w:rPr>
        <w:t xml:space="preserve">, toda vez que se trata de personal </w:t>
      </w:r>
      <w:r w:rsidR="00F51F44" w:rsidRPr="00B02CF7">
        <w:rPr>
          <w:rFonts w:ascii="Palatino Linotype" w:hAnsi="Palatino Linotype"/>
          <w:color w:val="000000"/>
          <w:sz w:val="22"/>
          <w:szCs w:val="22"/>
        </w:rPr>
        <w:t xml:space="preserve">sustantivo/operativo </w:t>
      </w:r>
      <w:r w:rsidR="008D2E26" w:rsidRPr="00B02CF7">
        <w:rPr>
          <w:rFonts w:ascii="Palatino Linotype" w:hAnsi="Palatino Linotype"/>
          <w:color w:val="000000"/>
          <w:sz w:val="22"/>
          <w:szCs w:val="22"/>
        </w:rPr>
        <w:t>cuyas funciones van encaminadas a resguardar la Seguridad Pública.</w:t>
      </w:r>
    </w:p>
    <w:p w14:paraId="20E1A329" w14:textId="77777777" w:rsidR="008D2E26" w:rsidRPr="00B02CF7" w:rsidRDefault="008D2E26" w:rsidP="00E32E57">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2DD6D5FD" w:rsidR="008D2E26" w:rsidRDefault="008D2E26" w:rsidP="00E32E57">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lastRenderedPageBreak/>
        <w:t xml:space="preserve">Es por ello, que como lo </w:t>
      </w:r>
      <w:r w:rsidR="00E601D1" w:rsidRPr="00B02CF7">
        <w:rPr>
          <w:rFonts w:ascii="Palatino Linotype" w:hAnsi="Palatino Linotype"/>
          <w:color w:val="000000"/>
          <w:sz w:val="22"/>
          <w:szCs w:val="22"/>
        </w:rPr>
        <w:t xml:space="preserve">he </w:t>
      </w:r>
      <w:r w:rsidRPr="00B02CF7">
        <w:rPr>
          <w:rFonts w:ascii="Palatino Linotype" w:hAnsi="Palatino Linotype"/>
          <w:color w:val="000000"/>
          <w:sz w:val="22"/>
          <w:szCs w:val="22"/>
        </w:rPr>
        <w:t>señalado</w:t>
      </w:r>
      <w:r w:rsidR="00AE47F4" w:rsidRPr="00B02CF7">
        <w:rPr>
          <w:rFonts w:ascii="Palatino Linotype" w:hAnsi="Palatino Linotype"/>
          <w:color w:val="000000"/>
          <w:sz w:val="22"/>
          <w:szCs w:val="22"/>
        </w:rPr>
        <w:t xml:space="preserve"> en </w:t>
      </w:r>
      <w:r w:rsidR="00E601D1" w:rsidRPr="00B02CF7">
        <w:rPr>
          <w:rFonts w:ascii="Palatino Linotype" w:hAnsi="Palatino Linotype"/>
          <w:color w:val="000000"/>
          <w:sz w:val="22"/>
          <w:szCs w:val="22"/>
        </w:rPr>
        <w:t xml:space="preserve">anteriores </w:t>
      </w:r>
      <w:r w:rsidR="00E601D1" w:rsidRPr="00DC33BB">
        <w:rPr>
          <w:rFonts w:ascii="Palatino Linotype" w:hAnsi="Palatino Linotype"/>
          <w:color w:val="000000"/>
          <w:sz w:val="22"/>
          <w:szCs w:val="22"/>
        </w:rPr>
        <w:t xml:space="preserve">votos </w:t>
      </w:r>
      <w:r w:rsidR="00DC33BB" w:rsidRPr="00DC33BB">
        <w:rPr>
          <w:rFonts w:ascii="Palatino Linotype" w:hAnsi="Palatino Linotype"/>
          <w:color w:val="000000"/>
          <w:sz w:val="22"/>
          <w:szCs w:val="22"/>
        </w:rPr>
        <w:t>disidente</w:t>
      </w:r>
      <w:r w:rsidR="00E601D1" w:rsidRPr="00DC33BB">
        <w:rPr>
          <w:rFonts w:ascii="Palatino Linotype" w:hAnsi="Palatino Linotype"/>
          <w:color w:val="000000"/>
          <w:sz w:val="22"/>
          <w:szCs w:val="22"/>
        </w:rPr>
        <w:t>s</w:t>
      </w:r>
      <w:r w:rsidR="00E601D1"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que </w:t>
      </w:r>
      <w:r w:rsidRPr="00B02CF7">
        <w:rPr>
          <w:rFonts w:ascii="Palatino Linotype" w:hAnsi="Palatino Linotype"/>
          <w:color w:val="000000"/>
          <w:sz w:val="22"/>
          <w:szCs w:val="22"/>
        </w:rPr>
        <w:t>la misma Ley de Transparencia</w:t>
      </w:r>
      <w:r w:rsidR="00F51F44" w:rsidRPr="00B02CF7">
        <w:rPr>
          <w:rFonts w:ascii="Palatino Linotype" w:hAnsi="Palatino Linotype"/>
          <w:color w:val="000000"/>
          <w:sz w:val="22"/>
          <w:szCs w:val="22"/>
        </w:rPr>
        <w:t xml:space="preserve"> y Acceso a la Información Pública del Estado de México y Municipios,</w:t>
      </w:r>
      <w:r w:rsidRPr="00B02CF7">
        <w:rPr>
          <w:rFonts w:ascii="Palatino Linotype" w:hAnsi="Palatino Linotype"/>
          <w:color w:val="000000"/>
          <w:sz w:val="22"/>
          <w:szCs w:val="22"/>
        </w:rPr>
        <w:t xml:space="preserve"> contempla la excepción particular en el caso de </w:t>
      </w:r>
      <w:r w:rsidRPr="00B02CF7">
        <w:rPr>
          <w:rFonts w:ascii="Palatino Linotype" w:hAnsi="Palatino Linotype"/>
          <w:b/>
          <w:i/>
          <w:color w:val="000000"/>
          <w:sz w:val="22"/>
          <w:szCs w:val="22"/>
        </w:rPr>
        <w:t>Seguridad Pública</w:t>
      </w:r>
      <w:r w:rsidRPr="00B02CF7">
        <w:rPr>
          <w:rFonts w:ascii="Palatino Linotype" w:hAnsi="Palatino Linotype"/>
          <w:color w:val="000000"/>
          <w:sz w:val="22"/>
          <w:szCs w:val="22"/>
        </w:rPr>
        <w:t xml:space="preserve"> y dado que estos elementos </w:t>
      </w:r>
      <w:r w:rsidR="00AE47F4" w:rsidRPr="00B02CF7">
        <w:rPr>
          <w:rFonts w:ascii="Palatino Linotype" w:hAnsi="Palatino Linotype"/>
          <w:color w:val="000000"/>
          <w:sz w:val="22"/>
          <w:szCs w:val="22"/>
        </w:rPr>
        <w:t>pertenecen a ese rubro</w:t>
      </w:r>
      <w:r w:rsidRPr="00B02CF7">
        <w:rPr>
          <w:rFonts w:ascii="Palatino Linotype" w:hAnsi="Palatino Linotype"/>
          <w:color w:val="000000"/>
          <w:sz w:val="22"/>
          <w:szCs w:val="22"/>
        </w:rPr>
        <w:t xml:space="preserve">, </w:t>
      </w:r>
      <w:r w:rsidR="00AE47F4" w:rsidRPr="00B02CF7">
        <w:rPr>
          <w:rFonts w:ascii="Palatino Linotype" w:hAnsi="Palatino Linotype"/>
          <w:color w:val="000000"/>
          <w:sz w:val="22"/>
          <w:szCs w:val="22"/>
        </w:rPr>
        <w:t xml:space="preserve">y </w:t>
      </w:r>
      <w:r w:rsidRPr="00B02CF7">
        <w:rPr>
          <w:rFonts w:ascii="Palatino Linotype" w:hAnsi="Palatino Linotype"/>
          <w:color w:val="000000"/>
          <w:sz w:val="22"/>
          <w:szCs w:val="22"/>
        </w:rPr>
        <w:t>son parte fundamental para el debido ejercicio de las obligaciones del Estado en cualquiera de sus tres niveles de gobierno</w:t>
      </w:r>
      <w:r w:rsidR="00AE47F4" w:rsidRPr="00B02CF7">
        <w:rPr>
          <w:rFonts w:ascii="Palatino Linotype" w:hAnsi="Palatino Linotype"/>
          <w:color w:val="000000"/>
          <w:sz w:val="22"/>
          <w:szCs w:val="22"/>
        </w:rPr>
        <w:t>, es importante reservar dicha información.</w:t>
      </w:r>
    </w:p>
    <w:p w14:paraId="44DC7B3C" w14:textId="77777777" w:rsidR="00C70E0D" w:rsidRPr="00B02CF7" w:rsidRDefault="00C70E0D" w:rsidP="00E32E57">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B02CF7" w:rsidRDefault="00AE47F4" w:rsidP="00E32E57">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Ahora bien, l</w:t>
      </w:r>
      <w:r w:rsidR="008D2E26" w:rsidRPr="00B02CF7">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B02CF7">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B02CF7">
        <w:rPr>
          <w:rFonts w:ascii="Palatino Linotype" w:hAnsi="Palatino Linotype"/>
          <w:color w:val="000000"/>
          <w:sz w:val="22"/>
          <w:szCs w:val="22"/>
        </w:rPr>
        <w:t xml:space="preserve">, la cual señala: </w:t>
      </w:r>
    </w:p>
    <w:p w14:paraId="0F017E03" w14:textId="77777777" w:rsidR="008D2E26" w:rsidRPr="00B02CF7" w:rsidRDefault="008D2E26" w:rsidP="00E32E57">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B02CF7" w:rsidRDefault="008D2E26" w:rsidP="00E32E57">
      <w:pPr>
        <w:autoSpaceDE w:val="0"/>
        <w:autoSpaceDN w:val="0"/>
        <w:adjustRightInd w:val="0"/>
        <w:ind w:left="1417" w:right="1468"/>
        <w:contextualSpacing/>
        <w:jc w:val="both"/>
        <w:rPr>
          <w:rFonts w:ascii="Palatino Linotype" w:hAnsi="Palatino Linotype"/>
          <w:color w:val="000000"/>
          <w:sz w:val="22"/>
          <w:szCs w:val="22"/>
        </w:rPr>
      </w:pPr>
      <w:r w:rsidRPr="00B02CF7">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B02CF7">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B02CF7">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B02CF7">
        <w:rPr>
          <w:rFonts w:ascii="Palatino Linotype" w:hAnsi="Palatino Linotype"/>
          <w:i/>
          <w:color w:val="000000"/>
          <w:sz w:val="22"/>
          <w:szCs w:val="22"/>
        </w:rPr>
        <w:t xml:space="preserve">,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w:t>
      </w:r>
      <w:r w:rsidRPr="00B02CF7">
        <w:rPr>
          <w:rFonts w:ascii="Palatino Linotype" w:hAnsi="Palatino Linotype"/>
          <w:i/>
          <w:color w:val="000000"/>
          <w:sz w:val="22"/>
          <w:szCs w:val="22"/>
        </w:rPr>
        <w:lastRenderedPageBreak/>
        <w:t>sacrificio que ésta implique para los titulares de la garantía individual mencionada o para la sociedad en general</w:t>
      </w:r>
      <w:r w:rsidRPr="00B02CF7">
        <w:rPr>
          <w:rFonts w:ascii="Palatino Linotype" w:hAnsi="Palatino Linotype"/>
          <w:color w:val="000000"/>
          <w:sz w:val="22"/>
          <w:szCs w:val="22"/>
        </w:rPr>
        <w:t>.”</w:t>
      </w:r>
    </w:p>
    <w:p w14:paraId="4A122211" w14:textId="77777777" w:rsidR="008D2E26" w:rsidRPr="00B02CF7" w:rsidRDefault="008D2E26" w:rsidP="00E32E57">
      <w:pPr>
        <w:autoSpaceDE w:val="0"/>
        <w:autoSpaceDN w:val="0"/>
        <w:adjustRightInd w:val="0"/>
        <w:ind w:left="1417" w:right="1467"/>
        <w:contextualSpacing/>
        <w:jc w:val="both"/>
        <w:rPr>
          <w:rFonts w:ascii="Palatino Linotype" w:hAnsi="Palatino Linotype"/>
          <w:color w:val="000000"/>
          <w:sz w:val="22"/>
          <w:szCs w:val="22"/>
        </w:rPr>
      </w:pPr>
      <w:r w:rsidRPr="00B02CF7">
        <w:rPr>
          <w:rFonts w:ascii="Palatino Linotype" w:hAnsi="Palatino Linotype"/>
          <w:i/>
          <w:color w:val="000000"/>
          <w:sz w:val="22"/>
          <w:szCs w:val="22"/>
        </w:rPr>
        <w:t>(Énfasis añadido)</w:t>
      </w:r>
    </w:p>
    <w:p w14:paraId="34B1C75C" w14:textId="77777777" w:rsidR="008D2E26" w:rsidRPr="00B02CF7" w:rsidRDefault="008D2E26" w:rsidP="00E32E57">
      <w:pPr>
        <w:autoSpaceDE w:val="0"/>
        <w:autoSpaceDN w:val="0"/>
        <w:adjustRightInd w:val="0"/>
        <w:spacing w:line="360" w:lineRule="auto"/>
        <w:ind w:right="49"/>
        <w:contextualSpacing/>
        <w:jc w:val="both"/>
        <w:rPr>
          <w:rFonts w:ascii="Palatino Linotype" w:hAnsi="Palatino Linotype"/>
          <w:color w:val="000000"/>
          <w:sz w:val="22"/>
          <w:szCs w:val="22"/>
        </w:rPr>
      </w:pPr>
    </w:p>
    <w:p w14:paraId="2339DE74" w14:textId="1F380F39" w:rsidR="008D2E26" w:rsidRPr="00B02CF7" w:rsidRDefault="008D2E26" w:rsidP="00E32E57">
      <w:pPr>
        <w:autoSpaceDE w:val="0"/>
        <w:autoSpaceDN w:val="0"/>
        <w:adjustRightInd w:val="0"/>
        <w:spacing w:line="360" w:lineRule="auto"/>
        <w:ind w:right="49"/>
        <w:contextualSpacing/>
        <w:jc w:val="both"/>
        <w:rPr>
          <w:rFonts w:ascii="Palatino Linotype" w:hAnsi="Palatino Linotype"/>
          <w:color w:val="000000"/>
          <w:sz w:val="22"/>
          <w:szCs w:val="22"/>
        </w:rPr>
      </w:pPr>
      <w:r w:rsidRPr="00B02CF7">
        <w:rPr>
          <w:rFonts w:ascii="Palatino Linotype" w:hAnsi="Palatino Linotype"/>
          <w:color w:val="000000"/>
          <w:sz w:val="22"/>
          <w:szCs w:val="22"/>
        </w:rPr>
        <w:t xml:space="preserve">En atención </w:t>
      </w:r>
      <w:r w:rsidR="00E53ECE">
        <w:rPr>
          <w:rFonts w:ascii="Palatino Linotype" w:hAnsi="Palatino Linotype"/>
          <w:color w:val="000000"/>
          <w:sz w:val="22"/>
          <w:szCs w:val="22"/>
        </w:rPr>
        <w:t>a lo antes señalado</w:t>
      </w:r>
      <w:r w:rsidRPr="00B02CF7">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B02CF7" w:rsidRDefault="00F50C0B" w:rsidP="00E32E57">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B02CF7" w:rsidRDefault="00F50C0B" w:rsidP="00E32E57">
      <w:pPr>
        <w:autoSpaceDE w:val="0"/>
        <w:autoSpaceDN w:val="0"/>
        <w:adjustRightInd w:val="0"/>
        <w:spacing w:line="360" w:lineRule="auto"/>
        <w:ind w:right="49"/>
        <w:contextualSpacing/>
        <w:jc w:val="both"/>
        <w:rPr>
          <w:rFonts w:ascii="Palatino Linotype" w:hAnsi="Palatino Linotype" w:cs="Arial"/>
          <w:sz w:val="22"/>
          <w:szCs w:val="22"/>
        </w:rPr>
      </w:pPr>
      <w:r w:rsidRPr="00B02CF7">
        <w:rPr>
          <w:rFonts w:ascii="Palatino Linotype" w:hAnsi="Palatino Linotype"/>
          <w:color w:val="000000"/>
          <w:sz w:val="22"/>
          <w:szCs w:val="22"/>
        </w:rPr>
        <w:t>Criterio que</w:t>
      </w:r>
      <w:r w:rsidR="00217F04" w:rsidRPr="00B02CF7">
        <w:rPr>
          <w:rFonts w:ascii="Palatino Linotype" w:hAnsi="Palatino Linotype"/>
          <w:color w:val="000000"/>
          <w:sz w:val="22"/>
          <w:szCs w:val="22"/>
        </w:rPr>
        <w:t xml:space="preserve"> el Máximo Tribunal de Justicia de este país</w:t>
      </w:r>
      <w:r w:rsidRPr="00B02CF7">
        <w:rPr>
          <w:rFonts w:ascii="Palatino Linotype" w:hAnsi="Palatino Linotype"/>
          <w:color w:val="000000"/>
          <w:sz w:val="22"/>
          <w:szCs w:val="22"/>
        </w:rPr>
        <w:t xml:space="preserve"> reiteró </w:t>
      </w:r>
      <w:r w:rsidR="00217F04" w:rsidRPr="00B02CF7">
        <w:rPr>
          <w:rFonts w:ascii="Palatino Linotype" w:hAnsi="Palatino Linotype"/>
          <w:color w:val="000000"/>
          <w:sz w:val="22"/>
          <w:szCs w:val="22"/>
        </w:rPr>
        <w:t xml:space="preserve">el </w:t>
      </w:r>
      <w:r w:rsidRPr="00B02CF7">
        <w:rPr>
          <w:rFonts w:ascii="Palatino Linotype" w:hAnsi="Palatino Linotype"/>
          <w:color w:val="000000"/>
          <w:sz w:val="22"/>
          <w:szCs w:val="22"/>
        </w:rPr>
        <w:t xml:space="preserve">doce de mayo </w:t>
      </w:r>
      <w:r w:rsidR="00217F04" w:rsidRPr="00B02CF7">
        <w:rPr>
          <w:rFonts w:ascii="Palatino Linotype" w:hAnsi="Palatino Linotype"/>
          <w:color w:val="000000"/>
          <w:sz w:val="22"/>
          <w:szCs w:val="22"/>
        </w:rPr>
        <w:t xml:space="preserve">del </w:t>
      </w:r>
      <w:r w:rsidRPr="00B02CF7">
        <w:rPr>
          <w:rFonts w:ascii="Palatino Linotype" w:hAnsi="Palatino Linotype"/>
          <w:color w:val="000000"/>
          <w:sz w:val="22"/>
          <w:szCs w:val="22"/>
        </w:rPr>
        <w:t xml:space="preserve">presente </w:t>
      </w:r>
      <w:r w:rsidR="00217F04" w:rsidRPr="00B02CF7">
        <w:rPr>
          <w:rFonts w:ascii="Palatino Linotype" w:hAnsi="Palatino Linotype"/>
          <w:color w:val="000000"/>
          <w:sz w:val="22"/>
          <w:szCs w:val="22"/>
        </w:rPr>
        <w:t xml:space="preserve">año, </w:t>
      </w:r>
      <w:r w:rsidRPr="00B02CF7">
        <w:rPr>
          <w:rFonts w:ascii="Palatino Linotype" w:hAnsi="Palatino Linotype"/>
          <w:color w:val="000000"/>
          <w:sz w:val="22"/>
          <w:szCs w:val="22"/>
        </w:rPr>
        <w:t xml:space="preserve">dentro de la </w:t>
      </w:r>
      <w:r w:rsidRPr="00B02CF7">
        <w:rPr>
          <w:rFonts w:ascii="Palatino Linotype" w:hAnsi="Palatino Linotype" w:cs="Arial"/>
          <w:sz w:val="22"/>
          <w:szCs w:val="22"/>
        </w:rPr>
        <w:t xml:space="preserve">Controversia Constitucional 325/2019. </w:t>
      </w:r>
    </w:p>
    <w:p w14:paraId="5C8A3D5C" w14:textId="77777777" w:rsidR="00E22565" w:rsidRPr="00B02CF7" w:rsidRDefault="00E22565" w:rsidP="00E32E57">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68770772" w:rsidR="008D2E26" w:rsidRPr="00B02CF7" w:rsidRDefault="008D2E26" w:rsidP="00E32E57">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B02CF7">
        <w:rPr>
          <w:rFonts w:ascii="Palatino Linotype" w:hAnsi="Palatino Linotype"/>
          <w:color w:val="000000"/>
          <w:sz w:val="22"/>
          <w:szCs w:val="22"/>
        </w:rPr>
        <w:t xml:space="preserve">Pública </w:t>
      </w:r>
      <w:r w:rsidRPr="00B02CF7">
        <w:rPr>
          <w:rFonts w:ascii="Palatino Linotype" w:hAnsi="Palatino Linotype"/>
          <w:color w:val="000000"/>
          <w:sz w:val="22"/>
          <w:szCs w:val="22"/>
        </w:rPr>
        <w:t xml:space="preserve">del Ayuntamiento de </w:t>
      </w:r>
      <w:r w:rsidR="003D70E5">
        <w:rPr>
          <w:rFonts w:ascii="Palatino Linotype" w:hAnsi="Palatino Linotype"/>
          <w:color w:val="000000"/>
          <w:sz w:val="22"/>
          <w:szCs w:val="22"/>
        </w:rPr>
        <w:t>Melchor Ocampo</w:t>
      </w:r>
      <w:r w:rsidRPr="00B02CF7">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B02CF7" w:rsidRDefault="00CF4446" w:rsidP="00E32E57">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B02CF7" w:rsidRDefault="008D2E26" w:rsidP="00E32E57">
      <w:pPr>
        <w:autoSpaceDE w:val="0"/>
        <w:autoSpaceDN w:val="0"/>
        <w:adjustRightInd w:val="0"/>
        <w:spacing w:line="360" w:lineRule="auto"/>
        <w:ind w:right="49"/>
        <w:jc w:val="both"/>
        <w:rPr>
          <w:rFonts w:ascii="Palatino Linotype" w:hAnsi="Palatino Linotype"/>
          <w:color w:val="000000"/>
          <w:sz w:val="22"/>
          <w:szCs w:val="22"/>
        </w:rPr>
      </w:pPr>
      <w:r w:rsidRPr="00B02CF7">
        <w:rPr>
          <w:rFonts w:ascii="Palatino Linotype" w:hAnsi="Palatino Linotype"/>
          <w:color w:val="000000"/>
          <w:sz w:val="22"/>
          <w:szCs w:val="22"/>
        </w:rPr>
        <w:t xml:space="preserve">En ese sentido, si bien, el cargo y las áreas de adscripción de mandos medios en adelante, deben ser de conocimiento </w:t>
      </w:r>
      <w:r w:rsidR="00CF4446" w:rsidRPr="00B02CF7">
        <w:rPr>
          <w:rFonts w:ascii="Palatino Linotype" w:hAnsi="Palatino Linotype"/>
          <w:color w:val="000000"/>
          <w:sz w:val="22"/>
          <w:szCs w:val="22"/>
        </w:rPr>
        <w:t>público</w:t>
      </w:r>
      <w:r w:rsidRPr="00B02CF7">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B02CF7" w:rsidRDefault="008D2E26" w:rsidP="00E32E57">
      <w:pPr>
        <w:autoSpaceDE w:val="0"/>
        <w:autoSpaceDN w:val="0"/>
        <w:adjustRightInd w:val="0"/>
        <w:spacing w:line="360" w:lineRule="auto"/>
        <w:ind w:right="49"/>
        <w:jc w:val="both"/>
        <w:rPr>
          <w:rFonts w:ascii="Palatino Linotype" w:hAnsi="Palatino Linotype"/>
          <w:color w:val="000000"/>
          <w:sz w:val="22"/>
          <w:szCs w:val="22"/>
        </w:rPr>
      </w:pPr>
    </w:p>
    <w:p w14:paraId="5DA566A5" w14:textId="09BBAB7D" w:rsidR="008D2E26" w:rsidRDefault="00217F04" w:rsidP="00E32E57">
      <w:pPr>
        <w:spacing w:line="360" w:lineRule="auto"/>
        <w:jc w:val="both"/>
        <w:rPr>
          <w:rFonts w:ascii="Palatino Linotype" w:hAnsi="Palatino Linotype" w:cs="Arial"/>
          <w:sz w:val="22"/>
          <w:szCs w:val="22"/>
        </w:rPr>
      </w:pPr>
      <w:r w:rsidRPr="00B02CF7">
        <w:rPr>
          <w:rFonts w:ascii="Palatino Linotype" w:hAnsi="Palatino Linotype" w:cs="Arial"/>
          <w:sz w:val="22"/>
          <w:szCs w:val="22"/>
          <w:lang w:val="es-MX"/>
        </w:rPr>
        <w:t xml:space="preserve">De lo anteriormente expuesto emito </w:t>
      </w:r>
      <w:r w:rsidR="008D2E26" w:rsidRPr="00B02CF7">
        <w:rPr>
          <w:rFonts w:ascii="Palatino Linotype" w:hAnsi="Palatino Linotype" w:cs="Arial"/>
          <w:b/>
          <w:sz w:val="22"/>
          <w:szCs w:val="22"/>
        </w:rPr>
        <w:t>VOTO</w:t>
      </w:r>
      <w:r w:rsidR="00F50C0B" w:rsidRPr="00B02CF7">
        <w:rPr>
          <w:rFonts w:ascii="Palatino Linotype" w:hAnsi="Palatino Linotype" w:cs="Arial"/>
          <w:b/>
          <w:sz w:val="22"/>
          <w:szCs w:val="22"/>
        </w:rPr>
        <w:t xml:space="preserve"> DISIDENTE</w:t>
      </w:r>
      <w:r w:rsidR="008D2E26" w:rsidRPr="00B02CF7">
        <w:rPr>
          <w:rFonts w:ascii="Palatino Linotype" w:hAnsi="Palatino Linotype" w:cs="Arial"/>
          <w:b/>
          <w:sz w:val="22"/>
          <w:szCs w:val="22"/>
        </w:rPr>
        <w:t xml:space="preserve">, </w:t>
      </w:r>
      <w:r w:rsidR="008D2E26" w:rsidRPr="00B02CF7">
        <w:rPr>
          <w:rFonts w:ascii="Palatino Linotype" w:hAnsi="Palatino Linotype" w:cs="Arial"/>
          <w:sz w:val="22"/>
          <w:szCs w:val="22"/>
        </w:rPr>
        <w:t xml:space="preserve">pues se debió </w:t>
      </w:r>
      <w:r w:rsidR="00CF4446" w:rsidRPr="00B02CF7">
        <w:rPr>
          <w:rFonts w:ascii="Palatino Linotype" w:hAnsi="Palatino Linotype" w:cs="Arial"/>
          <w:sz w:val="22"/>
          <w:szCs w:val="22"/>
        </w:rPr>
        <w:t xml:space="preserve">privilegiar </w:t>
      </w:r>
      <w:r w:rsidR="008D2E26" w:rsidRPr="00B02CF7">
        <w:rPr>
          <w:rFonts w:ascii="Palatino Linotype" w:hAnsi="Palatino Linotype" w:cs="Arial"/>
          <w:sz w:val="22"/>
          <w:szCs w:val="22"/>
        </w:rPr>
        <w:t xml:space="preserve">la </w:t>
      </w:r>
      <w:r w:rsidR="008D2E26" w:rsidRPr="00B02CF7">
        <w:rPr>
          <w:rFonts w:ascii="Palatino Linotype" w:hAnsi="Palatino Linotype" w:cs="Arial"/>
          <w:b/>
          <w:sz w:val="22"/>
          <w:szCs w:val="22"/>
          <w:u w:val="single"/>
        </w:rPr>
        <w:t xml:space="preserve">reserva de los datos relativos al </w:t>
      </w:r>
      <w:r w:rsidR="008D2E26" w:rsidRPr="00B02CF7">
        <w:rPr>
          <w:rFonts w:ascii="Palatino Linotype" w:hAnsi="Palatino Linotype"/>
          <w:b/>
          <w:color w:val="000000"/>
          <w:sz w:val="22"/>
          <w:szCs w:val="22"/>
          <w:u w:val="single"/>
        </w:rPr>
        <w:t>cargo y área de adscripción del personal de Seguridad Pública</w:t>
      </w:r>
      <w:r w:rsidR="008D2E26" w:rsidRPr="00B02CF7">
        <w:rPr>
          <w:rFonts w:ascii="Palatino Linotype" w:hAnsi="Palatino Linotype"/>
          <w:color w:val="000000"/>
          <w:sz w:val="22"/>
          <w:szCs w:val="22"/>
        </w:rPr>
        <w:t xml:space="preserve"> del </w:t>
      </w:r>
      <w:r w:rsidR="00296257" w:rsidRPr="00B02CF7">
        <w:rPr>
          <w:rFonts w:ascii="Palatino Linotype" w:hAnsi="Palatino Linotype"/>
          <w:color w:val="000000"/>
          <w:sz w:val="22"/>
          <w:szCs w:val="22"/>
        </w:rPr>
        <w:t>Ayuntamiento</w:t>
      </w:r>
      <w:r w:rsidR="008D2E26" w:rsidRPr="00B02CF7">
        <w:rPr>
          <w:rFonts w:ascii="Palatino Linotype" w:hAnsi="Palatino Linotype"/>
          <w:color w:val="000000"/>
          <w:sz w:val="22"/>
          <w:szCs w:val="22"/>
        </w:rPr>
        <w:t xml:space="preserve"> de </w:t>
      </w:r>
      <w:r w:rsidR="003D70E5">
        <w:rPr>
          <w:rFonts w:ascii="Palatino Linotype" w:hAnsi="Palatino Linotype"/>
          <w:color w:val="000000"/>
          <w:sz w:val="22"/>
          <w:szCs w:val="22"/>
        </w:rPr>
        <w:t>Melchor Ocampo</w:t>
      </w:r>
      <w:r w:rsidR="008D2E26" w:rsidRPr="00B02CF7">
        <w:rPr>
          <w:rFonts w:ascii="Palatino Linotype" w:hAnsi="Palatino Linotype"/>
          <w:color w:val="000000"/>
          <w:sz w:val="22"/>
          <w:szCs w:val="22"/>
        </w:rPr>
        <w:t xml:space="preserve">, </w:t>
      </w:r>
      <w:r w:rsidR="008D2E26" w:rsidRPr="00B02CF7">
        <w:rPr>
          <w:rFonts w:ascii="Palatino Linotype" w:hAnsi="Palatino Linotype" w:cs="Arial"/>
          <w:sz w:val="22"/>
          <w:szCs w:val="22"/>
        </w:rPr>
        <w:t xml:space="preserve">por ser considerada un área indispensable en el adecuado funcionamiento de la </w:t>
      </w:r>
      <w:r w:rsidR="008D2E26" w:rsidRPr="00B02CF7">
        <w:rPr>
          <w:rFonts w:ascii="Palatino Linotype" w:hAnsi="Palatino Linotype" w:cs="Arial"/>
          <w:sz w:val="22"/>
          <w:szCs w:val="22"/>
        </w:rPr>
        <w:lastRenderedPageBreak/>
        <w:t xml:space="preserve">Seguridad Pública y porque su ámbito de protección es mucho más amplio por las funciones que realizan y como resultado de una ponderación de derechos </w:t>
      </w:r>
      <w:r w:rsidR="00CF4446" w:rsidRPr="00B02CF7">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B02CF7">
        <w:rPr>
          <w:rFonts w:ascii="Palatino Linotype" w:hAnsi="Palatino Linotype" w:cs="Arial"/>
          <w:sz w:val="22"/>
          <w:szCs w:val="22"/>
        </w:rPr>
        <w:t xml:space="preserve">la </w:t>
      </w:r>
      <w:r w:rsidR="00CF4446" w:rsidRPr="00B02CF7">
        <w:rPr>
          <w:rFonts w:ascii="Palatino Linotype" w:hAnsi="Palatino Linotype" w:cs="Arial"/>
          <w:sz w:val="22"/>
          <w:szCs w:val="22"/>
        </w:rPr>
        <w:t xml:space="preserve">vida de </w:t>
      </w:r>
      <w:r w:rsidRPr="00B02CF7">
        <w:rPr>
          <w:rFonts w:ascii="Palatino Linotype" w:hAnsi="Palatino Linotype" w:cs="Arial"/>
          <w:sz w:val="22"/>
          <w:szCs w:val="22"/>
        </w:rPr>
        <w:t xml:space="preserve">una </w:t>
      </w:r>
      <w:r w:rsidR="00CF4446" w:rsidRPr="00B02CF7">
        <w:rPr>
          <w:rFonts w:ascii="Palatino Linotype" w:hAnsi="Palatino Linotype" w:cs="Arial"/>
          <w:sz w:val="22"/>
          <w:szCs w:val="22"/>
        </w:rPr>
        <w:t>persona.</w:t>
      </w:r>
    </w:p>
    <w:p w14:paraId="3EFA619E" w14:textId="77777777" w:rsidR="00670C44" w:rsidRPr="00670C44" w:rsidRDefault="00670C44" w:rsidP="00E32E57">
      <w:pPr>
        <w:spacing w:line="360" w:lineRule="auto"/>
        <w:jc w:val="both"/>
        <w:rPr>
          <w:rFonts w:ascii="Palatino Linotype" w:hAnsi="Palatino Linotype" w:cs="Arial"/>
          <w:sz w:val="14"/>
          <w:szCs w:val="22"/>
        </w:rPr>
      </w:pPr>
    </w:p>
    <w:p w14:paraId="3EA78826" w14:textId="4786458A" w:rsidR="00C433DD" w:rsidRPr="0036090F" w:rsidRDefault="003D70E5" w:rsidP="00E32E57">
      <w:pPr>
        <w:spacing w:line="360" w:lineRule="auto"/>
        <w:jc w:val="both"/>
        <w:rPr>
          <w:rFonts w:ascii="Palatino Linotype" w:eastAsia="Calibri" w:hAnsi="Palatino Linotype" w:cs="Arial"/>
          <w:color w:val="000000" w:themeColor="text1"/>
          <w:sz w:val="16"/>
          <w:szCs w:val="18"/>
        </w:rPr>
      </w:pPr>
      <w:r w:rsidRPr="003D70E5">
        <w:rPr>
          <w:rFonts w:ascii="Palatino Linotype" w:eastAsia="Calibri" w:hAnsi="Palatino Linotype" w:cs="Arial"/>
          <w:color w:val="000000" w:themeColor="text1"/>
          <w:sz w:val="16"/>
          <w:szCs w:val="18"/>
        </w:rPr>
        <w:t>SCMM</w:t>
      </w:r>
      <w:r>
        <w:rPr>
          <w:rFonts w:ascii="Palatino Linotype" w:eastAsia="Calibri" w:hAnsi="Palatino Linotype" w:cs="Arial"/>
          <w:color w:val="000000" w:themeColor="text1"/>
          <w:sz w:val="16"/>
          <w:szCs w:val="18"/>
        </w:rPr>
        <w:t>/</w:t>
      </w:r>
      <w:r w:rsidR="00C433DD" w:rsidRPr="0036090F">
        <w:rPr>
          <w:rFonts w:ascii="Palatino Linotype" w:eastAsia="Calibri" w:hAnsi="Palatino Linotype" w:cs="Arial"/>
          <w:color w:val="000000" w:themeColor="text1"/>
          <w:sz w:val="16"/>
          <w:szCs w:val="18"/>
        </w:rPr>
        <w:t>BLA/DEMF/</w:t>
      </w:r>
      <w:r w:rsidR="00E52DF9" w:rsidRPr="0036090F">
        <w:rPr>
          <w:rFonts w:ascii="Palatino Linotype" w:eastAsia="Calibri" w:hAnsi="Palatino Linotype" w:cs="Arial"/>
          <w:color w:val="000000" w:themeColor="text1"/>
          <w:sz w:val="16"/>
          <w:szCs w:val="18"/>
        </w:rPr>
        <w:t>DLM</w:t>
      </w:r>
    </w:p>
    <w:p w14:paraId="635B3FB2" w14:textId="77777777" w:rsidR="00C433DD" w:rsidRPr="0056567F" w:rsidRDefault="00C433DD" w:rsidP="00E32E57">
      <w:pPr>
        <w:spacing w:line="360" w:lineRule="auto"/>
        <w:jc w:val="both"/>
        <w:rPr>
          <w:rFonts w:ascii="Palatino Linotype" w:hAnsi="Palatino Linotype" w:cs="Arial"/>
          <w:sz w:val="20"/>
          <w:szCs w:val="20"/>
        </w:rPr>
      </w:pPr>
    </w:p>
    <w:p w14:paraId="4835EE2F" w14:textId="77777777" w:rsidR="008D2E26" w:rsidRPr="0056567F" w:rsidRDefault="008D2E26" w:rsidP="00E32E57">
      <w:pPr>
        <w:spacing w:line="360" w:lineRule="auto"/>
        <w:jc w:val="both"/>
        <w:rPr>
          <w:rFonts w:ascii="Palatino Linotype" w:hAnsi="Palatino Linotype" w:cs="Arial"/>
          <w:sz w:val="20"/>
          <w:szCs w:val="20"/>
        </w:rPr>
      </w:pPr>
    </w:p>
    <w:tbl>
      <w:tblPr>
        <w:tblW w:w="5529" w:type="dxa"/>
        <w:jc w:val="center"/>
        <w:tblLayout w:type="fixed"/>
        <w:tblLook w:val="04A0" w:firstRow="1" w:lastRow="0" w:firstColumn="1" w:lastColumn="0" w:noHBand="0" w:noVBand="1"/>
      </w:tblPr>
      <w:tblGrid>
        <w:gridCol w:w="5529"/>
      </w:tblGrid>
      <w:tr w:rsidR="008D2E26" w:rsidRPr="007B0C01" w14:paraId="5A77C145" w14:textId="77777777" w:rsidTr="00137015">
        <w:trPr>
          <w:jc w:val="center"/>
        </w:trPr>
        <w:tc>
          <w:tcPr>
            <w:tcW w:w="5529" w:type="dxa"/>
          </w:tcPr>
          <w:p w14:paraId="2A8AF1CF" w14:textId="77777777" w:rsidR="003D70E5" w:rsidRPr="004E2338" w:rsidRDefault="003D70E5" w:rsidP="00E32E57">
            <w:pPr>
              <w:jc w:val="center"/>
              <w:rPr>
                <w:rFonts w:ascii="Palatino Linotype" w:hAnsi="Palatino Linotype"/>
                <w:b/>
                <w:i/>
                <w:sz w:val="22"/>
                <w:szCs w:val="22"/>
              </w:rPr>
            </w:pPr>
            <w:r w:rsidRPr="004E2338">
              <w:rPr>
                <w:rFonts w:ascii="Palatino Linotype" w:hAnsi="Palatino Linotype"/>
                <w:b/>
                <w:sz w:val="22"/>
                <w:szCs w:val="22"/>
              </w:rPr>
              <w:t xml:space="preserve">SHARON CRISTINA MORALES MARTÍNEZ </w:t>
            </w:r>
          </w:p>
          <w:p w14:paraId="2F6B69B8" w14:textId="77777777" w:rsidR="003D70E5" w:rsidRPr="007B0C01" w:rsidRDefault="003D70E5" w:rsidP="00E32E57">
            <w:pPr>
              <w:jc w:val="center"/>
              <w:rPr>
                <w:rFonts w:ascii="Palatino Linotype" w:hAnsi="Palatino Linotype"/>
                <w:b/>
                <w:sz w:val="20"/>
                <w:szCs w:val="20"/>
              </w:rPr>
            </w:pPr>
            <w:r w:rsidRPr="004E2338">
              <w:rPr>
                <w:rFonts w:ascii="Palatino Linotype" w:hAnsi="Palatino Linotype"/>
                <w:b/>
                <w:sz w:val="22"/>
                <w:szCs w:val="22"/>
              </w:rPr>
              <w:t>COMISIONADA</w:t>
            </w:r>
          </w:p>
          <w:p w14:paraId="787B09C2" w14:textId="4DDBF5DD" w:rsidR="008D2E26" w:rsidRPr="007B0C01" w:rsidRDefault="008D2E26" w:rsidP="00E32E57">
            <w:pPr>
              <w:jc w:val="center"/>
              <w:rPr>
                <w:rFonts w:ascii="Palatino Linotype" w:hAnsi="Palatino Linotype"/>
                <w:b/>
                <w:sz w:val="20"/>
                <w:szCs w:val="20"/>
              </w:rPr>
            </w:pPr>
          </w:p>
          <w:p w14:paraId="2332446D" w14:textId="77777777" w:rsidR="008D2E26" w:rsidRPr="007B0C01" w:rsidRDefault="008D2E26" w:rsidP="00E32E57">
            <w:pPr>
              <w:spacing w:line="360" w:lineRule="auto"/>
              <w:jc w:val="center"/>
              <w:rPr>
                <w:rFonts w:ascii="Palatino Linotype" w:hAnsi="Palatino Linotype"/>
                <w:b/>
                <w:sz w:val="20"/>
                <w:szCs w:val="20"/>
              </w:rPr>
            </w:pPr>
          </w:p>
        </w:tc>
      </w:tr>
    </w:tbl>
    <w:p w14:paraId="3F3E4C55" w14:textId="77777777" w:rsidR="008D2E26" w:rsidRDefault="008D2E26" w:rsidP="00E32E57">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E32E57">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E32E57">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E32E57">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E32E57">
      <w:pPr>
        <w:spacing w:line="360" w:lineRule="auto"/>
        <w:jc w:val="both"/>
        <w:rPr>
          <w:rFonts w:ascii="Palatino Linotype" w:eastAsia="Calibri" w:hAnsi="Palatino Linotype" w:cs="Arial"/>
          <w:color w:val="000000" w:themeColor="text1"/>
          <w:sz w:val="14"/>
          <w:szCs w:val="14"/>
        </w:rPr>
      </w:pPr>
    </w:p>
    <w:p w14:paraId="4F461466" w14:textId="46D06C1F" w:rsidR="00847315" w:rsidRDefault="00DF5F0A" w:rsidP="00E32E57">
      <w:pPr>
        <w:spacing w:line="360" w:lineRule="auto"/>
        <w:contextualSpacing/>
        <w:jc w:val="both"/>
        <w:rPr>
          <w:rFonts w:ascii="Palatino Linotype" w:eastAsia="Calibri" w:hAnsi="Palatino Linotype" w:cs="Arial"/>
          <w:color w:val="000000" w:themeColor="text1"/>
          <w:sz w:val="20"/>
          <w:szCs w:val="20"/>
        </w:rPr>
      </w:pPr>
    </w:p>
    <w:p w14:paraId="59707BD8"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4B4BFF82"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3D960999"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3FFB1796"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1EC4A9A4"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79ACAB60"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703787EB"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1D6640ED"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76D595FE"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7AE81F91"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360FE5E7"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1AF39BDF"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0EAF8265"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7E2A21FF"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31673484"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5F566F9D"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1204B4B4"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5995089F"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4578B48C"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42B33135" w14:textId="77777777" w:rsidR="00C70E0D" w:rsidRDefault="00C70E0D" w:rsidP="00E32E57">
      <w:pPr>
        <w:spacing w:line="360" w:lineRule="auto"/>
        <w:contextualSpacing/>
        <w:jc w:val="both"/>
        <w:rPr>
          <w:rFonts w:ascii="Palatino Linotype" w:eastAsia="Calibri" w:hAnsi="Palatino Linotype" w:cs="Arial"/>
          <w:color w:val="000000" w:themeColor="text1"/>
          <w:sz w:val="20"/>
          <w:szCs w:val="20"/>
        </w:rPr>
      </w:pPr>
    </w:p>
    <w:p w14:paraId="6F7389A1" w14:textId="77777777" w:rsidR="00C70E0D" w:rsidRPr="00A90BE0" w:rsidRDefault="00C70E0D" w:rsidP="00E32E57">
      <w:pPr>
        <w:spacing w:line="360" w:lineRule="auto"/>
        <w:contextualSpacing/>
        <w:jc w:val="both"/>
        <w:rPr>
          <w:rFonts w:ascii="Palatino Linotype" w:eastAsia="Calibri" w:hAnsi="Palatino Linotype" w:cs="Arial"/>
          <w:color w:val="000000" w:themeColor="text1"/>
          <w:sz w:val="20"/>
          <w:szCs w:val="20"/>
        </w:rPr>
      </w:pPr>
    </w:p>
    <w:sectPr w:rsidR="00C70E0D"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D77B9" w14:textId="77777777" w:rsidR="00DF5F0A" w:rsidRDefault="00DF5F0A" w:rsidP="00E81438">
      <w:r>
        <w:separator/>
      </w:r>
    </w:p>
  </w:endnote>
  <w:endnote w:type="continuationSeparator" w:id="0">
    <w:p w14:paraId="09322848" w14:textId="77777777" w:rsidR="00DF5F0A" w:rsidRDefault="00DF5F0A"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DF5F0A"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DF5F0A"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DF5F0A"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DF5F0A"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66460">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66460">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14:paraId="65247275" w14:textId="77777777" w:rsidR="006F30F8" w:rsidRDefault="00DF5F0A"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ED4EB" w14:textId="77777777" w:rsidR="00DF5F0A" w:rsidRDefault="00DF5F0A" w:rsidP="00E81438">
      <w:r>
        <w:separator/>
      </w:r>
    </w:p>
  </w:footnote>
  <w:footnote w:type="continuationSeparator" w:id="0">
    <w:p w14:paraId="394C7490" w14:textId="77777777" w:rsidR="00DF5F0A" w:rsidRDefault="00DF5F0A"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DF5F0A">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DF5F0A">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14A33CDB" w:rsidR="00634485" w:rsidRPr="003332CC"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2CC">
      <w:rPr>
        <w:rFonts w:ascii="Palatino Linotype" w:hAnsi="Palatino Linotype" w:cs="Arial"/>
        <w:b/>
        <w:bCs/>
        <w:sz w:val="20"/>
        <w:szCs w:val="20"/>
      </w:rPr>
      <w:t xml:space="preserve">                </w:t>
    </w:r>
    <w:r w:rsidR="0082275B" w:rsidRPr="003332CC">
      <w:rPr>
        <w:rFonts w:ascii="Palatino Linotype" w:hAnsi="Palatino Linotype" w:cs="Arial"/>
        <w:b/>
        <w:bCs/>
        <w:sz w:val="20"/>
        <w:szCs w:val="20"/>
      </w:rPr>
      <w:t>RECURSO DE REVISIÓN</w:t>
    </w:r>
    <w:r w:rsidRPr="003332CC">
      <w:rPr>
        <w:rFonts w:ascii="Palatino Linotype" w:hAnsi="Palatino Linotype" w:cs="Arial"/>
        <w:b/>
        <w:bCs/>
        <w:sz w:val="20"/>
        <w:szCs w:val="20"/>
      </w:rPr>
      <w:t xml:space="preserve"> </w:t>
    </w:r>
    <w:r w:rsidR="003D70E5" w:rsidRPr="003332CC">
      <w:rPr>
        <w:rFonts w:ascii="Palatino Linotype" w:hAnsi="Palatino Linotype"/>
        <w:b/>
        <w:bCs/>
        <w:color w:val="000000" w:themeColor="text1"/>
        <w:sz w:val="20"/>
        <w:szCs w:val="20"/>
      </w:rPr>
      <w:t>11952</w:t>
    </w:r>
    <w:r w:rsidRPr="003332CC">
      <w:rPr>
        <w:rFonts w:ascii="Palatino Linotype" w:hAnsi="Palatino Linotype"/>
        <w:b/>
        <w:bCs/>
        <w:color w:val="000000" w:themeColor="text1"/>
        <w:sz w:val="20"/>
        <w:szCs w:val="20"/>
      </w:rPr>
      <w:t>/INFOEM/IP/RR/202</w:t>
    </w:r>
    <w:r w:rsidR="00333436" w:rsidRPr="003332CC">
      <w:rPr>
        <w:rFonts w:ascii="Palatino Linotype" w:hAnsi="Palatino Linotype"/>
        <w:b/>
        <w:bCs/>
        <w:color w:val="000000" w:themeColor="text1"/>
        <w:sz w:val="20"/>
        <w:szCs w:val="20"/>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DF5F0A">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5529A8"/>
    <w:multiLevelType w:val="hybridMultilevel"/>
    <w:tmpl w:val="7D7A3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 w:ilvl="0">
        <w:numFmt w:val="upperRoman"/>
        <w:lvlText w:val="%1."/>
        <w:lvlJc w:val="right"/>
      </w:lvl>
    </w:lvlOverride>
  </w:num>
  <w:num w:numId="3">
    <w:abstractNumId w:val="8"/>
  </w:num>
  <w:num w:numId="4">
    <w:abstractNumId w:val="1"/>
  </w:num>
  <w:num w:numId="5">
    <w:abstractNumId w:val="0"/>
  </w:num>
  <w:num w:numId="6">
    <w:abstractNumId w:val="2"/>
  </w:num>
  <w:num w:numId="7">
    <w:abstractNumId w:val="9"/>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41F71"/>
    <w:rsid w:val="0004301C"/>
    <w:rsid w:val="00043028"/>
    <w:rsid w:val="00046BFE"/>
    <w:rsid w:val="0006272A"/>
    <w:rsid w:val="0006759B"/>
    <w:rsid w:val="00086DBA"/>
    <w:rsid w:val="000A3500"/>
    <w:rsid w:val="000A5C62"/>
    <w:rsid w:val="000C3339"/>
    <w:rsid w:val="000C4A06"/>
    <w:rsid w:val="00107D23"/>
    <w:rsid w:val="001247BF"/>
    <w:rsid w:val="00132B0F"/>
    <w:rsid w:val="00142268"/>
    <w:rsid w:val="00161B88"/>
    <w:rsid w:val="00167974"/>
    <w:rsid w:val="00183B60"/>
    <w:rsid w:val="0019475D"/>
    <w:rsid w:val="001A6A40"/>
    <w:rsid w:val="001A75DE"/>
    <w:rsid w:val="001B2EA0"/>
    <w:rsid w:val="001B6EB9"/>
    <w:rsid w:val="001C25BC"/>
    <w:rsid w:val="001C27DF"/>
    <w:rsid w:val="001D3F19"/>
    <w:rsid w:val="001D61DA"/>
    <w:rsid w:val="001E2C7A"/>
    <w:rsid w:val="001E4BD7"/>
    <w:rsid w:val="0020623D"/>
    <w:rsid w:val="00216380"/>
    <w:rsid w:val="00217F04"/>
    <w:rsid w:val="0022110A"/>
    <w:rsid w:val="002317E4"/>
    <w:rsid w:val="002323B7"/>
    <w:rsid w:val="002351D3"/>
    <w:rsid w:val="00242826"/>
    <w:rsid w:val="00251760"/>
    <w:rsid w:val="0027361F"/>
    <w:rsid w:val="0028660C"/>
    <w:rsid w:val="00296257"/>
    <w:rsid w:val="00296C85"/>
    <w:rsid w:val="002A1FC2"/>
    <w:rsid w:val="002A4279"/>
    <w:rsid w:val="002A7765"/>
    <w:rsid w:val="002A7E7E"/>
    <w:rsid w:val="002D17E3"/>
    <w:rsid w:val="002D46DF"/>
    <w:rsid w:val="002F3711"/>
    <w:rsid w:val="0030143A"/>
    <w:rsid w:val="0030468A"/>
    <w:rsid w:val="00313375"/>
    <w:rsid w:val="00315049"/>
    <w:rsid w:val="00321981"/>
    <w:rsid w:val="00324EBE"/>
    <w:rsid w:val="003332CC"/>
    <w:rsid w:val="00333436"/>
    <w:rsid w:val="00336322"/>
    <w:rsid w:val="003432EF"/>
    <w:rsid w:val="003468BB"/>
    <w:rsid w:val="0035304E"/>
    <w:rsid w:val="00353453"/>
    <w:rsid w:val="0036090F"/>
    <w:rsid w:val="00361D66"/>
    <w:rsid w:val="003713D0"/>
    <w:rsid w:val="00372746"/>
    <w:rsid w:val="00384EA4"/>
    <w:rsid w:val="00385CC1"/>
    <w:rsid w:val="003868B5"/>
    <w:rsid w:val="0038700C"/>
    <w:rsid w:val="003964BA"/>
    <w:rsid w:val="003B190C"/>
    <w:rsid w:val="003C2F6A"/>
    <w:rsid w:val="003D70E5"/>
    <w:rsid w:val="003E3AD6"/>
    <w:rsid w:val="003E66B1"/>
    <w:rsid w:val="003F36D4"/>
    <w:rsid w:val="003F54B0"/>
    <w:rsid w:val="003F6468"/>
    <w:rsid w:val="00404BA3"/>
    <w:rsid w:val="00406D8C"/>
    <w:rsid w:val="00414F91"/>
    <w:rsid w:val="00434978"/>
    <w:rsid w:val="004365C0"/>
    <w:rsid w:val="00437359"/>
    <w:rsid w:val="00457C33"/>
    <w:rsid w:val="00463C78"/>
    <w:rsid w:val="0048734D"/>
    <w:rsid w:val="00492D79"/>
    <w:rsid w:val="00495A2D"/>
    <w:rsid w:val="00496FDB"/>
    <w:rsid w:val="004A0E48"/>
    <w:rsid w:val="004A6BFC"/>
    <w:rsid w:val="004B5988"/>
    <w:rsid w:val="004C2D42"/>
    <w:rsid w:val="004C6981"/>
    <w:rsid w:val="004E0B19"/>
    <w:rsid w:val="004E0CF7"/>
    <w:rsid w:val="004E2338"/>
    <w:rsid w:val="004E7AC0"/>
    <w:rsid w:val="004F4481"/>
    <w:rsid w:val="005029EC"/>
    <w:rsid w:val="00510BFF"/>
    <w:rsid w:val="00515899"/>
    <w:rsid w:val="00523AF5"/>
    <w:rsid w:val="005247EA"/>
    <w:rsid w:val="005300E6"/>
    <w:rsid w:val="0053148C"/>
    <w:rsid w:val="005432D8"/>
    <w:rsid w:val="00551E7F"/>
    <w:rsid w:val="005526C9"/>
    <w:rsid w:val="00560C1E"/>
    <w:rsid w:val="0056567F"/>
    <w:rsid w:val="005820EB"/>
    <w:rsid w:val="00595D69"/>
    <w:rsid w:val="005A3BF5"/>
    <w:rsid w:val="005A4D7F"/>
    <w:rsid w:val="005B07C2"/>
    <w:rsid w:val="005B436C"/>
    <w:rsid w:val="005B4759"/>
    <w:rsid w:val="005C0E5C"/>
    <w:rsid w:val="005C66C0"/>
    <w:rsid w:val="005F542A"/>
    <w:rsid w:val="005F563A"/>
    <w:rsid w:val="0060046A"/>
    <w:rsid w:val="00603369"/>
    <w:rsid w:val="0060551D"/>
    <w:rsid w:val="00626823"/>
    <w:rsid w:val="00630A16"/>
    <w:rsid w:val="006444D8"/>
    <w:rsid w:val="00654FE9"/>
    <w:rsid w:val="00656AE6"/>
    <w:rsid w:val="0066419F"/>
    <w:rsid w:val="0066482B"/>
    <w:rsid w:val="00670C44"/>
    <w:rsid w:val="006801D4"/>
    <w:rsid w:val="00683DFA"/>
    <w:rsid w:val="006A24FF"/>
    <w:rsid w:val="006B2694"/>
    <w:rsid w:val="006B30CD"/>
    <w:rsid w:val="006B3DB4"/>
    <w:rsid w:val="006C3B9C"/>
    <w:rsid w:val="006C644C"/>
    <w:rsid w:val="006D07BF"/>
    <w:rsid w:val="006D150E"/>
    <w:rsid w:val="006D5765"/>
    <w:rsid w:val="006E001E"/>
    <w:rsid w:val="006E77E6"/>
    <w:rsid w:val="007056B6"/>
    <w:rsid w:val="0070742C"/>
    <w:rsid w:val="00725E1F"/>
    <w:rsid w:val="00726203"/>
    <w:rsid w:val="007400C6"/>
    <w:rsid w:val="007431C8"/>
    <w:rsid w:val="00744EAE"/>
    <w:rsid w:val="00747D86"/>
    <w:rsid w:val="00757AA9"/>
    <w:rsid w:val="00766460"/>
    <w:rsid w:val="00791445"/>
    <w:rsid w:val="00791C9C"/>
    <w:rsid w:val="0079345D"/>
    <w:rsid w:val="007A56CE"/>
    <w:rsid w:val="007B0C01"/>
    <w:rsid w:val="007B2D3C"/>
    <w:rsid w:val="007B6513"/>
    <w:rsid w:val="007C28C6"/>
    <w:rsid w:val="007C7A0C"/>
    <w:rsid w:val="007D187B"/>
    <w:rsid w:val="007D2399"/>
    <w:rsid w:val="00805A08"/>
    <w:rsid w:val="00811B0B"/>
    <w:rsid w:val="0082275B"/>
    <w:rsid w:val="00827BB1"/>
    <w:rsid w:val="00861ACD"/>
    <w:rsid w:val="008628F8"/>
    <w:rsid w:val="00873F22"/>
    <w:rsid w:val="00882E1C"/>
    <w:rsid w:val="00884D62"/>
    <w:rsid w:val="00891560"/>
    <w:rsid w:val="00893D02"/>
    <w:rsid w:val="008A35FA"/>
    <w:rsid w:val="008B0732"/>
    <w:rsid w:val="008B4B59"/>
    <w:rsid w:val="008D2E26"/>
    <w:rsid w:val="008D7E7C"/>
    <w:rsid w:val="008E75B6"/>
    <w:rsid w:val="009212F6"/>
    <w:rsid w:val="009213B4"/>
    <w:rsid w:val="00927E8E"/>
    <w:rsid w:val="00934C57"/>
    <w:rsid w:val="009405EE"/>
    <w:rsid w:val="00940CFC"/>
    <w:rsid w:val="00947263"/>
    <w:rsid w:val="00971C6B"/>
    <w:rsid w:val="009772C1"/>
    <w:rsid w:val="00990B93"/>
    <w:rsid w:val="00991FDE"/>
    <w:rsid w:val="009969E5"/>
    <w:rsid w:val="00997C16"/>
    <w:rsid w:val="009B486D"/>
    <w:rsid w:val="009B728D"/>
    <w:rsid w:val="009C51E9"/>
    <w:rsid w:val="009D50D6"/>
    <w:rsid w:val="009F5590"/>
    <w:rsid w:val="009F717B"/>
    <w:rsid w:val="00A0223E"/>
    <w:rsid w:val="00A07096"/>
    <w:rsid w:val="00A079E2"/>
    <w:rsid w:val="00A116F2"/>
    <w:rsid w:val="00A33597"/>
    <w:rsid w:val="00A33B17"/>
    <w:rsid w:val="00A51176"/>
    <w:rsid w:val="00A7349A"/>
    <w:rsid w:val="00A84394"/>
    <w:rsid w:val="00A85828"/>
    <w:rsid w:val="00A86692"/>
    <w:rsid w:val="00A86A4F"/>
    <w:rsid w:val="00A90BE0"/>
    <w:rsid w:val="00A96975"/>
    <w:rsid w:val="00A97177"/>
    <w:rsid w:val="00AA249E"/>
    <w:rsid w:val="00AA4454"/>
    <w:rsid w:val="00AA707A"/>
    <w:rsid w:val="00AB2511"/>
    <w:rsid w:val="00AD5C25"/>
    <w:rsid w:val="00AE47F4"/>
    <w:rsid w:val="00AE62D4"/>
    <w:rsid w:val="00B02CF7"/>
    <w:rsid w:val="00B16B7A"/>
    <w:rsid w:val="00B17283"/>
    <w:rsid w:val="00B2189F"/>
    <w:rsid w:val="00B26745"/>
    <w:rsid w:val="00B737A0"/>
    <w:rsid w:val="00B85A28"/>
    <w:rsid w:val="00BB14F6"/>
    <w:rsid w:val="00BC15BA"/>
    <w:rsid w:val="00BC27E6"/>
    <w:rsid w:val="00BC51D9"/>
    <w:rsid w:val="00BD695C"/>
    <w:rsid w:val="00BE7409"/>
    <w:rsid w:val="00C12B90"/>
    <w:rsid w:val="00C37A03"/>
    <w:rsid w:val="00C433DD"/>
    <w:rsid w:val="00C536CC"/>
    <w:rsid w:val="00C70E0D"/>
    <w:rsid w:val="00C977B7"/>
    <w:rsid w:val="00CA0752"/>
    <w:rsid w:val="00CA1964"/>
    <w:rsid w:val="00CA4E5A"/>
    <w:rsid w:val="00CB12C1"/>
    <w:rsid w:val="00CC6685"/>
    <w:rsid w:val="00CD5D70"/>
    <w:rsid w:val="00CE0D21"/>
    <w:rsid w:val="00CF4446"/>
    <w:rsid w:val="00D27FB7"/>
    <w:rsid w:val="00D35DE3"/>
    <w:rsid w:val="00D409E9"/>
    <w:rsid w:val="00D70C20"/>
    <w:rsid w:val="00D724F4"/>
    <w:rsid w:val="00D734D9"/>
    <w:rsid w:val="00DB0A3F"/>
    <w:rsid w:val="00DC33BB"/>
    <w:rsid w:val="00DC3433"/>
    <w:rsid w:val="00DF5F0A"/>
    <w:rsid w:val="00E02F0C"/>
    <w:rsid w:val="00E1408B"/>
    <w:rsid w:val="00E152F3"/>
    <w:rsid w:val="00E22565"/>
    <w:rsid w:val="00E25F3A"/>
    <w:rsid w:val="00E32E57"/>
    <w:rsid w:val="00E336C1"/>
    <w:rsid w:val="00E40318"/>
    <w:rsid w:val="00E40B16"/>
    <w:rsid w:val="00E464B2"/>
    <w:rsid w:val="00E51FE3"/>
    <w:rsid w:val="00E52DF9"/>
    <w:rsid w:val="00E53ECE"/>
    <w:rsid w:val="00E60128"/>
    <w:rsid w:val="00E601D1"/>
    <w:rsid w:val="00E81438"/>
    <w:rsid w:val="00E8646A"/>
    <w:rsid w:val="00E9040E"/>
    <w:rsid w:val="00E96CD9"/>
    <w:rsid w:val="00EA0616"/>
    <w:rsid w:val="00EA0BD3"/>
    <w:rsid w:val="00EA36A9"/>
    <w:rsid w:val="00EA6641"/>
    <w:rsid w:val="00EA7BE3"/>
    <w:rsid w:val="00EB1919"/>
    <w:rsid w:val="00EB1A19"/>
    <w:rsid w:val="00EC2541"/>
    <w:rsid w:val="00ED15DF"/>
    <w:rsid w:val="00ED4073"/>
    <w:rsid w:val="00ED5C10"/>
    <w:rsid w:val="00F04B1F"/>
    <w:rsid w:val="00F1729A"/>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7E76B-A011-4745-8F6D-A27F4602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2799</Words>
  <Characters>15400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Usuario-Infoem</cp:lastModifiedBy>
  <cp:revision>6</cp:revision>
  <cp:lastPrinted>2022-09-20T14:25:00Z</cp:lastPrinted>
  <dcterms:created xsi:type="dcterms:W3CDTF">2022-09-18T18:42:00Z</dcterms:created>
  <dcterms:modified xsi:type="dcterms:W3CDTF">2022-09-20T14:25:00Z</dcterms:modified>
</cp:coreProperties>
</file>