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023E3D01"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380784">
        <w:rPr>
          <w:rFonts w:ascii="Palatino Linotype" w:hAnsi="Palatino Linotype" w:cs="Arial"/>
          <w:b/>
          <w:sz w:val="22"/>
          <w:szCs w:val="22"/>
        </w:rPr>
        <w:t xml:space="preserve">TRIGÉSIMA </w:t>
      </w:r>
      <w:r w:rsidR="00385B0C">
        <w:rPr>
          <w:rFonts w:ascii="Palatino Linotype" w:hAnsi="Palatino Linotype" w:cs="Arial"/>
          <w:b/>
          <w:sz w:val="22"/>
          <w:szCs w:val="22"/>
        </w:rPr>
        <w:t>SEXTA</w:t>
      </w:r>
      <w:r w:rsidR="00380784">
        <w:rPr>
          <w:rFonts w:ascii="Palatino Linotype" w:hAnsi="Palatino Linotype" w:cs="Arial"/>
          <w:b/>
          <w:sz w:val="22"/>
          <w:szCs w:val="22"/>
        </w:rPr>
        <w:t xml:space="preserve"> </w:t>
      </w:r>
      <w:r w:rsidR="00FC4426" w:rsidRPr="00610B05">
        <w:rPr>
          <w:rFonts w:ascii="Palatino Linotype" w:hAnsi="Palatino Linotype" w:cs="Arial"/>
          <w:b/>
          <w:sz w:val="22"/>
          <w:szCs w:val="22"/>
        </w:rPr>
        <w:t xml:space="preserve">SESIÓN ORDINARIA CELEBRADA EL </w:t>
      </w:r>
      <w:r w:rsidR="00385B0C">
        <w:rPr>
          <w:rFonts w:ascii="Palatino Linotype" w:hAnsi="Palatino Linotype" w:cs="Arial"/>
          <w:b/>
          <w:sz w:val="22"/>
          <w:szCs w:val="22"/>
        </w:rPr>
        <w:t xml:space="preserve">CINCO DE OCTUBRE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791445" w:rsidRPr="00610B05">
        <w:rPr>
          <w:rFonts w:ascii="Palatino Linotype" w:hAnsi="Palatino Linotype"/>
          <w:b/>
          <w:bCs/>
          <w:color w:val="000000" w:themeColor="text1"/>
          <w:sz w:val="22"/>
          <w:szCs w:val="22"/>
        </w:rPr>
        <w:t>0</w:t>
      </w:r>
      <w:r w:rsidR="00385B0C">
        <w:rPr>
          <w:rFonts w:ascii="Palatino Linotype" w:hAnsi="Palatino Linotype"/>
          <w:b/>
          <w:bCs/>
          <w:color w:val="000000" w:themeColor="text1"/>
          <w:sz w:val="22"/>
          <w:szCs w:val="22"/>
        </w:rPr>
        <w:t>8697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02256511"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Pr="00610B05">
        <w:rPr>
          <w:rFonts w:ascii="Palatino Linotype" w:hAnsi="Palatino Linotype" w:cs="Arial"/>
          <w:b/>
          <w:sz w:val="22"/>
          <w:szCs w:val="22"/>
        </w:rPr>
        <w:t>0</w:t>
      </w:r>
      <w:r w:rsidR="00385B0C">
        <w:rPr>
          <w:rFonts w:ascii="Palatino Linotype" w:hAnsi="Palatino Linotype" w:cs="Arial"/>
          <w:b/>
          <w:sz w:val="22"/>
          <w:szCs w:val="22"/>
        </w:rPr>
        <w:t>8697</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la Comisionada </w:t>
      </w:r>
      <w:r w:rsidRPr="00610B05">
        <w:rPr>
          <w:rFonts w:ascii="Palatino Linotype" w:hAnsi="Palatino Linotype" w:cs="Arial"/>
          <w:b/>
          <w:sz w:val="22"/>
          <w:szCs w:val="22"/>
        </w:rPr>
        <w:t>SHARON CRISTINA MORALES MARTÍNEZ</w:t>
      </w:r>
      <w:r w:rsidR="00FA1B2D">
        <w:rPr>
          <w:rFonts w:ascii="Palatino Linotype" w:hAnsi="Palatino Linotype" w:cs="Arial"/>
          <w:sz w:val="22"/>
          <w:szCs w:val="22"/>
        </w:rPr>
        <w:t>.</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0BAEEECE" w:rsidR="00B737A0" w:rsidRPr="00610B05" w:rsidRDefault="003868B5" w:rsidP="00380784">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385B0C" w:rsidRPr="00385B0C">
        <w:rPr>
          <w:rFonts w:ascii="Palatino Linotype" w:hAnsi="Palatino Linotype"/>
          <w:b/>
          <w:sz w:val="22"/>
          <w:szCs w:val="22"/>
        </w:rPr>
        <w:t>00084/ELORO/IP/2022</w:t>
      </w:r>
      <w:r w:rsidR="00B737A0" w:rsidRPr="00610B05">
        <w:rPr>
          <w:rFonts w:ascii="Palatino Linotype" w:hAnsi="Palatino Linotype" w:cs="Arial"/>
          <w:sz w:val="22"/>
          <w:szCs w:val="22"/>
          <w:lang w:val="es-419"/>
        </w:rPr>
        <w:t>, mediante la cual solicitó:</w:t>
      </w:r>
    </w:p>
    <w:p w14:paraId="7287B15A" w14:textId="77777777" w:rsidR="00B737A0" w:rsidRPr="00610B05" w:rsidRDefault="00B737A0" w:rsidP="00B737A0">
      <w:pPr>
        <w:spacing w:line="360" w:lineRule="auto"/>
        <w:jc w:val="both"/>
        <w:rPr>
          <w:rFonts w:ascii="Palatino Linotype" w:hAnsi="Palatino Linotype" w:cs="Arial"/>
          <w:sz w:val="22"/>
          <w:szCs w:val="22"/>
          <w:lang w:val="es-419"/>
        </w:rPr>
      </w:pPr>
    </w:p>
    <w:p w14:paraId="4808C13F" w14:textId="77777777" w:rsidR="00385B0C" w:rsidRPr="005D4817" w:rsidRDefault="00610B05" w:rsidP="00385B0C">
      <w:pPr>
        <w:pStyle w:val="Prrafodelista"/>
        <w:ind w:left="851" w:right="899"/>
        <w:jc w:val="both"/>
        <w:rPr>
          <w:rFonts w:ascii="Palatino Linotype" w:hAnsi="Palatino Linotype" w:cs="Arial"/>
          <w:i/>
          <w:color w:val="000000" w:themeColor="text1"/>
          <w:sz w:val="22"/>
        </w:rPr>
      </w:pPr>
      <w:r w:rsidRPr="00EB4D38">
        <w:rPr>
          <w:rFonts w:ascii="Palatino Linotype" w:hAnsi="Palatino Linotype" w:cs="Arial"/>
          <w:i/>
          <w:color w:val="000000" w:themeColor="text1"/>
          <w:sz w:val="22"/>
        </w:rPr>
        <w:t>“</w:t>
      </w:r>
      <w:bookmarkStart w:id="1" w:name="_Hlk96896517"/>
      <w:r w:rsidR="00385B0C" w:rsidRPr="005D4817">
        <w:rPr>
          <w:rFonts w:ascii="Palatino Linotype" w:hAnsi="Palatino Linotype" w:cs="Arial"/>
          <w:i/>
          <w:color w:val="000000" w:themeColor="text1"/>
          <w:sz w:val="22"/>
        </w:rPr>
        <w:t>REQUIERO LA SIGUIENTE INFORMACIÓN EN PDF LEGIBLE: RECIBOS DE NÓMINA TODOS LOS EMPLEADOS DEL AYUNTAMIENTO, DIF MUNICIPAL, ORGANISMO DE AGUA E IMCUFIDE DE LAS SUIGUIENTES QUINCENAS.</w:t>
      </w:r>
    </w:p>
    <w:p w14:paraId="12EA6D46" w14:textId="77777777" w:rsidR="00385B0C" w:rsidRPr="005D4817" w:rsidRDefault="00385B0C" w:rsidP="00385B0C">
      <w:pPr>
        <w:pStyle w:val="Prrafodelista"/>
        <w:ind w:left="851" w:right="899"/>
        <w:jc w:val="both"/>
        <w:rPr>
          <w:rFonts w:ascii="Palatino Linotype" w:hAnsi="Palatino Linotype" w:cs="Arial"/>
          <w:i/>
          <w:color w:val="000000" w:themeColor="text1"/>
          <w:sz w:val="22"/>
        </w:rPr>
      </w:pPr>
      <w:r w:rsidRPr="005D4817">
        <w:rPr>
          <w:rFonts w:ascii="Palatino Linotype" w:hAnsi="Palatino Linotype" w:cs="Arial"/>
          <w:i/>
          <w:color w:val="000000" w:themeColor="text1"/>
          <w:sz w:val="22"/>
        </w:rPr>
        <w:t>PRIMERA Y SEGUNDA QUINCENA DE ENERO 2022.</w:t>
      </w:r>
    </w:p>
    <w:p w14:paraId="466ED2AC" w14:textId="77777777" w:rsidR="00385B0C" w:rsidRPr="005D4817" w:rsidRDefault="00385B0C" w:rsidP="00385B0C">
      <w:pPr>
        <w:pStyle w:val="Prrafodelista"/>
        <w:ind w:left="851" w:right="899"/>
        <w:jc w:val="both"/>
        <w:rPr>
          <w:rFonts w:ascii="Palatino Linotype" w:hAnsi="Palatino Linotype" w:cs="Arial"/>
          <w:i/>
          <w:color w:val="000000" w:themeColor="text1"/>
          <w:sz w:val="22"/>
        </w:rPr>
      </w:pPr>
      <w:r w:rsidRPr="005D4817">
        <w:rPr>
          <w:rFonts w:ascii="Palatino Linotype" w:hAnsi="Palatino Linotype" w:cs="Arial"/>
          <w:i/>
          <w:color w:val="000000" w:themeColor="text1"/>
          <w:sz w:val="22"/>
        </w:rPr>
        <w:t>PRIMERA Y SEGUNDA QUINCENA DE FEBRERO 2022.</w:t>
      </w:r>
    </w:p>
    <w:p w14:paraId="2494EBD3" w14:textId="77777777" w:rsidR="00385B0C" w:rsidRPr="005D4817" w:rsidRDefault="00385B0C" w:rsidP="00385B0C">
      <w:pPr>
        <w:pStyle w:val="Prrafodelista"/>
        <w:ind w:left="851" w:right="899"/>
        <w:jc w:val="both"/>
        <w:rPr>
          <w:rFonts w:ascii="Palatino Linotype" w:hAnsi="Palatino Linotype" w:cs="Arial"/>
          <w:i/>
          <w:color w:val="000000" w:themeColor="text1"/>
          <w:sz w:val="22"/>
        </w:rPr>
      </w:pPr>
      <w:r w:rsidRPr="005D4817">
        <w:rPr>
          <w:rFonts w:ascii="Palatino Linotype" w:hAnsi="Palatino Linotype" w:cs="Arial"/>
          <w:i/>
          <w:color w:val="000000" w:themeColor="text1"/>
          <w:sz w:val="22"/>
        </w:rPr>
        <w:t>PRIMERA Y SEGUNDA QUINCENA DE MARZO 2022.</w:t>
      </w:r>
    </w:p>
    <w:p w14:paraId="0027C13E" w14:textId="77777777" w:rsidR="00385B0C" w:rsidRPr="005D4817" w:rsidRDefault="00385B0C" w:rsidP="00385B0C">
      <w:pPr>
        <w:pStyle w:val="Prrafodelista"/>
        <w:ind w:left="851" w:right="899"/>
        <w:jc w:val="both"/>
        <w:rPr>
          <w:rFonts w:ascii="Palatino Linotype" w:hAnsi="Palatino Linotype" w:cs="Arial"/>
          <w:i/>
          <w:color w:val="000000" w:themeColor="text1"/>
          <w:sz w:val="22"/>
        </w:rPr>
      </w:pPr>
      <w:r w:rsidRPr="005D4817">
        <w:rPr>
          <w:rFonts w:ascii="Palatino Linotype" w:hAnsi="Palatino Linotype" w:cs="Arial"/>
          <w:i/>
          <w:color w:val="000000" w:themeColor="text1"/>
          <w:sz w:val="22"/>
        </w:rPr>
        <w:t>PRIMERA Y SEGUNDA QUINCENA DE ABRIL 2022.</w:t>
      </w:r>
    </w:p>
    <w:p w14:paraId="74A25E88" w14:textId="4153A259" w:rsidR="00610B05" w:rsidRPr="00EB4D38" w:rsidRDefault="00385B0C" w:rsidP="00385B0C">
      <w:pPr>
        <w:pStyle w:val="Prrafodelista"/>
        <w:ind w:left="851" w:right="899"/>
        <w:jc w:val="both"/>
        <w:rPr>
          <w:rFonts w:ascii="Palatino Linotype" w:hAnsi="Palatino Linotype" w:cs="Arial"/>
          <w:i/>
          <w:color w:val="000000" w:themeColor="text1"/>
          <w:sz w:val="22"/>
        </w:rPr>
      </w:pPr>
      <w:r w:rsidRPr="005D4817">
        <w:rPr>
          <w:rFonts w:ascii="Palatino Linotype" w:hAnsi="Palatino Linotype" w:cs="Arial"/>
          <w:i/>
          <w:color w:val="000000" w:themeColor="text1"/>
          <w:sz w:val="22"/>
        </w:rPr>
        <w:t>PRIMERA PARTE DE AGUINALDO Y PRIMA VACACIONAL 2022.</w:t>
      </w:r>
      <w:r w:rsidR="00380784" w:rsidRPr="003F4008">
        <w:rPr>
          <w:rFonts w:ascii="Palatino Linotype" w:hAnsi="Palatino Linotype" w:cs="Arial"/>
          <w:i/>
          <w:color w:val="000000" w:themeColor="text1"/>
          <w:sz w:val="22"/>
        </w:rPr>
        <w:t>” (Sic).</w:t>
      </w:r>
      <w:bookmarkEnd w:id="1"/>
    </w:p>
    <w:p w14:paraId="14117508" w14:textId="77777777" w:rsidR="00610B05" w:rsidRDefault="00610B05" w:rsidP="009C4393">
      <w:pPr>
        <w:spacing w:line="360" w:lineRule="auto"/>
        <w:jc w:val="both"/>
        <w:rPr>
          <w:rFonts w:ascii="Palatino Linotype" w:hAnsi="Palatino Linotype" w:cs="Arial"/>
          <w:sz w:val="22"/>
          <w:szCs w:val="22"/>
        </w:rPr>
      </w:pPr>
    </w:p>
    <w:p w14:paraId="33DB42F7" w14:textId="77777777" w:rsidR="00380784" w:rsidRDefault="00725E1F" w:rsidP="00610B05">
      <w:pPr>
        <w:spacing w:line="360" w:lineRule="auto"/>
        <w:jc w:val="both"/>
        <w:rPr>
          <w:rFonts w:ascii="Palatino Linotype" w:hAnsi="Palatino Linotype"/>
          <w:color w:val="000000" w:themeColor="text1"/>
          <w:sz w:val="22"/>
          <w:szCs w:val="22"/>
        </w:rPr>
      </w:pPr>
      <w:r w:rsidRPr="00610B05">
        <w:rPr>
          <w:rFonts w:ascii="Palatino Linotype" w:hAnsi="Palatino Linotype" w:cs="Arial"/>
          <w:sz w:val="22"/>
          <w:szCs w:val="22"/>
        </w:rPr>
        <w:t>En</w:t>
      </w:r>
      <w:r w:rsidR="00E81438" w:rsidRPr="00380784">
        <w:rPr>
          <w:rFonts w:ascii="Palatino Linotype" w:hAnsi="Palatino Linotype" w:cs="Arial"/>
          <w:sz w:val="22"/>
          <w:szCs w:val="22"/>
        </w:rPr>
        <w:t xml:space="preserve"> respuesta, </w:t>
      </w:r>
      <w:r w:rsidR="00E81438" w:rsidRPr="00380784">
        <w:rPr>
          <w:rFonts w:ascii="Palatino Linotype" w:hAnsi="Palatino Linotype" w:cs="Arial"/>
          <w:b/>
          <w:sz w:val="22"/>
          <w:szCs w:val="22"/>
        </w:rPr>
        <w:t>EL SUJETO OBLIGADO</w:t>
      </w:r>
      <w:r w:rsidR="007B2D3C" w:rsidRPr="00380784">
        <w:rPr>
          <w:rFonts w:ascii="Palatino Linotype" w:hAnsi="Palatino Linotype" w:cs="Arial"/>
          <w:sz w:val="22"/>
          <w:szCs w:val="22"/>
        </w:rPr>
        <w:t xml:space="preserve">, </w:t>
      </w:r>
      <w:r w:rsidR="00E462CD" w:rsidRPr="00380784">
        <w:rPr>
          <w:rFonts w:ascii="Palatino Linotype" w:hAnsi="Palatino Linotype" w:cs="Arial"/>
          <w:sz w:val="22"/>
          <w:szCs w:val="22"/>
        </w:rPr>
        <w:t>adjuntó</w:t>
      </w:r>
      <w:r w:rsidR="00610B05" w:rsidRPr="00380784">
        <w:rPr>
          <w:rFonts w:ascii="Palatino Linotype" w:hAnsi="Palatino Linotype"/>
          <w:color w:val="000000" w:themeColor="text1"/>
          <w:sz w:val="22"/>
          <w:szCs w:val="22"/>
        </w:rPr>
        <w:t xml:space="preserve"> </w:t>
      </w:r>
      <w:r w:rsidR="00380784" w:rsidRPr="00380784">
        <w:rPr>
          <w:rFonts w:ascii="Palatino Linotype" w:hAnsi="Palatino Linotype"/>
          <w:color w:val="000000" w:themeColor="text1"/>
          <w:sz w:val="22"/>
          <w:szCs w:val="22"/>
        </w:rPr>
        <w:t xml:space="preserve">los archivos electrónicos siguientes: </w:t>
      </w:r>
    </w:p>
    <w:p w14:paraId="74A849EA" w14:textId="77777777" w:rsidR="00380784" w:rsidRPr="00385B0C" w:rsidRDefault="00380784" w:rsidP="00610B05">
      <w:pPr>
        <w:spacing w:line="360" w:lineRule="auto"/>
        <w:jc w:val="both"/>
        <w:rPr>
          <w:rFonts w:ascii="Palatino Linotype" w:hAnsi="Palatino Linotype"/>
          <w:color w:val="000000" w:themeColor="text1"/>
          <w:sz w:val="22"/>
          <w:szCs w:val="22"/>
        </w:rPr>
      </w:pPr>
    </w:p>
    <w:p w14:paraId="68E59B9E"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00084-dif.PDF, </w:t>
      </w:r>
      <w:r w:rsidRPr="00385B0C">
        <w:rPr>
          <w:rFonts w:ascii="Palatino Linotype" w:hAnsi="Palatino Linotype" w:cs="Arial"/>
          <w:color w:val="000000" w:themeColor="text1"/>
          <w:sz w:val="22"/>
          <w:szCs w:val="22"/>
        </w:rPr>
        <w:t xml:space="preserve">el cual contiene el oficio número DM/PRES/292/2022 de fecha dieciséis de mayo de dos mil veintidós, por medio del cual la Presidenta Honoraria del Sistema Municipal para el Desarrollo Integral de la Familia El Oro, refiere enviar el listado de nómina (nombre y monto neto pagado), de la primera y segunda quincena de los meses de enero, febrero, marzo, abril y primera parte del aguinaldo y prima vacacional. </w:t>
      </w:r>
    </w:p>
    <w:p w14:paraId="4B8FE06D"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00084-tesoreria.PDF, </w:t>
      </w:r>
      <w:r w:rsidRPr="00385B0C">
        <w:rPr>
          <w:rFonts w:ascii="Palatino Linotype" w:hAnsi="Palatino Linotype" w:cs="Arial"/>
          <w:color w:val="000000" w:themeColor="text1"/>
          <w:sz w:val="22"/>
          <w:szCs w:val="22"/>
        </w:rPr>
        <w:t xml:space="preserve">el cual de su contenido se advierte el oficio número TM/425/05/2022 de fecha dieciséis de mayo de dos mil veintidós, por medio del cual la Tesorera Municipal refiere adjuntar la información solicitada; adjuntando para ello el reporte de nómina general que contiene los rubros: número de empleado, apellido paterno, apellido materno, nombre y sueldo neto, correspondientes a la primera y segunda quincena de enero, febrero, marzo y abril y primera parte del aguinaldo. </w:t>
      </w:r>
    </w:p>
    <w:p w14:paraId="69A1A23E"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00084-imcufide.PDF, </w:t>
      </w:r>
      <w:r w:rsidRPr="00385B0C">
        <w:rPr>
          <w:rFonts w:ascii="Palatino Linotype" w:hAnsi="Palatino Linotype" w:cs="Arial"/>
          <w:color w:val="000000" w:themeColor="text1"/>
          <w:sz w:val="22"/>
          <w:szCs w:val="22"/>
        </w:rPr>
        <w:t xml:space="preserve">el cual contiene el oficio número IMD/DF/021/2022 de fecha once de mayo de dos mil veintidós, por medio del cual el Director de Administración de Administración y Finanzas del Instituto Municipal de Cultura Física y Deporte, refiere remitir en versión pública de manera digital e impresa la información solicitada, precisando que no se hace entrega de los recibos de prima vacacional, puesto que no se han pagado. </w:t>
      </w:r>
    </w:p>
    <w:p w14:paraId="78DA0CE5"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ODAPAS.zip, </w:t>
      </w:r>
      <w:r w:rsidRPr="00385B0C">
        <w:rPr>
          <w:rFonts w:ascii="Palatino Linotype" w:hAnsi="Palatino Linotype" w:cs="Arial"/>
          <w:color w:val="000000" w:themeColor="text1"/>
          <w:sz w:val="22"/>
          <w:szCs w:val="22"/>
        </w:rPr>
        <w:t xml:space="preserve">el cual de su contenido se advierten recibos de nómina correspondientes a la primera y segunda quincena de enero, febrero, marzo y abril de dos mil veintidós; así como, el pago de la primera parte del aguinaldo, en los cuales se omitió testar de manera permanente la información. </w:t>
      </w:r>
    </w:p>
    <w:p w14:paraId="602DAE5E"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proofErr w:type="spellStart"/>
      <w:r w:rsidRPr="00385B0C">
        <w:rPr>
          <w:rFonts w:ascii="Palatino Linotype" w:hAnsi="Palatino Linotype" w:cs="Arial"/>
          <w:b/>
          <w:i/>
          <w:color w:val="000000" w:themeColor="text1"/>
          <w:sz w:val="22"/>
          <w:szCs w:val="22"/>
        </w:rPr>
        <w:t>areas</w:t>
      </w:r>
      <w:proofErr w:type="spellEnd"/>
      <w:r w:rsidRPr="00385B0C">
        <w:rPr>
          <w:rFonts w:ascii="Palatino Linotype" w:hAnsi="Palatino Linotype" w:cs="Arial"/>
          <w:b/>
          <w:i/>
          <w:color w:val="000000" w:themeColor="text1"/>
          <w:sz w:val="22"/>
          <w:szCs w:val="22"/>
        </w:rPr>
        <w:t>-solicitud-</w:t>
      </w:r>
      <w:proofErr w:type="spellStart"/>
      <w:r w:rsidRPr="00385B0C">
        <w:rPr>
          <w:rFonts w:ascii="Palatino Linotype" w:hAnsi="Palatino Linotype" w:cs="Arial"/>
          <w:b/>
          <w:i/>
          <w:color w:val="000000" w:themeColor="text1"/>
          <w:sz w:val="22"/>
          <w:szCs w:val="22"/>
        </w:rPr>
        <w:t>clasif</w:t>
      </w:r>
      <w:proofErr w:type="spellEnd"/>
      <w:r w:rsidRPr="00385B0C">
        <w:rPr>
          <w:rFonts w:ascii="Palatino Linotype" w:hAnsi="Palatino Linotype" w:cs="Arial"/>
          <w:b/>
          <w:i/>
          <w:color w:val="000000" w:themeColor="text1"/>
          <w:sz w:val="22"/>
          <w:szCs w:val="22"/>
        </w:rPr>
        <w:t xml:space="preserve"> 00084.PDF, </w:t>
      </w:r>
      <w:r w:rsidRPr="00385B0C">
        <w:rPr>
          <w:rFonts w:ascii="Palatino Linotype" w:hAnsi="Palatino Linotype" w:cs="Arial"/>
          <w:color w:val="000000" w:themeColor="text1"/>
          <w:sz w:val="22"/>
          <w:szCs w:val="22"/>
        </w:rPr>
        <w:t xml:space="preserve">el cual contiene oficios signados por la Tesorera Municipal, Presidenta Honoraria del Sistema Municipal para el Desarrollo Integral de la Familia de el Oro, Director General del Organismo Público Descentralizado para la Prestación de los Servicios de Agua Potable, Alcantarillado y Saneamiento del Municipio del Oro; así como, del Director </w:t>
      </w:r>
      <w:r w:rsidRPr="00385B0C">
        <w:rPr>
          <w:rFonts w:ascii="Palatino Linotype" w:hAnsi="Palatino Linotype" w:cs="Arial"/>
          <w:color w:val="000000" w:themeColor="text1"/>
          <w:sz w:val="22"/>
          <w:szCs w:val="22"/>
        </w:rPr>
        <w:lastRenderedPageBreak/>
        <w:t xml:space="preserve">Honorario de Administración y Finanzas del Instituto Municipal de Cultura Física y Deporte de El Oro, por medio de los cuales solicitan convocar al Comité de Transparencia para someter a consideración la clasificación parcial de la información de carácter confidencial y así emitir las versiones públicas. </w:t>
      </w:r>
    </w:p>
    <w:p w14:paraId="53872BAE"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DIF.zip, </w:t>
      </w:r>
      <w:r w:rsidRPr="00385B0C">
        <w:rPr>
          <w:rFonts w:ascii="Palatino Linotype" w:hAnsi="Palatino Linotype" w:cs="Arial"/>
          <w:color w:val="000000" w:themeColor="text1"/>
          <w:sz w:val="22"/>
          <w:szCs w:val="22"/>
        </w:rPr>
        <w:t xml:space="preserve">el cual contiene listado que contiene nombre de servidor público e importe correspondiente a la primera y segunda quincena de enero, febrero, marzo y abril de dos mil veintidós y aguinaldo. </w:t>
      </w:r>
    </w:p>
    <w:p w14:paraId="03A3A2C2"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00084-odapas.PDF, </w:t>
      </w:r>
      <w:r w:rsidRPr="00385B0C">
        <w:rPr>
          <w:rFonts w:ascii="Palatino Linotype" w:hAnsi="Palatino Linotype" w:cs="Arial"/>
          <w:color w:val="000000" w:themeColor="text1"/>
          <w:sz w:val="22"/>
          <w:szCs w:val="22"/>
        </w:rPr>
        <w:t xml:space="preserve">el cual contiene el oficio número IMD/DG/0156/2022 de fecha once de mayo de dos mil veintidós, por medio del cual el Director General del Organismo Público Descentralizado para la Prestación de los Servicios de Agua Potable, Alcantarillado y Saneamiento del Municipio del Oro, refiere remitir en versión pública de manera digital e impresa la información solicitada, precisando que no se hace entrega de los recibos de prima vacacional, puesto que no se han pagado. </w:t>
      </w:r>
    </w:p>
    <w:p w14:paraId="37A79936"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IMCUFIDE.zip, </w:t>
      </w:r>
      <w:r w:rsidRPr="00385B0C">
        <w:rPr>
          <w:rFonts w:ascii="Palatino Linotype" w:hAnsi="Palatino Linotype" w:cs="Arial"/>
          <w:color w:val="000000" w:themeColor="text1"/>
          <w:sz w:val="22"/>
          <w:szCs w:val="22"/>
        </w:rPr>
        <w:t xml:space="preserve">el cual de su contenido se advierten recibos de nómina correspondientes a la primera y segunda quincena de enero, febrero, marzo y abril de dos mil veintidós; así como, el pago de la primera parte del aguinaldo, en los cuales se omitió testar de manera permanente la información. </w:t>
      </w:r>
    </w:p>
    <w:p w14:paraId="33AD70F4" w14:textId="77777777" w:rsidR="00385B0C" w:rsidRPr="00385B0C" w:rsidRDefault="00385B0C" w:rsidP="00385B0C">
      <w:pPr>
        <w:pStyle w:val="Prrafodelista"/>
        <w:numPr>
          <w:ilvl w:val="0"/>
          <w:numId w:val="10"/>
        </w:numPr>
        <w:spacing w:line="360" w:lineRule="auto"/>
        <w:contextualSpacing w:val="0"/>
        <w:jc w:val="both"/>
        <w:rPr>
          <w:rFonts w:ascii="Palatino Linotype" w:hAnsi="Palatino Linotype" w:cs="Arial"/>
          <w:b/>
          <w:i/>
          <w:color w:val="000000" w:themeColor="text1"/>
          <w:sz w:val="22"/>
          <w:szCs w:val="22"/>
        </w:rPr>
      </w:pPr>
      <w:r w:rsidRPr="00385B0C">
        <w:rPr>
          <w:rFonts w:ascii="Palatino Linotype" w:hAnsi="Palatino Linotype" w:cs="Arial"/>
          <w:b/>
          <w:i/>
          <w:color w:val="000000" w:themeColor="text1"/>
          <w:sz w:val="22"/>
          <w:szCs w:val="22"/>
        </w:rPr>
        <w:t xml:space="preserve">Acta10-CT-ELORO.PDF, </w:t>
      </w:r>
      <w:r w:rsidRPr="00385B0C">
        <w:rPr>
          <w:rFonts w:ascii="Palatino Linotype" w:hAnsi="Palatino Linotype" w:cs="Arial"/>
          <w:color w:val="000000" w:themeColor="text1"/>
          <w:sz w:val="22"/>
          <w:szCs w:val="22"/>
        </w:rPr>
        <w:t xml:space="preserve">el cual contiene el Acta de la Décima Sesión Ordinaria del Comité de Transparencia, por medio de la cual se confirmó la clasificación parcial de la información con carácter confidencial. </w:t>
      </w:r>
    </w:p>
    <w:p w14:paraId="77289D07" w14:textId="77777777" w:rsidR="00380784" w:rsidRPr="00385B0C" w:rsidRDefault="00380784" w:rsidP="0035304E">
      <w:pPr>
        <w:spacing w:line="360" w:lineRule="auto"/>
        <w:jc w:val="both"/>
        <w:rPr>
          <w:rFonts w:ascii="Palatino Linotype" w:hAnsi="Palatino Linotype" w:cs="Arial"/>
          <w:sz w:val="22"/>
          <w:szCs w:val="22"/>
          <w:lang w:val="es-419"/>
        </w:rPr>
      </w:pPr>
    </w:p>
    <w:p w14:paraId="0D6CFA7F" w14:textId="35E06EA9"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380784">
      <w:pPr>
        <w:jc w:val="both"/>
        <w:rPr>
          <w:rFonts w:ascii="Palatino Linotype" w:hAnsi="Palatino Linotype" w:cs="Arial"/>
          <w:b/>
          <w:sz w:val="22"/>
          <w:szCs w:val="22"/>
        </w:rPr>
      </w:pPr>
    </w:p>
    <w:p w14:paraId="2EEFBF24" w14:textId="77E3C346" w:rsidR="00380784" w:rsidRPr="003F4008" w:rsidRDefault="00380784" w:rsidP="00385B0C">
      <w:pPr>
        <w:pStyle w:val="Prrafodelista"/>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w:t>
      </w:r>
      <w:r w:rsidR="00385B0C" w:rsidRPr="005D4817">
        <w:rPr>
          <w:rFonts w:ascii="Palatino Linotype" w:hAnsi="Palatino Linotype" w:cs="Arial"/>
          <w:i/>
          <w:color w:val="000000" w:themeColor="text1"/>
          <w:sz w:val="22"/>
        </w:rPr>
        <w:t>00084/ELORO/IP/2022</w:t>
      </w:r>
      <w:r w:rsidRPr="003F4008">
        <w:rPr>
          <w:rFonts w:ascii="Palatino Linotype" w:hAnsi="Palatino Linotype" w:cs="Arial"/>
          <w:i/>
          <w:color w:val="000000" w:themeColor="text1"/>
          <w:sz w:val="22"/>
        </w:rPr>
        <w:t>” (sic)</w:t>
      </w:r>
    </w:p>
    <w:p w14:paraId="07A4FD45" w14:textId="77777777" w:rsidR="00610B05" w:rsidRPr="00610B05" w:rsidRDefault="00610B05" w:rsidP="00380784">
      <w:pPr>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610B05">
      <w:pPr>
        <w:spacing w:line="360" w:lineRule="auto"/>
        <w:ind w:right="1134"/>
        <w:jc w:val="both"/>
        <w:rPr>
          <w:rFonts w:ascii="Palatino Linotype" w:hAnsi="Palatino Linotype" w:cs="Arial"/>
          <w:i/>
          <w:sz w:val="22"/>
          <w:szCs w:val="22"/>
          <w:lang w:val="es-419"/>
        </w:rPr>
      </w:pPr>
    </w:p>
    <w:p w14:paraId="7EB52387" w14:textId="49355212" w:rsidR="00380784" w:rsidRPr="003F4008" w:rsidRDefault="00380784" w:rsidP="00380784">
      <w:pPr>
        <w:pStyle w:val="Prrafodelista"/>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w:t>
      </w:r>
      <w:r w:rsidR="00385B0C" w:rsidRPr="005D4817">
        <w:rPr>
          <w:rFonts w:ascii="Palatino Linotype" w:hAnsi="Palatino Linotype" w:cs="Arial"/>
          <w:i/>
          <w:color w:val="000000" w:themeColor="text1"/>
          <w:sz w:val="22"/>
        </w:rPr>
        <w:t>SOLICITO AMABLEMENTE DE SU INTERVENCIÓN, YA QUE EN LA SOLICITUD CON NUMERO DE FOLIO: 00084/ELORO/IP/2022, SOLICITE RECIBOS DE NÓMINA TODOS LOS EMPLEADOS DEL AYUNTAMIENTO, DIF MUNICIPAL, ORGANISMO DE AGUA E IMCUFIDE DE LAS SUIGUIENTES QUINCENAS. 1. PRIMERA Y SEGUNDA QUINCENA DE ENERO 2022. 2. PRIMERA Y SEGUNDA QUINCENA DE FEBRERO 2022. 3. PRIMERA Y SEGUNDA QUINCENA DE MARZO 2022. 4. PRIMERA Y SEGUNDA QUINCENA DE ABRIL 2022. 5. PRIMERA PARTE DE AGUINALDO Y PRIMA VACACIONAL 2022. SIN EMBARGO EN LO QUE RESPECTA AL AYUNTAMIENTO Y ORGANISMO DIF MUNICIPAL, SOLO ENVIO RELACION DE NOMBRE CON MONTO NETO, Y LO QUE SE SOLICICITO FUE RECIBO DE NOMINA DE LAS QUINCENAS ANTES MENCIONADAS. POR LO QUE APELO A SU APOYO PARA QUE LOS SUJETOS OBLIGADOS, CUMPLAN CON DICHA INFORMACION POR SER INFORMACIÓN PUBLICA PARA LA CIUDADANIA</w:t>
      </w:r>
      <w:r w:rsidRPr="003F4008">
        <w:rPr>
          <w:rFonts w:ascii="Palatino Linotype" w:hAnsi="Palatino Linotype" w:cs="Arial"/>
          <w:i/>
          <w:color w:val="000000" w:themeColor="text1"/>
          <w:sz w:val="22"/>
        </w:rPr>
        <w:t>.” (sic)</w:t>
      </w:r>
    </w:p>
    <w:p w14:paraId="10481530" w14:textId="77777777" w:rsidR="00610B05" w:rsidRDefault="00610B05" w:rsidP="008D2E26">
      <w:pPr>
        <w:spacing w:line="360" w:lineRule="auto"/>
        <w:contextualSpacing/>
        <w:jc w:val="both"/>
        <w:rPr>
          <w:rFonts w:ascii="Palatino Linotype" w:hAnsi="Palatino Linotype" w:cs="Arial"/>
          <w:sz w:val="22"/>
          <w:szCs w:val="22"/>
        </w:rPr>
      </w:pPr>
    </w:p>
    <w:p w14:paraId="3F929E26" w14:textId="62F299BE"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Resolutora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 xml:space="preserve">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Pr="004E2338">
        <w:rPr>
          <w:rFonts w:ascii="Palatino Linotype" w:hAnsi="Palatino Linotype" w:cs="Arial"/>
          <w:sz w:val="22"/>
          <w:szCs w:val="22"/>
        </w:rPr>
        <w:t>el artículo 179 de la Ley de Transparencia y Acceso a la Información Pública del Estado de México y sus Municipios.</w:t>
      </w:r>
    </w:p>
    <w:p w14:paraId="308DF246" w14:textId="77777777" w:rsidR="00E462CD" w:rsidRDefault="00E462CD" w:rsidP="008D2E26">
      <w:pPr>
        <w:spacing w:line="360" w:lineRule="auto"/>
        <w:contextualSpacing/>
        <w:jc w:val="both"/>
        <w:rPr>
          <w:rFonts w:ascii="Palatino Linotype" w:hAnsi="Palatino Linotype" w:cs="Arial"/>
          <w:sz w:val="22"/>
          <w:szCs w:val="22"/>
        </w:rPr>
      </w:pPr>
    </w:p>
    <w:p w14:paraId="56D3B9A1" w14:textId="77777777" w:rsidR="007F5CCF" w:rsidRPr="004E2338" w:rsidRDefault="007F5CCF" w:rsidP="007F5CCF">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con engrose con el Criterio Mayoritario del Pleno, 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w:t>
      </w:r>
      <w:r w:rsidRPr="004E2338">
        <w:rPr>
          <w:rFonts w:ascii="Palatino Linotype" w:hAnsi="Palatino Linotype"/>
          <w:color w:val="000000"/>
          <w:sz w:val="22"/>
          <w:szCs w:val="20"/>
        </w:rPr>
        <w:lastRenderedPageBreak/>
        <w:t>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7AD4F54E" w14:textId="77777777" w:rsidR="007F5CCF" w:rsidRPr="004E2338" w:rsidRDefault="007F5CCF" w:rsidP="008D2E26">
      <w:pPr>
        <w:spacing w:line="360" w:lineRule="auto"/>
        <w:contextualSpacing/>
        <w:jc w:val="both"/>
        <w:rPr>
          <w:rFonts w:ascii="Palatino Linotype" w:hAnsi="Palatino Linotype" w:cs="Arial"/>
          <w:sz w:val="22"/>
          <w:szCs w:val="22"/>
        </w:rPr>
      </w:pPr>
    </w:p>
    <w:p w14:paraId="0A39C317" w14:textId="1ACF44A7" w:rsidR="007F5CCF" w:rsidRDefault="007F5CCF" w:rsidP="007F5CCF">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w:t>
      </w:r>
      <w:r>
        <w:rPr>
          <w:rFonts w:ascii="Palatino Linotype" w:hAnsi="Palatino Linotype" w:cs="Arial"/>
          <w:sz w:val="22"/>
          <w:szCs w:val="22"/>
        </w:rPr>
        <w:t>esta Ponencia</w:t>
      </w:r>
      <w:r w:rsidRPr="004E2338">
        <w:rPr>
          <w:rFonts w:ascii="Palatino Linotype" w:hAnsi="Palatino Linotype" w:cs="Arial"/>
          <w:sz w:val="22"/>
          <w:szCs w:val="22"/>
        </w:rPr>
        <w:t xml:space="preserve"> </w:t>
      </w:r>
      <w:r>
        <w:rPr>
          <w:rFonts w:ascii="Palatino Linotype" w:hAnsi="Palatino Linotype" w:cs="Arial"/>
          <w:sz w:val="22"/>
          <w:szCs w:val="22"/>
        </w:rPr>
        <w:t xml:space="preserve">realizó engrose con el criterio mayoritario del Pleno y </w:t>
      </w:r>
      <w:r w:rsidRPr="004E2338">
        <w:rPr>
          <w:rFonts w:ascii="Palatino Linotype" w:hAnsi="Palatino Linotype" w:cs="Arial"/>
          <w:sz w:val="22"/>
          <w:szCs w:val="22"/>
        </w:rPr>
        <w:t>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w:t>
      </w:r>
      <w:r>
        <w:rPr>
          <w:rFonts w:ascii="Palatino Linotype" w:hAnsi="Palatino Linotype" w:cs="Arial"/>
          <w:sz w:val="22"/>
          <w:szCs w:val="22"/>
        </w:rPr>
        <w:t>operativos de Seguridad P</w:t>
      </w:r>
      <w:r w:rsidRPr="004E2338">
        <w:rPr>
          <w:rFonts w:ascii="Palatino Linotype" w:hAnsi="Palatino Linotype" w:cs="Arial"/>
          <w:sz w:val="22"/>
          <w:szCs w:val="22"/>
        </w:rPr>
        <w:t xml:space="preserve">ública que se encuentren activos en el Municipio </w:t>
      </w:r>
      <w:r w:rsidR="00FA1B2D">
        <w:rPr>
          <w:rFonts w:ascii="Palatino Linotype" w:hAnsi="Palatino Linotype" w:cs="Arial"/>
          <w:sz w:val="22"/>
          <w:szCs w:val="22"/>
        </w:rPr>
        <w:t>del</w:t>
      </w:r>
      <w:r w:rsidR="00E724DE">
        <w:rPr>
          <w:rFonts w:ascii="Palatino Linotype" w:hAnsi="Palatino Linotype" w:cs="Arial"/>
          <w:sz w:val="22"/>
          <w:szCs w:val="22"/>
        </w:rPr>
        <w:t xml:space="preserve"> Oro</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79CB6049" w14:textId="77777777" w:rsidR="007F5CCF" w:rsidRDefault="007F5CCF" w:rsidP="00D734D9">
      <w:pPr>
        <w:spacing w:line="360" w:lineRule="auto"/>
        <w:contextualSpacing/>
        <w:jc w:val="both"/>
        <w:rPr>
          <w:rFonts w:ascii="Palatino Linotype" w:hAnsi="Palatino Linotype" w:cs="Arial"/>
          <w:sz w:val="22"/>
          <w:szCs w:val="22"/>
        </w:rPr>
      </w:pPr>
    </w:p>
    <w:p w14:paraId="371AAADF" w14:textId="77777777" w:rsidR="007F5CCF" w:rsidRDefault="007F5CCF" w:rsidP="007F5CCF">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 xml:space="preserve">Estudio </w:t>
      </w:r>
      <w:r>
        <w:rPr>
          <w:rFonts w:ascii="Palatino Linotype" w:hAnsi="Palatino Linotype" w:cs="Arial"/>
          <w:sz w:val="22"/>
          <w:szCs w:val="22"/>
        </w:rPr>
        <w:t xml:space="preserve">realizado, </w:t>
      </w:r>
      <w:r w:rsidRPr="004E2338">
        <w:rPr>
          <w:rFonts w:ascii="Palatino Linotype" w:hAnsi="Palatino Linotype" w:cs="Arial"/>
          <w:sz w:val="22"/>
          <w:szCs w:val="22"/>
        </w:rPr>
        <w:t>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61AB7A3A" w14:textId="0B7D54EA" w:rsidR="00D97060" w:rsidRPr="004E2338" w:rsidRDefault="009D50D6" w:rsidP="00D97060">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w:t>
      </w:r>
      <w:r w:rsidR="00A84394" w:rsidRPr="007F5CCF">
        <w:rPr>
          <w:rFonts w:ascii="Palatino Linotype" w:hAnsi="Palatino Linotype" w:cs="Arial"/>
          <w:b/>
          <w:sz w:val="22"/>
          <w:szCs w:val="22"/>
        </w:rPr>
        <w:t>325/2019</w:t>
      </w:r>
      <w:r w:rsidR="00A84394"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servidores públicos que</w:t>
      </w:r>
      <w:r w:rsidR="00D97060">
        <w:rPr>
          <w:rFonts w:ascii="Palatino Linotype" w:hAnsi="Palatino Linotype" w:cs="Arial"/>
          <w:sz w:val="22"/>
          <w:szCs w:val="22"/>
        </w:rPr>
        <w:t xml:space="preserve"> realizan funciones sustantivas, </w:t>
      </w:r>
      <w:r w:rsidR="004C325F">
        <w:rPr>
          <w:rFonts w:ascii="Palatino Linotype" w:hAnsi="Palatino Linotype" w:cs="Arial"/>
          <w:sz w:val="22"/>
          <w:szCs w:val="22"/>
        </w:rPr>
        <w:t>de investigación</w:t>
      </w:r>
      <w:r w:rsidR="00D97060">
        <w:rPr>
          <w:rFonts w:ascii="Palatino Linotype" w:hAnsi="Palatino Linotype" w:cs="Arial"/>
          <w:sz w:val="22"/>
          <w:szCs w:val="22"/>
        </w:rPr>
        <w:t xml:space="preserve"> y persecución de delitos</w:t>
      </w:r>
      <w:r w:rsidR="006D5765" w:rsidRPr="004E2338">
        <w:rPr>
          <w:rFonts w:ascii="Palatino Linotype" w:hAnsi="Palatino Linotype" w:cs="Arial"/>
          <w:sz w:val="22"/>
          <w:szCs w:val="22"/>
        </w:rPr>
        <w:t xml:space="preserve">,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D97060" w:rsidRPr="004E2338">
        <w:rPr>
          <w:rFonts w:ascii="Palatino Linotype" w:hAnsi="Palatino Linotype" w:cs="Arial"/>
          <w:sz w:val="22"/>
          <w:szCs w:val="22"/>
        </w:rPr>
        <w:t xml:space="preserve">pues dar a conocer </w:t>
      </w:r>
      <w:r w:rsidR="00D97060">
        <w:rPr>
          <w:rFonts w:ascii="Palatino Linotype" w:hAnsi="Palatino Linotype" w:cs="Arial"/>
          <w:sz w:val="22"/>
          <w:szCs w:val="22"/>
        </w:rPr>
        <w:t xml:space="preserve">la información del </w:t>
      </w:r>
      <w:r w:rsidR="00D97060" w:rsidRPr="004E2338">
        <w:rPr>
          <w:rFonts w:ascii="Palatino Linotype" w:hAnsi="Palatino Linotype" w:cs="Arial"/>
          <w:sz w:val="22"/>
          <w:szCs w:val="22"/>
        </w:rPr>
        <w:t>nombre del personal sustantivo</w:t>
      </w:r>
      <w:r w:rsidR="00D97060">
        <w:rPr>
          <w:rFonts w:ascii="Palatino Linotype" w:hAnsi="Palatino Linotype" w:cs="Arial"/>
          <w:sz w:val="22"/>
          <w:szCs w:val="22"/>
        </w:rPr>
        <w:t xml:space="preserve">, </w:t>
      </w:r>
      <w:r w:rsidR="00D97060" w:rsidRPr="004E2338">
        <w:rPr>
          <w:rFonts w:ascii="Palatino Linotype" w:hAnsi="Palatino Linotype" w:cs="Arial"/>
          <w:sz w:val="22"/>
          <w:szCs w:val="22"/>
        </w:rPr>
        <w:t xml:space="preserve">cargos </w:t>
      </w:r>
      <w:r w:rsidR="00D97060">
        <w:rPr>
          <w:rFonts w:ascii="Palatino Linotype" w:hAnsi="Palatino Linotype" w:cs="Arial"/>
          <w:sz w:val="22"/>
          <w:szCs w:val="22"/>
        </w:rPr>
        <w:t xml:space="preserve">y área de adscripción </w:t>
      </w:r>
      <w:r w:rsidR="00D97060" w:rsidRPr="004E2338">
        <w:rPr>
          <w:rFonts w:ascii="Palatino Linotype" w:hAnsi="Palatino Linotype" w:cs="Arial"/>
          <w:sz w:val="22"/>
          <w:szCs w:val="22"/>
        </w:rPr>
        <w:t xml:space="preserve">vinculado con información de acceso público, </w:t>
      </w:r>
      <w:r w:rsidR="00D97060" w:rsidRPr="00E601D1">
        <w:rPr>
          <w:rFonts w:ascii="Palatino Linotype" w:hAnsi="Palatino Linotype" w:cs="Arial"/>
          <w:sz w:val="22"/>
          <w:szCs w:val="22"/>
        </w:rPr>
        <w:t>como notas periodísticas</w:t>
      </w:r>
      <w:r w:rsidR="00D97060">
        <w:rPr>
          <w:rFonts w:ascii="Palatino Linotype" w:hAnsi="Palatino Linotype" w:cs="Arial"/>
          <w:sz w:val="22"/>
          <w:szCs w:val="22"/>
        </w:rPr>
        <w:t>,</w:t>
      </w:r>
      <w:r w:rsidR="00D97060" w:rsidRPr="00E601D1">
        <w:rPr>
          <w:rFonts w:ascii="Palatino Linotype" w:hAnsi="Palatino Linotype" w:cs="Arial"/>
          <w:sz w:val="22"/>
          <w:szCs w:val="22"/>
        </w:rPr>
        <w:t xml:space="preserve"> redes sociales</w:t>
      </w:r>
      <w:r w:rsidR="00D97060">
        <w:rPr>
          <w:rFonts w:ascii="Palatino Linotype" w:hAnsi="Palatino Linotype" w:cs="Arial"/>
          <w:sz w:val="22"/>
          <w:szCs w:val="22"/>
        </w:rPr>
        <w:t xml:space="preserve"> </w:t>
      </w:r>
      <w:r w:rsidR="00D97060" w:rsidRPr="00E601D1">
        <w:rPr>
          <w:rFonts w:ascii="Palatino Linotype" w:hAnsi="Palatino Linotype" w:cs="Arial"/>
          <w:sz w:val="22"/>
          <w:szCs w:val="22"/>
        </w:rPr>
        <w:t xml:space="preserve">Twitter, Facebook, Instagram y LinkedIn </w:t>
      </w:r>
      <w:r w:rsidR="00D97060"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D97060">
        <w:rPr>
          <w:rFonts w:ascii="Palatino Linotype" w:hAnsi="Palatino Linotype" w:cs="Arial"/>
          <w:sz w:val="22"/>
          <w:szCs w:val="22"/>
        </w:rPr>
        <w:t>,</w:t>
      </w:r>
      <w:r w:rsidR="00D97060" w:rsidRPr="004E2338">
        <w:rPr>
          <w:rFonts w:ascii="Palatino Linotype" w:hAnsi="Palatino Linotype" w:cs="Arial"/>
          <w:sz w:val="22"/>
          <w:szCs w:val="22"/>
        </w:rPr>
        <w:t xml:space="preserve"> ya que </w:t>
      </w:r>
      <w:r w:rsidR="00D97060">
        <w:rPr>
          <w:rFonts w:ascii="Palatino Linotype" w:hAnsi="Palatino Linotype" w:cs="Arial"/>
          <w:sz w:val="22"/>
          <w:szCs w:val="22"/>
        </w:rPr>
        <w:t xml:space="preserve">con </w:t>
      </w:r>
      <w:r w:rsidR="00D97060"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1FF3A91D" w:rsidR="00A07096" w:rsidRDefault="00A07096" w:rsidP="009D50D6">
      <w:pPr>
        <w:spacing w:line="360" w:lineRule="auto"/>
        <w:contextualSpacing/>
        <w:jc w:val="both"/>
        <w:rPr>
          <w:rFonts w:ascii="Palatino Linotype" w:hAnsi="Palatino Linotype" w:cs="Arial"/>
          <w:sz w:val="22"/>
          <w:szCs w:val="22"/>
        </w:rPr>
      </w:pPr>
    </w:p>
    <w:p w14:paraId="0DF4519A" w14:textId="438110B7" w:rsidR="00D97060" w:rsidRPr="004E2338" w:rsidRDefault="006D5765" w:rsidP="00D97060">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lastRenderedPageBreak/>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E724DE">
        <w:rPr>
          <w:rFonts w:ascii="Palatino Linotype" w:hAnsi="Palatino Linotype"/>
          <w:color w:val="000000"/>
          <w:sz w:val="22"/>
          <w:szCs w:val="22"/>
        </w:rPr>
        <w:t>l Oro</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380784" w:rsidRPr="00D97060">
        <w:rPr>
          <w:rFonts w:ascii="Palatino Linotype" w:hAnsi="Palatino Linotype"/>
          <w:i/>
          <w:color w:val="000000"/>
          <w:sz w:val="22"/>
          <w:szCs w:val="22"/>
        </w:rPr>
        <w:t xml:space="preserve">los recibos de nómina de la </w:t>
      </w:r>
      <w:r w:rsidR="00E724DE">
        <w:rPr>
          <w:rFonts w:ascii="Palatino Linotype" w:hAnsi="Palatino Linotype"/>
          <w:i/>
          <w:color w:val="000000"/>
          <w:sz w:val="22"/>
          <w:szCs w:val="22"/>
        </w:rPr>
        <w:t xml:space="preserve">primera y </w:t>
      </w:r>
      <w:r w:rsidR="00380784" w:rsidRPr="00D97060">
        <w:rPr>
          <w:rFonts w:ascii="Palatino Linotype" w:hAnsi="Palatino Linotype"/>
          <w:i/>
          <w:color w:val="000000"/>
          <w:sz w:val="22"/>
          <w:szCs w:val="22"/>
        </w:rPr>
        <w:t>segunda quincena de</w:t>
      </w:r>
      <w:r w:rsidR="00E724DE">
        <w:rPr>
          <w:rFonts w:ascii="Palatino Linotype" w:hAnsi="Palatino Linotype"/>
          <w:i/>
          <w:color w:val="000000"/>
          <w:sz w:val="22"/>
          <w:szCs w:val="22"/>
        </w:rPr>
        <w:t xml:space="preserve"> enero, febrero, marzo y abril de d</w:t>
      </w:r>
      <w:r w:rsidR="00380784" w:rsidRPr="00D97060">
        <w:rPr>
          <w:rFonts w:ascii="Palatino Linotype" w:hAnsi="Palatino Linotype"/>
          <w:i/>
          <w:color w:val="000000"/>
          <w:sz w:val="22"/>
          <w:szCs w:val="22"/>
        </w:rPr>
        <w:t>os mil veintidós</w:t>
      </w:r>
      <w:r w:rsidR="00FC77C5">
        <w:rPr>
          <w:rFonts w:ascii="Palatino Linotype" w:hAnsi="Palatino Linotype"/>
          <w:color w:val="000000"/>
          <w:sz w:val="22"/>
          <w:szCs w:val="22"/>
        </w:rPr>
        <w:t xml:space="preserve">, </w:t>
      </w:r>
      <w:r w:rsidR="00D97060">
        <w:rPr>
          <w:rFonts w:ascii="Palatino Linotype" w:hAnsi="Palatino Linotype"/>
          <w:color w:val="000000"/>
          <w:sz w:val="22"/>
          <w:szCs w:val="22"/>
        </w:rPr>
        <w:t xml:space="preserve">en ese sentido al </w:t>
      </w:r>
      <w:r w:rsidR="00D97060" w:rsidRPr="004E2338">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w:t>
      </w:r>
      <w:r w:rsidR="00D97060">
        <w:rPr>
          <w:rFonts w:ascii="Palatino Linotype" w:hAnsi="Palatino Linotype"/>
          <w:color w:val="000000"/>
          <w:sz w:val="22"/>
          <w:szCs w:val="22"/>
        </w:rPr>
        <w:t>a</w:t>
      </w:r>
      <w:r w:rsidR="00D97060"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3F15FC7" w:rsidR="008D2E26" w:rsidRPr="004E2338" w:rsidRDefault="008D2E26" w:rsidP="008D2E26">
      <w:pPr>
        <w:spacing w:line="360" w:lineRule="auto"/>
        <w:contextualSpacing/>
        <w:jc w:val="both"/>
        <w:rPr>
          <w:rFonts w:ascii="Palatino Linotype" w:hAnsi="Palatino Linotype"/>
          <w:color w:val="000000"/>
          <w:sz w:val="22"/>
          <w:szCs w:val="22"/>
        </w:rPr>
      </w:pPr>
    </w:p>
    <w:p w14:paraId="0C40CE26" w14:textId="77777777" w:rsidR="00D97060" w:rsidRPr="004E2338" w:rsidRDefault="00D97060" w:rsidP="00D97060">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física,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w:t>
      </w:r>
      <w:r>
        <w:rPr>
          <w:rFonts w:ascii="Palatino Linotype" w:hAnsi="Palatino Linotype"/>
          <w:color w:val="000000"/>
          <w:sz w:val="22"/>
          <w:szCs w:val="22"/>
        </w:rPr>
        <w:t xml:space="preserve"> y afectar </w:t>
      </w:r>
      <w:r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61D17667"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w:t>
      </w:r>
      <w:r w:rsidR="00E724DE">
        <w:rPr>
          <w:rFonts w:ascii="Palatino Linotype" w:hAnsi="Palatino Linotype"/>
          <w:color w:val="000000"/>
          <w:sz w:val="22"/>
          <w:szCs w:val="20"/>
        </w:rPr>
        <w:t>l Oro</w:t>
      </w:r>
      <w:r w:rsidR="00380784">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380784" w:rsidRPr="00E724DE">
        <w:rPr>
          <w:rFonts w:ascii="Palatino Linotype" w:hAnsi="Palatino Linotype"/>
          <w:i/>
          <w:iCs/>
          <w:color w:val="000000"/>
          <w:sz w:val="22"/>
          <w:szCs w:val="20"/>
        </w:rPr>
        <w:t>los recibos de nómina</w:t>
      </w:r>
      <w:r w:rsidR="00380784">
        <w:rPr>
          <w:rFonts w:ascii="Palatino Linotype" w:hAnsi="Palatino Linotype"/>
          <w:iCs/>
          <w:color w:val="000000"/>
          <w:sz w:val="22"/>
          <w:szCs w:val="20"/>
        </w:rPr>
        <w:t xml:space="preserve">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lastRenderedPageBreak/>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0FF47C27"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1532A8FB" w14:textId="77777777" w:rsidR="00D97060" w:rsidRPr="004E2338" w:rsidRDefault="00D97060" w:rsidP="00D97060">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así como lo que prevé </w:t>
      </w:r>
      <w:r w:rsidRPr="004E2338">
        <w:rPr>
          <w:rFonts w:ascii="Palatino Linotype" w:hAnsi="Palatino Linotype"/>
          <w:color w:val="000000"/>
          <w:sz w:val="22"/>
          <w:szCs w:val="22"/>
        </w:rPr>
        <w:t xml:space="preserve">la misma Ley de Transparencia y Acceso a la Información Pública del Estado de México y Municipios, </w:t>
      </w:r>
      <w:r>
        <w:rPr>
          <w:rFonts w:ascii="Palatino Linotype" w:hAnsi="Palatino Linotype"/>
          <w:color w:val="000000"/>
          <w:sz w:val="22"/>
          <w:szCs w:val="22"/>
        </w:rPr>
        <w:t xml:space="preserve">que es </w:t>
      </w:r>
      <w:r w:rsidRPr="004E2338">
        <w:rPr>
          <w:rFonts w:ascii="Palatino Linotype" w:hAnsi="Palatino Linotype"/>
          <w:color w:val="000000"/>
          <w:sz w:val="22"/>
          <w:szCs w:val="22"/>
        </w:rPr>
        <w:t xml:space="preserve">la </w:t>
      </w:r>
      <w:r w:rsidRPr="004E2338">
        <w:rPr>
          <w:rFonts w:ascii="Palatino Linotype" w:hAnsi="Palatino Linotype"/>
          <w:color w:val="000000"/>
          <w:sz w:val="22"/>
          <w:szCs w:val="22"/>
        </w:rPr>
        <w:lastRenderedPageBreak/>
        <w:t xml:space="preserve">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97060" w:rsidRDefault="00F50C0B" w:rsidP="008D2E26">
      <w:pPr>
        <w:autoSpaceDE w:val="0"/>
        <w:autoSpaceDN w:val="0"/>
        <w:adjustRightInd w:val="0"/>
        <w:spacing w:line="360" w:lineRule="auto"/>
        <w:ind w:right="49"/>
        <w:contextualSpacing/>
        <w:jc w:val="both"/>
        <w:rPr>
          <w:rFonts w:ascii="Palatino Linotype" w:hAnsi="Palatino Linotype" w:cs="Arial"/>
          <w:b/>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w:t>
      </w:r>
      <w:r w:rsidRPr="00D97060">
        <w:rPr>
          <w:rFonts w:ascii="Palatino Linotype" w:hAnsi="Palatino Linotype" w:cs="Arial"/>
          <w:b/>
          <w:sz w:val="22"/>
          <w:szCs w:val="22"/>
        </w:rPr>
        <w:t xml:space="preserve">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2395D75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w:t>
      </w:r>
      <w:r w:rsidR="00E724DE">
        <w:rPr>
          <w:rFonts w:ascii="Palatino Linotype" w:hAnsi="Palatino Linotype" w:cs="Arial"/>
          <w:sz w:val="22"/>
          <w:szCs w:val="22"/>
        </w:rPr>
        <w:t>el Oro</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404E1E7D"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área encargada de la Seguridad Pública del Municipio d</w:t>
      </w:r>
      <w:r w:rsidR="00E724DE">
        <w:rPr>
          <w:rFonts w:ascii="Palatino Linotype" w:hAnsi="Palatino Linotype" w:cs="Arial"/>
          <w:sz w:val="22"/>
          <w:szCs w:val="22"/>
        </w:rPr>
        <w:t>el Oro</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4AEB0DB5" w:rsidR="00BC6B3E" w:rsidRDefault="00BC6B3E">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3679B0A5" w14:textId="77777777" w:rsidR="008D2E26" w:rsidRPr="004E2338" w:rsidRDefault="008D2E26" w:rsidP="008D2E26">
      <w:pPr>
        <w:spacing w:line="360" w:lineRule="auto"/>
        <w:jc w:val="both"/>
        <w:rPr>
          <w:rFonts w:ascii="Palatino Linotype" w:hAnsi="Palatino Linotype" w:cs="Arial"/>
          <w:sz w:val="20"/>
          <w:szCs w:val="20"/>
        </w:rPr>
      </w:pPr>
    </w:p>
    <w:p w14:paraId="4F461466" w14:textId="46D06C1F" w:rsidR="00847315" w:rsidRPr="00A90BE0" w:rsidRDefault="00511B44"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EBD61" w14:textId="77777777" w:rsidR="00F852BD" w:rsidRDefault="00F852BD" w:rsidP="00E81438">
      <w:r>
        <w:separator/>
      </w:r>
    </w:p>
  </w:endnote>
  <w:endnote w:type="continuationSeparator" w:id="0">
    <w:p w14:paraId="387D1728" w14:textId="77777777" w:rsidR="00F852BD" w:rsidRDefault="00F852BD"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511B44"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11B44"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11B44"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11B44"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1B4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1B4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511B4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3ED1C" w14:textId="77777777" w:rsidR="00F852BD" w:rsidRDefault="00F852BD" w:rsidP="00E81438">
      <w:r>
        <w:separator/>
      </w:r>
    </w:p>
  </w:footnote>
  <w:footnote w:type="continuationSeparator" w:id="0">
    <w:p w14:paraId="3B6FD813" w14:textId="77777777" w:rsidR="00F852BD" w:rsidRDefault="00F852BD"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511B4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11B44">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55FD7606" w:rsidR="00634485" w:rsidRPr="00FA1B2D"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FA1B2D">
      <w:rPr>
        <w:rFonts w:ascii="Palatino Linotype" w:hAnsi="Palatino Linotype"/>
        <w:b/>
        <w:bCs/>
        <w:color w:val="000000" w:themeColor="text1"/>
        <w:sz w:val="22"/>
        <w:szCs w:val="22"/>
      </w:rPr>
      <w:t>0</w:t>
    </w:r>
    <w:r w:rsidR="00072B17" w:rsidRPr="00FA1B2D">
      <w:rPr>
        <w:rFonts w:ascii="Palatino Linotype" w:hAnsi="Palatino Linotype"/>
        <w:b/>
        <w:bCs/>
        <w:color w:val="000000" w:themeColor="text1"/>
        <w:sz w:val="22"/>
        <w:szCs w:val="22"/>
      </w:rPr>
      <w:t>8697</w:t>
    </w:r>
    <w:r w:rsidRPr="00FA1B2D">
      <w:rPr>
        <w:rFonts w:ascii="Palatino Linotype" w:hAnsi="Palatino Linotype"/>
        <w:b/>
        <w:bCs/>
        <w:color w:val="000000" w:themeColor="text1"/>
        <w:sz w:val="22"/>
        <w:szCs w:val="22"/>
      </w:rPr>
      <w:t>/INFOEM/IP/RR/202</w:t>
    </w:r>
    <w:r w:rsidR="00333436" w:rsidRPr="00FA1B2D">
      <w:rPr>
        <w:rFonts w:ascii="Palatino Linotype" w:hAnsi="Palatino Linotype"/>
        <w:b/>
        <w:bCs/>
        <w:color w:val="000000" w:themeColor="text1"/>
        <w:sz w:val="22"/>
        <w:szCs w:val="22"/>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511B4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043A6"/>
    <w:multiLevelType w:val="hybridMultilevel"/>
    <w:tmpl w:val="E12E2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 w:ilvl="0">
        <w:numFmt w:val="upperRoman"/>
        <w:lvlText w:val="%1."/>
        <w:lvlJc w:val="right"/>
      </w:lvl>
    </w:lvlOverride>
  </w:num>
  <w:num w:numId="3">
    <w:abstractNumId w:val="7"/>
  </w:num>
  <w:num w:numId="4">
    <w:abstractNumId w:val="2"/>
  </w:num>
  <w:num w:numId="5">
    <w:abstractNumId w:val="1"/>
  </w:num>
  <w:num w:numId="6">
    <w:abstractNumId w:val="3"/>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026D"/>
    <w:rsid w:val="00011B69"/>
    <w:rsid w:val="000173AF"/>
    <w:rsid w:val="0004301C"/>
    <w:rsid w:val="00043028"/>
    <w:rsid w:val="000615E9"/>
    <w:rsid w:val="0006272A"/>
    <w:rsid w:val="0006759B"/>
    <w:rsid w:val="00072B17"/>
    <w:rsid w:val="000A200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B2A9B"/>
    <w:rsid w:val="002D17E3"/>
    <w:rsid w:val="002D46DF"/>
    <w:rsid w:val="002F3711"/>
    <w:rsid w:val="0030143A"/>
    <w:rsid w:val="0030468A"/>
    <w:rsid w:val="00313375"/>
    <w:rsid w:val="00315049"/>
    <w:rsid w:val="00321981"/>
    <w:rsid w:val="00324EBE"/>
    <w:rsid w:val="00333436"/>
    <w:rsid w:val="003342BE"/>
    <w:rsid w:val="00336322"/>
    <w:rsid w:val="0034132A"/>
    <w:rsid w:val="003432EF"/>
    <w:rsid w:val="0035304E"/>
    <w:rsid w:val="00361D66"/>
    <w:rsid w:val="003713D0"/>
    <w:rsid w:val="00372746"/>
    <w:rsid w:val="00380784"/>
    <w:rsid w:val="00385B0C"/>
    <w:rsid w:val="00385CC1"/>
    <w:rsid w:val="003868B5"/>
    <w:rsid w:val="0038700C"/>
    <w:rsid w:val="003922B1"/>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325F"/>
    <w:rsid w:val="004C6981"/>
    <w:rsid w:val="004D2D04"/>
    <w:rsid w:val="004E0B19"/>
    <w:rsid w:val="004E0CF7"/>
    <w:rsid w:val="004E2338"/>
    <w:rsid w:val="004E7AC0"/>
    <w:rsid w:val="004F4481"/>
    <w:rsid w:val="005029EC"/>
    <w:rsid w:val="00510BFF"/>
    <w:rsid w:val="00511B44"/>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7F5CCF"/>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0816"/>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87EC1"/>
    <w:rsid w:val="00BB14F6"/>
    <w:rsid w:val="00BC15BA"/>
    <w:rsid w:val="00BC27E6"/>
    <w:rsid w:val="00BC51D9"/>
    <w:rsid w:val="00BC6B3E"/>
    <w:rsid w:val="00BD3CAB"/>
    <w:rsid w:val="00BD695C"/>
    <w:rsid w:val="00BE7409"/>
    <w:rsid w:val="00C10A0A"/>
    <w:rsid w:val="00C37A03"/>
    <w:rsid w:val="00C5232A"/>
    <w:rsid w:val="00C536CC"/>
    <w:rsid w:val="00C977B7"/>
    <w:rsid w:val="00CA0752"/>
    <w:rsid w:val="00CA1964"/>
    <w:rsid w:val="00CA4E5A"/>
    <w:rsid w:val="00CA6D19"/>
    <w:rsid w:val="00CB12C1"/>
    <w:rsid w:val="00CC6685"/>
    <w:rsid w:val="00CD5D70"/>
    <w:rsid w:val="00CE0D21"/>
    <w:rsid w:val="00CF4446"/>
    <w:rsid w:val="00D27FB7"/>
    <w:rsid w:val="00D35DE3"/>
    <w:rsid w:val="00D409E9"/>
    <w:rsid w:val="00D70C20"/>
    <w:rsid w:val="00D724A9"/>
    <w:rsid w:val="00D724F4"/>
    <w:rsid w:val="00D734D9"/>
    <w:rsid w:val="00D97060"/>
    <w:rsid w:val="00DA3665"/>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724DE"/>
    <w:rsid w:val="00E74BCD"/>
    <w:rsid w:val="00E81438"/>
    <w:rsid w:val="00E9040E"/>
    <w:rsid w:val="00E915A2"/>
    <w:rsid w:val="00E96CD9"/>
    <w:rsid w:val="00EA0616"/>
    <w:rsid w:val="00EA0BD3"/>
    <w:rsid w:val="00EA36A9"/>
    <w:rsid w:val="00EA6641"/>
    <w:rsid w:val="00EA7BE3"/>
    <w:rsid w:val="00EB1919"/>
    <w:rsid w:val="00EB1A19"/>
    <w:rsid w:val="00EB68B1"/>
    <w:rsid w:val="00EC2541"/>
    <w:rsid w:val="00ED15DF"/>
    <w:rsid w:val="00ED4073"/>
    <w:rsid w:val="00ED5C10"/>
    <w:rsid w:val="00F04B1F"/>
    <w:rsid w:val="00F22A66"/>
    <w:rsid w:val="00F50C0B"/>
    <w:rsid w:val="00F51F44"/>
    <w:rsid w:val="00F67502"/>
    <w:rsid w:val="00F751F4"/>
    <w:rsid w:val="00F852BD"/>
    <w:rsid w:val="00F90F04"/>
    <w:rsid w:val="00FA0BF5"/>
    <w:rsid w:val="00FA1B2D"/>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styleId="Hipervnculovisitado">
    <w:name w:val="FollowedHyperlink"/>
    <w:basedOn w:val="Fuentedeprrafopredeter"/>
    <w:uiPriority w:val="99"/>
    <w:semiHidden/>
    <w:unhideWhenUsed/>
    <w:rsid w:val="00385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7EAA-8315-4F67-B89C-4E82096E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2684</Words>
  <Characters>14767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9</cp:revision>
  <cp:lastPrinted>2022-10-10T16:01:00Z</cp:lastPrinted>
  <dcterms:created xsi:type="dcterms:W3CDTF">2022-10-06T18:50:00Z</dcterms:created>
  <dcterms:modified xsi:type="dcterms:W3CDTF">2022-10-10T16:02:00Z</dcterms:modified>
</cp:coreProperties>
</file>