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357F1" w14:textId="77777777" w:rsidR="007F623C" w:rsidRDefault="007F623C">
      <w:pPr>
        <w:widowControl w:val="0"/>
        <w:pBdr>
          <w:top w:val="nil"/>
          <w:left w:val="nil"/>
          <w:bottom w:val="nil"/>
          <w:right w:val="nil"/>
          <w:between w:val="nil"/>
        </w:pBdr>
        <w:spacing w:after="0" w:line="276" w:lineRule="auto"/>
      </w:pPr>
    </w:p>
    <w:p w14:paraId="3AF19636" w14:textId="316A85B9" w:rsidR="007F623C" w:rsidRDefault="00A4646E">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noProof/>
          <w:sz w:val="24"/>
          <w:szCs w:val="24"/>
          <w:lang w:val="en-US" w:eastAsia="en-US"/>
        </w:rPr>
        <mc:AlternateContent>
          <mc:Choice Requires="wps">
            <w:drawing>
              <wp:anchor distT="0" distB="0" distL="0" distR="0" simplePos="0" relativeHeight="251658240" behindDoc="1" locked="0" layoutInCell="1" hidden="0" allowOverlap="1" wp14:anchorId="2D79AC09" wp14:editId="2FC9AB5D">
                <wp:simplePos x="0" y="0"/>
                <wp:positionH relativeFrom="margin">
                  <wp:align>center</wp:align>
                </wp:positionH>
                <wp:positionV relativeFrom="margin">
                  <wp:posOffset>931222</wp:posOffset>
                </wp:positionV>
                <wp:extent cx="5606822" cy="5606822"/>
                <wp:effectExtent l="0" t="0" r="0" b="0"/>
                <wp:wrapNone/>
                <wp:docPr id="7" name="Rectángulo 7"/>
                <wp:cNvGraphicFramePr/>
                <a:graphic xmlns:a="http://schemas.openxmlformats.org/drawingml/2006/main">
                  <a:graphicData uri="http://schemas.microsoft.com/office/word/2010/wordprocessingShape">
                    <wps:wsp>
                      <wps:cNvSpPr/>
                      <wps:spPr>
                        <a:xfrm rot="-2700000">
                          <a:off x="1799843" y="3371060"/>
                          <a:ext cx="7092315" cy="817880"/>
                        </a:xfrm>
                        <a:prstGeom prst="rect">
                          <a:avLst/>
                        </a:prstGeom>
                      </wps:spPr>
                      <wps:txbx>
                        <w:txbxContent>
                          <w:p w14:paraId="12716E27" w14:textId="77777777" w:rsidR="007F623C" w:rsidRDefault="00A4646E">
                            <w:pPr>
                              <w:spacing w:after="0" w:line="240" w:lineRule="auto"/>
                              <w:jc w:val="center"/>
                              <w:textDirection w:val="btLr"/>
                            </w:pPr>
                            <w:r>
                              <w:rPr>
                                <w:rFonts w:ascii="Palatino Linotype" w:eastAsia="Palatino Linotype" w:hAnsi="Palatino Linotype" w:cs="Palatino Linotype"/>
                                <w:color w:val="FFFFFF"/>
                                <w:sz w:val="144"/>
                              </w:rPr>
                              <w:t xml:space="preserve">VOTO DISIDENTE </w:t>
                            </w:r>
                          </w:p>
                        </w:txbxContent>
                      </wps:txbx>
                      <wps:bodyPr spcFirstLastPara="1" wrap="square" lIns="91425" tIns="91425" rIns="91425" bIns="91425" anchor="ctr" anchorCtr="0">
                        <a:noAutofit/>
                      </wps:bodyPr>
                    </wps:wsp>
                  </a:graphicData>
                </a:graphic>
              </wp:anchor>
            </w:drawing>
          </mc:Choice>
          <mc:Fallback>
            <w:pict>
              <v:rect w14:anchorId="2D79AC09" id="Rectángulo 7" o:spid="_x0000_s1026" style="position:absolute;left:0;text-align:left;margin-left:0;margin-top:73.3pt;width:441.5pt;height:441.5pt;rotation:-45;z-index:-251658240;visibility:visible;mso-wrap-style:square;mso-wrap-distance-left:0;mso-wrap-distance-top:0;mso-wrap-distance-right:0;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" filled="f" stroked="f">
                <v:textbox inset="2.53958mm,2.53958mm,2.53958mm,2.53958mm">
                  <w:txbxContent>
                    <w:p w14:paraId="12716E27" w14:textId="77777777" w:rsidR="007F623C" w:rsidRDefault="00A4646E">
                      <w:pPr>
                        <w:spacing w:after="0" w:line="240" w:lineRule="auto"/>
                        <w:jc w:val="center"/>
                        <w:textDirection w:val="btLr"/>
                      </w:pPr>
                      <w:r>
                        <w:rPr>
                          <w:rFonts w:ascii="Palatino Linotype" w:eastAsia="Palatino Linotype" w:hAnsi="Palatino Linotype" w:cs="Palatino Linotype"/>
                          <w:color w:val="FFFFFF"/>
                          <w:sz w:val="144"/>
                        </w:rPr>
                        <w:t xml:space="preserve">VOTO DISIDENTE </w:t>
                      </w:r>
                    </w:p>
                  </w:txbxContent>
                </v:textbox>
                <w10:wrap anchorx="margin" anchory="margin"/>
              </v:rect>
            </w:pict>
          </mc:Fallback>
        </mc:AlternateContent>
      </w:r>
      <w:r>
        <w:rPr>
          <w:rFonts w:ascii="Palatino Linotype" w:eastAsia="Palatino Linotype" w:hAnsi="Palatino Linotype" w:cs="Palatino Linotype"/>
          <w:b/>
          <w:sz w:val="24"/>
          <w:szCs w:val="24"/>
        </w:rPr>
        <w:t xml:space="preserve">VOTO DISIDENTE QUE FORMULA LA </w:t>
      </w:r>
      <w:bookmarkStart w:id="0" w:name="_GoBack"/>
      <w:bookmarkEnd w:id="0"/>
      <w:r>
        <w:rPr>
          <w:rFonts w:ascii="Palatino Linotype" w:eastAsia="Palatino Linotype" w:hAnsi="Palatino Linotype" w:cs="Palatino Linotype"/>
          <w:b/>
          <w:sz w:val="24"/>
          <w:szCs w:val="24"/>
        </w:rPr>
        <w:t>COMISIONADA GUADALUPE RAMÍREZ PEÑA, EN RELACIÓN CON LA RESOLUCIÓN DICTADA POR EL PLENO DEL INSTITUTO DE TRANSPARENCIA, ACCESO A LA INFORMACIÓN PÚBLICA Y PROTECCIÓN DE DATOS PERSONALES DEL ESTADO DE MÉXICO Y MUNICIPIOS, EN LA V</w:t>
      </w:r>
      <w:r w:rsidR="007C71C6">
        <w:rPr>
          <w:rFonts w:ascii="Palatino Linotype" w:eastAsia="Palatino Linotype" w:hAnsi="Palatino Linotype" w:cs="Palatino Linotype"/>
          <w:b/>
          <w:sz w:val="24"/>
          <w:szCs w:val="24"/>
        </w:rPr>
        <w:t>IGÉSIMA SEXTA</w:t>
      </w:r>
      <w:r>
        <w:rPr>
          <w:rFonts w:ascii="Palatino Linotype" w:eastAsia="Palatino Linotype" w:hAnsi="Palatino Linotype" w:cs="Palatino Linotype"/>
          <w:b/>
          <w:sz w:val="24"/>
          <w:szCs w:val="24"/>
        </w:rPr>
        <w:t xml:space="preserve"> </w:t>
      </w:r>
      <w:r w:rsidR="007C71C6">
        <w:rPr>
          <w:rFonts w:ascii="Palatino Linotype" w:eastAsia="Palatino Linotype" w:hAnsi="Palatino Linotype" w:cs="Palatino Linotype"/>
          <w:b/>
          <w:sz w:val="24"/>
          <w:szCs w:val="24"/>
        </w:rPr>
        <w:t>SESIÓN ORDINARIA DEL TRECE DE JUL</w:t>
      </w:r>
      <w:r>
        <w:rPr>
          <w:rFonts w:ascii="Palatino Linotype" w:eastAsia="Palatino Linotype" w:hAnsi="Palatino Linotype" w:cs="Palatino Linotype"/>
          <w:b/>
          <w:sz w:val="24"/>
          <w:szCs w:val="24"/>
        </w:rPr>
        <w:t>IO DE DOS MIL VEINTIDÓS,</w:t>
      </w:r>
      <w:r w:rsidR="00933386">
        <w:rPr>
          <w:rFonts w:ascii="Palatino Linotype" w:eastAsia="Palatino Linotype" w:hAnsi="Palatino Linotype" w:cs="Palatino Linotype"/>
          <w:b/>
          <w:sz w:val="24"/>
          <w:szCs w:val="24"/>
        </w:rPr>
        <w:t xml:space="preserve"> EN EL RECURSO DE REVISIÓN 06931</w:t>
      </w:r>
      <w:r w:rsidR="00D23CE6">
        <w:rPr>
          <w:rFonts w:ascii="Palatino Linotype" w:eastAsia="Palatino Linotype" w:hAnsi="Palatino Linotype" w:cs="Palatino Linotype"/>
          <w:b/>
          <w:sz w:val="24"/>
          <w:szCs w:val="24"/>
        </w:rPr>
        <w:t>/INFOEM/IP</w:t>
      </w:r>
      <w:r>
        <w:rPr>
          <w:rFonts w:ascii="Palatino Linotype" w:eastAsia="Palatino Linotype" w:hAnsi="Palatino Linotype" w:cs="Palatino Linotype"/>
          <w:b/>
          <w:sz w:val="24"/>
          <w:szCs w:val="24"/>
        </w:rPr>
        <w:t xml:space="preserve">/RR/2022. </w:t>
      </w:r>
    </w:p>
    <w:p w14:paraId="611C7167" w14:textId="1F0DF19C" w:rsidR="007F623C" w:rsidRDefault="00A4646E">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w:t>
      </w:r>
      <w:r w:rsidR="00933386">
        <w:rPr>
          <w:rFonts w:ascii="Palatino Linotype" w:eastAsia="Palatino Linotype" w:hAnsi="Palatino Linotype" w:cs="Palatino Linotype"/>
          <w:b/>
          <w:sz w:val="24"/>
          <w:szCs w:val="24"/>
        </w:rPr>
        <w:t>06931</w:t>
      </w:r>
      <w:r w:rsidR="00D23CE6">
        <w:rPr>
          <w:rFonts w:ascii="Palatino Linotype" w:eastAsia="Palatino Linotype" w:hAnsi="Palatino Linotype" w:cs="Palatino Linotype"/>
          <w:b/>
          <w:sz w:val="24"/>
          <w:szCs w:val="24"/>
        </w:rPr>
        <w:t>/INFOEM/IP</w:t>
      </w:r>
      <w:r>
        <w:rPr>
          <w:rFonts w:ascii="Palatino Linotype" w:eastAsia="Palatino Linotype" w:hAnsi="Palatino Linotype" w:cs="Palatino Linotype"/>
          <w:b/>
          <w:sz w:val="24"/>
          <w:szCs w:val="24"/>
        </w:rPr>
        <w:t>/RR/2022</w:t>
      </w:r>
      <w:r>
        <w:rPr>
          <w:rFonts w:ascii="Palatino Linotype" w:eastAsia="Palatino Linotype" w:hAnsi="Palatino Linotype" w:cs="Palatino Linotype"/>
          <w:sz w:val="24"/>
          <w:szCs w:val="24"/>
        </w:rPr>
        <w:t>, pronunciada por el Pleno de este Instituto ante el pro</w:t>
      </w:r>
      <w:r w:rsidR="00933386">
        <w:rPr>
          <w:rFonts w:ascii="Palatino Linotype" w:eastAsia="Palatino Linotype" w:hAnsi="Palatino Linotype" w:cs="Palatino Linotype"/>
          <w:sz w:val="24"/>
          <w:szCs w:val="24"/>
        </w:rPr>
        <w:t>yecto presentado por el Comisionado</w:t>
      </w:r>
      <w:r w:rsidR="007C71C6">
        <w:rPr>
          <w:rFonts w:ascii="Palatino Linotype" w:eastAsia="Palatino Linotype" w:hAnsi="Palatino Linotype" w:cs="Palatino Linotype"/>
          <w:sz w:val="24"/>
          <w:szCs w:val="24"/>
        </w:rPr>
        <w:t xml:space="preserve"> </w:t>
      </w:r>
      <w:r w:rsidR="00933386">
        <w:rPr>
          <w:rFonts w:ascii="Palatino Linotype" w:eastAsia="Palatino Linotype" w:hAnsi="Palatino Linotype" w:cs="Palatino Linotype"/>
          <w:b/>
          <w:sz w:val="24"/>
          <w:szCs w:val="24"/>
        </w:rPr>
        <w:t>Luis Gustavo Parra Noriega</w:t>
      </w:r>
      <w:r>
        <w:rPr>
          <w:rFonts w:ascii="Palatino Linotype" w:eastAsia="Palatino Linotype" w:hAnsi="Palatino Linotype" w:cs="Palatino Linotype"/>
          <w:sz w:val="24"/>
          <w:szCs w:val="24"/>
        </w:rPr>
        <w:t xml:space="preserve">, al tenor siguiente: </w:t>
      </w:r>
    </w:p>
    <w:p w14:paraId="1B3769D1" w14:textId="77777777" w:rsidR="007F623C" w:rsidRDefault="00A4646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I. Antecedentes</w:t>
      </w:r>
      <w:r>
        <w:rPr>
          <w:rFonts w:ascii="Palatino Linotype" w:eastAsia="Palatino Linotype" w:hAnsi="Palatino Linotype" w:cs="Palatino Linotype"/>
          <w:sz w:val="24"/>
          <w:szCs w:val="24"/>
        </w:rPr>
        <w:t xml:space="preserve">. </w:t>
      </w:r>
    </w:p>
    <w:p w14:paraId="37E331E5" w14:textId="55AFF53C" w:rsidR="007F623C" w:rsidRDefault="00A4646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Recurrente solicitó al </w:t>
      </w:r>
      <w:r w:rsidR="007C71C6" w:rsidRPr="007C71C6">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w:t>
      </w:r>
    </w:p>
    <w:p w14:paraId="21FDF629" w14:textId="77777777" w:rsidR="007F623C" w:rsidRDefault="00A4646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p>
    <w:p w14:paraId="07C2C80B" w14:textId="77777777" w:rsidR="00933386" w:rsidRDefault="00933386" w:rsidP="00933386">
      <w:pPr>
        <w:tabs>
          <w:tab w:val="left" w:pos="4667"/>
        </w:tabs>
        <w:spacing w:line="360" w:lineRule="auto"/>
        <w:ind w:left="567" w:right="567"/>
        <w:jc w:val="both"/>
        <w:rPr>
          <w:rFonts w:ascii="Palatino Linotype" w:hAnsi="Palatino Linotype" w:cs="Tahoma"/>
          <w:bCs/>
          <w:i/>
        </w:rPr>
      </w:pPr>
      <w:r w:rsidRPr="005378D5">
        <w:rPr>
          <w:rFonts w:ascii="Palatino Linotype" w:hAnsi="Palatino Linotype" w:cs="Tahoma"/>
          <w:bCs/>
          <w:i/>
        </w:rPr>
        <w:lastRenderedPageBreak/>
        <w:t>“</w:t>
      </w:r>
      <w:r w:rsidRPr="004D2C38">
        <w:rPr>
          <w:rFonts w:ascii="Palatino Linotype" w:hAnsi="Palatino Linotype" w:cs="Tahoma"/>
          <w:bCs/>
          <w:i/>
        </w:rPr>
        <w:t>1. Cuáles son los ingresos que reporta haber recibido la tesorería municipal por concepto del pago de sanciones por faltas administrativas cometidas por personas presentadas ante los oficiales calificadores 2. ¿Cuántas licencias de funcionamiento de unidades económicas se han expedido desde el inicio de la administración? 3. ¿Cuáles son los requisitos para tramitar una licencia de funcionamiento de unidades económica desreguladas? 4. ¿Cuántas licencias de funcionamiento se encuentran vigentes para unidades económicas actualmente? 5. ¿Cuántas unidades económicas se encuentran registradas en el Registro Municipal de Unidades Económicas?</w:t>
      </w:r>
      <w:r>
        <w:rPr>
          <w:rFonts w:ascii="Palatino Linotype" w:hAnsi="Palatino Linotype" w:cs="Tahoma"/>
          <w:bCs/>
          <w:i/>
        </w:rPr>
        <w:t>” (Sic)</w:t>
      </w:r>
    </w:p>
    <w:p w14:paraId="39488267" w14:textId="77777777" w:rsidR="007C71C6" w:rsidRPr="007C71C6" w:rsidRDefault="007C71C6" w:rsidP="007C71C6">
      <w:pPr>
        <w:contextualSpacing/>
        <w:jc w:val="both"/>
        <w:rPr>
          <w:rFonts w:ascii="Palatino Linotype" w:eastAsia="Palatino Linotype" w:hAnsi="Palatino Linotype" w:cs="Palatino Linotype"/>
          <w:i/>
        </w:rPr>
      </w:pPr>
    </w:p>
    <w:p w14:paraId="7771DBE3" w14:textId="77777777" w:rsidR="007F623C" w:rsidRDefault="00A4646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RESPUESTA:</w:t>
      </w:r>
    </w:p>
    <w:p w14:paraId="4AD545DA" w14:textId="77777777" w:rsidR="00933386" w:rsidRPr="00933386" w:rsidRDefault="00A4646E" w:rsidP="00933386">
      <w:pPr>
        <w:autoSpaceDE w:val="0"/>
        <w:autoSpaceDN w:val="0"/>
        <w:adjustRightInd w:val="0"/>
        <w:spacing w:line="360" w:lineRule="auto"/>
        <w:jc w:val="both"/>
        <w:rPr>
          <w:rFonts w:ascii="Palatino Linotype" w:eastAsia="Palatino Linotype" w:hAnsi="Palatino Linotype" w:cs="Palatino Linotype"/>
          <w:sz w:val="24"/>
          <w:szCs w:val="24"/>
        </w:rPr>
      </w:pPr>
      <w:r w:rsidRPr="007C71C6">
        <w:rPr>
          <w:rFonts w:ascii="Palatino Linotype" w:eastAsia="Palatino Linotype" w:hAnsi="Palatino Linotype" w:cs="Palatino Linotype"/>
          <w:sz w:val="24"/>
          <w:szCs w:val="24"/>
        </w:rPr>
        <w:t xml:space="preserve">Por su parte el </w:t>
      </w:r>
      <w:r w:rsidRPr="007C71C6">
        <w:rPr>
          <w:rFonts w:ascii="Palatino Linotype" w:eastAsia="Palatino Linotype" w:hAnsi="Palatino Linotype" w:cs="Palatino Linotype"/>
          <w:b/>
          <w:sz w:val="24"/>
          <w:szCs w:val="24"/>
        </w:rPr>
        <w:t>SUJETO OBLIGADO</w:t>
      </w:r>
      <w:r w:rsidRPr="007C71C6">
        <w:rPr>
          <w:rFonts w:ascii="Palatino Linotype" w:eastAsia="Palatino Linotype" w:hAnsi="Palatino Linotype" w:cs="Palatino Linotype"/>
          <w:sz w:val="24"/>
          <w:szCs w:val="24"/>
        </w:rPr>
        <w:t xml:space="preserve"> </w:t>
      </w:r>
      <w:r w:rsidR="00933386" w:rsidRPr="00933386">
        <w:rPr>
          <w:rFonts w:ascii="Palatino Linotype" w:eastAsia="Palatino Linotype" w:hAnsi="Palatino Linotype" w:cs="Palatino Linotype"/>
          <w:sz w:val="24"/>
          <w:szCs w:val="24"/>
        </w:rPr>
        <w:t>no otorgó respuesta a la solicitud de acceso a la información pública con número de folio 00176/TEXCOCO/IP/2022.</w:t>
      </w:r>
    </w:p>
    <w:p w14:paraId="7C8E670D" w14:textId="0AD646CA" w:rsidR="007F623C" w:rsidRDefault="00A4646E">
      <w:pPr>
        <w:shd w:val="clear" w:color="auto" w:fill="FFFFFF"/>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conforme el particular, interpone el recurso de revisión que se resuelve, señalando como motivos de inconformidad en lo medular </w:t>
      </w:r>
      <w:r w:rsidR="00933386">
        <w:rPr>
          <w:rFonts w:ascii="Palatino Linotype" w:eastAsia="Palatino Linotype" w:hAnsi="Palatino Linotype" w:cs="Palatino Linotype"/>
          <w:sz w:val="24"/>
          <w:szCs w:val="24"/>
        </w:rPr>
        <w:t>por la falta de respuesta.</w:t>
      </w:r>
    </w:p>
    <w:p w14:paraId="7E146B2F" w14:textId="77777777" w:rsidR="007F623C" w:rsidRDefault="007F623C">
      <w:pPr>
        <w:shd w:val="clear" w:color="auto" w:fill="FFFFFF"/>
        <w:spacing w:after="0" w:line="360" w:lineRule="auto"/>
        <w:jc w:val="both"/>
        <w:rPr>
          <w:rFonts w:ascii="Palatino Linotype" w:eastAsia="Palatino Linotype" w:hAnsi="Palatino Linotype" w:cs="Palatino Linotype"/>
          <w:sz w:val="24"/>
          <w:szCs w:val="24"/>
        </w:rPr>
      </w:pPr>
    </w:p>
    <w:p w14:paraId="7060E7E0" w14:textId="26FC8253" w:rsidR="007F623C" w:rsidRDefault="00A4646E">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sidR="00933386">
        <w:rPr>
          <w:rFonts w:ascii="Palatino Linotype" w:eastAsia="Palatino Linotype" w:hAnsi="Palatino Linotype" w:cs="Palatino Linotype"/>
          <w:sz w:val="24"/>
          <w:szCs w:val="24"/>
        </w:rPr>
        <w:t>rindió su informe justificado en donde manifestó, en lo medular lo siguiente:</w:t>
      </w:r>
    </w:p>
    <w:p w14:paraId="2288BA5D"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 xml:space="preserve">“… </w:t>
      </w:r>
    </w:p>
    <w:p w14:paraId="726245BE"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1…</w:t>
      </w:r>
    </w:p>
    <w:p w14:paraId="3F1A808F"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R. Que con oficio número TM/164/2022; la Tesorería Municipal reporta un ingreso por concepto de sanciones por faltas administrativas cometidas por personas presentadas ante los oficiales calificadores en el periodo de Enero a Marzo 2022 por la cantidad de $47,816.00 (Cuarenta y Siete mil Ochocientos dieciséis pesos M.N 00/100)</w:t>
      </w:r>
    </w:p>
    <w:p w14:paraId="76C2D592"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p>
    <w:p w14:paraId="2B884A43"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lastRenderedPageBreak/>
        <w:t>2…</w:t>
      </w:r>
    </w:p>
    <w:p w14:paraId="2695A882"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R. En la actualidad la Unidad Administrativa de Desarrollo Económico quien es responsable en atender dicha actividad, manifiesta limitarse a responder, toda vez que están actualizando información respecto de que están generando bases de datos con respecto a las licencias de funcionamiento, se adjunta oficio no. D.D.E./408/2022</w:t>
      </w:r>
    </w:p>
    <w:p w14:paraId="566E5798"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p>
    <w:p w14:paraId="62235049"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3…</w:t>
      </w:r>
    </w:p>
    <w:p w14:paraId="7FCBFA33"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R. A la siguiente respuesta, se le adjunta un formato donde identificara los requisitos necesarios para tramitar una licencia de funcionamiento, toda vez que depende del giro de la unidad económica que se habilitará es el tipo de requisitos que le solicitaran (ANEXO 1, FOJA2).</w:t>
      </w:r>
    </w:p>
    <w:p w14:paraId="4F4A7621"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p>
    <w:p w14:paraId="76A2B6B6"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4…</w:t>
      </w:r>
    </w:p>
    <w:p w14:paraId="5B486571"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R. En la actualidad la Unidad Administrativa de Desarrollo Económico quien es responsable en atender dicha actividad, manifiesta limitarse a responder, toda vez que están actualizando información respecto de que están generando base de datos con respecto a las licencias de funcionamiento, se adjunta oficio no D.D.E./408/2022.</w:t>
      </w:r>
    </w:p>
    <w:p w14:paraId="03688DAD" w14:textId="77777777" w:rsidR="00933386" w:rsidRPr="00933386" w:rsidRDefault="00933386" w:rsidP="00933386">
      <w:pPr>
        <w:spacing w:line="240" w:lineRule="auto"/>
        <w:ind w:left="567" w:right="539"/>
        <w:contextualSpacing/>
        <w:jc w:val="both"/>
        <w:rPr>
          <w:rFonts w:ascii="Palatino Linotype" w:eastAsia="Batang" w:hAnsi="Palatino Linotype" w:cs="Tahoma"/>
          <w:i/>
        </w:rPr>
      </w:pPr>
      <w:r w:rsidRPr="00933386">
        <w:rPr>
          <w:rFonts w:ascii="Palatino Linotype" w:eastAsia="Batang" w:hAnsi="Palatino Linotype" w:cs="Tahoma"/>
          <w:i/>
        </w:rPr>
        <w:t>…”</w:t>
      </w:r>
    </w:p>
    <w:p w14:paraId="76C0DA01" w14:textId="77777777" w:rsidR="00933386" w:rsidRDefault="00933386">
      <w:pPr>
        <w:spacing w:after="240" w:line="360" w:lineRule="auto"/>
        <w:jc w:val="both"/>
        <w:rPr>
          <w:rFonts w:ascii="Palatino Linotype" w:eastAsia="Palatino Linotype" w:hAnsi="Palatino Linotype" w:cs="Palatino Linotype"/>
          <w:sz w:val="24"/>
          <w:szCs w:val="24"/>
        </w:rPr>
      </w:pPr>
    </w:p>
    <w:p w14:paraId="305D8A43" w14:textId="4C11F04C" w:rsidR="007F623C" w:rsidRDefault="00A4646E" w:rsidP="007C71C6">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estudio del asunto, se determinó </w:t>
      </w:r>
      <w:r w:rsidR="00A3541C">
        <w:rPr>
          <w:rFonts w:ascii="Palatino Linotype" w:eastAsia="Palatino Linotype" w:hAnsi="Palatino Linotype" w:cs="Palatino Linotype"/>
          <w:sz w:val="24"/>
          <w:szCs w:val="24"/>
        </w:rPr>
        <w:t>que</w:t>
      </w:r>
      <w:r w:rsidR="007C71C6">
        <w:rPr>
          <w:rFonts w:ascii="Palatino Linotype" w:eastAsia="Palatino Linotype" w:hAnsi="Palatino Linotype" w:cs="Palatino Linotype"/>
          <w:sz w:val="24"/>
          <w:szCs w:val="24"/>
        </w:rPr>
        <w:t xml:space="preserve"> </w:t>
      </w:r>
      <w:r w:rsidR="00933386">
        <w:rPr>
          <w:rFonts w:ascii="Palatino Linotype" w:eastAsia="Palatino Linotype" w:hAnsi="Palatino Linotype" w:cs="Palatino Linotype"/>
          <w:sz w:val="24"/>
          <w:szCs w:val="24"/>
        </w:rPr>
        <w:t>con la información remitida en informe justificado se tuvo por atendido los requerimientos marcados con los números 1 y 3</w:t>
      </w:r>
      <w:r w:rsidR="00A3541C">
        <w:rPr>
          <w:rFonts w:ascii="Palatino Linotype" w:eastAsia="Palatino Linotype" w:hAnsi="Palatino Linotype" w:cs="Palatino Linotype"/>
          <w:sz w:val="24"/>
          <w:szCs w:val="24"/>
        </w:rPr>
        <w:t xml:space="preserve">, </w:t>
      </w:r>
      <w:r w:rsidR="00933386">
        <w:rPr>
          <w:rFonts w:ascii="Palatino Linotype" w:eastAsia="Palatino Linotype" w:hAnsi="Palatino Linotype" w:cs="Palatino Linotype"/>
          <w:sz w:val="24"/>
          <w:szCs w:val="24"/>
        </w:rPr>
        <w:t xml:space="preserve">no así los marcados con los números 2, 4 y 6; </w:t>
      </w:r>
      <w:r>
        <w:rPr>
          <w:rFonts w:ascii="Palatino Linotype" w:eastAsia="Palatino Linotype" w:hAnsi="Palatino Linotype" w:cs="Palatino Linotype"/>
          <w:sz w:val="24"/>
          <w:szCs w:val="24"/>
        </w:rPr>
        <w:t>por lo que se concluyó que, en el presente as</w:t>
      </w:r>
      <w:r w:rsidR="00A3541C">
        <w:rPr>
          <w:rFonts w:ascii="Palatino Linotype" w:eastAsia="Palatino Linotype" w:hAnsi="Palatino Linotype" w:cs="Palatino Linotype"/>
          <w:sz w:val="24"/>
          <w:szCs w:val="24"/>
        </w:rPr>
        <w:t xml:space="preserve">unto, lo pertinente es </w:t>
      </w:r>
      <w:r w:rsidR="00933386" w:rsidRPr="00353CF2">
        <w:rPr>
          <w:rFonts w:ascii="Palatino Linotype" w:eastAsia="Palatino Linotype" w:hAnsi="Palatino Linotype" w:cs="Palatino Linotype"/>
          <w:b/>
          <w:sz w:val="24"/>
          <w:szCs w:val="24"/>
        </w:rPr>
        <w:t>ORDENAR</w:t>
      </w:r>
      <w:r w:rsidR="00933386">
        <w:rPr>
          <w:rFonts w:ascii="Palatino Linotype" w:eastAsia="Palatino Linotype" w:hAnsi="Palatino Linotype" w:cs="Palatino Linotype"/>
          <w:sz w:val="24"/>
          <w:szCs w:val="24"/>
        </w:rPr>
        <w:t>, al</w:t>
      </w:r>
      <w:r>
        <w:rPr>
          <w:rFonts w:ascii="Palatino Linotype" w:eastAsia="Palatino Linotype" w:hAnsi="Palatino Linotype" w:cs="Palatino Linotype"/>
          <w:sz w:val="24"/>
          <w:szCs w:val="24"/>
        </w:rPr>
        <w:t xml:space="preserve"> </w:t>
      </w:r>
      <w:r w:rsidR="00A3541C" w:rsidRPr="00A3541C">
        <w:rPr>
          <w:rFonts w:ascii="Palatino Linotype" w:eastAsia="Palatino Linotype" w:hAnsi="Palatino Linotype" w:cs="Palatino Linotype"/>
          <w:b/>
          <w:sz w:val="24"/>
          <w:szCs w:val="24"/>
        </w:rPr>
        <w:t>SUJETO OBLIGADO</w:t>
      </w:r>
      <w:r w:rsidR="00A3541C">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la entrega de la siguiente información: </w:t>
      </w:r>
    </w:p>
    <w:p w14:paraId="0F8DF1F4" w14:textId="77777777" w:rsidR="007F623C" w:rsidRDefault="007F623C">
      <w:pPr>
        <w:spacing w:after="0" w:line="360" w:lineRule="auto"/>
        <w:ind w:right="-91"/>
        <w:jc w:val="both"/>
        <w:rPr>
          <w:rFonts w:ascii="Palatino Linotype" w:eastAsia="Palatino Linotype" w:hAnsi="Palatino Linotype" w:cs="Palatino Linotype"/>
          <w:sz w:val="24"/>
          <w:szCs w:val="24"/>
        </w:rPr>
      </w:pPr>
    </w:p>
    <w:p w14:paraId="60758F43" w14:textId="6A9EF500" w:rsidR="00353CF2" w:rsidRPr="00353CF2" w:rsidRDefault="00353CF2" w:rsidP="00353CF2">
      <w:pPr>
        <w:spacing w:line="360" w:lineRule="auto"/>
        <w:ind w:left="567" w:right="616"/>
        <w:jc w:val="both"/>
        <w:rPr>
          <w:rFonts w:ascii="Palatino Linotype" w:hAnsi="Palatino Linotype" w:cs="Tahoma"/>
          <w:i/>
          <w:sz w:val="20"/>
          <w:szCs w:val="20"/>
        </w:rPr>
      </w:pPr>
      <w:r>
        <w:rPr>
          <w:rFonts w:ascii="Palatino Linotype" w:hAnsi="Palatino Linotype" w:cs="Tahoma"/>
          <w:b/>
          <w:bCs/>
          <w:i/>
          <w:sz w:val="20"/>
          <w:szCs w:val="20"/>
          <w:lang w:eastAsia="en-US"/>
        </w:rPr>
        <w:t>“</w:t>
      </w:r>
      <w:r w:rsidRPr="00353CF2">
        <w:rPr>
          <w:rFonts w:ascii="Palatino Linotype" w:hAnsi="Palatino Linotype" w:cs="Tahoma"/>
          <w:b/>
          <w:bCs/>
          <w:i/>
          <w:sz w:val="20"/>
          <w:szCs w:val="20"/>
          <w:lang w:eastAsia="en-US"/>
        </w:rPr>
        <w:t xml:space="preserve">SEGUNDO. </w:t>
      </w:r>
      <w:r w:rsidRPr="00353CF2">
        <w:rPr>
          <w:rFonts w:ascii="Palatino Linotype" w:hAnsi="Palatino Linotype" w:cs="Tahoma"/>
          <w:bCs/>
          <w:i/>
          <w:sz w:val="20"/>
          <w:szCs w:val="20"/>
          <w:lang w:eastAsia="en-US"/>
        </w:rPr>
        <w:t xml:space="preserve">Se </w:t>
      </w:r>
      <w:r w:rsidRPr="00353CF2">
        <w:rPr>
          <w:rFonts w:ascii="Palatino Linotype" w:hAnsi="Palatino Linotype" w:cs="Tahoma"/>
          <w:b/>
          <w:bCs/>
          <w:i/>
          <w:sz w:val="20"/>
          <w:szCs w:val="20"/>
          <w:lang w:eastAsia="en-US"/>
        </w:rPr>
        <w:t>ORDENA</w:t>
      </w:r>
      <w:r w:rsidRPr="00353CF2">
        <w:rPr>
          <w:rFonts w:ascii="Palatino Linotype" w:hAnsi="Palatino Linotype" w:cs="Tahoma"/>
          <w:bCs/>
          <w:i/>
          <w:sz w:val="20"/>
          <w:szCs w:val="20"/>
          <w:lang w:eastAsia="en-US"/>
        </w:rPr>
        <w:t xml:space="preserve"> </w:t>
      </w:r>
      <w:r w:rsidRPr="00353CF2">
        <w:rPr>
          <w:rFonts w:ascii="Palatino Linotype" w:hAnsi="Palatino Linotype" w:cs="Tahoma"/>
          <w:bCs/>
          <w:i/>
          <w:sz w:val="20"/>
          <w:szCs w:val="20"/>
          <w:lang w:val="es-ES_tradnl" w:eastAsia="en-US"/>
        </w:rPr>
        <w:t xml:space="preserve">al Sujeto Obligado </w:t>
      </w:r>
      <w:r w:rsidRPr="00353CF2">
        <w:rPr>
          <w:rFonts w:ascii="Palatino Linotype" w:hAnsi="Palatino Linotype" w:cs="Tahoma"/>
          <w:bCs/>
          <w:i/>
          <w:sz w:val="20"/>
          <w:szCs w:val="20"/>
          <w:lang w:eastAsia="en-US"/>
        </w:rPr>
        <w:t>a efecto de</w:t>
      </w:r>
      <w:r w:rsidRPr="00353CF2">
        <w:rPr>
          <w:rFonts w:ascii="Palatino Linotype" w:hAnsi="Palatino Linotype" w:cs="Tahoma"/>
          <w:i/>
          <w:sz w:val="20"/>
          <w:szCs w:val="20"/>
        </w:rPr>
        <w:t xml:space="preserve"> que, atienda la solicitud de acceso a la información </w:t>
      </w:r>
      <w:r w:rsidRPr="00353CF2">
        <w:rPr>
          <w:rFonts w:ascii="Palatino Linotype" w:hAnsi="Palatino Linotype" w:cs="Tahoma"/>
          <w:b/>
          <w:i/>
          <w:sz w:val="20"/>
          <w:szCs w:val="20"/>
        </w:rPr>
        <w:t xml:space="preserve">00176/TEXCOCO/IP/2022 </w:t>
      </w:r>
      <w:r w:rsidRPr="00353CF2">
        <w:rPr>
          <w:rFonts w:ascii="Palatino Linotype" w:hAnsi="Palatino Linotype" w:cs="Tahoma"/>
          <w:i/>
          <w:sz w:val="20"/>
          <w:szCs w:val="20"/>
        </w:rPr>
        <w:t>y</w:t>
      </w:r>
      <w:r w:rsidRPr="00353CF2">
        <w:rPr>
          <w:rFonts w:ascii="Palatino Linotype" w:hAnsi="Palatino Linotype" w:cs="Tahoma"/>
          <w:b/>
          <w:i/>
          <w:sz w:val="20"/>
          <w:szCs w:val="20"/>
        </w:rPr>
        <w:t xml:space="preserve"> </w:t>
      </w:r>
      <w:r w:rsidRPr="00353CF2">
        <w:rPr>
          <w:rFonts w:ascii="Palatino Linotype" w:hAnsi="Palatino Linotype" w:cs="Tahoma"/>
          <w:i/>
          <w:sz w:val="20"/>
          <w:szCs w:val="20"/>
        </w:rPr>
        <w:t>haga entrega</w:t>
      </w:r>
      <w:r w:rsidRPr="00353CF2">
        <w:rPr>
          <w:rFonts w:ascii="Palatino Linotype" w:hAnsi="Palatino Linotype" w:cs="Tahoma"/>
          <w:b/>
          <w:i/>
          <w:sz w:val="20"/>
          <w:szCs w:val="20"/>
        </w:rPr>
        <w:t xml:space="preserve"> </w:t>
      </w:r>
      <w:r w:rsidRPr="00353CF2">
        <w:rPr>
          <w:rFonts w:ascii="Palatino Linotype" w:hAnsi="Palatino Linotype" w:cs="Tahoma"/>
          <w:i/>
          <w:sz w:val="20"/>
          <w:szCs w:val="20"/>
        </w:rPr>
        <w:t xml:space="preserve">a través del </w:t>
      </w:r>
      <w:r w:rsidRPr="00353CF2">
        <w:rPr>
          <w:rFonts w:ascii="Palatino Linotype" w:hAnsi="Palatino Linotype" w:cs="Tahoma"/>
          <w:i/>
          <w:sz w:val="20"/>
          <w:szCs w:val="20"/>
          <w:lang w:val="es-ES"/>
        </w:rPr>
        <w:t>Sistema de Acceso a la Información Mexiquense (SAIMEX)</w:t>
      </w:r>
      <w:r w:rsidRPr="00353CF2">
        <w:rPr>
          <w:rFonts w:ascii="Palatino Linotype" w:hAnsi="Palatino Linotype" w:cs="Tahoma"/>
          <w:bCs/>
          <w:i/>
          <w:sz w:val="20"/>
          <w:szCs w:val="20"/>
          <w:lang w:eastAsia="en-US"/>
        </w:rPr>
        <w:t xml:space="preserve">, previa búsqueda exhaustiva y razonable, en todas las </w:t>
      </w:r>
      <w:r w:rsidRPr="00353CF2">
        <w:rPr>
          <w:rFonts w:ascii="Palatino Linotype" w:hAnsi="Palatino Linotype" w:cs="Tahoma"/>
          <w:bCs/>
          <w:i/>
          <w:sz w:val="20"/>
          <w:szCs w:val="20"/>
          <w:lang w:eastAsia="en-US"/>
        </w:rPr>
        <w:lastRenderedPageBreak/>
        <w:t xml:space="preserve">unidades administrativas competentes, de ser procedente en versión pública, </w:t>
      </w:r>
      <w:r w:rsidRPr="00353CF2">
        <w:rPr>
          <w:rFonts w:ascii="Palatino Linotype" w:hAnsi="Palatino Linotype" w:cs="Tahoma"/>
          <w:i/>
          <w:sz w:val="20"/>
          <w:szCs w:val="20"/>
        </w:rPr>
        <w:t>el documento donde conste lo siguiente:</w:t>
      </w:r>
    </w:p>
    <w:p w14:paraId="14725F77" w14:textId="77777777" w:rsidR="00353CF2" w:rsidRPr="00353CF2" w:rsidRDefault="00353CF2" w:rsidP="00353CF2">
      <w:pPr>
        <w:pStyle w:val="Prrafodelista"/>
        <w:numPr>
          <w:ilvl w:val="0"/>
          <w:numId w:val="4"/>
        </w:numPr>
        <w:spacing w:line="360" w:lineRule="auto"/>
        <w:ind w:left="567" w:right="616"/>
        <w:contextualSpacing/>
        <w:jc w:val="both"/>
        <w:rPr>
          <w:rFonts w:ascii="Palatino Linotype" w:hAnsi="Palatino Linotype" w:cs="Tahoma"/>
          <w:i/>
          <w:sz w:val="20"/>
          <w:szCs w:val="20"/>
        </w:rPr>
      </w:pPr>
      <w:r w:rsidRPr="00353CF2">
        <w:rPr>
          <w:rFonts w:ascii="Palatino Linotype" w:hAnsi="Palatino Linotype" w:cs="Tahoma"/>
          <w:i/>
          <w:sz w:val="20"/>
          <w:szCs w:val="20"/>
        </w:rPr>
        <w:t>El número de licencias de funcionamiento expedidas del primero de enero al veintinueve de marzo de dos mil veintidós.</w:t>
      </w:r>
    </w:p>
    <w:p w14:paraId="02C51FCB" w14:textId="77777777" w:rsidR="00353CF2" w:rsidRPr="00353CF2" w:rsidRDefault="00353CF2" w:rsidP="00353CF2">
      <w:pPr>
        <w:pStyle w:val="Prrafodelista"/>
        <w:ind w:left="567" w:right="616"/>
        <w:jc w:val="both"/>
        <w:rPr>
          <w:rFonts w:ascii="Palatino Linotype" w:hAnsi="Palatino Linotype" w:cs="Tahoma"/>
          <w:i/>
          <w:sz w:val="20"/>
          <w:szCs w:val="20"/>
        </w:rPr>
      </w:pPr>
    </w:p>
    <w:p w14:paraId="5F614DC4" w14:textId="77777777" w:rsidR="00353CF2" w:rsidRPr="00353CF2" w:rsidRDefault="00353CF2" w:rsidP="00353CF2">
      <w:pPr>
        <w:pStyle w:val="Prrafodelista"/>
        <w:numPr>
          <w:ilvl w:val="0"/>
          <w:numId w:val="4"/>
        </w:numPr>
        <w:spacing w:line="360" w:lineRule="auto"/>
        <w:ind w:left="567" w:right="616"/>
        <w:contextualSpacing/>
        <w:jc w:val="both"/>
        <w:rPr>
          <w:rFonts w:ascii="Palatino Linotype" w:hAnsi="Palatino Linotype" w:cs="Tahoma"/>
          <w:i/>
          <w:sz w:val="20"/>
          <w:szCs w:val="20"/>
        </w:rPr>
      </w:pPr>
      <w:r w:rsidRPr="00353CF2">
        <w:rPr>
          <w:rFonts w:ascii="Palatino Linotype" w:hAnsi="Palatino Linotype" w:cs="Tahoma"/>
          <w:i/>
          <w:sz w:val="20"/>
          <w:szCs w:val="20"/>
        </w:rPr>
        <w:t>El número de licencias de funcionamiento vigentes al veintinueve de marzo de dos mil veintidós.</w:t>
      </w:r>
    </w:p>
    <w:p w14:paraId="32F139B0" w14:textId="77777777" w:rsidR="00353CF2" w:rsidRPr="00353CF2" w:rsidRDefault="00353CF2" w:rsidP="00353CF2">
      <w:pPr>
        <w:pStyle w:val="Prrafodelista"/>
        <w:ind w:left="567" w:right="616"/>
        <w:rPr>
          <w:rFonts w:ascii="Palatino Linotype" w:hAnsi="Palatino Linotype" w:cs="Tahoma"/>
          <w:i/>
          <w:sz w:val="20"/>
          <w:szCs w:val="20"/>
        </w:rPr>
      </w:pPr>
    </w:p>
    <w:p w14:paraId="6B3EEB7A" w14:textId="77777777" w:rsidR="00353CF2" w:rsidRPr="00353CF2" w:rsidRDefault="00353CF2" w:rsidP="00353CF2">
      <w:pPr>
        <w:pStyle w:val="Prrafodelista"/>
        <w:numPr>
          <w:ilvl w:val="0"/>
          <w:numId w:val="4"/>
        </w:numPr>
        <w:spacing w:line="360" w:lineRule="auto"/>
        <w:ind w:left="567" w:right="616"/>
        <w:contextualSpacing/>
        <w:jc w:val="both"/>
        <w:rPr>
          <w:rFonts w:ascii="Palatino Linotype" w:hAnsi="Palatino Linotype" w:cs="Tahoma"/>
          <w:i/>
          <w:sz w:val="20"/>
          <w:szCs w:val="20"/>
        </w:rPr>
      </w:pPr>
      <w:r w:rsidRPr="00353CF2">
        <w:rPr>
          <w:rFonts w:ascii="Palatino Linotype" w:hAnsi="Palatino Linotype" w:cs="Tahoma"/>
          <w:i/>
          <w:sz w:val="20"/>
          <w:szCs w:val="20"/>
        </w:rPr>
        <w:t>El número de unidades económicas registradas en el Registro Municipal al veintinueve de marzo de dos mil veintidós.</w:t>
      </w:r>
    </w:p>
    <w:p w14:paraId="15E5BF15" w14:textId="77777777" w:rsidR="00353CF2" w:rsidRPr="00353CF2" w:rsidRDefault="00353CF2" w:rsidP="00353CF2">
      <w:pPr>
        <w:tabs>
          <w:tab w:val="left" w:pos="2990"/>
        </w:tabs>
        <w:spacing w:line="360" w:lineRule="auto"/>
        <w:ind w:left="567" w:right="616"/>
        <w:jc w:val="both"/>
        <w:rPr>
          <w:rFonts w:ascii="Palatino Linotype" w:hAnsi="Palatino Linotype" w:cs="Tahoma"/>
          <w:i/>
          <w:sz w:val="20"/>
          <w:szCs w:val="20"/>
          <w:lang w:val="es-ES"/>
        </w:rPr>
      </w:pPr>
      <w:r w:rsidRPr="00353CF2">
        <w:rPr>
          <w:rFonts w:ascii="Palatino Linotype" w:hAnsi="Palatino Linotype" w:cs="Tahoma"/>
          <w:i/>
          <w:sz w:val="20"/>
          <w:szCs w:val="20"/>
          <w:lang w:val="es-ES"/>
        </w:rPr>
        <w:t>Junto con las versiones públicas que se entreguen, se deberá proporcionar el Acuerdo de Clasificación donde el Comité de Transparencia, confirme la eliminación de los datos y documentos confidenciales, de conformidad con los artículos 49, fracciones II y VIII, 143, fracción I y 149 de la Ley de Transparencia y Acceso a la Información Pública del Estado de México y Municipios.</w:t>
      </w:r>
    </w:p>
    <w:p w14:paraId="1E0F1FB6" w14:textId="77777777" w:rsidR="00353CF2" w:rsidRPr="00353CF2" w:rsidRDefault="00353CF2" w:rsidP="00353CF2">
      <w:pPr>
        <w:spacing w:line="360" w:lineRule="auto"/>
        <w:ind w:left="567" w:right="616"/>
        <w:jc w:val="both"/>
        <w:rPr>
          <w:rFonts w:ascii="Palatino Linotype" w:hAnsi="Palatino Linotype" w:cs="Tahoma"/>
          <w:bCs/>
          <w:i/>
          <w:iCs/>
          <w:sz w:val="20"/>
          <w:szCs w:val="20"/>
          <w:lang w:val="es-ES" w:eastAsia="es-ES_tradnl"/>
        </w:rPr>
      </w:pPr>
      <w:r w:rsidRPr="00353CF2">
        <w:rPr>
          <w:rFonts w:ascii="Palatino Linotype" w:hAnsi="Palatino Linotype" w:cs="Tahoma"/>
          <w:b/>
          <w:bCs/>
          <w:i/>
          <w:iCs/>
          <w:sz w:val="20"/>
          <w:szCs w:val="20"/>
          <w:lang w:val="es-ES" w:eastAsia="es-ES_tradnl"/>
        </w:rPr>
        <w:t>TERCERO:</w:t>
      </w:r>
      <w:r w:rsidRPr="00353CF2">
        <w:rPr>
          <w:rFonts w:ascii="Palatino Linotype" w:hAnsi="Palatino Linotype" w:cs="Tahoma"/>
          <w:bCs/>
          <w:i/>
          <w:iCs/>
          <w:sz w:val="20"/>
          <w:szCs w:val="20"/>
          <w:lang w:val="es-ES" w:eastAsia="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E0DB19F" w14:textId="532C7F38" w:rsidR="00353CF2" w:rsidRPr="00353CF2" w:rsidRDefault="00353CF2" w:rsidP="00353CF2">
      <w:pPr>
        <w:spacing w:line="360" w:lineRule="auto"/>
        <w:ind w:left="567" w:right="616"/>
        <w:jc w:val="both"/>
        <w:rPr>
          <w:rFonts w:ascii="Palatino Linotype" w:hAnsi="Palatino Linotype" w:cs="Tahoma"/>
          <w:i/>
          <w:sz w:val="20"/>
          <w:szCs w:val="20"/>
        </w:rPr>
      </w:pPr>
      <w:r w:rsidRPr="00353CF2">
        <w:rPr>
          <w:rFonts w:ascii="Palatino Linotype" w:hAnsi="Palatino Linotype" w:cs="Tahoma"/>
          <w:b/>
          <w:bCs/>
          <w:i/>
          <w:sz w:val="20"/>
          <w:szCs w:val="20"/>
          <w:lang w:eastAsia="en-US"/>
        </w:rPr>
        <w:t xml:space="preserve">CUARTO. </w:t>
      </w:r>
      <w:r w:rsidRPr="00353CF2">
        <w:rPr>
          <w:rFonts w:ascii="Palatino Linotype" w:hAnsi="Palatino Linotype" w:cs="Tahoma"/>
          <w:b/>
          <w:i/>
          <w:sz w:val="20"/>
          <w:szCs w:val="20"/>
        </w:rPr>
        <w:t xml:space="preserve">NOTIFÍQUESE </w:t>
      </w:r>
      <w:r w:rsidRPr="00353CF2">
        <w:rPr>
          <w:rFonts w:ascii="Palatino Linotype" w:hAnsi="Palatino Linotype" w:cs="Tahoma"/>
          <w:i/>
          <w:sz w:val="20"/>
          <w:szCs w:val="2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e informe a este Instituto en un plazo de tres días hábiles siguientes sobre el cumplimiento dado a la presente.</w:t>
      </w:r>
      <w:r>
        <w:rPr>
          <w:rFonts w:ascii="Palatino Linotype" w:hAnsi="Palatino Linotype" w:cs="Tahoma"/>
          <w:i/>
          <w:sz w:val="20"/>
          <w:szCs w:val="20"/>
        </w:rPr>
        <w:t>” (Sic)</w:t>
      </w:r>
    </w:p>
    <w:p w14:paraId="26E0B6A0" w14:textId="66FFAFF4" w:rsidR="007F623C" w:rsidRPr="00353CF2" w:rsidRDefault="007F623C">
      <w:pPr>
        <w:pBdr>
          <w:top w:val="nil"/>
          <w:left w:val="nil"/>
          <w:bottom w:val="nil"/>
          <w:right w:val="nil"/>
          <w:between w:val="nil"/>
        </w:pBdr>
        <w:spacing w:after="0" w:line="276" w:lineRule="auto"/>
        <w:ind w:left="708" w:right="619"/>
        <w:jc w:val="both"/>
        <w:rPr>
          <w:rFonts w:ascii="Palatino Linotype" w:eastAsia="Palatino Linotype" w:hAnsi="Palatino Linotype" w:cs="Palatino Linotype"/>
          <w:i/>
          <w:color w:val="000000"/>
        </w:rPr>
      </w:pPr>
    </w:p>
    <w:p w14:paraId="23BA5909" w14:textId="0507A066" w:rsidR="007F623C" w:rsidRDefault="00A4646E">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Disidente.</w:t>
      </w:r>
    </w:p>
    <w:p w14:paraId="10A12154" w14:textId="77777777" w:rsidR="00A3541C" w:rsidRDefault="00A3541C">
      <w:pPr>
        <w:spacing w:after="0" w:line="360" w:lineRule="auto"/>
        <w:jc w:val="both"/>
        <w:rPr>
          <w:rFonts w:ascii="Palatino Linotype" w:eastAsia="Palatino Linotype" w:hAnsi="Palatino Linotype" w:cs="Palatino Linotype"/>
          <w:b/>
          <w:sz w:val="24"/>
          <w:szCs w:val="24"/>
        </w:rPr>
      </w:pPr>
    </w:p>
    <w:p w14:paraId="2199878F" w14:textId="6B828084" w:rsidR="00F2414B" w:rsidRPr="00AE004F" w:rsidRDefault="00D06141" w:rsidP="00353CF2">
      <w:pPr>
        <w:pStyle w:val="NormalWeb"/>
        <w:spacing w:before="0" w:beforeAutospacing="0" w:after="0" w:afterAutospacing="0" w:line="360" w:lineRule="auto"/>
        <w:jc w:val="both"/>
        <w:rPr>
          <w:i/>
        </w:rPr>
      </w:pPr>
      <w:r>
        <w:rPr>
          <w:rFonts w:ascii="Palatino Linotype" w:hAnsi="Palatino Linotype"/>
          <w:color w:val="000000"/>
        </w:rPr>
        <w:t xml:space="preserve">Para iniciar la emisión del presente voto, conviene mencionar que para la emisora del voto, en el presente caso, resulta importante señalar que se comparte en esencia, el sentido de la resolución, sin embargo, el punto medular del presente voto radica en el plazo que se otorgó al Sujeto Obligado para dar cumplimiento a la resolución, el cual consiste </w:t>
      </w:r>
      <w:r w:rsidR="00353CF2">
        <w:rPr>
          <w:rFonts w:ascii="Palatino Linotype" w:hAnsi="Palatino Linotype"/>
          <w:b/>
          <w:bCs/>
          <w:color w:val="000000"/>
        </w:rPr>
        <w:t>quince</w:t>
      </w:r>
      <w:r w:rsidR="00A3541C">
        <w:rPr>
          <w:rFonts w:ascii="Palatino Linotype" w:hAnsi="Palatino Linotype"/>
          <w:b/>
          <w:bCs/>
          <w:color w:val="000000"/>
        </w:rPr>
        <w:t xml:space="preserve"> </w:t>
      </w:r>
      <w:r w:rsidR="00F2414B" w:rsidRPr="00F2414B">
        <w:rPr>
          <w:rFonts w:ascii="Palatino Linotype" w:hAnsi="Palatino Linotype"/>
          <w:b/>
          <w:bCs/>
          <w:color w:val="000000"/>
        </w:rPr>
        <w:t>días hábiles</w:t>
      </w:r>
      <w:r>
        <w:rPr>
          <w:rFonts w:ascii="Palatino Linotype" w:hAnsi="Palatino Linotype"/>
          <w:b/>
          <w:bCs/>
          <w:color w:val="000000"/>
        </w:rPr>
        <w:t xml:space="preserve">. </w:t>
      </w:r>
    </w:p>
    <w:p w14:paraId="19F2308C"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7B3D3C27" w14:textId="77777777" w:rsidR="00F2414B" w:rsidRPr="00F2414B" w:rsidRDefault="00F2414B" w:rsidP="00FC57B4">
      <w:pPr>
        <w:spacing w:after="0" w:line="360" w:lineRule="auto"/>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En este sentido, cabe insistir que, el artículo 186 de la Ley de Transparencia y Acceso a la Información Pública del Estado de México y Municipios, y que en el presente asunto es de aplicación supletoria, en su último párrafo establece lo siguiente: </w:t>
      </w:r>
    </w:p>
    <w:p w14:paraId="7739A770"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79D97CE1" w14:textId="77777777" w:rsidR="00F2414B" w:rsidRPr="00F2414B" w:rsidRDefault="00F2414B" w:rsidP="00F2414B">
      <w:pPr>
        <w:spacing w:after="0" w:line="240" w:lineRule="auto"/>
        <w:ind w:left="567" w:right="990"/>
        <w:jc w:val="both"/>
        <w:rPr>
          <w:rFonts w:ascii="Times New Roman" w:eastAsia="Times New Roman" w:hAnsi="Times New Roman" w:cs="Times New Roman"/>
          <w:sz w:val="24"/>
          <w:szCs w:val="24"/>
        </w:rPr>
      </w:pPr>
      <w:r w:rsidRPr="00F2414B">
        <w:rPr>
          <w:rFonts w:ascii="Palatino Linotype" w:eastAsia="Times New Roman" w:hAnsi="Palatino Linotype" w:cs="Times New Roman"/>
          <w:i/>
          <w:iCs/>
          <w:color w:val="000000"/>
        </w:rPr>
        <w:t>“Artículo 186</w:t>
      </w:r>
    </w:p>
    <w:p w14:paraId="2798B40F" w14:textId="77777777" w:rsidR="00F2414B" w:rsidRPr="00F2414B" w:rsidRDefault="00F2414B" w:rsidP="00F2414B">
      <w:pPr>
        <w:spacing w:after="0" w:line="240" w:lineRule="auto"/>
        <w:ind w:left="567" w:right="990"/>
        <w:jc w:val="both"/>
        <w:rPr>
          <w:rFonts w:ascii="Times New Roman" w:eastAsia="Times New Roman" w:hAnsi="Times New Roman" w:cs="Times New Roman"/>
          <w:sz w:val="24"/>
          <w:szCs w:val="24"/>
        </w:rPr>
      </w:pPr>
      <w:r w:rsidRPr="00F2414B">
        <w:rPr>
          <w:rFonts w:ascii="Palatino Linotype" w:eastAsia="Times New Roman" w:hAnsi="Palatino Linotype" w:cs="Times New Roman"/>
          <w:i/>
          <w:iCs/>
          <w:color w:val="000000"/>
        </w:rPr>
        <w:t>…</w:t>
      </w:r>
    </w:p>
    <w:p w14:paraId="284061B7" w14:textId="311B2C6E" w:rsidR="00F2414B" w:rsidRPr="00F2414B" w:rsidRDefault="00F2414B" w:rsidP="00F2414B">
      <w:pPr>
        <w:spacing w:after="0" w:line="240" w:lineRule="auto"/>
        <w:ind w:left="567" w:right="990"/>
        <w:jc w:val="both"/>
        <w:rPr>
          <w:rFonts w:ascii="Times New Roman" w:eastAsia="Times New Roman" w:hAnsi="Times New Roman" w:cs="Times New Roman"/>
          <w:sz w:val="24"/>
          <w:szCs w:val="24"/>
        </w:rPr>
      </w:pPr>
      <w:r w:rsidRPr="00F2414B">
        <w:rPr>
          <w:rFonts w:ascii="Palatino Linotype" w:eastAsia="Times New Roman" w:hAnsi="Palatino Linotype" w:cs="Times New Roman"/>
          <w:i/>
          <w:iCs/>
          <w:color w:val="000000"/>
        </w:rPr>
        <w:t xml:space="preserve">Las resoluciones establecerán, en su caso, los plazos y términos para su cumplimiento y los procedimientos para asegurar su ejecución, </w:t>
      </w:r>
      <w:r w:rsidRPr="00F2414B">
        <w:rPr>
          <w:rFonts w:ascii="Palatino Linotype" w:eastAsia="Times New Roman" w:hAnsi="Palatino Linotype" w:cs="Times New Roman"/>
          <w:b/>
          <w:bCs/>
          <w:i/>
          <w:iCs/>
          <w:color w:val="000000"/>
          <w:u w:val="single"/>
        </w:rPr>
        <w:t>los cuales no podrán exceder de diez días hábiles para la entrega de información</w:t>
      </w:r>
      <w:r w:rsidRPr="00F2414B">
        <w:rPr>
          <w:rFonts w:ascii="Palatino Linotype" w:eastAsia="Times New Roman" w:hAnsi="Palatino Linotype" w:cs="Times New Roman"/>
          <w:i/>
          <w:iCs/>
          <w:color w:val="000000"/>
        </w:rPr>
        <w:t xml:space="preserve">. Excepcionalmente el Instituto, previa fundamentación y motivación, podrán ampliar estos plazos cuando el asunto así lo </w:t>
      </w:r>
      <w:r w:rsidR="00AE004F" w:rsidRPr="00F2414B">
        <w:rPr>
          <w:rFonts w:ascii="Palatino Linotype" w:eastAsia="Times New Roman" w:hAnsi="Palatino Linotype" w:cs="Times New Roman"/>
          <w:i/>
          <w:iCs/>
          <w:color w:val="000000"/>
        </w:rPr>
        <w:t>requiera</w:t>
      </w:r>
      <w:r w:rsidR="00AE004F" w:rsidRPr="00F2414B">
        <w:rPr>
          <w:rFonts w:ascii="Palatino Linotype" w:eastAsia="Times New Roman" w:hAnsi="Palatino Linotype" w:cs="Times New Roman"/>
          <w:b/>
          <w:bCs/>
          <w:i/>
          <w:iCs/>
          <w:color w:val="000000"/>
        </w:rPr>
        <w:t>” (</w:t>
      </w:r>
      <w:r w:rsidR="00AE004F">
        <w:rPr>
          <w:rFonts w:ascii="Palatino Linotype" w:eastAsia="Times New Roman" w:hAnsi="Palatino Linotype" w:cs="Times New Roman"/>
          <w:i/>
          <w:iCs/>
          <w:color w:val="000000"/>
        </w:rPr>
        <w:t>Sic</w:t>
      </w:r>
      <w:r w:rsidRPr="00F2414B">
        <w:rPr>
          <w:rFonts w:ascii="Palatino Linotype" w:eastAsia="Times New Roman" w:hAnsi="Palatino Linotype" w:cs="Times New Roman"/>
          <w:i/>
          <w:iCs/>
          <w:color w:val="000000"/>
        </w:rPr>
        <w:t>)</w:t>
      </w:r>
    </w:p>
    <w:p w14:paraId="48F18125"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73F45635" w14:textId="77777777" w:rsidR="00F2414B" w:rsidRPr="00F2414B" w:rsidRDefault="00F2414B" w:rsidP="00FC57B4">
      <w:pPr>
        <w:spacing w:after="0" w:line="360" w:lineRule="auto"/>
        <w:ind w:right="-6"/>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Es así que resulta importante traer a colación el contenido de este precepto legal, en razón de que el plazo concedido para el cumplimiento de las resoluciones es de diez días hábiles, sin embargo, la legislación establece una excepción para la ampliación de dicho plazo previa fundamentación y motivación cuando el asunto así lo requiera.</w:t>
      </w:r>
    </w:p>
    <w:p w14:paraId="7F9C336D"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727BFCA2" w14:textId="77777777" w:rsidR="00D06141" w:rsidRDefault="00F2414B" w:rsidP="00D06141">
      <w:pPr>
        <w:pStyle w:val="Prrafodelista"/>
        <w:tabs>
          <w:tab w:val="left" w:pos="426"/>
        </w:tabs>
        <w:spacing w:line="360" w:lineRule="auto"/>
        <w:ind w:left="0" w:right="51"/>
        <w:contextualSpacing/>
        <w:jc w:val="both"/>
        <w:rPr>
          <w:rFonts w:ascii="Palatino Linotype" w:hAnsi="Palatino Linotype"/>
          <w:color w:val="000000"/>
          <w:sz w:val="24"/>
          <w:szCs w:val="24"/>
        </w:rPr>
      </w:pPr>
      <w:r w:rsidRPr="00F2414B">
        <w:rPr>
          <w:rFonts w:ascii="Palatino Linotype" w:hAnsi="Palatino Linotype"/>
          <w:color w:val="000000"/>
          <w:sz w:val="24"/>
          <w:szCs w:val="24"/>
        </w:rPr>
        <w:t xml:space="preserve">En este sentido, </w:t>
      </w:r>
      <w:r w:rsidR="00353CF2">
        <w:rPr>
          <w:rFonts w:ascii="Palatino Linotype" w:hAnsi="Palatino Linotype"/>
          <w:color w:val="000000"/>
          <w:sz w:val="24"/>
          <w:szCs w:val="24"/>
        </w:rPr>
        <w:t xml:space="preserve">no se advierte dentro de la resolución la fundamentación y motivación de la excepción señalada en el párrafo anterior, para ordenar que el </w:t>
      </w:r>
      <w:r w:rsidR="00353CF2" w:rsidRPr="00353CF2">
        <w:rPr>
          <w:rFonts w:ascii="Palatino Linotype" w:hAnsi="Palatino Linotype"/>
          <w:b/>
          <w:color w:val="000000"/>
          <w:sz w:val="24"/>
          <w:szCs w:val="24"/>
        </w:rPr>
        <w:t>SUJETO OBLIGADO</w:t>
      </w:r>
      <w:r w:rsidR="00353CF2">
        <w:rPr>
          <w:rFonts w:ascii="Palatino Linotype" w:hAnsi="Palatino Linotype"/>
          <w:color w:val="000000"/>
          <w:sz w:val="24"/>
          <w:szCs w:val="24"/>
        </w:rPr>
        <w:t xml:space="preserve">, deberá cumplir la resolución en el </w:t>
      </w:r>
      <w:r w:rsidR="00D06141">
        <w:rPr>
          <w:rFonts w:ascii="Palatino Linotype" w:hAnsi="Palatino Linotype"/>
          <w:color w:val="000000"/>
          <w:sz w:val="24"/>
          <w:szCs w:val="24"/>
        </w:rPr>
        <w:t>término</w:t>
      </w:r>
      <w:r w:rsidR="00353CF2">
        <w:rPr>
          <w:rFonts w:ascii="Palatino Linotype" w:hAnsi="Palatino Linotype"/>
          <w:color w:val="000000"/>
          <w:sz w:val="24"/>
          <w:szCs w:val="24"/>
        </w:rPr>
        <w:t xml:space="preserve"> de quince días hábiles.</w:t>
      </w:r>
    </w:p>
    <w:p w14:paraId="6E585A39"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0E49FCDA" w14:textId="77777777" w:rsidR="00D06141" w:rsidRDefault="00A4646E" w:rsidP="00D06141">
      <w:pPr>
        <w:pStyle w:val="Sinespaciado"/>
        <w:spacing w:line="360" w:lineRule="auto"/>
        <w:ind w:right="-3"/>
        <w:jc w:val="both"/>
        <w:rPr>
          <w:rFonts w:ascii="Palatino Linotype" w:hAnsi="Palatino Linotype" w:cs="Arial"/>
        </w:rPr>
      </w:pPr>
      <w:r>
        <w:rPr>
          <w:rFonts w:ascii="Palatino Linotype" w:hAnsi="Palatino Linotype" w:cs="Arial"/>
        </w:rPr>
        <w:t xml:space="preserve">De los argumentos antes expuesto, se destaca que </w:t>
      </w:r>
      <w:r w:rsidRPr="00B80B58">
        <w:rPr>
          <w:rFonts w:ascii="Palatino Linotype" w:hAnsi="Palatino Linotype" w:cs="Arial"/>
        </w:rPr>
        <w:t xml:space="preserve">no tiene certeza de la cantidad o número total de documentos que deberán ser proporcionados por el </w:t>
      </w:r>
      <w:r w:rsidRPr="00A4646E">
        <w:rPr>
          <w:rFonts w:ascii="Palatino Linotype" w:hAnsi="Palatino Linotype" w:cs="Arial"/>
          <w:b/>
        </w:rPr>
        <w:t>SUJETO OBLIGADO</w:t>
      </w:r>
      <w:r w:rsidRPr="00B80B58">
        <w:rPr>
          <w:rFonts w:ascii="Palatino Linotype" w:hAnsi="Palatino Linotype" w:cs="Arial"/>
        </w:rPr>
        <w:t xml:space="preserve">, asimismo tampoco se conoce si la información </w:t>
      </w:r>
      <w:r w:rsidR="00353CF2">
        <w:rPr>
          <w:rFonts w:ascii="Palatino Linotype" w:hAnsi="Palatino Linotype" w:cs="Arial"/>
        </w:rPr>
        <w:t xml:space="preserve">que se ordena </w:t>
      </w:r>
      <w:r w:rsidRPr="00B80B58">
        <w:rPr>
          <w:rFonts w:ascii="Palatino Linotype" w:hAnsi="Palatino Linotype" w:cs="Arial"/>
        </w:rPr>
        <w:t xml:space="preserve">implicará un análisis, estudio o bien, procesamiento de datos a fin de generar las versiones públicas correspondientes, por ello es que la suscrita no encuentra justificado el plazo otorgado para el cumplimiento de la resolución. </w:t>
      </w:r>
    </w:p>
    <w:p w14:paraId="11739D43" w14:textId="77777777" w:rsidR="00D06141" w:rsidRDefault="00D06141" w:rsidP="00D06141">
      <w:pPr>
        <w:pStyle w:val="Sinespaciado"/>
        <w:spacing w:line="360" w:lineRule="auto"/>
        <w:ind w:right="-3"/>
        <w:jc w:val="both"/>
        <w:rPr>
          <w:rFonts w:ascii="Palatino Linotype" w:hAnsi="Palatino Linotype" w:cs="Arial"/>
        </w:rPr>
      </w:pPr>
    </w:p>
    <w:p w14:paraId="156FE844" w14:textId="77777777" w:rsidR="00D06141" w:rsidRDefault="00A4646E" w:rsidP="00D06141">
      <w:pPr>
        <w:pStyle w:val="Sinespaciado"/>
        <w:spacing w:line="360" w:lineRule="auto"/>
        <w:ind w:right="-3"/>
        <w:jc w:val="both"/>
        <w:rPr>
          <w:rFonts w:ascii="Palatino Linotype" w:hAnsi="Palatino Linotype"/>
          <w:color w:val="000000"/>
        </w:rPr>
      </w:pPr>
      <w:r w:rsidRPr="00B80B58">
        <w:rPr>
          <w:rFonts w:ascii="Palatino Linotype" w:hAnsi="Palatino Linotype" w:cs="Arial"/>
        </w:rPr>
        <w:t xml:space="preserve">Aunado a lo anterior, también se otorga la posibilidad al </w:t>
      </w:r>
      <w:r w:rsidRPr="00A4646E">
        <w:rPr>
          <w:rFonts w:ascii="Palatino Linotype" w:hAnsi="Palatino Linotype" w:cs="Arial"/>
          <w:b/>
        </w:rPr>
        <w:t>SUJETO OBLIGADO</w:t>
      </w:r>
      <w:r w:rsidRPr="00B80B58">
        <w:rPr>
          <w:rFonts w:ascii="Palatino Linotype" w:hAnsi="Palatino Linotype" w:cs="Arial"/>
        </w:rPr>
        <w:t xml:space="preserve"> de solicitar una ampliación de plazo para el cumplimento de la resolución en términos del segundo párrafo del artículo 198 de la Ley de Transparencia y Acceso a la Información Pública del Estado de México y Municipios, </w:t>
      </w:r>
      <w:r w:rsidR="00D06141">
        <w:rPr>
          <w:rFonts w:ascii="Palatino Linotype" w:hAnsi="Palatino Linotype" w:cs="Arial"/>
        </w:rPr>
        <w:t>si</w:t>
      </w:r>
      <w:r w:rsidR="00D06141" w:rsidRPr="00D06141">
        <w:rPr>
          <w:rFonts w:ascii="Palatino Linotype" w:hAnsi="Palatino Linotype"/>
          <w:color w:val="000000"/>
        </w:rPr>
        <w:t>tuación que traduce en un actuación que favorece al Sujeto Obligado, contrario a proveer lo necesario para garantizar al Recurrente el derecho de acceso a la información pública a través de un procedimiento expedito y oportuno, en términos de lo dispuesto en los artículo 2, fracción II y 21 de la Ley de Transparencia Local. </w:t>
      </w:r>
    </w:p>
    <w:p w14:paraId="666CAF55" w14:textId="77777777" w:rsidR="00D06141" w:rsidRDefault="00D06141" w:rsidP="00D06141">
      <w:pPr>
        <w:pStyle w:val="Sinespaciado"/>
        <w:spacing w:line="360" w:lineRule="auto"/>
        <w:ind w:right="-3"/>
        <w:jc w:val="both"/>
        <w:rPr>
          <w:rFonts w:ascii="Palatino Linotype" w:hAnsi="Palatino Linotype"/>
          <w:color w:val="000000"/>
        </w:rPr>
      </w:pPr>
    </w:p>
    <w:p w14:paraId="5BF6DC31" w14:textId="7E4AFAE9" w:rsidR="00D06141" w:rsidRDefault="00D06141" w:rsidP="00D06141">
      <w:pPr>
        <w:pStyle w:val="Sinespaciado"/>
        <w:spacing w:line="360" w:lineRule="auto"/>
        <w:ind w:right="-3"/>
        <w:jc w:val="both"/>
        <w:rPr>
          <w:rFonts w:ascii="Palatino Linotype" w:hAnsi="Palatino Linotype"/>
          <w:color w:val="000000"/>
        </w:rPr>
      </w:pPr>
      <w:r w:rsidRPr="00D06141">
        <w:rPr>
          <w:rFonts w:ascii="Palatino Linotype" w:hAnsi="Palatino Linotype"/>
          <w:color w:val="000000"/>
        </w:rPr>
        <w:lastRenderedPageBreak/>
        <w:t xml:space="preserve">Es por todo lo vertido en líneas anteriores que la suscrita no comparte el plazo de </w:t>
      </w:r>
      <w:r>
        <w:rPr>
          <w:rFonts w:ascii="Palatino Linotype" w:hAnsi="Palatino Linotype"/>
          <w:color w:val="000000"/>
        </w:rPr>
        <w:t xml:space="preserve">quince </w:t>
      </w:r>
      <w:r w:rsidRPr="00D06141">
        <w:rPr>
          <w:rFonts w:ascii="Palatino Linotype" w:hAnsi="Palatino Linotype"/>
          <w:color w:val="000000"/>
        </w:rPr>
        <w:t>días hábiles otorgado para el cumplimiento de la presente resolución; por lo que formula el presente voto disidente. </w:t>
      </w:r>
    </w:p>
    <w:p w14:paraId="1D88AB77" w14:textId="77777777" w:rsidR="00D06141" w:rsidRPr="00D06141" w:rsidRDefault="00D06141" w:rsidP="00D06141">
      <w:pPr>
        <w:pStyle w:val="Sinespaciado"/>
        <w:spacing w:line="360" w:lineRule="auto"/>
        <w:ind w:right="-3"/>
        <w:jc w:val="both"/>
        <w:rPr>
          <w:rFonts w:ascii="Palatino Linotype" w:hAnsi="Palatino Linotype" w:cs="Arial"/>
        </w:rPr>
      </w:pPr>
    </w:p>
    <w:p w14:paraId="70573E27" w14:textId="6FF56D02" w:rsidR="00A4646E" w:rsidRDefault="00A4646E" w:rsidP="00D06141">
      <w:pPr>
        <w:pStyle w:val="Sinespaciado"/>
        <w:spacing w:line="360" w:lineRule="auto"/>
        <w:ind w:right="-3"/>
        <w:jc w:val="both"/>
        <w:rPr>
          <w:rFonts w:ascii="Palatino Linotype" w:hAnsi="Palatino Linotype"/>
        </w:rPr>
      </w:pPr>
      <w:r w:rsidRPr="008B776D">
        <w:rPr>
          <w:rFonts w:ascii="Palatino Linotype" w:hAnsi="Palatino Linotype"/>
        </w:rPr>
        <w:t xml:space="preserve">Por las consideraciones expuestas, con fundamento en lo dispuesto por el artículo 14 fracciones X y XI del Reglamento Interior del Instituto de Transparencia, Acceso a la Información Pública y Protección de Datos Personales del Estado de México y Municipios, </w:t>
      </w:r>
      <w:r>
        <w:rPr>
          <w:rFonts w:ascii="Palatino Linotype" w:hAnsi="Palatino Linotype"/>
        </w:rPr>
        <w:t>la suscrita Comisionada emite</w:t>
      </w:r>
      <w:r w:rsidRPr="008B776D">
        <w:rPr>
          <w:rFonts w:ascii="Palatino Linotype" w:hAnsi="Palatino Linotype"/>
        </w:rPr>
        <w:t xml:space="preserve"> el presente </w:t>
      </w:r>
      <w:r>
        <w:rPr>
          <w:rFonts w:ascii="Palatino Linotype" w:hAnsi="Palatino Linotype"/>
          <w:b/>
        </w:rPr>
        <w:t>VOTO DISIDENTE</w:t>
      </w:r>
      <w:r w:rsidRPr="008B776D">
        <w:rPr>
          <w:rFonts w:ascii="Palatino Linotype" w:hAnsi="Palatino Linotype"/>
        </w:rPr>
        <w:t xml:space="preserve"> en los términos precisados.</w:t>
      </w:r>
    </w:p>
    <w:p w14:paraId="284CA899" w14:textId="5533BCBF" w:rsidR="00F2414B" w:rsidRPr="00F2414B" w:rsidRDefault="003746C7" w:rsidP="00FC57B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3CDCC5E7" wp14:editId="72C8CBD6">
                <wp:simplePos x="0" y="0"/>
                <wp:positionH relativeFrom="column">
                  <wp:posOffset>17145</wp:posOffset>
                </wp:positionH>
                <wp:positionV relativeFrom="paragraph">
                  <wp:posOffset>42185</wp:posOffset>
                </wp:positionV>
                <wp:extent cx="5732890" cy="4309607"/>
                <wp:effectExtent l="38100" t="19050" r="58420" b="91440"/>
                <wp:wrapNone/>
                <wp:docPr id="1" name="Conector recto 1"/>
                <wp:cNvGraphicFramePr/>
                <a:graphic xmlns:a="http://schemas.openxmlformats.org/drawingml/2006/main">
                  <a:graphicData uri="http://schemas.microsoft.com/office/word/2010/wordprocessingShape">
                    <wps:wsp>
                      <wps:cNvCnPr/>
                      <wps:spPr>
                        <a:xfrm>
                          <a:off x="0" y="0"/>
                          <a:ext cx="5732890" cy="43096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14FE2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3.3pt" to="452.7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" strokecolor="black [3200]" strokeweight="2pt">
                <v:shadow on="t" color="black" opacity="24903f" origin=",.5" offset="0,.55556mm"/>
              </v:line>
            </w:pict>
          </mc:Fallback>
        </mc:AlternateContent>
      </w:r>
    </w:p>
    <w:p w14:paraId="3EF67FF1" w14:textId="6C4AE08A" w:rsidR="007F623C" w:rsidRDefault="007F623C">
      <w:pPr>
        <w:spacing w:after="0" w:line="360" w:lineRule="auto"/>
        <w:jc w:val="both"/>
        <w:rPr>
          <w:rFonts w:ascii="Palatino Linotype" w:eastAsia="Palatino Linotype" w:hAnsi="Palatino Linotype" w:cs="Palatino Linotype"/>
          <w:sz w:val="24"/>
          <w:szCs w:val="24"/>
          <w:highlight w:val="red"/>
        </w:rPr>
      </w:pPr>
    </w:p>
    <w:p w14:paraId="119719F2" w14:textId="77777777" w:rsidR="007F623C" w:rsidRDefault="007F623C">
      <w:pPr>
        <w:spacing w:after="0" w:line="360" w:lineRule="auto"/>
        <w:jc w:val="both"/>
        <w:rPr>
          <w:rFonts w:ascii="Palatino Linotype" w:eastAsia="Palatino Linotype" w:hAnsi="Palatino Linotype" w:cs="Palatino Linotype"/>
          <w:sz w:val="24"/>
          <w:szCs w:val="24"/>
        </w:rPr>
      </w:pPr>
    </w:p>
    <w:p w14:paraId="6CCB00C6" w14:textId="77777777" w:rsidR="007F623C" w:rsidRDefault="007F623C">
      <w:pPr>
        <w:spacing w:after="0" w:line="360" w:lineRule="auto"/>
        <w:jc w:val="both"/>
        <w:rPr>
          <w:rFonts w:ascii="Palatino Linotype" w:eastAsia="Palatino Linotype" w:hAnsi="Palatino Linotype" w:cs="Palatino Linotype"/>
          <w:sz w:val="24"/>
          <w:szCs w:val="24"/>
        </w:rPr>
      </w:pPr>
    </w:p>
    <w:p w14:paraId="42E99E0C" w14:textId="77777777" w:rsidR="007F623C" w:rsidRDefault="007F623C">
      <w:pPr>
        <w:spacing w:after="0" w:line="360" w:lineRule="auto"/>
        <w:jc w:val="both"/>
        <w:rPr>
          <w:rFonts w:ascii="Palatino Linotype" w:eastAsia="Palatino Linotype" w:hAnsi="Palatino Linotype" w:cs="Palatino Linotype"/>
          <w:sz w:val="24"/>
          <w:szCs w:val="24"/>
        </w:rPr>
      </w:pPr>
    </w:p>
    <w:p w14:paraId="1760FE6A" w14:textId="77777777" w:rsidR="007F623C" w:rsidRDefault="007F623C">
      <w:pPr>
        <w:spacing w:after="0" w:line="360" w:lineRule="auto"/>
        <w:jc w:val="both"/>
        <w:rPr>
          <w:rFonts w:ascii="Palatino Linotype" w:eastAsia="Palatino Linotype" w:hAnsi="Palatino Linotype" w:cs="Palatino Linotype"/>
          <w:sz w:val="24"/>
          <w:szCs w:val="24"/>
        </w:rPr>
        <w:sectPr w:rsidR="007F623C">
          <w:headerReference w:type="even" r:id="rId8"/>
          <w:headerReference w:type="default" r:id="rId9"/>
          <w:footerReference w:type="default" r:id="rId10"/>
          <w:headerReference w:type="first" r:id="rId11"/>
          <w:pgSz w:w="12240" w:h="15840"/>
          <w:pgMar w:top="1276" w:right="1701" w:bottom="3544" w:left="1701" w:header="709" w:footer="709" w:gutter="0"/>
          <w:pgNumType w:start="1"/>
          <w:cols w:space="720"/>
        </w:sectPr>
      </w:pPr>
    </w:p>
    <w:p w14:paraId="7F0CE9FE" w14:textId="77777777" w:rsidR="007F623C" w:rsidRDefault="007F623C">
      <w:pPr>
        <w:rPr>
          <w:rFonts w:ascii="Palatino Linotype" w:eastAsia="Palatino Linotype" w:hAnsi="Palatino Linotype" w:cs="Palatino Linotype"/>
          <w:sz w:val="24"/>
          <w:szCs w:val="24"/>
        </w:rPr>
      </w:pPr>
    </w:p>
    <w:sectPr w:rsidR="007F623C">
      <w:headerReference w:type="default" r:id="rId12"/>
      <w:pgSz w:w="12240" w:h="15840"/>
      <w:pgMar w:top="1276" w:right="1701" w:bottom="2211"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68BF9" w14:textId="77777777" w:rsidR="0029486B" w:rsidRDefault="0029486B">
      <w:pPr>
        <w:spacing w:after="0" w:line="240" w:lineRule="auto"/>
      </w:pPr>
      <w:r>
        <w:separator/>
      </w:r>
    </w:p>
  </w:endnote>
  <w:endnote w:type="continuationSeparator" w:id="0">
    <w:p w14:paraId="61CE0409" w14:textId="77777777" w:rsidR="0029486B" w:rsidRDefault="0029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B653" w14:textId="7F74CEAE" w:rsidR="007F623C" w:rsidRDefault="00A4646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117C">
      <w:rPr>
        <w:noProof/>
        <w:color w:val="000000"/>
      </w:rPr>
      <w:t>2</w:t>
    </w:r>
    <w:r>
      <w:rPr>
        <w:color w:val="000000"/>
      </w:rPr>
      <w:fldChar w:fldCharType="end"/>
    </w:r>
    <w:r w:rsidR="0064117C">
      <w:rPr>
        <w:color w:val="000000"/>
      </w:rPr>
      <w:t xml:space="preserve"> de 8</w:t>
    </w:r>
  </w:p>
  <w:p w14:paraId="47065735" w14:textId="77777777" w:rsidR="007F623C" w:rsidRDefault="007F623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D3DEA" w14:textId="77777777" w:rsidR="0029486B" w:rsidRDefault="0029486B">
      <w:pPr>
        <w:spacing w:after="0" w:line="240" w:lineRule="auto"/>
      </w:pPr>
      <w:r>
        <w:separator/>
      </w:r>
    </w:p>
  </w:footnote>
  <w:footnote w:type="continuationSeparator" w:id="0">
    <w:p w14:paraId="5CACC361" w14:textId="77777777" w:rsidR="0029486B" w:rsidRDefault="0029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4551" w14:textId="77777777" w:rsidR="007F623C" w:rsidRDefault="0029486B">
    <w:pPr>
      <w:pBdr>
        <w:top w:val="nil"/>
        <w:left w:val="nil"/>
        <w:bottom w:val="nil"/>
        <w:right w:val="nil"/>
        <w:between w:val="nil"/>
      </w:pBdr>
      <w:tabs>
        <w:tab w:val="center" w:pos="4419"/>
        <w:tab w:val="right" w:pos="8838"/>
      </w:tabs>
      <w:spacing w:after="0" w:line="240" w:lineRule="auto"/>
      <w:rPr>
        <w:color w:val="000000"/>
      </w:rPr>
    </w:pPr>
    <w:r>
      <w:rPr>
        <w:color w:val="000000"/>
      </w:rPr>
      <w:pict w14:anchorId="1C21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8.5pt;height:779.2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B4F1" w14:textId="77777777" w:rsidR="007F623C" w:rsidRDefault="0029486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rPr>
      <w:pict w14:anchorId="54B5D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53.7pt;margin-top:-93.55pt;width:598.5pt;height:779.25pt;z-index:-251659776;mso-position-horizontal:absolute;mso-position-horizontal-relative:margin;mso-position-vertical:absolute;mso-position-vertical-relative:margin">
          <v:imagedata r:id="rId1" o:title="image1"/>
          <w10:wrap anchorx="margin" anchory="margin"/>
        </v:shape>
      </w:pict>
    </w:r>
  </w:p>
  <w:p w14:paraId="5EC24A4E" w14:textId="77777777" w:rsidR="007F623C" w:rsidRDefault="00A4646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DISIDENTE </w:t>
    </w:r>
  </w:p>
  <w:p w14:paraId="5EA97A7C" w14:textId="77497FE0" w:rsidR="007F623C" w:rsidRDefault="00D23CE6">
    <w:pPr>
      <w:pBdr>
        <w:top w:val="nil"/>
        <w:left w:val="nil"/>
        <w:bottom w:val="nil"/>
        <w:right w:val="nil"/>
        <w:between w:val="nil"/>
      </w:pBdr>
      <w:tabs>
        <w:tab w:val="center" w:pos="4419"/>
        <w:tab w:val="right" w:pos="8838"/>
      </w:tabs>
      <w:spacing w:after="0" w:line="240" w:lineRule="auto"/>
      <w:jc w:val="right"/>
      <w:rPr>
        <w:color w:val="000000"/>
      </w:rPr>
    </w:pPr>
    <w:r>
      <w:rPr>
        <w:rFonts w:ascii="Palatino Linotype" w:eastAsia="Palatino Linotype" w:hAnsi="Palatino Linotype" w:cs="Palatino Linotype"/>
        <w:b/>
        <w:color w:val="000000"/>
      </w:rPr>
      <w:t>RECURSO DE REVISIÓN 06931/INFOEM/IP</w:t>
    </w:r>
    <w:r w:rsidR="00A4646E">
      <w:rPr>
        <w:rFonts w:ascii="Palatino Linotype" w:eastAsia="Palatino Linotype" w:hAnsi="Palatino Linotype" w:cs="Palatino Linotype"/>
        <w:b/>
        <w:color w:val="000000"/>
      </w:rPr>
      <w:t>/RR/2022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11CB" w14:textId="77777777" w:rsidR="007F623C" w:rsidRDefault="0029486B">
    <w:pPr>
      <w:pBdr>
        <w:top w:val="nil"/>
        <w:left w:val="nil"/>
        <w:bottom w:val="nil"/>
        <w:right w:val="nil"/>
        <w:between w:val="nil"/>
      </w:pBdr>
      <w:tabs>
        <w:tab w:val="center" w:pos="4419"/>
        <w:tab w:val="right" w:pos="8838"/>
      </w:tabs>
      <w:spacing w:after="0" w:line="240" w:lineRule="auto"/>
      <w:rPr>
        <w:color w:val="000000"/>
      </w:rPr>
    </w:pPr>
    <w:r>
      <w:rPr>
        <w:color w:val="000000"/>
      </w:rPr>
      <w:pict w14:anchorId="5F426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8.5pt;height:779.25pt;z-index:-251658752;mso-position-horizontal:center;mso-position-horizontal-relative:margin;mso-position-vertical:center;mso-position-vertical-relative:margin">
          <v:imagedata r:id="rId1" o:title="image1"/>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F469" w14:textId="77777777" w:rsidR="007F623C" w:rsidRDefault="007F623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14:paraId="25D23830" w14:textId="77777777" w:rsidR="007F623C" w:rsidRDefault="007F623C">
    <w:pPr>
      <w:pBdr>
        <w:top w:val="nil"/>
        <w:left w:val="nil"/>
        <w:bottom w:val="nil"/>
        <w:right w:val="nil"/>
        <w:between w:val="nil"/>
      </w:pBdr>
      <w:tabs>
        <w:tab w:val="center" w:pos="4419"/>
        <w:tab w:val="right" w:pos="8838"/>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363"/>
    <w:multiLevelType w:val="hybridMultilevel"/>
    <w:tmpl w:val="B7384C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3C"/>
    <w:rsid w:val="00131B40"/>
    <w:rsid w:val="00136DF2"/>
    <w:rsid w:val="0029486B"/>
    <w:rsid w:val="00353CF2"/>
    <w:rsid w:val="003746C7"/>
    <w:rsid w:val="003D79FE"/>
    <w:rsid w:val="0064117C"/>
    <w:rsid w:val="007C71C6"/>
    <w:rsid w:val="007F623C"/>
    <w:rsid w:val="00933386"/>
    <w:rsid w:val="00A3541C"/>
    <w:rsid w:val="00A4646E"/>
    <w:rsid w:val="00AE004F"/>
    <w:rsid w:val="00D06141"/>
    <w:rsid w:val="00D23CE6"/>
    <w:rsid w:val="00DB7493"/>
    <w:rsid w:val="00EB32D5"/>
    <w:rsid w:val="00F2414B"/>
    <w:rsid w:val="00FC57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B6EF33"/>
  <w15:docId w15:val="{62657FAC-6360-4BE3-AFBB-A5573F7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2574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473"/>
  </w:style>
  <w:style w:type="paragraph" w:styleId="NormalWeb">
    <w:name w:val="Normal (Web)"/>
    <w:basedOn w:val="Normal"/>
    <w:uiPriority w:val="99"/>
    <w:unhideWhenUsed/>
    <w:rsid w:val="00F24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3541C"/>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3541C"/>
    <w:pPr>
      <w:spacing w:after="0" w:line="240" w:lineRule="auto"/>
      <w:ind w:left="708"/>
    </w:pPr>
    <w:rPr>
      <w:rFonts w:ascii="Times New Roman" w:eastAsia="Times New Roman" w:hAnsi="Times New Roman" w:cs="Times New Roman"/>
      <w:lang w:val="es-ES"/>
    </w:rPr>
  </w:style>
  <w:style w:type="paragraph" w:styleId="Sinespaciado">
    <w:name w:val="No Spacing"/>
    <w:aliases w:val="Francesa,INAI"/>
    <w:link w:val="SinespaciadoCar"/>
    <w:uiPriority w:val="1"/>
    <w:qFormat/>
    <w:rsid w:val="00A4646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4646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2046">
      <w:bodyDiv w:val="1"/>
      <w:marLeft w:val="0"/>
      <w:marRight w:val="0"/>
      <w:marTop w:val="0"/>
      <w:marBottom w:val="0"/>
      <w:divBdr>
        <w:top w:val="none" w:sz="0" w:space="0" w:color="auto"/>
        <w:left w:val="none" w:sz="0" w:space="0" w:color="auto"/>
        <w:bottom w:val="none" w:sz="0" w:space="0" w:color="auto"/>
        <w:right w:val="none" w:sz="0" w:space="0" w:color="auto"/>
      </w:divBdr>
    </w:div>
    <w:div w:id="521745018">
      <w:bodyDiv w:val="1"/>
      <w:marLeft w:val="0"/>
      <w:marRight w:val="0"/>
      <w:marTop w:val="0"/>
      <w:marBottom w:val="0"/>
      <w:divBdr>
        <w:top w:val="none" w:sz="0" w:space="0" w:color="auto"/>
        <w:left w:val="none" w:sz="0" w:space="0" w:color="auto"/>
        <w:bottom w:val="none" w:sz="0" w:space="0" w:color="auto"/>
        <w:right w:val="none" w:sz="0" w:space="0" w:color="auto"/>
      </w:divBdr>
    </w:div>
    <w:div w:id="87084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ETc2BxlVJCeCUL27625LSgKlQ==">AMUW2mVgnwu6IxBhCHCgtdoNRqLytW641UaN7/vh1dhmm6e0Va0N/Dby51i9m9XCotxCUXAorfFxIG5AmsHDLG6G3n8WVM70ItAEpnB5JeE/p8JMz+PkW+g=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1336</Words>
  <Characters>7621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AllInOne-HP</dc:creator>
  <cp:lastModifiedBy>NAJERA </cp:lastModifiedBy>
  <cp:revision>4</cp:revision>
  <cp:lastPrinted>2022-07-14T14:19:00Z</cp:lastPrinted>
  <dcterms:created xsi:type="dcterms:W3CDTF">2022-07-14T04:56:00Z</dcterms:created>
  <dcterms:modified xsi:type="dcterms:W3CDTF">2022-07-14T14:22:00Z</dcterms:modified>
</cp:coreProperties>
</file>