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1D6A9" w14:textId="1A6FDF06" w:rsidR="00E97758" w:rsidRDefault="00E97758" w:rsidP="00E97758">
      <w:pPr>
        <w:spacing w:after="0" w:line="360" w:lineRule="auto"/>
        <w:jc w:val="both"/>
        <w:rPr>
          <w:rFonts w:ascii="Palatino Linotype" w:hAnsi="Palatino Linotype" w:cs="Arial"/>
          <w:b/>
          <w:sz w:val="24"/>
          <w:szCs w:val="24"/>
        </w:rPr>
      </w:pPr>
      <w:r w:rsidRPr="00FB6D9A">
        <w:rPr>
          <w:rFonts w:ascii="Palatino Linotype" w:hAnsi="Palatino Linotype" w:cs="Arial"/>
          <w:b/>
          <w:sz w:val="24"/>
          <w:szCs w:val="24"/>
        </w:rPr>
        <w:t xml:space="preserve">VOTO </w:t>
      </w:r>
      <w:r>
        <w:rPr>
          <w:rFonts w:ascii="Palatino Linotype" w:hAnsi="Palatino Linotype" w:cs="Arial"/>
          <w:b/>
          <w:sz w:val="24"/>
          <w:szCs w:val="24"/>
        </w:rPr>
        <w:t>DISIDENTE</w:t>
      </w:r>
      <w:r w:rsidRPr="00FB6D9A">
        <w:rPr>
          <w:rFonts w:ascii="Palatino Linotype" w:hAnsi="Palatino Linotype" w:cs="Arial"/>
          <w:b/>
          <w:sz w:val="24"/>
          <w:szCs w:val="24"/>
        </w:rPr>
        <w:t xml:space="preserve"> DE</w:t>
      </w:r>
      <w:r w:rsidR="00590481">
        <w:rPr>
          <w:rFonts w:ascii="Palatino Linotype" w:hAnsi="Palatino Linotype" w:cs="Arial"/>
          <w:b/>
          <w:sz w:val="24"/>
          <w:szCs w:val="24"/>
        </w:rPr>
        <w:t xml:space="preserve"> </w:t>
      </w:r>
      <w:r w:rsidRPr="00FB6D9A">
        <w:rPr>
          <w:rFonts w:ascii="Palatino Linotype" w:hAnsi="Palatino Linotype" w:cs="Arial"/>
          <w:b/>
          <w:sz w:val="24"/>
          <w:szCs w:val="24"/>
        </w:rPr>
        <w:t>L</w:t>
      </w:r>
      <w:r w:rsidR="00590481">
        <w:rPr>
          <w:rFonts w:ascii="Palatino Linotype" w:hAnsi="Palatino Linotype" w:cs="Arial"/>
          <w:b/>
          <w:sz w:val="24"/>
          <w:szCs w:val="24"/>
        </w:rPr>
        <w:t>A</w:t>
      </w:r>
      <w:r w:rsidRPr="00FB6D9A">
        <w:rPr>
          <w:rFonts w:ascii="Palatino Linotype" w:hAnsi="Palatino Linotype" w:cs="Arial"/>
          <w:b/>
          <w:sz w:val="24"/>
          <w:szCs w:val="24"/>
        </w:rPr>
        <w:t xml:space="preserve"> COMISIONAD</w:t>
      </w:r>
      <w:r w:rsidR="00590481">
        <w:rPr>
          <w:rFonts w:ascii="Palatino Linotype" w:hAnsi="Palatino Linotype" w:cs="Arial"/>
          <w:b/>
          <w:sz w:val="24"/>
          <w:szCs w:val="24"/>
        </w:rPr>
        <w:t>A</w:t>
      </w:r>
      <w:r w:rsidRPr="00FB6D9A">
        <w:rPr>
          <w:rFonts w:ascii="Palatino Linotype" w:hAnsi="Palatino Linotype" w:cs="Arial"/>
          <w:b/>
          <w:sz w:val="24"/>
          <w:szCs w:val="24"/>
        </w:rPr>
        <w:t xml:space="preserve"> </w:t>
      </w:r>
      <w:r w:rsidR="00590481">
        <w:rPr>
          <w:rFonts w:ascii="Palatino Linotype" w:hAnsi="Palatino Linotype" w:cs="Arial"/>
          <w:b/>
          <w:sz w:val="24"/>
          <w:szCs w:val="24"/>
        </w:rPr>
        <w:t>MARÍA DEL ROSARIO MEJÍA AYALA</w:t>
      </w:r>
      <w:r w:rsidRPr="00FB6D9A">
        <w:rPr>
          <w:rFonts w:ascii="Palatino Linotype" w:hAnsi="Palatino Linotype" w:cs="Arial"/>
          <w:b/>
          <w:sz w:val="24"/>
          <w:szCs w:val="24"/>
        </w:rPr>
        <w:t xml:space="preserve"> EN EL RECURSO DE REVISIÓN </w:t>
      </w:r>
      <w:r w:rsidR="00590481">
        <w:rPr>
          <w:rFonts w:ascii="Palatino Linotype" w:hAnsi="Palatino Linotype" w:cs="Arial"/>
          <w:b/>
          <w:sz w:val="24"/>
          <w:szCs w:val="24"/>
        </w:rPr>
        <w:t>00097</w:t>
      </w:r>
      <w:r w:rsidRPr="00FB6D9A">
        <w:rPr>
          <w:rFonts w:ascii="Palatino Linotype" w:hAnsi="Palatino Linotype" w:cs="Arial"/>
          <w:b/>
          <w:sz w:val="24"/>
          <w:szCs w:val="24"/>
        </w:rPr>
        <w:t>/INFOEM/</w:t>
      </w:r>
      <w:r w:rsidR="00590481">
        <w:rPr>
          <w:rFonts w:ascii="Palatino Linotype" w:hAnsi="Palatino Linotype" w:cs="Arial"/>
          <w:b/>
          <w:sz w:val="24"/>
          <w:szCs w:val="24"/>
        </w:rPr>
        <w:t>IP/RR/2022.</w:t>
      </w:r>
    </w:p>
    <w:p w14:paraId="4EC8A9D0" w14:textId="77777777" w:rsidR="00E97758" w:rsidRPr="00FB6D9A" w:rsidRDefault="00E97758" w:rsidP="00E97758">
      <w:pPr>
        <w:spacing w:after="0" w:line="360" w:lineRule="auto"/>
        <w:jc w:val="both"/>
        <w:rPr>
          <w:rFonts w:ascii="Palatino Linotype" w:hAnsi="Palatino Linotype" w:cs="Arial"/>
          <w:b/>
          <w:sz w:val="24"/>
          <w:szCs w:val="24"/>
        </w:rPr>
      </w:pPr>
    </w:p>
    <w:p w14:paraId="030020FA" w14:textId="3DD72B27" w:rsidR="00E97758" w:rsidRPr="00590481" w:rsidRDefault="00F53756" w:rsidP="00590481">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sz w:val="24"/>
          <w:szCs w:val="24"/>
          <w:bdr w:val="nil"/>
        </w:rPr>
      </w:pPr>
      <w:bookmarkStart w:id="0" w:name="_Toc9873529"/>
      <w:r>
        <w:rPr>
          <w:rFonts w:ascii="Palatino Linotype" w:eastAsiaTheme="majorEastAsia" w:hAnsi="Palatino Linotype" w:cstheme="majorBidi"/>
          <w:b/>
          <w:sz w:val="24"/>
          <w:szCs w:val="24"/>
          <w:bdr w:val="nil"/>
        </w:rPr>
        <w:t xml:space="preserve">I. </w:t>
      </w:r>
      <w:r w:rsidR="00E97758" w:rsidRPr="00590481">
        <w:rPr>
          <w:rFonts w:ascii="Palatino Linotype" w:eastAsiaTheme="majorEastAsia" w:hAnsi="Palatino Linotype" w:cstheme="majorBidi"/>
          <w:b/>
          <w:sz w:val="24"/>
          <w:szCs w:val="24"/>
          <w:bdr w:val="nil"/>
        </w:rPr>
        <w:t>Consideraciones Generales.</w:t>
      </w:r>
      <w:bookmarkEnd w:id="0"/>
    </w:p>
    <w:p w14:paraId="36FDBD56" w14:textId="3085FCB3" w:rsidR="00E97758" w:rsidRPr="005C2E7E" w:rsidRDefault="00196054" w:rsidP="00590481">
      <w:pPr>
        <w:spacing w:after="0" w:line="360" w:lineRule="auto"/>
        <w:rPr>
          <w:rFonts w:ascii="Palatino Linotype" w:eastAsia="Arial Unicode MS" w:hAnsi="Palatino Linotype" w:cs="Arial"/>
          <w:color w:val="000000" w:themeColor="text1"/>
          <w:sz w:val="24"/>
          <w:szCs w:val="24"/>
          <w:bdr w:val="nil"/>
        </w:rPr>
      </w:pPr>
      <w:r w:rsidRPr="00590481">
        <w:rPr>
          <w:rFonts w:ascii="Palatino Linotype" w:hAnsi="Palatino Linotype"/>
          <w:b/>
          <w:bCs/>
        </w:rPr>
        <w:t xml:space="preserve"> </w:t>
      </w:r>
    </w:p>
    <w:p w14:paraId="3F554DA8" w14:textId="30E352C0" w:rsidR="00E97758" w:rsidRPr="00590481" w:rsidRDefault="005C2E7E"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5C2E7E">
        <w:rPr>
          <w:rFonts w:ascii="Palatino Linotype" w:eastAsia="Arial Unicode MS" w:hAnsi="Palatino Linotype" w:cs="Arial"/>
          <w:color w:val="000000" w:themeColor="text1"/>
          <w:sz w:val="24"/>
          <w:szCs w:val="24"/>
          <w:bdr w:val="nil"/>
        </w:rPr>
        <w:t>En términos de lo dispuesto por el artículo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w:t>
      </w:r>
      <w:r>
        <w:rPr>
          <w:rFonts w:ascii="Palatino Linotype" w:eastAsia="Arial Unicode MS" w:hAnsi="Palatino Linotype" w:cs="Arial"/>
          <w:color w:val="000000" w:themeColor="text1"/>
          <w:sz w:val="24"/>
          <w:szCs w:val="24"/>
          <w:bdr w:val="nil"/>
        </w:rPr>
        <w:t xml:space="preserve"> se emite</w:t>
      </w:r>
      <w:r w:rsidRPr="005C2E7E">
        <w:rPr>
          <w:rFonts w:ascii="Palatino Linotype" w:eastAsia="Arial Unicode MS" w:hAnsi="Palatino Linotype" w:cs="Arial"/>
          <w:color w:val="000000" w:themeColor="text1"/>
          <w:sz w:val="24"/>
          <w:szCs w:val="24"/>
          <w:bdr w:val="nil"/>
        </w:rPr>
        <w:t xml:space="preserve"> el presente Voto Disidente </w:t>
      </w:r>
      <w:r w:rsidR="00082C80" w:rsidRPr="002A43BC">
        <w:rPr>
          <w:rFonts w:ascii="Palatino Linotype" w:eastAsia="Times New Roman" w:hAnsi="Palatino Linotype" w:cs="Arial"/>
          <w:color w:val="000000" w:themeColor="text1"/>
          <w:sz w:val="24"/>
          <w:szCs w:val="24"/>
          <w:bdr w:val="nil"/>
          <w:lang w:val="es-ES_tradnl"/>
        </w:rPr>
        <w:t xml:space="preserve">de la presente resolución </w:t>
      </w:r>
      <w:r w:rsidR="00082C80">
        <w:rPr>
          <w:rFonts w:ascii="Palatino Linotype" w:eastAsia="Times New Roman" w:hAnsi="Palatino Linotype" w:cs="Arial"/>
          <w:color w:val="000000" w:themeColor="text1"/>
          <w:sz w:val="24"/>
          <w:szCs w:val="24"/>
          <w:bdr w:val="nil"/>
          <w:lang w:val="es-ES_tradnl"/>
        </w:rPr>
        <w:t xml:space="preserve"> aprobada por mayoría de votos</w:t>
      </w:r>
      <w:r w:rsidR="00082C80" w:rsidRPr="002A43BC">
        <w:rPr>
          <w:rFonts w:ascii="Palatino Linotype" w:eastAsia="Times New Roman" w:hAnsi="Palatino Linotype" w:cs="Arial"/>
          <w:color w:val="000000" w:themeColor="text1"/>
          <w:sz w:val="24"/>
          <w:szCs w:val="24"/>
          <w:bdr w:val="nil"/>
          <w:lang w:val="es-ES_tradnl"/>
        </w:rPr>
        <w:t xml:space="preserve"> </w:t>
      </w:r>
      <w:r w:rsidR="00082C80" w:rsidRPr="002A43BC">
        <w:rPr>
          <w:rFonts w:ascii="Palatino Linotype" w:eastAsia="Arial Unicode MS" w:hAnsi="Palatino Linotype" w:cs="Arial"/>
          <w:color w:val="000000" w:themeColor="text1"/>
          <w:sz w:val="24"/>
          <w:szCs w:val="24"/>
          <w:bdr w:val="nil"/>
        </w:rPr>
        <w:t xml:space="preserve">por el Pleno del Instituto de Transparencia, Acceso a la Información Pública y Protección de Datos Personales del Estado de México y Municipios, en su </w:t>
      </w:r>
      <w:r w:rsidR="00082C80">
        <w:rPr>
          <w:rFonts w:ascii="Palatino Linotype" w:eastAsia="Arial Unicode MS" w:hAnsi="Palatino Linotype" w:cs="Arial"/>
          <w:color w:val="000000" w:themeColor="text1"/>
          <w:sz w:val="24"/>
          <w:szCs w:val="24"/>
          <w:bdr w:val="nil"/>
        </w:rPr>
        <w:t xml:space="preserve">Vigésima Primera Sesión Ordinaria de fecha ocho </w:t>
      </w:r>
      <w:r w:rsidR="00082C80" w:rsidRPr="002A43BC">
        <w:rPr>
          <w:rFonts w:ascii="Palatino Linotype" w:eastAsia="Times New Roman" w:hAnsi="Palatino Linotype" w:cs="Arial"/>
          <w:color w:val="000000"/>
          <w:sz w:val="24"/>
          <w:szCs w:val="24"/>
          <w:bdr w:val="nil"/>
          <w:lang w:eastAsia="es-MX"/>
        </w:rPr>
        <w:t>(</w:t>
      </w:r>
      <w:r w:rsidR="00082C80">
        <w:rPr>
          <w:rFonts w:ascii="Palatino Linotype" w:eastAsia="Times New Roman" w:hAnsi="Palatino Linotype" w:cs="Arial"/>
          <w:color w:val="000000"/>
          <w:sz w:val="24"/>
          <w:szCs w:val="24"/>
          <w:bdr w:val="nil"/>
          <w:lang w:eastAsia="es-MX"/>
        </w:rPr>
        <w:t>08</w:t>
      </w:r>
      <w:r w:rsidR="00082C80" w:rsidRPr="002A43BC">
        <w:rPr>
          <w:rFonts w:ascii="Palatino Linotype" w:eastAsia="Times New Roman" w:hAnsi="Palatino Linotype" w:cs="Arial"/>
          <w:color w:val="000000"/>
          <w:sz w:val="24"/>
          <w:szCs w:val="24"/>
          <w:bdr w:val="nil"/>
          <w:lang w:eastAsia="es-MX"/>
        </w:rPr>
        <w:t xml:space="preserve">) de </w:t>
      </w:r>
      <w:r w:rsidR="00082C80">
        <w:rPr>
          <w:rFonts w:ascii="Palatino Linotype" w:eastAsia="Times New Roman" w:hAnsi="Palatino Linotype" w:cs="Arial"/>
          <w:color w:val="000000"/>
          <w:sz w:val="24"/>
          <w:szCs w:val="24"/>
          <w:bdr w:val="nil"/>
          <w:lang w:eastAsia="es-MX"/>
        </w:rPr>
        <w:t>junio de dos mil veintidós</w:t>
      </w:r>
      <w:r w:rsidR="00082C80" w:rsidRPr="002A43BC">
        <w:rPr>
          <w:rFonts w:ascii="Palatino Linotype" w:eastAsia="Arial Unicode MS" w:hAnsi="Palatino Linotype" w:cs="Arial"/>
          <w:color w:val="000000" w:themeColor="text1"/>
          <w:sz w:val="24"/>
          <w:szCs w:val="24"/>
          <w:bdr w:val="nil"/>
        </w:rPr>
        <w:t xml:space="preserve">, en el recurso de revisión </w:t>
      </w:r>
      <w:r w:rsidR="00E97758" w:rsidRPr="00590481">
        <w:rPr>
          <w:rFonts w:ascii="Palatino Linotype" w:eastAsia="Arial Unicode MS" w:hAnsi="Palatino Linotype" w:cs="Times New Roman"/>
          <w:sz w:val="24"/>
          <w:szCs w:val="24"/>
          <w:bdr w:val="nil"/>
        </w:rPr>
        <w:t>en contra de</w:t>
      </w:r>
      <w:r w:rsidR="006E10FC" w:rsidRPr="00590481">
        <w:rPr>
          <w:rFonts w:ascii="Palatino Linotype" w:eastAsia="Arial Unicode MS" w:hAnsi="Palatino Linotype" w:cs="Times New Roman"/>
          <w:sz w:val="24"/>
          <w:szCs w:val="24"/>
          <w:bdr w:val="nil"/>
        </w:rPr>
        <w:t xml:space="preserve"> </w:t>
      </w:r>
      <w:r w:rsidR="00E97758" w:rsidRPr="00590481">
        <w:rPr>
          <w:rFonts w:ascii="Palatino Linotype" w:eastAsia="Arial Unicode MS" w:hAnsi="Palatino Linotype" w:cs="Times New Roman"/>
          <w:sz w:val="24"/>
          <w:szCs w:val="24"/>
          <w:bdr w:val="nil"/>
        </w:rPr>
        <w:t>l</w:t>
      </w:r>
      <w:r w:rsidR="006E10FC" w:rsidRPr="00590481">
        <w:rPr>
          <w:rFonts w:ascii="Palatino Linotype" w:eastAsia="Arial Unicode MS" w:hAnsi="Palatino Linotype" w:cs="Times New Roman"/>
          <w:sz w:val="24"/>
          <w:szCs w:val="24"/>
          <w:bdr w:val="nil"/>
        </w:rPr>
        <w:t>a</w:t>
      </w:r>
      <w:r w:rsidR="00E97758" w:rsidRPr="00590481">
        <w:rPr>
          <w:rFonts w:ascii="Palatino Linotype" w:eastAsia="Arial Unicode MS" w:hAnsi="Palatino Linotype" w:cs="Times New Roman"/>
          <w:sz w:val="24"/>
          <w:szCs w:val="24"/>
          <w:bdr w:val="nil"/>
        </w:rPr>
        <w:t xml:space="preserve"> </w:t>
      </w:r>
      <w:r w:rsidR="00E97758" w:rsidRPr="00590481">
        <w:rPr>
          <w:rFonts w:ascii="Palatino Linotype" w:eastAsia="Arial Unicode MS" w:hAnsi="Palatino Linotype" w:cs="Times New Roman"/>
          <w:b/>
          <w:sz w:val="24"/>
          <w:szCs w:val="24"/>
          <w:bdr w:val="nil"/>
        </w:rPr>
        <w:t>Fiscalía General de Justicia del Estado de México</w:t>
      </w:r>
      <w:r w:rsidR="00E97758" w:rsidRPr="00590481">
        <w:rPr>
          <w:rFonts w:ascii="Palatino Linotype" w:eastAsia="Arial Unicode MS" w:hAnsi="Palatino Linotype" w:cs="Times New Roman"/>
          <w:sz w:val="24"/>
          <w:szCs w:val="24"/>
          <w:bdr w:val="nil"/>
        </w:rPr>
        <w:t xml:space="preserve"> </w:t>
      </w:r>
      <w:r w:rsidR="00E97758" w:rsidRPr="00590481">
        <w:rPr>
          <w:rFonts w:ascii="Palatino Linotype" w:eastAsia="Arial Unicode MS" w:hAnsi="Palatino Linotype" w:cs="Arial"/>
          <w:color w:val="000000" w:themeColor="text1"/>
          <w:sz w:val="24"/>
          <w:szCs w:val="24"/>
          <w:bdr w:val="nil"/>
        </w:rPr>
        <w:t xml:space="preserve">procedimiento al que se le asignó el número de expediente </w:t>
      </w:r>
      <w:r w:rsidR="0081295F">
        <w:rPr>
          <w:rFonts w:ascii="Palatino Linotype" w:eastAsia="Arial Unicode MS" w:hAnsi="Palatino Linotype" w:cs="Times New Roman"/>
          <w:b/>
          <w:sz w:val="24"/>
          <w:szCs w:val="24"/>
          <w:bdr w:val="nil"/>
        </w:rPr>
        <w:t>00097</w:t>
      </w:r>
      <w:r w:rsidR="00E97758" w:rsidRPr="00590481">
        <w:rPr>
          <w:rFonts w:ascii="Palatino Linotype" w:eastAsia="Arial Unicode MS" w:hAnsi="Palatino Linotype" w:cs="Times New Roman"/>
          <w:b/>
          <w:sz w:val="24"/>
          <w:szCs w:val="24"/>
          <w:bdr w:val="nil"/>
        </w:rPr>
        <w:t>/INFOEM/</w:t>
      </w:r>
      <w:r w:rsidR="0081295F">
        <w:rPr>
          <w:rFonts w:ascii="Palatino Linotype" w:eastAsia="Arial Unicode MS" w:hAnsi="Palatino Linotype" w:cs="Times New Roman"/>
          <w:b/>
          <w:sz w:val="24"/>
          <w:szCs w:val="24"/>
          <w:bdr w:val="nil"/>
        </w:rPr>
        <w:t>IP</w:t>
      </w:r>
      <w:r w:rsidR="00E97758" w:rsidRPr="00590481">
        <w:rPr>
          <w:rFonts w:ascii="Palatino Linotype" w:eastAsia="Arial Unicode MS" w:hAnsi="Palatino Linotype" w:cs="Times New Roman"/>
          <w:b/>
          <w:sz w:val="24"/>
          <w:szCs w:val="24"/>
          <w:bdr w:val="nil"/>
        </w:rPr>
        <w:t>/RR/</w:t>
      </w:r>
      <w:r w:rsidR="0081295F">
        <w:rPr>
          <w:rFonts w:ascii="Palatino Linotype" w:eastAsia="Arial Unicode MS" w:hAnsi="Palatino Linotype" w:cs="Times New Roman"/>
          <w:b/>
          <w:sz w:val="24"/>
          <w:szCs w:val="24"/>
          <w:bdr w:val="nil"/>
        </w:rPr>
        <w:t>2022</w:t>
      </w:r>
      <w:r w:rsidR="0027773D" w:rsidRPr="00590481">
        <w:rPr>
          <w:rFonts w:ascii="Palatino Linotype" w:eastAsia="Arial Unicode MS" w:hAnsi="Palatino Linotype" w:cs="Times New Roman"/>
          <w:b/>
          <w:sz w:val="24"/>
          <w:szCs w:val="24"/>
          <w:bdr w:val="nil"/>
        </w:rPr>
        <w:t xml:space="preserve">. </w:t>
      </w:r>
    </w:p>
    <w:p w14:paraId="6FCFE9F9" w14:textId="77777777" w:rsidR="00213603" w:rsidRPr="00590481" w:rsidRDefault="00213603"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3938782A" w14:textId="7CD79D81" w:rsidR="00213603" w:rsidRPr="00040B73" w:rsidRDefault="00213603" w:rsidP="0037658F">
      <w:pPr>
        <w:numPr>
          <w:ilvl w:val="0"/>
          <w:numId w:val="9"/>
        </w:numPr>
        <w:spacing w:after="0" w:line="360" w:lineRule="auto"/>
        <w:ind w:left="0" w:firstLine="0"/>
        <w:contextualSpacing/>
        <w:jc w:val="both"/>
        <w:rPr>
          <w:rFonts w:ascii="Palatino Linotype" w:eastAsia="Calibri" w:hAnsi="Palatino Linotype" w:cs="Arial"/>
          <w:sz w:val="24"/>
          <w:szCs w:val="24"/>
          <w:lang w:val="es-ES" w:eastAsia="es-ES"/>
        </w:rPr>
      </w:pPr>
      <w:r w:rsidRPr="00040B73">
        <w:rPr>
          <w:rFonts w:ascii="Palatino Linotype" w:eastAsia="Calibri" w:hAnsi="Palatino Linotype" w:cs="Arial"/>
          <w:sz w:val="24"/>
          <w:szCs w:val="24"/>
          <w:lang w:val="es-ES" w:eastAsia="es-ES"/>
        </w:rPr>
        <w:t>La resolución aprobada por la mayoría del Pleno de este Órgano Garante determin</w:t>
      </w:r>
      <w:r w:rsidR="00502CAF" w:rsidRPr="00040B73">
        <w:rPr>
          <w:rFonts w:ascii="Palatino Linotype" w:eastAsia="Calibri" w:hAnsi="Palatino Linotype" w:cs="Arial"/>
          <w:sz w:val="24"/>
          <w:szCs w:val="24"/>
          <w:lang w:val="es-ES" w:eastAsia="es-ES"/>
        </w:rPr>
        <w:t xml:space="preserve">ó procedente </w:t>
      </w:r>
      <w:r w:rsidR="0081295F" w:rsidRPr="00040B73">
        <w:rPr>
          <w:rFonts w:ascii="Palatino Linotype" w:eastAsia="Calibri" w:hAnsi="Palatino Linotype" w:cs="Arial"/>
          <w:b/>
          <w:bCs/>
          <w:sz w:val="24"/>
          <w:szCs w:val="24"/>
          <w:lang w:val="es-ES" w:eastAsia="es-ES"/>
        </w:rPr>
        <w:t>CONFIRMAR</w:t>
      </w:r>
      <w:r w:rsidRPr="00040B73">
        <w:rPr>
          <w:rFonts w:ascii="Palatino Linotype" w:eastAsia="Calibri" w:hAnsi="Palatino Linotype" w:cs="Arial"/>
          <w:b/>
          <w:bCs/>
          <w:sz w:val="24"/>
          <w:szCs w:val="24"/>
          <w:lang w:val="es-ES" w:eastAsia="es-ES"/>
        </w:rPr>
        <w:t xml:space="preserve"> </w:t>
      </w:r>
      <w:r w:rsidR="0081295F" w:rsidRPr="00040B73">
        <w:rPr>
          <w:rFonts w:ascii="Palatino Linotype" w:eastAsia="Calibri" w:hAnsi="Palatino Linotype" w:cs="Arial"/>
          <w:sz w:val="24"/>
          <w:szCs w:val="24"/>
          <w:lang w:val="es-ES" w:eastAsia="es-ES"/>
        </w:rPr>
        <w:t xml:space="preserve">la respuesta del </w:t>
      </w:r>
      <w:r w:rsidR="0081295F" w:rsidRPr="00040B73">
        <w:rPr>
          <w:rFonts w:ascii="Palatino Linotype" w:eastAsia="Calibri" w:hAnsi="Palatino Linotype" w:cs="Arial"/>
          <w:b/>
          <w:bCs/>
          <w:sz w:val="24"/>
          <w:szCs w:val="24"/>
          <w:lang w:val="es-ES" w:eastAsia="es-ES"/>
        </w:rPr>
        <w:t>SUJETO OBLIGADO</w:t>
      </w:r>
      <w:r w:rsidRPr="00040B73">
        <w:rPr>
          <w:rFonts w:ascii="Palatino Linotype" w:eastAsia="Calibri" w:hAnsi="Palatino Linotype" w:cs="Arial"/>
          <w:sz w:val="24"/>
          <w:szCs w:val="24"/>
          <w:lang w:val="es-ES" w:eastAsia="es-ES"/>
        </w:rPr>
        <w:t xml:space="preserve">, situación que no </w:t>
      </w:r>
      <w:r w:rsidR="00082C80" w:rsidRPr="00040B73">
        <w:rPr>
          <w:rFonts w:ascii="Palatino Linotype" w:eastAsia="Calibri" w:hAnsi="Palatino Linotype" w:cs="Arial"/>
          <w:sz w:val="24"/>
          <w:szCs w:val="24"/>
          <w:lang w:val="es-ES" w:eastAsia="es-ES"/>
        </w:rPr>
        <w:t xml:space="preserve">se </w:t>
      </w:r>
      <w:r w:rsidRPr="00040B73">
        <w:rPr>
          <w:rFonts w:ascii="Palatino Linotype" w:eastAsia="Calibri" w:hAnsi="Palatino Linotype" w:cs="Arial"/>
          <w:sz w:val="24"/>
          <w:szCs w:val="24"/>
          <w:lang w:val="es-ES" w:eastAsia="es-ES"/>
        </w:rPr>
        <w:t>compart</w:t>
      </w:r>
      <w:r w:rsidR="00082C80" w:rsidRPr="00040B73">
        <w:rPr>
          <w:rFonts w:ascii="Palatino Linotype" w:eastAsia="Calibri" w:hAnsi="Palatino Linotype" w:cs="Arial"/>
          <w:sz w:val="24"/>
          <w:szCs w:val="24"/>
          <w:lang w:val="es-ES" w:eastAsia="es-ES"/>
        </w:rPr>
        <w:t>e</w:t>
      </w:r>
      <w:r w:rsidRPr="00040B73">
        <w:rPr>
          <w:rFonts w:ascii="Palatino Linotype" w:eastAsia="Calibri" w:hAnsi="Palatino Linotype" w:cs="Arial"/>
          <w:sz w:val="24"/>
          <w:szCs w:val="24"/>
          <w:lang w:val="es-ES" w:eastAsia="es-ES"/>
        </w:rPr>
        <w:t xml:space="preserve"> </w:t>
      </w:r>
      <w:r w:rsidR="00FF36DB" w:rsidRPr="00040B73">
        <w:rPr>
          <w:rFonts w:ascii="Palatino Linotype" w:eastAsia="Calibri" w:hAnsi="Palatino Linotype" w:cs="Arial"/>
          <w:sz w:val="24"/>
          <w:szCs w:val="24"/>
          <w:lang w:val="es-ES" w:eastAsia="es-ES"/>
        </w:rPr>
        <w:t>dado que</w:t>
      </w:r>
      <w:r w:rsidR="00082C80" w:rsidRPr="00040B73">
        <w:rPr>
          <w:rFonts w:ascii="Palatino Linotype" w:eastAsia="Calibri" w:hAnsi="Palatino Linotype" w:cs="Arial"/>
          <w:sz w:val="24"/>
          <w:szCs w:val="24"/>
          <w:lang w:val="es-ES" w:eastAsia="es-ES"/>
        </w:rPr>
        <w:t xml:space="preserve"> se</w:t>
      </w:r>
      <w:r w:rsidR="00FF36DB" w:rsidRPr="00040B73">
        <w:rPr>
          <w:rFonts w:ascii="Palatino Linotype" w:eastAsia="Calibri" w:hAnsi="Palatino Linotype" w:cs="Arial"/>
          <w:sz w:val="24"/>
          <w:szCs w:val="24"/>
          <w:lang w:val="es-ES" w:eastAsia="es-ES"/>
        </w:rPr>
        <w:t xml:space="preserve"> omitió analizar </w:t>
      </w:r>
      <w:r w:rsidR="00FF36DB" w:rsidRPr="00040B73">
        <w:rPr>
          <w:rFonts w:ascii="Palatino Linotype" w:eastAsia="Calibri" w:hAnsi="Palatino Linotype" w:cs="Arial"/>
          <w:i/>
          <w:iCs/>
          <w:sz w:val="24"/>
          <w:szCs w:val="24"/>
          <w:lang w:val="es-ES" w:eastAsia="es-ES"/>
        </w:rPr>
        <w:t>ex oficio</w:t>
      </w:r>
      <w:r w:rsidR="00FF36DB" w:rsidRPr="00040B73">
        <w:rPr>
          <w:rFonts w:ascii="Palatino Linotype" w:eastAsia="Calibri" w:hAnsi="Palatino Linotype" w:cs="Arial"/>
          <w:sz w:val="24"/>
          <w:szCs w:val="24"/>
          <w:lang w:val="es-ES" w:eastAsia="es-ES"/>
        </w:rPr>
        <w:t xml:space="preserve"> si dentro del presente asunto se actualizaba alguna de las causales de excepción a la reserva de información consideradas en el artículo 142 de la Ley de Transparencia y Acceso a la Información Pública del Estado de México y Municipios</w:t>
      </w:r>
      <w:r w:rsidR="00F53756" w:rsidRPr="00040B73">
        <w:rPr>
          <w:rFonts w:ascii="Palatino Linotype" w:eastAsia="Calibri" w:hAnsi="Palatino Linotype" w:cs="Arial"/>
          <w:sz w:val="24"/>
          <w:szCs w:val="24"/>
          <w:lang w:val="es-ES" w:eastAsia="es-ES"/>
        </w:rPr>
        <w:t xml:space="preserve">; que, de haberlo hecho, </w:t>
      </w:r>
      <w:r w:rsidR="00F53756" w:rsidRPr="00040B73">
        <w:rPr>
          <w:rFonts w:ascii="Palatino Linotype" w:eastAsia="Calibri" w:hAnsi="Palatino Linotype" w:cs="Arial"/>
          <w:sz w:val="24"/>
          <w:szCs w:val="24"/>
          <w:lang w:val="es-ES" w:eastAsia="es-ES"/>
        </w:rPr>
        <w:lastRenderedPageBreak/>
        <w:t xml:space="preserve">habría detectado que el expediente solicitado se relaciona con </w:t>
      </w:r>
      <w:r w:rsidR="00040B73" w:rsidRPr="00040B73">
        <w:rPr>
          <w:rFonts w:ascii="Palatino Linotype" w:eastAsia="Calibri" w:hAnsi="Palatino Linotype" w:cs="Arial"/>
          <w:b/>
          <w:sz w:val="24"/>
          <w:szCs w:val="24"/>
          <w:lang w:val="es-ES" w:eastAsia="es-ES"/>
        </w:rPr>
        <w:t>la investigación de posibles violaciones graves de derechos humanos aun cuando no exista pronunciamiento previo de autoridad competente, cuando se determine, a partir de criterios cuantitativos y cualitativos la trascendencia social de las violaciones; e información relacionada con actos de corrupción de conformidad con las disposiciones jurídicas aplicables</w:t>
      </w:r>
      <w:r w:rsidR="00F53756" w:rsidRPr="00040B73">
        <w:rPr>
          <w:rFonts w:ascii="Palatino Linotype" w:eastAsia="Calibri" w:hAnsi="Palatino Linotype" w:cs="Arial"/>
          <w:sz w:val="24"/>
          <w:szCs w:val="24"/>
          <w:lang w:val="es-ES" w:eastAsia="es-ES"/>
        </w:rPr>
        <w:t>, por lo que no ha lugar clasificarlo por reserva.</w:t>
      </w:r>
    </w:p>
    <w:p w14:paraId="2D7A075D"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4EF4AA26" w14:textId="1E19F8D1" w:rsidR="0081295F" w:rsidRDefault="00082C80"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Como se advierte del</w:t>
      </w:r>
      <w:r w:rsidR="00C80F04" w:rsidRPr="00C80F04">
        <w:rPr>
          <w:rFonts w:ascii="Palatino Linotype" w:eastAsia="Calibri" w:hAnsi="Palatino Linotype" w:cs="Arial"/>
          <w:sz w:val="24"/>
          <w:szCs w:val="24"/>
          <w:lang w:eastAsia="es-ES"/>
        </w:rPr>
        <w:t xml:space="preserve"> contenido del Acuerdo de Clasificación </w:t>
      </w:r>
      <w:r w:rsidR="00C80F04">
        <w:rPr>
          <w:rFonts w:ascii="Palatino Linotype" w:eastAsia="Calibri" w:hAnsi="Palatino Linotype" w:cs="Arial"/>
          <w:sz w:val="24"/>
          <w:szCs w:val="24"/>
          <w:lang w:eastAsia="es-ES"/>
        </w:rPr>
        <w:t>88/2021</w:t>
      </w:r>
      <w:r w:rsidR="00C80F04" w:rsidRPr="00C80F04">
        <w:rPr>
          <w:rFonts w:ascii="Palatino Linotype" w:eastAsia="Calibri" w:hAnsi="Palatino Linotype" w:cs="Arial"/>
          <w:sz w:val="24"/>
          <w:szCs w:val="24"/>
          <w:lang w:eastAsia="es-ES"/>
        </w:rPr>
        <w:t xml:space="preserve">, el </w:t>
      </w:r>
      <w:r w:rsidR="00C80F04" w:rsidRPr="00C80F04">
        <w:rPr>
          <w:rFonts w:ascii="Palatino Linotype" w:eastAsia="Calibri" w:hAnsi="Palatino Linotype" w:cs="Arial"/>
          <w:b/>
          <w:bCs/>
          <w:sz w:val="24"/>
          <w:szCs w:val="24"/>
          <w:lang w:eastAsia="es-ES"/>
        </w:rPr>
        <w:t>SUJETO OBLIGADO</w:t>
      </w:r>
      <w:r w:rsidR="00C80F04" w:rsidRPr="00C80F04">
        <w:rPr>
          <w:rFonts w:ascii="Palatino Linotype" w:eastAsia="Calibri" w:hAnsi="Palatino Linotype" w:cs="Arial"/>
          <w:sz w:val="24"/>
          <w:szCs w:val="24"/>
          <w:lang w:eastAsia="es-ES"/>
        </w:rPr>
        <w:t xml:space="preserve"> </w:t>
      </w:r>
      <w:r w:rsidR="00040B73">
        <w:rPr>
          <w:rFonts w:ascii="Palatino Linotype" w:eastAsia="Calibri" w:hAnsi="Palatino Linotype" w:cs="Arial"/>
          <w:sz w:val="24"/>
          <w:szCs w:val="24"/>
          <w:lang w:eastAsia="es-ES"/>
        </w:rPr>
        <w:t xml:space="preserve">no atendió </w:t>
      </w:r>
      <w:r w:rsidR="00C80F04" w:rsidRPr="00C80F04">
        <w:rPr>
          <w:rFonts w:ascii="Palatino Linotype" w:eastAsia="Calibri" w:hAnsi="Palatino Linotype" w:cs="Arial"/>
          <w:sz w:val="24"/>
          <w:szCs w:val="24"/>
          <w:lang w:eastAsia="es-ES"/>
        </w:rPr>
        <w:t xml:space="preserve"> ninguno de los criterios de fondo para demostrar que, en el caso específico, se actualizaba alguna de las causales de reserva de la información requerida a través de la solicitud </w:t>
      </w:r>
      <w:r w:rsidR="0050723D">
        <w:rPr>
          <w:rFonts w:ascii="Palatino Linotype" w:eastAsia="Calibri" w:hAnsi="Palatino Linotype" w:cs="Arial"/>
          <w:b/>
          <w:bCs/>
          <w:sz w:val="24"/>
          <w:szCs w:val="24"/>
          <w:lang w:eastAsia="es-ES"/>
        </w:rPr>
        <w:t>01197</w:t>
      </w:r>
      <w:r w:rsidR="00C80F04" w:rsidRPr="00C80F04">
        <w:rPr>
          <w:rFonts w:ascii="Palatino Linotype" w:eastAsia="Calibri" w:hAnsi="Palatino Linotype" w:cs="Arial"/>
          <w:b/>
          <w:bCs/>
          <w:sz w:val="24"/>
          <w:szCs w:val="24"/>
          <w:lang w:eastAsia="es-ES"/>
        </w:rPr>
        <w:t>/</w:t>
      </w:r>
      <w:r w:rsidR="0050723D">
        <w:rPr>
          <w:rFonts w:ascii="Palatino Linotype" w:eastAsia="Calibri" w:hAnsi="Palatino Linotype" w:cs="Arial"/>
          <w:b/>
          <w:bCs/>
          <w:sz w:val="24"/>
          <w:szCs w:val="24"/>
          <w:lang w:eastAsia="es-ES"/>
        </w:rPr>
        <w:t>FGJ</w:t>
      </w:r>
      <w:r w:rsidR="00C80F04" w:rsidRPr="00C80F04">
        <w:rPr>
          <w:rFonts w:ascii="Palatino Linotype" w:eastAsia="Calibri" w:hAnsi="Palatino Linotype" w:cs="Arial"/>
          <w:b/>
          <w:bCs/>
          <w:sz w:val="24"/>
          <w:szCs w:val="24"/>
          <w:lang w:eastAsia="es-ES"/>
        </w:rPr>
        <w:t>/IP/</w:t>
      </w:r>
      <w:r w:rsidR="0050723D">
        <w:rPr>
          <w:rFonts w:ascii="Palatino Linotype" w:eastAsia="Calibri" w:hAnsi="Palatino Linotype" w:cs="Arial"/>
          <w:b/>
          <w:bCs/>
          <w:sz w:val="24"/>
          <w:szCs w:val="24"/>
          <w:lang w:eastAsia="es-ES"/>
        </w:rPr>
        <w:t>2022</w:t>
      </w:r>
      <w:r w:rsidR="00C80F04" w:rsidRPr="00C80F04">
        <w:rPr>
          <w:rFonts w:ascii="Palatino Linotype" w:eastAsia="Calibri" w:hAnsi="Palatino Linotype" w:cs="Arial"/>
          <w:sz w:val="24"/>
          <w:szCs w:val="24"/>
          <w:lang w:eastAsia="es-ES"/>
        </w:rPr>
        <w:t xml:space="preserve">, pues </w:t>
      </w:r>
      <w:r w:rsidR="00C80F04" w:rsidRPr="00C80F04">
        <w:rPr>
          <w:rFonts w:ascii="Palatino Linotype" w:eastAsia="Calibri" w:hAnsi="Palatino Linotype" w:cs="Arial"/>
          <w:i/>
          <w:iCs/>
          <w:sz w:val="24"/>
          <w:szCs w:val="24"/>
          <w:lang w:eastAsia="es-ES"/>
        </w:rPr>
        <w:t>grosso modo</w:t>
      </w:r>
      <w:r w:rsidR="00C80F04" w:rsidRPr="00C80F04">
        <w:rPr>
          <w:rFonts w:ascii="Palatino Linotype" w:eastAsia="Calibri" w:hAnsi="Palatino Linotype" w:cs="Arial"/>
          <w:sz w:val="24"/>
          <w:szCs w:val="24"/>
          <w:lang w:eastAsia="es-ES"/>
        </w:rPr>
        <w:t xml:space="preserve"> </w:t>
      </w:r>
      <w:r w:rsidR="00C80F04" w:rsidRPr="00C80F04">
        <w:rPr>
          <w:rFonts w:ascii="Palatino Linotype" w:eastAsia="Calibri" w:hAnsi="Palatino Linotype" w:cs="Arial"/>
          <w:b/>
          <w:bCs/>
          <w:sz w:val="24"/>
          <w:szCs w:val="24"/>
          <w:lang w:eastAsia="es-ES"/>
        </w:rPr>
        <w:t xml:space="preserve">únicamente se limitó a referir que la difusión de la información “podría” </w:t>
      </w:r>
      <w:r w:rsidR="0050723D">
        <w:rPr>
          <w:rFonts w:ascii="Palatino Linotype" w:eastAsia="Calibri" w:hAnsi="Palatino Linotype" w:cs="Arial"/>
          <w:b/>
          <w:bCs/>
          <w:sz w:val="24"/>
          <w:szCs w:val="24"/>
          <w:lang w:eastAsia="es-ES"/>
        </w:rPr>
        <w:t>obstaculizar el proceso de investigación y, en consecuencia, la determinación del Ministerio Público</w:t>
      </w:r>
      <w:r w:rsidR="00C80F04" w:rsidRPr="00C80F04">
        <w:rPr>
          <w:rFonts w:ascii="Palatino Linotype" w:eastAsia="Calibri" w:hAnsi="Palatino Linotype" w:cs="Arial"/>
          <w:b/>
          <w:bCs/>
          <w:sz w:val="24"/>
          <w:szCs w:val="24"/>
          <w:lang w:eastAsia="es-ES"/>
        </w:rPr>
        <w:t xml:space="preserve">; además, “podría” </w:t>
      </w:r>
      <w:r w:rsidR="0050723D">
        <w:rPr>
          <w:rFonts w:ascii="Palatino Linotype" w:eastAsia="Calibri" w:hAnsi="Palatino Linotype" w:cs="Arial"/>
          <w:b/>
          <w:bCs/>
          <w:sz w:val="24"/>
          <w:szCs w:val="24"/>
          <w:lang w:eastAsia="es-ES"/>
        </w:rPr>
        <w:t>traer como consecuencia que el gobernado se abstenga de denunciar la comisión de delitos cometidos en su contra o de otras personas</w:t>
      </w:r>
      <w:r w:rsidR="00C80F04" w:rsidRPr="00C80F04">
        <w:rPr>
          <w:rFonts w:ascii="Palatino Linotype" w:eastAsia="Calibri" w:hAnsi="Palatino Linotype" w:cs="Arial"/>
          <w:sz w:val="24"/>
          <w:szCs w:val="24"/>
          <w:lang w:eastAsia="es-ES"/>
        </w:rPr>
        <w:t xml:space="preserve">, sin jamás establecer una teoría </w:t>
      </w:r>
      <w:r w:rsidR="0050723D">
        <w:rPr>
          <w:rFonts w:ascii="Palatino Linotype" w:eastAsia="Calibri" w:hAnsi="Palatino Linotype" w:cs="Arial"/>
          <w:sz w:val="24"/>
          <w:szCs w:val="24"/>
          <w:lang w:eastAsia="es-ES"/>
        </w:rPr>
        <w:t>de estos</w:t>
      </w:r>
      <w:r w:rsidR="00C80F04" w:rsidRPr="00C80F04">
        <w:rPr>
          <w:rFonts w:ascii="Palatino Linotype" w:eastAsia="Calibri" w:hAnsi="Palatino Linotype" w:cs="Arial"/>
          <w:sz w:val="24"/>
          <w:szCs w:val="24"/>
          <w:lang w:eastAsia="es-ES"/>
        </w:rPr>
        <w:t xml:space="preserve"> caso</w:t>
      </w:r>
      <w:r w:rsidR="0050723D">
        <w:rPr>
          <w:rFonts w:ascii="Palatino Linotype" w:eastAsia="Calibri" w:hAnsi="Palatino Linotype" w:cs="Arial"/>
          <w:sz w:val="24"/>
          <w:szCs w:val="24"/>
          <w:lang w:eastAsia="es-ES"/>
        </w:rPr>
        <w:t>s</w:t>
      </w:r>
      <w:r w:rsidR="00C80F04" w:rsidRPr="00C80F04">
        <w:rPr>
          <w:rFonts w:ascii="Palatino Linotype" w:eastAsia="Calibri" w:hAnsi="Palatino Linotype" w:cs="Arial"/>
          <w:sz w:val="24"/>
          <w:szCs w:val="24"/>
          <w:lang w:eastAsia="es-ES"/>
        </w:rPr>
        <w:t xml:space="preserve"> en concret</w:t>
      </w:r>
      <w:r w:rsidR="0050723D">
        <w:rPr>
          <w:rFonts w:ascii="Palatino Linotype" w:eastAsia="Calibri" w:hAnsi="Palatino Linotype" w:cs="Arial"/>
          <w:sz w:val="24"/>
          <w:szCs w:val="24"/>
          <w:lang w:eastAsia="es-ES"/>
        </w:rPr>
        <w:t>o,</w:t>
      </w:r>
      <w:r w:rsidR="00C80F04" w:rsidRPr="00C80F04">
        <w:rPr>
          <w:rFonts w:ascii="Palatino Linotype" w:eastAsia="Calibri" w:hAnsi="Palatino Linotype" w:cs="Arial"/>
          <w:sz w:val="24"/>
          <w:szCs w:val="24"/>
          <w:lang w:eastAsia="es-ES"/>
        </w:rPr>
        <w:t xml:space="preserve"> o de la información o documentación específica que actualizara alguna de las diversas fracciones del artículo 140 de la Ley de la materia, dejando al particular en un total estado de </w:t>
      </w:r>
      <w:r w:rsidR="00C80F04" w:rsidRPr="00C80F04">
        <w:rPr>
          <w:rFonts w:ascii="Palatino Linotype" w:eastAsia="Calibri" w:hAnsi="Palatino Linotype" w:cs="Arial"/>
          <w:b/>
          <w:bCs/>
          <w:sz w:val="24"/>
          <w:szCs w:val="24"/>
          <w:lang w:eastAsia="es-ES"/>
        </w:rPr>
        <w:t>incertidumbre</w:t>
      </w:r>
      <w:r w:rsidR="00C80F04" w:rsidRPr="00C80F04">
        <w:rPr>
          <w:rFonts w:ascii="Palatino Linotype" w:eastAsia="Calibri" w:hAnsi="Palatino Linotype" w:cs="Arial"/>
          <w:sz w:val="24"/>
          <w:szCs w:val="24"/>
          <w:lang w:eastAsia="es-ES"/>
        </w:rPr>
        <w:t>.</w:t>
      </w:r>
    </w:p>
    <w:p w14:paraId="5815F671"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46ED7A9A" w14:textId="22DDEA3D" w:rsidR="0081295F" w:rsidRDefault="000F2AE3"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Por otro lado,</w:t>
      </w:r>
      <w:r w:rsidR="003319CA">
        <w:rPr>
          <w:rFonts w:ascii="Palatino Linotype" w:eastAsia="Calibri" w:hAnsi="Palatino Linotype" w:cs="Arial"/>
          <w:sz w:val="24"/>
          <w:szCs w:val="24"/>
          <w:lang w:val="es-ES" w:eastAsia="es-ES"/>
        </w:rPr>
        <w:t xml:space="preserve"> no debe perderse de vista que la anterior Ley de Transparencia y Acceso a la Información Pública del Estado de México y Municipios, </w:t>
      </w:r>
      <w:r w:rsidR="003319CA" w:rsidRPr="003319CA">
        <w:rPr>
          <w:rFonts w:ascii="Palatino Linotype" w:eastAsia="Calibri" w:hAnsi="Palatino Linotype" w:cs="Arial"/>
          <w:b/>
          <w:bCs/>
          <w:sz w:val="24"/>
          <w:szCs w:val="24"/>
          <w:lang w:val="es-ES" w:eastAsia="es-ES"/>
        </w:rPr>
        <w:t>abrogada el cuatro (04) de mayo de dos mil dieciséis</w:t>
      </w:r>
      <w:r w:rsidR="003319CA">
        <w:rPr>
          <w:rFonts w:ascii="Palatino Linotype" w:eastAsia="Calibri" w:hAnsi="Palatino Linotype" w:cs="Arial"/>
          <w:sz w:val="24"/>
          <w:szCs w:val="24"/>
          <w:lang w:val="es-ES" w:eastAsia="es-ES"/>
        </w:rPr>
        <w:t xml:space="preserve">, en su artículo 21, establecía lo siguiente: </w:t>
      </w:r>
    </w:p>
    <w:p w14:paraId="0A791EF6" w14:textId="718E649A"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5034B5A9" w14:textId="77777777" w:rsidR="003319CA" w:rsidRDefault="003319CA" w:rsidP="003319CA">
      <w:pPr>
        <w:tabs>
          <w:tab w:val="left" w:pos="426"/>
        </w:tabs>
        <w:spacing w:after="0" w:line="276" w:lineRule="auto"/>
        <w:ind w:left="567" w:right="567"/>
        <w:contextualSpacing/>
        <w:jc w:val="both"/>
        <w:rPr>
          <w:rFonts w:ascii="Palatino Linotype" w:eastAsia="Calibri" w:hAnsi="Palatino Linotype" w:cs="Arial"/>
          <w:i/>
          <w:iCs/>
          <w:lang w:eastAsia="es-ES"/>
        </w:rPr>
      </w:pPr>
      <w:r>
        <w:rPr>
          <w:rFonts w:ascii="Palatino Linotype" w:eastAsia="Calibri" w:hAnsi="Palatino Linotype" w:cs="Arial"/>
          <w:i/>
          <w:iCs/>
          <w:lang w:val="es-ES" w:eastAsia="es-ES"/>
        </w:rPr>
        <w:t>“</w:t>
      </w:r>
      <w:r w:rsidRPr="003319CA">
        <w:rPr>
          <w:rFonts w:ascii="Palatino Linotype" w:eastAsia="Calibri" w:hAnsi="Palatino Linotype" w:cs="Arial"/>
          <w:b/>
          <w:bCs/>
          <w:i/>
          <w:iCs/>
          <w:lang w:val="es-ES" w:eastAsia="es-ES"/>
        </w:rPr>
        <w:t xml:space="preserve">Artículo </w:t>
      </w:r>
      <w:r w:rsidRPr="003319CA">
        <w:rPr>
          <w:rFonts w:ascii="Palatino Linotype" w:eastAsia="Calibri" w:hAnsi="Palatino Linotype" w:cs="Arial"/>
          <w:b/>
          <w:bCs/>
          <w:i/>
          <w:iCs/>
          <w:lang w:eastAsia="es-ES"/>
        </w:rPr>
        <w:t>21.-</w:t>
      </w:r>
      <w:r w:rsidRPr="003319CA">
        <w:rPr>
          <w:rFonts w:ascii="Palatino Linotype" w:eastAsia="Calibri" w:hAnsi="Palatino Linotype" w:cs="Arial"/>
          <w:i/>
          <w:iCs/>
          <w:lang w:eastAsia="es-ES"/>
        </w:rPr>
        <w:t xml:space="preserve"> El acuerdo que clasifique la información como reservada deberá contener los siguientes elementos: </w:t>
      </w:r>
    </w:p>
    <w:p w14:paraId="125FF18E" w14:textId="77777777" w:rsidR="003319CA" w:rsidRDefault="003319CA" w:rsidP="003319CA">
      <w:pPr>
        <w:tabs>
          <w:tab w:val="left" w:pos="426"/>
        </w:tabs>
        <w:spacing w:after="0" w:line="276" w:lineRule="auto"/>
        <w:ind w:left="567" w:right="567"/>
        <w:contextualSpacing/>
        <w:jc w:val="both"/>
        <w:rPr>
          <w:rFonts w:ascii="Palatino Linotype" w:eastAsia="Calibri" w:hAnsi="Palatino Linotype" w:cs="Arial"/>
          <w:i/>
          <w:iCs/>
          <w:lang w:eastAsia="es-ES"/>
        </w:rPr>
      </w:pPr>
      <w:r w:rsidRPr="003319CA">
        <w:rPr>
          <w:rFonts w:ascii="Palatino Linotype" w:eastAsia="Calibri" w:hAnsi="Palatino Linotype" w:cs="Arial"/>
          <w:b/>
          <w:bCs/>
          <w:i/>
          <w:iCs/>
          <w:lang w:eastAsia="es-ES"/>
        </w:rPr>
        <w:t>I.</w:t>
      </w:r>
      <w:r w:rsidRPr="003319CA">
        <w:rPr>
          <w:rFonts w:ascii="Palatino Linotype" w:eastAsia="Calibri" w:hAnsi="Palatino Linotype" w:cs="Arial"/>
          <w:i/>
          <w:iCs/>
          <w:lang w:eastAsia="es-ES"/>
        </w:rPr>
        <w:t xml:space="preserve"> Un razonamiento lógico que demuestre que la información encuadra en alguna de las hipótesis de excepción previstas en la Ley; </w:t>
      </w:r>
    </w:p>
    <w:p w14:paraId="157A0200" w14:textId="77777777" w:rsidR="003319CA" w:rsidRDefault="003319CA" w:rsidP="003319CA">
      <w:pPr>
        <w:tabs>
          <w:tab w:val="left" w:pos="426"/>
        </w:tabs>
        <w:spacing w:after="0" w:line="276" w:lineRule="auto"/>
        <w:ind w:left="567" w:right="567"/>
        <w:contextualSpacing/>
        <w:jc w:val="both"/>
        <w:rPr>
          <w:rFonts w:ascii="Palatino Linotype" w:eastAsia="Calibri" w:hAnsi="Palatino Linotype" w:cs="Arial"/>
          <w:i/>
          <w:iCs/>
          <w:lang w:eastAsia="es-ES"/>
        </w:rPr>
      </w:pPr>
      <w:r w:rsidRPr="003319CA">
        <w:rPr>
          <w:rFonts w:ascii="Palatino Linotype" w:eastAsia="Calibri" w:hAnsi="Palatino Linotype" w:cs="Arial"/>
          <w:b/>
          <w:bCs/>
          <w:i/>
          <w:iCs/>
          <w:lang w:eastAsia="es-ES"/>
        </w:rPr>
        <w:t>II.</w:t>
      </w:r>
      <w:r w:rsidRPr="003319CA">
        <w:rPr>
          <w:rFonts w:ascii="Palatino Linotype" w:eastAsia="Calibri" w:hAnsi="Palatino Linotype" w:cs="Arial"/>
          <w:i/>
          <w:iCs/>
          <w:lang w:eastAsia="es-ES"/>
        </w:rPr>
        <w:t xml:space="preserve"> Que la liberación de la información de referencia pueda amenazar efectivamente el interés protegido por la Ley.</w:t>
      </w:r>
      <w:r>
        <w:rPr>
          <w:rFonts w:ascii="Palatino Linotype" w:eastAsia="Calibri" w:hAnsi="Palatino Linotype" w:cs="Arial"/>
          <w:i/>
          <w:iCs/>
          <w:lang w:eastAsia="es-ES"/>
        </w:rPr>
        <w:t xml:space="preserve"> </w:t>
      </w:r>
    </w:p>
    <w:p w14:paraId="7EB662AD" w14:textId="04AB8083" w:rsidR="003319CA" w:rsidRDefault="003319CA" w:rsidP="003319CA">
      <w:pPr>
        <w:tabs>
          <w:tab w:val="left" w:pos="426"/>
        </w:tabs>
        <w:spacing w:after="0" w:line="276" w:lineRule="auto"/>
        <w:ind w:left="567" w:right="567"/>
        <w:contextualSpacing/>
        <w:jc w:val="both"/>
        <w:rPr>
          <w:rFonts w:ascii="Palatino Linotype" w:eastAsia="Calibri" w:hAnsi="Palatino Linotype" w:cs="Arial"/>
          <w:i/>
          <w:iCs/>
          <w:lang w:eastAsia="es-ES"/>
        </w:rPr>
      </w:pPr>
      <w:r w:rsidRPr="003319CA">
        <w:rPr>
          <w:rFonts w:ascii="Palatino Linotype" w:eastAsia="Calibri" w:hAnsi="Palatino Linotype" w:cs="Arial"/>
          <w:b/>
          <w:bCs/>
          <w:i/>
          <w:iCs/>
          <w:lang w:eastAsia="es-ES"/>
        </w:rPr>
        <w:t>III.</w:t>
      </w:r>
      <w:r w:rsidRPr="003319CA">
        <w:rPr>
          <w:rFonts w:ascii="Palatino Linotype" w:eastAsia="Calibri" w:hAnsi="Palatino Linotype" w:cs="Arial"/>
          <w:i/>
          <w:iCs/>
          <w:lang w:eastAsia="es-ES"/>
        </w:rPr>
        <w:t xml:space="preserve"> </w:t>
      </w:r>
      <w:r w:rsidRPr="003319CA">
        <w:rPr>
          <w:rFonts w:ascii="Palatino Linotype" w:eastAsia="Calibri" w:hAnsi="Palatino Linotype" w:cs="Arial"/>
          <w:b/>
          <w:bCs/>
          <w:i/>
          <w:iCs/>
          <w:lang w:eastAsia="es-ES"/>
        </w:rPr>
        <w:t>La existencia de elementos objetivos que permitan determinar si la difusión de la información causaría un daño presente, probable y específico</w:t>
      </w:r>
      <w:r w:rsidRPr="003319CA">
        <w:rPr>
          <w:rFonts w:ascii="Palatino Linotype" w:eastAsia="Calibri" w:hAnsi="Palatino Linotype" w:cs="Arial"/>
          <w:i/>
          <w:iCs/>
          <w:lang w:eastAsia="es-ES"/>
        </w:rPr>
        <w:t xml:space="preserve"> a los intereses jurídicos tutelados en los supuestos de excepción previstos en la Ley.</w:t>
      </w:r>
      <w:r>
        <w:rPr>
          <w:rFonts w:ascii="Palatino Linotype" w:eastAsia="Calibri" w:hAnsi="Palatino Linotype" w:cs="Arial"/>
          <w:i/>
          <w:iCs/>
          <w:lang w:eastAsia="es-ES"/>
        </w:rPr>
        <w:t>”</w:t>
      </w:r>
    </w:p>
    <w:p w14:paraId="426DD225" w14:textId="49A1F4EF" w:rsidR="003319CA" w:rsidRPr="003319CA" w:rsidRDefault="003319CA" w:rsidP="003319CA">
      <w:pPr>
        <w:tabs>
          <w:tab w:val="left" w:pos="426"/>
        </w:tabs>
        <w:spacing w:after="0" w:line="276" w:lineRule="auto"/>
        <w:ind w:left="567" w:right="567"/>
        <w:contextualSpacing/>
        <w:jc w:val="both"/>
        <w:rPr>
          <w:rFonts w:ascii="Palatino Linotype" w:eastAsia="Calibri" w:hAnsi="Palatino Linotype" w:cs="Arial"/>
          <w:lang w:val="es-ES" w:eastAsia="es-ES"/>
        </w:rPr>
      </w:pPr>
      <w:r w:rsidRPr="003319CA">
        <w:rPr>
          <w:rFonts w:ascii="Palatino Linotype" w:eastAsia="Calibri" w:hAnsi="Palatino Linotype" w:cs="Arial"/>
          <w:lang w:eastAsia="es-ES"/>
        </w:rPr>
        <w:t>(Énfasis añadido)</w:t>
      </w:r>
    </w:p>
    <w:p w14:paraId="7E3BEE81" w14:textId="77777777" w:rsidR="003319CA" w:rsidRDefault="003319CA"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2A4738D2" w14:textId="4B0479BD" w:rsidR="0081295F" w:rsidRDefault="003319CA"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Así las cosas, uno de los elementos de fondo de los acuerdo de clasificación que sufrieron un cambio derivado de la nueva Ley de Transparencia y Acceso a la Información Pública del Estado de México y Municipios, </w:t>
      </w:r>
      <w:r w:rsidR="00504D1B">
        <w:rPr>
          <w:rFonts w:ascii="Palatino Linotype" w:eastAsia="Calibri" w:hAnsi="Palatino Linotype" w:cs="Arial"/>
          <w:sz w:val="24"/>
          <w:szCs w:val="24"/>
          <w:lang w:val="es-ES" w:eastAsia="es-ES"/>
        </w:rPr>
        <w:t xml:space="preserve">publicada en el Periódico Oficial </w:t>
      </w:r>
      <w:r w:rsidR="00504D1B">
        <w:rPr>
          <w:rFonts w:ascii="Palatino Linotype" w:eastAsia="Calibri" w:hAnsi="Palatino Linotype" w:cs="Arial"/>
          <w:i/>
          <w:iCs/>
          <w:sz w:val="24"/>
          <w:szCs w:val="24"/>
          <w:lang w:val="es-ES" w:eastAsia="es-ES"/>
        </w:rPr>
        <w:t>“Gaceta del Gobierno”</w:t>
      </w:r>
      <w:r w:rsidR="00504D1B">
        <w:rPr>
          <w:rFonts w:ascii="Palatino Linotype" w:eastAsia="Calibri" w:hAnsi="Palatino Linotype" w:cs="Arial"/>
          <w:sz w:val="24"/>
          <w:szCs w:val="24"/>
          <w:lang w:val="es-ES" w:eastAsia="es-ES"/>
        </w:rPr>
        <w:t xml:space="preserve"> el cuatro (04) de mayo de dos mil dieciséis, tiene que ver con la identificación del riesgo que supondría la divulgación de determinada información; esto es así, ya que anteriormente, </w:t>
      </w:r>
      <w:r w:rsidR="00504D1B" w:rsidRPr="00504D1B">
        <w:rPr>
          <w:rFonts w:ascii="Palatino Linotype" w:eastAsia="Calibri" w:hAnsi="Palatino Linotype" w:cs="Arial"/>
          <w:b/>
          <w:bCs/>
          <w:sz w:val="24"/>
          <w:szCs w:val="24"/>
          <w:lang w:val="es-ES" w:eastAsia="es-ES"/>
        </w:rPr>
        <w:t>con la Ley Abrogada, se requería demostrar la existencia de un daño presente, probable y específico</w:t>
      </w:r>
      <w:r w:rsidR="00504D1B">
        <w:rPr>
          <w:rFonts w:ascii="Palatino Linotype" w:eastAsia="Calibri" w:hAnsi="Palatino Linotype" w:cs="Arial"/>
          <w:sz w:val="24"/>
          <w:szCs w:val="24"/>
          <w:lang w:val="es-ES" w:eastAsia="es-ES"/>
        </w:rPr>
        <w:t xml:space="preserve"> a los intereses jurídicos tutelados, mientras que </w:t>
      </w:r>
      <w:r w:rsidR="00504D1B" w:rsidRPr="00504D1B">
        <w:rPr>
          <w:rFonts w:ascii="Palatino Linotype" w:eastAsia="Calibri" w:hAnsi="Palatino Linotype" w:cs="Arial"/>
          <w:b/>
          <w:bCs/>
          <w:sz w:val="24"/>
          <w:szCs w:val="24"/>
          <w:lang w:val="es-ES" w:eastAsia="es-ES"/>
        </w:rPr>
        <w:t>en la Ley Vigente, se necesita demostrar que la divulgación representa un riesgo real, demostrable e identificable</w:t>
      </w:r>
      <w:r w:rsidR="00504D1B">
        <w:rPr>
          <w:rFonts w:ascii="Palatino Linotype" w:eastAsia="Calibri" w:hAnsi="Palatino Linotype" w:cs="Arial"/>
          <w:sz w:val="24"/>
          <w:szCs w:val="24"/>
          <w:lang w:val="es-ES" w:eastAsia="es-ES"/>
        </w:rPr>
        <w:t xml:space="preserve"> del perjuicio significativo al interés público.</w:t>
      </w:r>
    </w:p>
    <w:p w14:paraId="5DD88D9F"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58112BE3" w14:textId="1D0871F4" w:rsidR="0081295F" w:rsidRDefault="000F2AE3"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La aclaración anterior se menciona toda vez que el </w:t>
      </w:r>
      <w:r>
        <w:rPr>
          <w:rFonts w:ascii="Palatino Linotype" w:eastAsia="Calibri" w:hAnsi="Palatino Linotype" w:cs="Arial"/>
          <w:b/>
          <w:bCs/>
          <w:sz w:val="24"/>
          <w:szCs w:val="24"/>
          <w:lang w:val="es-ES" w:eastAsia="es-ES"/>
        </w:rPr>
        <w:t>SUJETO OBLIGADO</w:t>
      </w:r>
      <w:r>
        <w:rPr>
          <w:rFonts w:ascii="Palatino Linotype" w:eastAsia="Calibri" w:hAnsi="Palatino Linotype" w:cs="Arial"/>
          <w:sz w:val="24"/>
          <w:szCs w:val="24"/>
          <w:lang w:val="es-ES" w:eastAsia="es-ES"/>
        </w:rPr>
        <w:t xml:space="preserve"> falló en demostrar que la publicidad de la información representaba un riego real, demostrable e identificable, pues en el apartado respectivo, únicamente refirió que </w:t>
      </w:r>
      <w:r w:rsidRPr="00FE4391">
        <w:rPr>
          <w:rFonts w:ascii="Palatino Linotype" w:eastAsia="Calibri" w:hAnsi="Palatino Linotype" w:cs="Arial"/>
          <w:i/>
          <w:iCs/>
          <w:sz w:val="24"/>
          <w:szCs w:val="24"/>
          <w:lang w:val="es-ES" w:eastAsia="es-ES"/>
        </w:rPr>
        <w:lastRenderedPageBreak/>
        <w:t xml:space="preserve">el </w:t>
      </w:r>
      <w:r w:rsidRPr="00FE4391">
        <w:rPr>
          <w:rFonts w:ascii="Palatino Linotype" w:eastAsia="Calibri" w:hAnsi="Palatino Linotype" w:cs="Arial"/>
          <w:i/>
          <w:iCs/>
          <w:sz w:val="24"/>
          <w:szCs w:val="24"/>
          <w:lang w:eastAsia="es-ES"/>
        </w:rPr>
        <w:t>revelar la información contenida en la carpeta de investigación podría vulnerar los derechos de las víctimas, familiares, testigos o, incluso, de los servidores públicos, toda vez que se colocarían en una situación de riesgo, pues se podría atentar contra su integridad física, psicológica, material o inmaterial; e incluso podría vulnerarse la imagen y la honra de las personas indagadas dentro del proceso penal</w:t>
      </w:r>
      <w:r>
        <w:rPr>
          <w:rFonts w:ascii="Palatino Linotype" w:eastAsia="Calibri" w:hAnsi="Palatino Linotype" w:cs="Arial"/>
          <w:sz w:val="24"/>
          <w:szCs w:val="24"/>
          <w:lang w:eastAsia="es-ES"/>
        </w:rPr>
        <w:t xml:space="preserve">; lo cual demuestra, nuevamente, que sólo se expuso una hipótesis de riesgo, </w:t>
      </w:r>
      <w:r>
        <w:rPr>
          <w:rFonts w:ascii="Palatino Linotype" w:eastAsia="Calibri" w:hAnsi="Palatino Linotype" w:cs="Arial"/>
          <w:b/>
          <w:bCs/>
          <w:sz w:val="24"/>
          <w:szCs w:val="24"/>
          <w:lang w:eastAsia="es-ES"/>
        </w:rPr>
        <w:t>pero jamás se trajo al marco de estudio la delimitación del riesgo real, el riesgo demostrable, y el riesgo identificable</w:t>
      </w:r>
      <w:r>
        <w:rPr>
          <w:rFonts w:ascii="Palatino Linotype" w:eastAsia="Calibri" w:hAnsi="Palatino Linotype" w:cs="Arial"/>
          <w:sz w:val="24"/>
          <w:szCs w:val="24"/>
          <w:lang w:eastAsia="es-ES"/>
        </w:rPr>
        <w:t xml:space="preserve">; es decir, el Acuerdo de Clasificación omite establecer </w:t>
      </w:r>
      <w:r>
        <w:rPr>
          <w:rFonts w:ascii="Palatino Linotype" w:eastAsia="Calibri" w:hAnsi="Palatino Linotype" w:cs="Arial"/>
          <w:i/>
          <w:iCs/>
          <w:sz w:val="24"/>
          <w:szCs w:val="24"/>
          <w:lang w:eastAsia="es-ES"/>
        </w:rPr>
        <w:t>“cómo”</w:t>
      </w:r>
      <w:r>
        <w:rPr>
          <w:rFonts w:ascii="Palatino Linotype" w:eastAsia="Calibri" w:hAnsi="Palatino Linotype" w:cs="Arial"/>
          <w:sz w:val="24"/>
          <w:szCs w:val="24"/>
          <w:lang w:eastAsia="es-ES"/>
        </w:rPr>
        <w:t xml:space="preserve"> es que podrían suceder las consecuencias antes referidas.</w:t>
      </w:r>
    </w:p>
    <w:p w14:paraId="2E7A8EA2"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19EA7F01" w14:textId="2453BDD4" w:rsidR="0081295F" w:rsidRDefault="000F2AE3"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Contrario a lo anterior, el </w:t>
      </w:r>
      <w:r>
        <w:rPr>
          <w:rFonts w:ascii="Palatino Linotype" w:eastAsia="Calibri" w:hAnsi="Palatino Linotype" w:cs="Arial"/>
          <w:b/>
          <w:bCs/>
          <w:sz w:val="24"/>
          <w:szCs w:val="24"/>
          <w:lang w:val="es-ES" w:eastAsia="es-ES"/>
        </w:rPr>
        <w:t>SUJETO OBLIGADO</w:t>
      </w:r>
      <w:r>
        <w:rPr>
          <w:rFonts w:ascii="Palatino Linotype" w:eastAsia="Calibri" w:hAnsi="Palatino Linotype" w:cs="Arial"/>
          <w:sz w:val="24"/>
          <w:szCs w:val="24"/>
          <w:lang w:val="es-ES" w:eastAsia="es-ES"/>
        </w:rPr>
        <w:t xml:space="preserve"> determinó idóneo intentar demostrar la existencia de un </w:t>
      </w:r>
      <w:r>
        <w:rPr>
          <w:rFonts w:ascii="Palatino Linotype" w:eastAsia="Calibri" w:hAnsi="Palatino Linotype" w:cs="Arial"/>
          <w:b/>
          <w:bCs/>
          <w:sz w:val="24"/>
          <w:szCs w:val="24"/>
          <w:lang w:val="es-ES" w:eastAsia="es-ES"/>
        </w:rPr>
        <w:t>daño presente, probable y específico</w:t>
      </w:r>
      <w:r>
        <w:rPr>
          <w:rFonts w:ascii="Palatino Linotype" w:eastAsia="Calibri" w:hAnsi="Palatino Linotype" w:cs="Arial"/>
          <w:sz w:val="24"/>
          <w:szCs w:val="24"/>
          <w:lang w:val="es-ES" w:eastAsia="es-ES"/>
        </w:rPr>
        <w:t>, lo cual en nada abona al ejercicio de clasificación de la información; sino por el contrario, lo entorpece al pretender hacer uso de elementos de fondo jurídicamente obsoletos</w:t>
      </w:r>
      <w:r w:rsidR="000E7938">
        <w:rPr>
          <w:rFonts w:ascii="Palatino Linotype" w:eastAsia="Calibri" w:hAnsi="Palatino Linotype" w:cs="Arial"/>
          <w:sz w:val="24"/>
          <w:szCs w:val="24"/>
          <w:lang w:val="es-ES" w:eastAsia="es-ES"/>
        </w:rPr>
        <w:t xml:space="preserve">. Aunado a que, se insiste, no se desarrolló la existencia del </w:t>
      </w:r>
      <w:r w:rsidR="000E7938">
        <w:rPr>
          <w:rFonts w:ascii="Palatino Linotype" w:eastAsia="Calibri" w:hAnsi="Palatino Linotype" w:cs="Arial"/>
          <w:b/>
          <w:bCs/>
          <w:sz w:val="24"/>
          <w:szCs w:val="24"/>
          <w:lang w:val="es-ES" w:eastAsia="es-ES"/>
        </w:rPr>
        <w:t>riesgo real, demostrable e identificable</w:t>
      </w:r>
      <w:r w:rsidR="000E7938">
        <w:rPr>
          <w:rFonts w:ascii="Palatino Linotype" w:eastAsia="Calibri" w:hAnsi="Palatino Linotype" w:cs="Arial"/>
          <w:sz w:val="24"/>
          <w:szCs w:val="24"/>
          <w:lang w:val="es-ES" w:eastAsia="es-ES"/>
        </w:rPr>
        <w:t xml:space="preserve"> que supondría la entrega de la carpeta de investigación</w:t>
      </w:r>
      <w:r w:rsidR="00AF3AD9">
        <w:rPr>
          <w:rFonts w:ascii="Palatino Linotype" w:eastAsia="Calibri" w:hAnsi="Palatino Linotype" w:cs="Arial"/>
          <w:sz w:val="24"/>
          <w:szCs w:val="24"/>
          <w:lang w:val="es-ES" w:eastAsia="es-ES"/>
        </w:rPr>
        <w:t xml:space="preserve">, elementos que, a consideración de quien suscribe, </w:t>
      </w:r>
      <w:r w:rsidR="00AF3AD9">
        <w:rPr>
          <w:rFonts w:ascii="Palatino Linotype" w:eastAsia="Calibri" w:hAnsi="Palatino Linotype" w:cs="Arial"/>
          <w:b/>
          <w:bCs/>
          <w:sz w:val="24"/>
          <w:szCs w:val="24"/>
          <w:lang w:val="es-ES" w:eastAsia="es-ES"/>
        </w:rPr>
        <w:t>son la parte elemental de la prueba de daño que acreditan la legalidad en la determinación de reservar información</w:t>
      </w:r>
      <w:r w:rsidR="00AF3AD9">
        <w:rPr>
          <w:rFonts w:ascii="Palatino Linotype" w:eastAsia="Calibri" w:hAnsi="Palatino Linotype" w:cs="Arial"/>
          <w:sz w:val="24"/>
          <w:szCs w:val="24"/>
          <w:lang w:val="es-ES" w:eastAsia="es-ES"/>
        </w:rPr>
        <w:t>.</w:t>
      </w:r>
    </w:p>
    <w:p w14:paraId="613AA699" w14:textId="74D77900"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6C9C7396" w14:textId="43DBB02E" w:rsidR="0081295F" w:rsidRPr="00040B73" w:rsidRDefault="00AF3AD9" w:rsidP="0024067D">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040B73">
        <w:rPr>
          <w:rFonts w:ascii="Palatino Linotype" w:eastAsia="Calibri" w:hAnsi="Palatino Linotype" w:cs="Arial"/>
          <w:sz w:val="24"/>
          <w:szCs w:val="24"/>
          <w:lang w:val="es-ES" w:eastAsia="es-ES"/>
        </w:rPr>
        <w:t xml:space="preserve">A pesar de todo lo anterior, </w:t>
      </w:r>
      <w:r w:rsidR="00040B73" w:rsidRPr="00040B73">
        <w:rPr>
          <w:rFonts w:ascii="Palatino Linotype" w:eastAsia="Calibri" w:hAnsi="Palatino Linotype" w:cs="Arial"/>
          <w:sz w:val="24"/>
          <w:szCs w:val="24"/>
          <w:lang w:val="es-ES" w:eastAsia="es-ES"/>
        </w:rPr>
        <w:t xml:space="preserve">el criterio mayoritario </w:t>
      </w:r>
      <w:r w:rsidRPr="00040B73">
        <w:rPr>
          <w:rFonts w:ascii="Palatino Linotype" w:eastAsia="Calibri" w:hAnsi="Palatino Linotype" w:cs="Arial"/>
          <w:sz w:val="24"/>
          <w:szCs w:val="24"/>
          <w:lang w:val="es-ES" w:eastAsia="es-ES"/>
        </w:rPr>
        <w:t>determin</w:t>
      </w:r>
      <w:r w:rsidR="00040B73" w:rsidRPr="00040B73">
        <w:rPr>
          <w:rFonts w:ascii="Palatino Linotype" w:eastAsia="Calibri" w:hAnsi="Palatino Linotype" w:cs="Arial"/>
          <w:sz w:val="24"/>
          <w:szCs w:val="24"/>
          <w:lang w:val="es-ES" w:eastAsia="es-ES"/>
        </w:rPr>
        <w:t>a</w:t>
      </w:r>
      <w:r w:rsidRPr="00040B73">
        <w:rPr>
          <w:rFonts w:ascii="Palatino Linotype" w:eastAsia="Calibri" w:hAnsi="Palatino Linotype" w:cs="Arial"/>
          <w:sz w:val="24"/>
          <w:szCs w:val="24"/>
          <w:lang w:val="es-ES" w:eastAsia="es-ES"/>
        </w:rPr>
        <w:t xml:space="preserve"> confirmar la fundamentación y motivación del Acuerdo de Clasificación </w:t>
      </w:r>
      <w:r w:rsidR="00082C80" w:rsidRPr="00040B73">
        <w:rPr>
          <w:rFonts w:ascii="Palatino Linotype" w:eastAsia="Calibri" w:hAnsi="Palatino Linotype" w:cs="Arial"/>
          <w:sz w:val="24"/>
          <w:szCs w:val="24"/>
          <w:lang w:val="es-ES" w:eastAsia="es-ES"/>
        </w:rPr>
        <w:t>sin</w:t>
      </w:r>
      <w:r w:rsidRPr="00040B73">
        <w:rPr>
          <w:rFonts w:ascii="Palatino Linotype" w:eastAsia="Calibri" w:hAnsi="Palatino Linotype" w:cs="Arial"/>
          <w:sz w:val="24"/>
          <w:szCs w:val="24"/>
          <w:lang w:val="es-ES" w:eastAsia="es-ES"/>
        </w:rPr>
        <w:t xml:space="preserve"> realizar un análisis del caso particular. </w:t>
      </w:r>
      <w:r w:rsidR="00040B73">
        <w:rPr>
          <w:rFonts w:ascii="Palatino Linotype" w:eastAsia="Calibri" w:hAnsi="Palatino Linotype" w:cs="Arial"/>
          <w:sz w:val="24"/>
          <w:szCs w:val="24"/>
          <w:lang w:val="es-ES" w:eastAsia="es-ES"/>
        </w:rPr>
        <w:t xml:space="preserve">Asimismo, </w:t>
      </w:r>
      <w:r w:rsidR="00082C80" w:rsidRPr="00040B73">
        <w:rPr>
          <w:rFonts w:ascii="Palatino Linotype" w:eastAsia="Calibri" w:hAnsi="Palatino Linotype" w:cs="Arial"/>
          <w:sz w:val="24"/>
          <w:szCs w:val="24"/>
          <w:lang w:val="es-ES" w:eastAsia="es-ES"/>
        </w:rPr>
        <w:t>soslaya</w:t>
      </w:r>
      <w:r w:rsidR="001E4B3C" w:rsidRPr="00040B73">
        <w:rPr>
          <w:rFonts w:ascii="Palatino Linotype" w:eastAsia="Calibri" w:hAnsi="Palatino Linotype" w:cs="Arial"/>
          <w:sz w:val="24"/>
          <w:szCs w:val="24"/>
          <w:lang w:val="es-ES" w:eastAsia="es-ES"/>
        </w:rPr>
        <w:t xml:space="preserve"> lo establecido por </w:t>
      </w:r>
      <w:r w:rsidR="001E4B3C" w:rsidRPr="00040B73">
        <w:rPr>
          <w:rFonts w:ascii="Palatino Linotype" w:eastAsia="Calibri" w:hAnsi="Palatino Linotype" w:cs="Arial"/>
          <w:sz w:val="24"/>
          <w:szCs w:val="24"/>
          <w:lang w:eastAsia="es-ES"/>
        </w:rPr>
        <w:t xml:space="preserve">la Ley de Transparencia y Acceso a la Información Pública del Estado de México y Municipios, específicamente </w:t>
      </w:r>
      <w:r w:rsidR="001E4B3C" w:rsidRPr="00040B73">
        <w:rPr>
          <w:rFonts w:ascii="Palatino Linotype" w:eastAsia="Calibri" w:hAnsi="Palatino Linotype" w:cs="Arial"/>
          <w:sz w:val="24"/>
          <w:szCs w:val="24"/>
          <w:lang w:eastAsia="es-ES"/>
        </w:rPr>
        <w:lastRenderedPageBreak/>
        <w:t xml:space="preserve">en su artículo 5, dentro del cual, se establece que </w:t>
      </w:r>
      <w:r w:rsidR="001E4B3C" w:rsidRPr="00040B73">
        <w:rPr>
          <w:rFonts w:ascii="Palatino Linotype" w:eastAsia="Calibri" w:hAnsi="Palatino Linotype" w:cs="Arial"/>
          <w:b/>
          <w:bCs/>
          <w:sz w:val="24"/>
          <w:szCs w:val="24"/>
          <w:lang w:eastAsia="es-ES"/>
        </w:rPr>
        <w:t>no podrá clasificarse como reservada aquella información que esté relacionada con violaciones graves a derechos humanos o delitos de lesa humanidad</w:t>
      </w:r>
      <w:r w:rsidR="001E4B3C" w:rsidRPr="00040B73">
        <w:rPr>
          <w:rFonts w:ascii="Palatino Linotype" w:eastAsia="Calibri" w:hAnsi="Palatino Linotype" w:cs="Arial"/>
          <w:sz w:val="24"/>
          <w:szCs w:val="24"/>
          <w:lang w:eastAsia="es-ES"/>
        </w:rPr>
        <w:t>, de conformidad con el derecho nacional o los tratados internacionales de los que el Estado mexicano sea parte.</w:t>
      </w:r>
    </w:p>
    <w:p w14:paraId="7C6FCDE9"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644A07AE" w14:textId="7DA652FA" w:rsidR="0081295F" w:rsidRDefault="001E4B3C"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Lo </w:t>
      </w:r>
      <w:r w:rsidRPr="001E4B3C">
        <w:rPr>
          <w:rFonts w:ascii="Palatino Linotype" w:eastAsia="Calibri" w:hAnsi="Palatino Linotype" w:cs="Arial"/>
          <w:sz w:val="24"/>
          <w:szCs w:val="24"/>
          <w:lang w:eastAsia="es-ES"/>
        </w:rPr>
        <w:t>anterior se ahonda más adelante en el diverso dispositivo 142, a través del cual, la Ley de la Materia enlista los escenarios bajo los que no se podrá invocar la reserva de información, a saber:</w:t>
      </w:r>
    </w:p>
    <w:p w14:paraId="4883B83D" w14:textId="239FF2AA"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3076B622" w14:textId="77777777" w:rsidR="001E4B3C" w:rsidRDefault="001E4B3C" w:rsidP="001E4B3C">
      <w:pPr>
        <w:pStyle w:val="Prrafodelista"/>
        <w:tabs>
          <w:tab w:val="left" w:pos="426"/>
        </w:tabs>
        <w:spacing w:after="0" w:line="276" w:lineRule="auto"/>
        <w:ind w:left="567" w:right="567"/>
        <w:jc w:val="both"/>
        <w:rPr>
          <w:rFonts w:ascii="Palatino Linotype" w:hAnsi="Palatino Linotype"/>
          <w:i/>
          <w:iCs/>
        </w:rPr>
      </w:pPr>
      <w:r w:rsidRPr="00F65708">
        <w:rPr>
          <w:rFonts w:ascii="Palatino Linotype" w:hAnsi="Palatino Linotype"/>
          <w:i/>
          <w:iCs/>
        </w:rPr>
        <w:t>“</w:t>
      </w:r>
      <w:r w:rsidRPr="00F65708">
        <w:rPr>
          <w:rFonts w:ascii="Palatino Linotype" w:hAnsi="Palatino Linotype"/>
          <w:b/>
          <w:bCs/>
          <w:i/>
          <w:iCs/>
        </w:rPr>
        <w:t xml:space="preserve">Artículo 142. </w:t>
      </w:r>
      <w:r w:rsidRPr="00F65708">
        <w:rPr>
          <w:rFonts w:ascii="Palatino Linotype" w:hAnsi="Palatino Linotype"/>
          <w:i/>
          <w:iCs/>
        </w:rPr>
        <w:t xml:space="preserve">Bajo ninguna circunstancia podrá invocarse el carácter de reservado cuando: </w:t>
      </w:r>
    </w:p>
    <w:p w14:paraId="5535F2AB" w14:textId="77777777" w:rsidR="001E4B3C" w:rsidRPr="00F65708" w:rsidRDefault="001E4B3C" w:rsidP="001E4B3C">
      <w:pPr>
        <w:pStyle w:val="Prrafodelista"/>
        <w:tabs>
          <w:tab w:val="left" w:pos="426"/>
        </w:tabs>
        <w:spacing w:after="0" w:line="276" w:lineRule="auto"/>
        <w:ind w:left="567" w:right="567"/>
        <w:jc w:val="both"/>
        <w:rPr>
          <w:rFonts w:ascii="Palatino Linotype" w:hAnsi="Palatino Linotype"/>
          <w:i/>
          <w:iCs/>
        </w:rPr>
      </w:pPr>
      <w:r w:rsidRPr="00F65708">
        <w:rPr>
          <w:rFonts w:ascii="Palatino Linotype" w:hAnsi="Palatino Linotype"/>
          <w:b/>
          <w:bCs/>
          <w:i/>
          <w:iCs/>
        </w:rPr>
        <w:t>I.</w:t>
      </w:r>
      <w:r w:rsidRPr="00F65708">
        <w:rPr>
          <w:rFonts w:ascii="Palatino Linotype" w:hAnsi="Palatino Linotype"/>
          <w:i/>
          <w:iCs/>
        </w:rPr>
        <w:t xml:space="preserve"> Se trate de violaciones graves de derechos humanos, calificada así por autoridad competente; </w:t>
      </w:r>
    </w:p>
    <w:p w14:paraId="11AB6C6E" w14:textId="77777777" w:rsidR="001E4B3C" w:rsidRPr="00F65708" w:rsidRDefault="001E4B3C" w:rsidP="001E4B3C">
      <w:pPr>
        <w:pStyle w:val="Prrafodelista"/>
        <w:tabs>
          <w:tab w:val="left" w:pos="426"/>
        </w:tabs>
        <w:spacing w:after="0" w:line="276" w:lineRule="auto"/>
        <w:ind w:left="567" w:right="567"/>
        <w:jc w:val="both"/>
        <w:rPr>
          <w:rFonts w:ascii="Palatino Linotype" w:hAnsi="Palatino Linotype"/>
          <w:b/>
          <w:bCs/>
          <w:i/>
          <w:iCs/>
        </w:rPr>
      </w:pPr>
      <w:r w:rsidRPr="00F65708">
        <w:rPr>
          <w:rFonts w:ascii="Palatino Linotype" w:hAnsi="Palatino Linotype"/>
          <w:b/>
          <w:bCs/>
          <w:i/>
          <w:iCs/>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786B776C" w14:textId="77777777" w:rsidR="001E4B3C" w:rsidRDefault="001E4B3C" w:rsidP="001E4B3C">
      <w:pPr>
        <w:pStyle w:val="Prrafodelista"/>
        <w:tabs>
          <w:tab w:val="left" w:pos="426"/>
        </w:tabs>
        <w:spacing w:after="0" w:line="276" w:lineRule="auto"/>
        <w:ind w:left="567" w:right="567"/>
        <w:jc w:val="both"/>
        <w:rPr>
          <w:rFonts w:ascii="Palatino Linotype" w:hAnsi="Palatino Linotype"/>
          <w:i/>
          <w:iCs/>
        </w:rPr>
      </w:pPr>
      <w:r w:rsidRPr="00F65708">
        <w:rPr>
          <w:rFonts w:ascii="Palatino Linotype" w:hAnsi="Palatino Linotype"/>
          <w:b/>
          <w:bCs/>
          <w:i/>
          <w:iCs/>
        </w:rPr>
        <w:t>III.</w:t>
      </w:r>
      <w:r w:rsidRPr="00F65708">
        <w:rPr>
          <w:rFonts w:ascii="Palatino Linotype" w:hAnsi="Palatino Linotype"/>
          <w:i/>
          <w:iCs/>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4DD164AB" w14:textId="77777777" w:rsidR="001E4B3C" w:rsidRDefault="001E4B3C" w:rsidP="001E4B3C">
      <w:pPr>
        <w:pStyle w:val="Prrafodelista"/>
        <w:tabs>
          <w:tab w:val="left" w:pos="426"/>
        </w:tabs>
        <w:spacing w:after="0" w:line="276" w:lineRule="auto"/>
        <w:ind w:left="567" w:right="567"/>
        <w:jc w:val="both"/>
        <w:rPr>
          <w:rFonts w:ascii="Palatino Linotype" w:hAnsi="Palatino Linotype"/>
          <w:i/>
          <w:iCs/>
        </w:rPr>
      </w:pPr>
      <w:r w:rsidRPr="00F65708">
        <w:rPr>
          <w:rFonts w:ascii="Palatino Linotype" w:hAnsi="Palatino Linotype"/>
          <w:b/>
          <w:bCs/>
          <w:i/>
          <w:iCs/>
        </w:rPr>
        <w:t>IV.</w:t>
      </w:r>
      <w:r w:rsidRPr="00F65708">
        <w:rPr>
          <w:rFonts w:ascii="Palatino Linotype" w:hAnsi="Palatino Linotype"/>
          <w:i/>
          <w:iCs/>
        </w:rPr>
        <w:t xml:space="preserve"> </w:t>
      </w:r>
      <w:r w:rsidRPr="00082C80">
        <w:rPr>
          <w:rFonts w:ascii="Palatino Linotype" w:hAnsi="Palatino Linotype"/>
          <w:b/>
          <w:i/>
          <w:iCs/>
        </w:rPr>
        <w:t>Se trate de información relacionada con actos de corrupción de conformidad con las disposiciones jurídicas aplicables.”</w:t>
      </w:r>
    </w:p>
    <w:p w14:paraId="750FC677" w14:textId="77777777" w:rsidR="001E4B3C" w:rsidRPr="00F65708" w:rsidRDefault="001E4B3C" w:rsidP="001E4B3C">
      <w:pPr>
        <w:pStyle w:val="Prrafodelista"/>
        <w:tabs>
          <w:tab w:val="left" w:pos="426"/>
        </w:tabs>
        <w:spacing w:after="0" w:line="276" w:lineRule="auto"/>
        <w:ind w:left="567" w:right="567"/>
        <w:jc w:val="both"/>
        <w:rPr>
          <w:rFonts w:ascii="Palatino Linotype" w:hAnsi="Palatino Linotype"/>
          <w:color w:val="000000" w:themeColor="text1"/>
        </w:rPr>
      </w:pPr>
      <w:r>
        <w:rPr>
          <w:rFonts w:ascii="Palatino Linotype" w:hAnsi="Palatino Linotype"/>
        </w:rPr>
        <w:t>(Énfasis añadido)</w:t>
      </w:r>
    </w:p>
    <w:p w14:paraId="1D59D935" w14:textId="77777777" w:rsidR="001E4B3C" w:rsidRDefault="001E4B3C"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66B20038" w14:textId="64B969E3" w:rsidR="0081295F" w:rsidRDefault="001E4B3C" w:rsidP="0052682C">
      <w:pPr>
        <w:numPr>
          <w:ilvl w:val="0"/>
          <w:numId w:val="9"/>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Robustece </w:t>
      </w:r>
      <w:r w:rsidRPr="001E4B3C">
        <w:rPr>
          <w:rFonts w:ascii="Palatino Linotype" w:eastAsia="Calibri" w:hAnsi="Palatino Linotype" w:cs="Arial"/>
          <w:sz w:val="24"/>
          <w:szCs w:val="24"/>
          <w:lang w:eastAsia="es-ES"/>
        </w:rPr>
        <w:t xml:space="preserve">lo anterior, la </w:t>
      </w:r>
      <w:r w:rsidRPr="001E4B3C">
        <w:rPr>
          <w:rFonts w:ascii="Palatino Linotype" w:eastAsia="Calibri" w:hAnsi="Palatino Linotype" w:cs="Arial"/>
          <w:sz w:val="24"/>
          <w:szCs w:val="24"/>
          <w:lang w:val="es-ES_tradnl" w:eastAsia="es-ES"/>
        </w:rPr>
        <w:t>Tesis Aislada 1a. IX/2012 (10a.), de la Primera Sala de la Suprema Corte de Justicia de la Nación, cuyo rubro y texto se comparten a continuación:</w:t>
      </w:r>
    </w:p>
    <w:p w14:paraId="77011E0C" w14:textId="4E407FD4"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59CEDD91" w14:textId="77777777" w:rsidR="001E4B3C" w:rsidRDefault="001E4B3C" w:rsidP="001E4B3C">
      <w:pPr>
        <w:pStyle w:val="Sinespaciado"/>
        <w:spacing w:line="276" w:lineRule="auto"/>
        <w:ind w:left="567" w:right="567"/>
        <w:jc w:val="both"/>
        <w:rPr>
          <w:rFonts w:ascii="Palatino Linotype" w:hAnsi="Palatino Linotype"/>
        </w:rPr>
      </w:pPr>
      <w:r w:rsidRPr="00145709">
        <w:rPr>
          <w:rFonts w:ascii="Palatino Linotype" w:hAnsi="Palatino Linotype"/>
          <w:b/>
          <w:i/>
        </w:rPr>
        <w:t>DERECHO A LA INFORMACIÓN. ACCESO A LAS AVERIGUACIONES PREVIAS QUE INVESTIGUEN HECHOS QUE CONSTITUYAN GRAVES VIOLACIONES A DERECHOS HUMANOS O DELITOS DE LESA HUMANIDAD.</w:t>
      </w:r>
      <w:r>
        <w:rPr>
          <w:rFonts w:ascii="Palatino Linotype" w:hAnsi="Palatino Linotype"/>
          <w:i/>
        </w:rPr>
        <w:t xml:space="preserve"> “</w:t>
      </w:r>
      <w:r w:rsidRPr="00145709">
        <w:rPr>
          <w:rFonts w:ascii="Palatino Linotype" w:hAnsi="Palatino Linotype"/>
          <w:i/>
        </w:rPr>
        <w:t xml:space="preserve">En materia de derecho a la información pública, la regla general en un Estado democrático de derecho debe ser el acceso y máxima publicidad de la información. Sin embargo, la regla general presenta algunas excepciones, las cuales, por mandato constitucional, deben estar previstas en leyes en sentido formal y material. Una de estas excepciones es el caso de las averiguaciones previas, cuyo contenido debe considerarse como estrictamente reservado, en términos de lo dispuesto en el artículo 16 del Código Federal de Procedimientos Penales, y de los artículos 13, fracción V, y 14, fracción III, de la Ley Federal de Transparencia y Acceso a la Información Pública Gubernamental. Ahora bien, esta limitante tampoco puede considerarse como absoluta y presenta una excepción -de modo que estamos ante una excepción a la excepción- consistente en que, </w:t>
      </w:r>
      <w:r w:rsidRPr="00AB23A8">
        <w:rPr>
          <w:rFonts w:ascii="Palatino Linotype" w:hAnsi="Palatino Linotype"/>
          <w:b/>
          <w:i/>
        </w:rPr>
        <w:t>de conformidad con lo dispuesto en el último párrafo del artículo 14 de la Ley Federal de Transparencia y Acceso a la Información Pública Gubernamental, no puede alegarse el carácter de reservado cuando la averiguación previa investigue hechos constitutivos de graves violaciones a derechos humanos o delitos de lesa humanidad</w:t>
      </w:r>
      <w:r w:rsidRPr="00145709">
        <w:rPr>
          <w:rFonts w:ascii="Palatino Linotype" w:hAnsi="Palatino Linotype"/>
          <w:i/>
        </w:rPr>
        <w:t xml:space="preserve">. Las averiguaciones previas se mantienen reservadas en atención a que la difusión de la información contenida en ellas podría afectar gravemente la persecución de delitos y, con ello, al sistema de impartición de justicia. A pesar de lo anterior, </w:t>
      </w:r>
      <w:r w:rsidRPr="00AB23A8">
        <w:rPr>
          <w:rFonts w:ascii="Palatino Linotype" w:hAnsi="Palatino Linotype"/>
          <w:b/>
          <w:i/>
        </w:rPr>
        <w:t>la ley previó como excepción a la reserva de las averiguaciones previas aquellos casos extremos en los cuales</w:t>
      </w:r>
      <w:r w:rsidRPr="00145709">
        <w:rPr>
          <w:rFonts w:ascii="Palatino Linotype" w:hAnsi="Palatino Linotype"/>
          <w:i/>
        </w:rPr>
        <w:t xml:space="preserve"> </w:t>
      </w:r>
      <w:r w:rsidRPr="00AB23A8">
        <w:rPr>
          <w:rFonts w:ascii="Palatino Linotype" w:hAnsi="Palatino Linotype"/>
          <w:b/>
          <w:i/>
        </w:rPr>
        <w:t>el delito perseguido es de tal gravedad que el interés público en mantener la averiguación previa en reserva se ve superado por el interés de la sociedad en su conjunto de conocer todas las diligencias que se estén llevando a cabo para la oportuna investigación, detención, juicio y sanción de los responsables</w:t>
      </w:r>
      <w:r w:rsidRPr="00145709">
        <w:rPr>
          <w:rFonts w:ascii="Palatino Linotype" w:hAnsi="Palatino Linotype"/>
          <w:i/>
        </w:rPr>
        <w:t>. Estos casos de excepción son las investigaciones sobre graves violaciones a derechos humanos y delitos o crímenes de lesa humanidad. Esta Primera Sala de la Suprema Corte de Justicia de la Nación recuerda que el Tribunal Pleno reconoció en la tesis jurisprudencial P</w:t>
      </w:r>
      <w:proofErr w:type="gramStart"/>
      <w:r w:rsidRPr="00145709">
        <w:rPr>
          <w:rFonts w:ascii="Palatino Linotype" w:hAnsi="Palatino Linotype"/>
          <w:i/>
        </w:rPr>
        <w:t>./</w:t>
      </w:r>
      <w:proofErr w:type="gramEnd"/>
      <w:r w:rsidRPr="00145709">
        <w:rPr>
          <w:rFonts w:ascii="Palatino Linotype" w:hAnsi="Palatino Linotype"/>
          <w:i/>
        </w:rPr>
        <w:t xml:space="preserve">J. 54/2008, el doble carácter del derecho de acceso a la información, como un derecho en sí mismo, pero también como un medio o instrumento para el ejercicio de otros derechos. </w:t>
      </w:r>
      <w:r w:rsidRPr="00145709">
        <w:rPr>
          <w:rFonts w:ascii="Palatino Linotype" w:hAnsi="Palatino Linotype"/>
          <w:i/>
        </w:rPr>
        <w:lastRenderedPageBreak/>
        <w:t xml:space="preserve">En este sentido, el Tribunal Pleno destacó que el derecho de acceso a la información es la base para que los gobernados ejerzan un control respecto del funcionamiento institucional de los poderes públicos, por lo cual se perfila como un límite a la exclusividad estatal en el manejo de la información y, por ende, como una exigencia social de todo Estado de Derecho. </w:t>
      </w:r>
      <w:r w:rsidRPr="00AB23A8">
        <w:rPr>
          <w:rFonts w:ascii="Palatino Linotype" w:hAnsi="Palatino Linotype"/>
          <w:b/>
          <w:i/>
        </w:rPr>
        <w:t>En virtud de lo anterior, cobra una especial relevancia la necesidad de permitir el acceso a la información que conste en averiguaciones previas que investiguen hechos que constituyan graves violaciones a derechos humanos o crímenes de lesa humanidad, pues estos supuestos no sólo afectan a las víctimas y ofendidos en forma directa por los hechos antijurídicos, sino que ofenden a toda la sociedad, precisamente por su gravedad y por las repercusiones que implican</w:t>
      </w:r>
      <w:r w:rsidRPr="00145709">
        <w:rPr>
          <w:rFonts w:ascii="Palatino Linotype" w:hAnsi="Palatino Linotype"/>
          <w:i/>
        </w:rPr>
        <w:t>.</w:t>
      </w:r>
      <w:r>
        <w:rPr>
          <w:rFonts w:ascii="Palatino Linotype" w:hAnsi="Palatino Linotype"/>
          <w:i/>
        </w:rPr>
        <w:t>”</w:t>
      </w:r>
    </w:p>
    <w:p w14:paraId="7016DF29" w14:textId="77777777" w:rsidR="001E4B3C" w:rsidRDefault="001E4B3C" w:rsidP="001E4B3C">
      <w:pPr>
        <w:pStyle w:val="Sinespaciado"/>
        <w:spacing w:line="276" w:lineRule="auto"/>
        <w:ind w:left="567" w:right="567"/>
        <w:jc w:val="both"/>
        <w:rPr>
          <w:rFonts w:ascii="Palatino Linotype" w:hAnsi="Palatino Linotype"/>
        </w:rPr>
      </w:pPr>
      <w:r>
        <w:rPr>
          <w:rFonts w:ascii="Palatino Linotype" w:hAnsi="Palatino Linotype"/>
        </w:rPr>
        <w:t>(Énfasis añadido)</w:t>
      </w:r>
    </w:p>
    <w:p w14:paraId="640152D6" w14:textId="77777777" w:rsidR="00040B73" w:rsidRPr="00AB23A8" w:rsidRDefault="00040B73" w:rsidP="001E4B3C">
      <w:pPr>
        <w:pStyle w:val="Sinespaciado"/>
        <w:spacing w:line="276" w:lineRule="auto"/>
        <w:ind w:left="567" w:right="567"/>
        <w:jc w:val="both"/>
        <w:rPr>
          <w:rFonts w:ascii="Palatino Linotype" w:hAnsi="Palatino Linotype"/>
        </w:rPr>
      </w:pPr>
    </w:p>
    <w:p w14:paraId="61FC0016" w14:textId="54E4AE58" w:rsidR="00040B73"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11. De igual forma resulta trascendente la Jurisprudencia Internacional en relación al tema, por cuanto hace a la </w:t>
      </w:r>
      <w:r>
        <w:rPr>
          <w:rFonts w:ascii="Palatino Linotype" w:eastAsiaTheme="minorEastAsia" w:hAnsi="Palatino Linotype"/>
          <w:b/>
          <w:color w:val="000000" w:themeColor="text1"/>
          <w:sz w:val="24"/>
        </w:rPr>
        <w:t>Sentencia de 23</w:t>
      </w:r>
      <w:r>
        <w:rPr>
          <w:rFonts w:ascii="Palatino Linotype" w:eastAsiaTheme="minorEastAsia" w:hAnsi="Palatino Linotype"/>
          <w:color w:val="000000" w:themeColor="text1"/>
          <w:sz w:val="24"/>
        </w:rPr>
        <w:t xml:space="preserve"> </w:t>
      </w:r>
      <w:r>
        <w:rPr>
          <w:rFonts w:ascii="Palatino Linotype" w:eastAsiaTheme="minorEastAsia" w:hAnsi="Palatino Linotype"/>
          <w:b/>
          <w:color w:val="000000" w:themeColor="text1"/>
          <w:sz w:val="24"/>
        </w:rPr>
        <w:t>de noviembre de 2009 emitida por la Corte Interamericana de Derechos Humanos</w:t>
      </w:r>
      <w:r>
        <w:rPr>
          <w:rFonts w:ascii="Palatino Linotype" w:eastAsiaTheme="minorEastAsia" w:hAnsi="Palatino Linotype"/>
          <w:color w:val="000000" w:themeColor="text1"/>
          <w:sz w:val="24"/>
        </w:rPr>
        <w:t xml:space="preserve"> en el caso </w:t>
      </w:r>
      <w:r>
        <w:rPr>
          <w:rFonts w:ascii="Palatino Linotype" w:eastAsiaTheme="minorEastAsia" w:hAnsi="Palatino Linotype"/>
          <w:b/>
          <w:color w:val="000000" w:themeColor="text1"/>
          <w:sz w:val="24"/>
        </w:rPr>
        <w:t>RADILLA PACHECO VS ESTADOS UNIDOS MEXICANOS</w:t>
      </w:r>
      <w:r>
        <w:rPr>
          <w:rStyle w:val="Refdenotaalpie"/>
          <w:rFonts w:ascii="Palatino Linotype" w:eastAsiaTheme="minorEastAsia" w:hAnsi="Palatino Linotype"/>
          <w:b/>
          <w:color w:val="000000" w:themeColor="text1"/>
          <w:sz w:val="24"/>
        </w:rPr>
        <w:footnoteReference w:id="1"/>
      </w:r>
      <w:r>
        <w:rPr>
          <w:rFonts w:ascii="Palatino Linotype" w:eastAsiaTheme="minorEastAsia" w:hAnsi="Palatino Linotype"/>
          <w:b/>
          <w:color w:val="000000" w:themeColor="text1"/>
          <w:sz w:val="24"/>
        </w:rPr>
        <w:t xml:space="preserve">, </w:t>
      </w:r>
      <w:r>
        <w:rPr>
          <w:rFonts w:ascii="Palatino Linotype" w:eastAsiaTheme="minorEastAsia" w:hAnsi="Palatino Linotype"/>
          <w:color w:val="000000" w:themeColor="text1"/>
          <w:sz w:val="24"/>
        </w:rPr>
        <w:t>en la que se consideró que “</w:t>
      </w:r>
      <w:r>
        <w:rPr>
          <w:rFonts w:ascii="Palatino Linotype" w:eastAsiaTheme="minorEastAsia" w:hAnsi="Palatino Linotype"/>
          <w:b/>
          <w:i/>
          <w:color w:val="000000" w:themeColor="text1"/>
          <w:sz w:val="24"/>
        </w:rPr>
        <w:t xml:space="preserve">no podrá invocarse el carácter de reservado cuando se trate de la investigación de violaciones graves a derechos fundamentales o delitos de lesa humanidad” </w:t>
      </w:r>
      <w:r>
        <w:rPr>
          <w:rFonts w:ascii="Palatino Linotype" w:eastAsiaTheme="minorEastAsia" w:hAnsi="Palatino Linotype"/>
          <w:color w:val="000000" w:themeColor="text1"/>
          <w:sz w:val="24"/>
        </w:rPr>
        <w:t>decretó que el Estado Mexicano violó lo establecido en el a</w:t>
      </w:r>
      <w:r>
        <w:rPr>
          <w:rFonts w:ascii="Palatino Linotype" w:eastAsiaTheme="minorEastAsia" w:hAnsi="Palatino Linotype"/>
          <w:b/>
          <w:color w:val="000000" w:themeColor="text1"/>
          <w:sz w:val="24"/>
        </w:rPr>
        <w:t>rtículo 8.1 de la Convención Americana</w:t>
      </w:r>
      <w:r>
        <w:rPr>
          <w:rStyle w:val="Refdenotaalpie"/>
          <w:rFonts w:ascii="Palatino Linotype" w:eastAsiaTheme="minorEastAsia" w:hAnsi="Palatino Linotype"/>
          <w:b/>
          <w:color w:val="000000" w:themeColor="text1"/>
          <w:sz w:val="24"/>
        </w:rPr>
        <w:footnoteReference w:id="2"/>
      </w:r>
      <w:r>
        <w:rPr>
          <w:rFonts w:ascii="Palatino Linotype" w:eastAsiaTheme="minorEastAsia" w:hAnsi="Palatino Linotype"/>
          <w:color w:val="000000" w:themeColor="text1"/>
          <w:sz w:val="24"/>
        </w:rPr>
        <w:t xml:space="preserve">, como a continuación se observa: </w:t>
      </w:r>
    </w:p>
    <w:p w14:paraId="1B9C3844" w14:textId="77777777" w:rsidR="00040B73" w:rsidRDefault="00040B73" w:rsidP="00040B73">
      <w:pPr>
        <w:tabs>
          <w:tab w:val="left" w:pos="426"/>
        </w:tabs>
        <w:spacing w:before="240" w:after="240" w:line="360" w:lineRule="auto"/>
        <w:ind w:left="720" w:right="909"/>
        <w:contextualSpacing/>
        <w:jc w:val="both"/>
        <w:rPr>
          <w:rFonts w:ascii="Palatino Linotype" w:eastAsiaTheme="minorEastAsia" w:hAnsi="Palatino Linotype"/>
          <w:b/>
          <w:i/>
          <w:color w:val="000000" w:themeColor="text1"/>
        </w:rPr>
      </w:pPr>
      <w:r>
        <w:rPr>
          <w:rFonts w:ascii="Palatino Linotype" w:eastAsiaTheme="minorEastAsia" w:hAnsi="Palatino Linotype"/>
          <w:b/>
          <w:i/>
          <w:color w:val="000000" w:themeColor="text1"/>
        </w:rPr>
        <w:t>“(…)</w:t>
      </w:r>
    </w:p>
    <w:p w14:paraId="53274E3C" w14:textId="77777777" w:rsidR="00040B73" w:rsidRDefault="00040B73" w:rsidP="00040B73">
      <w:pPr>
        <w:tabs>
          <w:tab w:val="left" w:pos="426"/>
        </w:tabs>
        <w:spacing w:before="240" w:after="240" w:line="360" w:lineRule="auto"/>
        <w:ind w:left="720" w:right="909"/>
        <w:contextualSpacing/>
        <w:jc w:val="both"/>
        <w:rPr>
          <w:rFonts w:ascii="Palatino Linotype" w:eastAsiaTheme="minorEastAsia" w:hAnsi="Palatino Linotype"/>
          <w:b/>
          <w:i/>
          <w:color w:val="000000" w:themeColor="text1"/>
        </w:rPr>
      </w:pPr>
      <w:r>
        <w:rPr>
          <w:rFonts w:ascii="Palatino Linotype" w:eastAsiaTheme="minorEastAsia" w:hAnsi="Palatino Linotype"/>
          <w:i/>
          <w:color w:val="000000" w:themeColor="text1"/>
        </w:rPr>
        <w:lastRenderedPageBreak/>
        <w:t xml:space="preserve">257. En todo caso, el Tribunal destaca que la Ley Federal de Transparencia y Acceso a la Información Pública Gubernamental vigente en México, efectivamente, en el artículo 14, fracción III, dispone que se considerará como información reservada “las averiguaciones previas” 262. Sin embargo, en esa misma disposición, dicha Ley también establece que “[n]o </w:t>
      </w:r>
      <w:r>
        <w:rPr>
          <w:rFonts w:ascii="Palatino Linotype" w:eastAsiaTheme="minorEastAsia" w:hAnsi="Palatino Linotype"/>
          <w:b/>
          <w:i/>
          <w:color w:val="000000" w:themeColor="text1"/>
        </w:rPr>
        <w:t xml:space="preserve">podrá invocarse el carácter de reservado cuando se trate de la investigación de violaciones graves de derechos fundamentales o delitos de lesa humanidad” </w:t>
      </w:r>
    </w:p>
    <w:p w14:paraId="25F14338" w14:textId="77777777" w:rsidR="00040B73" w:rsidRDefault="00040B73" w:rsidP="00040B73">
      <w:pPr>
        <w:tabs>
          <w:tab w:val="left" w:pos="426"/>
        </w:tabs>
        <w:spacing w:before="240" w:after="240" w:line="360" w:lineRule="auto"/>
        <w:ind w:left="720" w:right="909"/>
        <w:contextualSpacing/>
        <w:jc w:val="both"/>
        <w:rPr>
          <w:rFonts w:ascii="Palatino Linotype" w:eastAsiaTheme="minorEastAsia" w:hAnsi="Palatino Linotype"/>
          <w:b/>
          <w:i/>
          <w:color w:val="000000" w:themeColor="text1"/>
        </w:rPr>
      </w:pPr>
      <w:r>
        <w:rPr>
          <w:rFonts w:ascii="Palatino Linotype" w:eastAsiaTheme="minorEastAsia" w:hAnsi="Palatino Linotype"/>
          <w:b/>
          <w:i/>
          <w:color w:val="000000" w:themeColor="text1"/>
        </w:rPr>
        <w:t>(Sic)</w:t>
      </w:r>
    </w:p>
    <w:p w14:paraId="33AC72A4" w14:textId="77777777" w:rsidR="00040B73"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79B6D95D" w14:textId="573989A1" w:rsidR="00040B73" w:rsidRDefault="00040B73" w:rsidP="00040B73">
      <w:pPr>
        <w:tabs>
          <w:tab w:val="left" w:pos="0"/>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sz w:val="24"/>
        </w:rPr>
        <w:t xml:space="preserve">12. Por su parte, la </w:t>
      </w:r>
      <w:r>
        <w:rPr>
          <w:rFonts w:ascii="Palatino Linotype" w:eastAsiaTheme="minorEastAsia" w:hAnsi="Palatino Linotype"/>
          <w:b/>
          <w:sz w:val="24"/>
        </w:rPr>
        <w:t xml:space="preserve">Sentencia de 24 de noviembre de 2010 emitida por la Corte Interamericana de Derechos Humanos </w:t>
      </w:r>
      <w:r>
        <w:rPr>
          <w:rFonts w:ascii="Palatino Linotype" w:eastAsiaTheme="minorEastAsia" w:hAnsi="Palatino Linotype"/>
          <w:sz w:val="24"/>
        </w:rPr>
        <w:t xml:space="preserve">en el caso </w:t>
      </w:r>
      <w:r>
        <w:rPr>
          <w:rFonts w:ascii="Palatino Linotype" w:eastAsiaTheme="minorEastAsia" w:hAnsi="Palatino Linotype"/>
          <w:b/>
          <w:sz w:val="24"/>
        </w:rPr>
        <w:t>GOMES LUND y OTROS (“Guerrilla DO ARAGUAIA”) VS. BRASIL</w:t>
      </w:r>
      <w:r>
        <w:rPr>
          <w:rStyle w:val="Refdenotaalpie"/>
          <w:rFonts w:ascii="Palatino Linotype" w:eastAsiaTheme="minorEastAsia" w:hAnsi="Palatino Linotype"/>
          <w:sz w:val="24"/>
        </w:rPr>
        <w:footnoteReference w:id="3"/>
      </w:r>
      <w:r>
        <w:rPr>
          <w:rFonts w:ascii="Palatino Linotype" w:eastAsiaTheme="minorEastAsia" w:hAnsi="Palatino Linotype"/>
          <w:sz w:val="24"/>
        </w:rPr>
        <w:t xml:space="preserve">, en la que se señaló que </w:t>
      </w:r>
      <w:r>
        <w:rPr>
          <w:rFonts w:ascii="Palatino Linotype" w:eastAsiaTheme="minorEastAsia" w:hAnsi="Palatino Linotype"/>
          <w:b/>
          <w:i/>
          <w:sz w:val="24"/>
        </w:rPr>
        <w:t>“toda persona, incluyendo los familiares de las víctimas de graves violaciones a derechos humanos, tiene el derecho a conocer la verdad</w:t>
      </w:r>
      <w:r>
        <w:rPr>
          <w:rFonts w:ascii="Palatino Linotype" w:eastAsiaTheme="minorEastAsia" w:hAnsi="Palatino Linotype"/>
          <w:b/>
          <w:i/>
          <w:color w:val="000000" w:themeColor="text1"/>
          <w:sz w:val="24"/>
        </w:rPr>
        <w:t xml:space="preserve">”, </w:t>
      </w:r>
      <w:r>
        <w:rPr>
          <w:rFonts w:ascii="Palatino Linotype" w:eastAsiaTheme="minorEastAsia" w:hAnsi="Palatino Linotype"/>
          <w:color w:val="000000" w:themeColor="text1"/>
          <w:sz w:val="24"/>
        </w:rPr>
        <w:t xml:space="preserve">considerando que una sociedad democrática es indispensable que las autoridades estatales se rijan por el principio de máxima publicidad, como a continuación se observa: </w:t>
      </w:r>
    </w:p>
    <w:p w14:paraId="76BDB22D" w14:textId="77777777" w:rsidR="00040B73" w:rsidRDefault="00040B73" w:rsidP="00040B73">
      <w:pPr>
        <w:tabs>
          <w:tab w:val="left" w:pos="426"/>
        </w:tabs>
        <w:spacing w:before="240" w:after="240" w:line="360" w:lineRule="auto"/>
        <w:ind w:right="51"/>
        <w:contextualSpacing/>
        <w:jc w:val="both"/>
        <w:rPr>
          <w:rFonts w:ascii="Palatino Linotype" w:eastAsiaTheme="minorEastAsia" w:hAnsi="Palatino Linotype"/>
        </w:rPr>
      </w:pPr>
    </w:p>
    <w:p w14:paraId="6669700A" w14:textId="77777777" w:rsidR="00040B73" w:rsidRDefault="00040B73" w:rsidP="00040B73">
      <w:pPr>
        <w:tabs>
          <w:tab w:val="left" w:pos="426"/>
        </w:tabs>
        <w:spacing w:before="240" w:after="240" w:line="360" w:lineRule="auto"/>
        <w:ind w:left="567" w:right="909"/>
        <w:contextualSpacing/>
        <w:jc w:val="both"/>
        <w:rPr>
          <w:rFonts w:ascii="Palatino Linotype" w:hAnsi="Palatino Linotype"/>
          <w:i/>
        </w:rPr>
      </w:pPr>
      <w:r>
        <w:rPr>
          <w:rFonts w:ascii="Palatino Linotype" w:hAnsi="Palatino Linotype"/>
          <w:i/>
        </w:rPr>
        <w:t xml:space="preserve">“199. Por otra parte, la Corte Interamericana ha determinado que en una sociedad democrática es indispensable que las autoridades estatales se rijan por el principio de máxima divulgación, el cual establece la presunción de que toda información es accesible, sujeto a un sistema restringido de excepciones. </w:t>
      </w:r>
    </w:p>
    <w:p w14:paraId="75FC2E09" w14:textId="77777777" w:rsidR="00040B73" w:rsidRDefault="00040B73" w:rsidP="00040B73">
      <w:pPr>
        <w:tabs>
          <w:tab w:val="left" w:pos="426"/>
        </w:tabs>
        <w:spacing w:before="240" w:after="240" w:line="360" w:lineRule="auto"/>
        <w:ind w:left="567" w:right="909"/>
        <w:contextualSpacing/>
        <w:jc w:val="both"/>
        <w:rPr>
          <w:rFonts w:ascii="Palatino Linotype" w:hAnsi="Palatino Linotype"/>
          <w:i/>
        </w:rPr>
      </w:pPr>
    </w:p>
    <w:p w14:paraId="667EF984" w14:textId="77777777" w:rsidR="00040B73" w:rsidRDefault="00040B73" w:rsidP="00040B73">
      <w:pPr>
        <w:tabs>
          <w:tab w:val="left" w:pos="426"/>
        </w:tabs>
        <w:spacing w:before="240" w:after="240" w:line="360" w:lineRule="auto"/>
        <w:ind w:left="567" w:right="909"/>
        <w:contextualSpacing/>
        <w:jc w:val="both"/>
        <w:rPr>
          <w:rFonts w:ascii="Palatino Linotype" w:hAnsi="Palatino Linotype"/>
          <w:i/>
        </w:rPr>
      </w:pPr>
      <w:r>
        <w:rPr>
          <w:rFonts w:ascii="Palatino Linotype" w:hAnsi="Palatino Linotype"/>
          <w:b/>
          <w:i/>
        </w:rPr>
        <w:lastRenderedPageBreak/>
        <w:t>200. Asimismo, este Tribunal ha determinado que toda persona, incluyendo los familiares de las víctimas de graves violaciones a derechos humanos, tiene el derecho a conocer la verdad. En consecuencia, los familiares de las víctimas, y la sociedad, deben ser informados de todo lo sucedido con relación a dichas violaciones. De igual manera, el derecho a conocer la verdad también ha sido reconocido en diversos instrumentos de Naciones Unidas y por la Asamblea General de la Organización de los Estados Americanos.</w:t>
      </w:r>
      <w:r>
        <w:rPr>
          <w:rFonts w:ascii="Palatino Linotype" w:hAnsi="Palatino Linotype"/>
          <w:i/>
        </w:rPr>
        <w:t>” (Sic)</w:t>
      </w:r>
    </w:p>
    <w:p w14:paraId="30372CAC" w14:textId="77777777" w:rsidR="00040B73" w:rsidRDefault="00040B73" w:rsidP="00040B73">
      <w:pPr>
        <w:tabs>
          <w:tab w:val="left" w:pos="426"/>
        </w:tabs>
        <w:spacing w:before="240" w:after="240" w:line="360" w:lineRule="auto"/>
        <w:ind w:left="567" w:right="909"/>
        <w:contextualSpacing/>
        <w:jc w:val="both"/>
        <w:rPr>
          <w:rFonts w:ascii="Palatino Linotype" w:eastAsiaTheme="minorEastAsia" w:hAnsi="Palatino Linotype"/>
          <w:i/>
          <w:color w:val="000000" w:themeColor="text1"/>
        </w:rPr>
      </w:pPr>
    </w:p>
    <w:p w14:paraId="4FB995A7" w14:textId="77777777" w:rsidR="00040B73" w:rsidRDefault="00040B73" w:rsidP="00040B73">
      <w:pPr>
        <w:tabs>
          <w:tab w:val="left" w:pos="426"/>
        </w:tabs>
        <w:spacing w:before="240" w:after="240" w:line="360" w:lineRule="auto"/>
        <w:ind w:left="567" w:right="909"/>
        <w:contextualSpacing/>
        <w:jc w:val="both"/>
        <w:rPr>
          <w:rFonts w:ascii="Palatino Linotype" w:eastAsiaTheme="minorEastAsia" w:hAnsi="Palatino Linotype"/>
          <w:i/>
          <w:color w:val="000000" w:themeColor="text1"/>
        </w:rPr>
      </w:pPr>
      <w:r>
        <w:rPr>
          <w:rFonts w:ascii="Palatino Linotype" w:eastAsiaTheme="minorEastAsia" w:hAnsi="Palatino Linotype"/>
          <w:i/>
          <w:color w:val="000000" w:themeColor="text1"/>
        </w:rPr>
        <w:t>(Énfasis añadido)</w:t>
      </w:r>
    </w:p>
    <w:p w14:paraId="7E81FB39" w14:textId="77777777" w:rsidR="001E4B3C" w:rsidRPr="00082C80" w:rsidRDefault="001E4B3C" w:rsidP="0052682C">
      <w:pPr>
        <w:tabs>
          <w:tab w:val="left" w:pos="426"/>
        </w:tabs>
        <w:spacing w:after="0" w:line="360" w:lineRule="auto"/>
        <w:contextualSpacing/>
        <w:jc w:val="both"/>
        <w:rPr>
          <w:rFonts w:ascii="Palatino Linotype" w:eastAsia="Calibri" w:hAnsi="Palatino Linotype" w:cs="Arial"/>
          <w:sz w:val="24"/>
          <w:szCs w:val="24"/>
          <w:lang w:eastAsia="es-ES"/>
        </w:rPr>
      </w:pPr>
    </w:p>
    <w:p w14:paraId="3FE18659" w14:textId="77777777" w:rsidR="00040B73" w:rsidRDefault="00040B73" w:rsidP="00040B73">
      <w:pPr>
        <w:tabs>
          <w:tab w:val="left" w:pos="426"/>
        </w:tabs>
        <w:spacing w:after="0" w:line="360" w:lineRule="auto"/>
        <w:contextualSpacing/>
        <w:jc w:val="both"/>
        <w:rPr>
          <w:rFonts w:ascii="Palatino Linotype" w:eastAsia="Calibri" w:hAnsi="Palatino Linotype" w:cs="Arial"/>
          <w:sz w:val="24"/>
          <w:szCs w:val="24"/>
          <w:vertAlign w:val="superscript"/>
          <w:lang w:eastAsia="es-ES"/>
        </w:rPr>
      </w:pPr>
      <w:r>
        <w:rPr>
          <w:rFonts w:ascii="Palatino Linotype" w:eastAsia="Calibri" w:hAnsi="Palatino Linotype" w:cs="Arial"/>
          <w:sz w:val="24"/>
          <w:szCs w:val="24"/>
          <w:lang w:eastAsia="es-ES"/>
        </w:rPr>
        <w:t>13. Así tenemos que, e</w:t>
      </w:r>
      <w:r w:rsidR="00082C80" w:rsidRPr="00082C80">
        <w:rPr>
          <w:rFonts w:ascii="Palatino Linotype" w:eastAsia="Calibri" w:hAnsi="Palatino Linotype" w:cs="Arial"/>
          <w:sz w:val="24"/>
          <w:szCs w:val="24"/>
          <w:lang w:eastAsia="es-ES"/>
        </w:rPr>
        <w:t>l derecho a la vida de todos los seres humanos es el derecho supremo respecto del cual no se autoriza suspensión alguna, ni siquiera en situaciones de conflicto armado y otras emergencias públicas. El derecho a la vida tiene una importancia decisiva tanto para las personas como para el conjunto de la sociedad. Constituye en sí mismo el valor más preciado, en cuanto derecho inherente a todo ser humano, pero también es un derecho fundamental, cuya protección efectiva es requisito indispensable para el disfrute de todos los demás derechos humanos</w:t>
      </w:r>
      <w:r w:rsidR="00082C80" w:rsidRPr="00082C80">
        <w:rPr>
          <w:rFonts w:ascii="Palatino Linotype" w:eastAsia="Calibri" w:hAnsi="Palatino Linotype" w:cs="Arial"/>
          <w:sz w:val="24"/>
          <w:szCs w:val="24"/>
          <w:vertAlign w:val="superscript"/>
          <w:lang w:eastAsia="es-ES"/>
        </w:rPr>
        <w:t>.</w:t>
      </w:r>
      <w:r w:rsidR="00082C80" w:rsidRPr="00082C80">
        <w:rPr>
          <w:rFonts w:ascii="Palatino Linotype" w:eastAsia="Calibri" w:hAnsi="Palatino Linotype" w:cs="Arial"/>
          <w:sz w:val="24"/>
          <w:szCs w:val="24"/>
          <w:vertAlign w:val="superscript"/>
          <w:lang w:eastAsia="es-ES"/>
        </w:rPr>
        <w:footnoteReference w:id="4"/>
      </w:r>
    </w:p>
    <w:p w14:paraId="78D98E1A" w14:textId="77777777" w:rsidR="00040B73" w:rsidRDefault="00040B73" w:rsidP="00040B73">
      <w:pPr>
        <w:tabs>
          <w:tab w:val="left" w:pos="426"/>
        </w:tabs>
        <w:spacing w:after="0" w:line="360" w:lineRule="auto"/>
        <w:contextualSpacing/>
        <w:jc w:val="both"/>
        <w:rPr>
          <w:rFonts w:ascii="Palatino Linotype" w:eastAsia="Calibri" w:hAnsi="Palatino Linotype" w:cs="Arial"/>
          <w:sz w:val="24"/>
          <w:szCs w:val="24"/>
          <w:vertAlign w:val="superscript"/>
          <w:lang w:eastAsia="es-ES"/>
        </w:rPr>
      </w:pPr>
    </w:p>
    <w:p w14:paraId="73B29245" w14:textId="4D80CC99" w:rsidR="00082C80" w:rsidRDefault="00040B73" w:rsidP="00040B73">
      <w:pPr>
        <w:tabs>
          <w:tab w:val="left" w:pos="426"/>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14.- </w:t>
      </w:r>
      <w:r w:rsidR="00082C80" w:rsidRPr="00082C80">
        <w:rPr>
          <w:rFonts w:ascii="Palatino Linotype" w:eastAsia="Calibri" w:hAnsi="Palatino Linotype" w:cs="Arial"/>
          <w:sz w:val="24"/>
          <w:szCs w:val="24"/>
          <w:lang w:eastAsia="es-ES"/>
        </w:rPr>
        <w:t xml:space="preserve">Los artículos 3° de la Declaración Universal de Derechos Humanos; 1° de la Declaración Americana de Derechos y Deberes del Hombre; 6° del Pacto </w:t>
      </w:r>
      <w:r w:rsidR="00082C80" w:rsidRPr="00082C80">
        <w:rPr>
          <w:rFonts w:ascii="Palatino Linotype" w:eastAsia="Calibri" w:hAnsi="Palatino Linotype" w:cs="Arial"/>
          <w:sz w:val="24"/>
          <w:szCs w:val="24"/>
          <w:lang w:eastAsia="es-ES"/>
        </w:rPr>
        <w:lastRenderedPageBreak/>
        <w:t xml:space="preserve">Internacional de Derechos Civiles y Políticos; y, 4° de la Convención Americana de Derechos Humanos, vinculantes para el Estado Mexicano, de manera general establecen tres elementos comunes: </w:t>
      </w:r>
    </w:p>
    <w:p w14:paraId="62826838" w14:textId="77777777" w:rsidR="00082C80" w:rsidRDefault="00082C80" w:rsidP="00082C80">
      <w:pPr>
        <w:pStyle w:val="Prrafodelista"/>
        <w:rPr>
          <w:rFonts w:ascii="Palatino Linotype" w:eastAsia="Calibri" w:hAnsi="Palatino Linotype" w:cs="Arial"/>
          <w:sz w:val="24"/>
          <w:szCs w:val="24"/>
          <w:lang w:eastAsia="es-ES"/>
        </w:rPr>
      </w:pPr>
    </w:p>
    <w:p w14:paraId="02FC1718" w14:textId="77777777" w:rsidR="00082C80" w:rsidRPr="00082C80" w:rsidRDefault="00082C80" w:rsidP="00082C80">
      <w:pPr>
        <w:tabs>
          <w:tab w:val="left" w:pos="426"/>
        </w:tabs>
        <w:spacing w:after="0" w:line="360" w:lineRule="auto"/>
        <w:ind w:left="1701"/>
        <w:contextualSpacing/>
        <w:jc w:val="both"/>
        <w:rPr>
          <w:rFonts w:ascii="Palatino Linotype" w:eastAsia="Calibri" w:hAnsi="Palatino Linotype" w:cs="Arial"/>
          <w:sz w:val="24"/>
          <w:szCs w:val="24"/>
          <w:lang w:eastAsia="es-ES"/>
        </w:rPr>
      </w:pPr>
      <w:r w:rsidRPr="00082C80">
        <w:rPr>
          <w:rFonts w:ascii="Palatino Linotype" w:eastAsia="Calibri" w:hAnsi="Palatino Linotype" w:cs="Arial"/>
          <w:sz w:val="24"/>
          <w:szCs w:val="24"/>
          <w:lang w:eastAsia="es-ES"/>
        </w:rPr>
        <w:t xml:space="preserve">• La universalidad del derecho a la vida. </w:t>
      </w:r>
    </w:p>
    <w:p w14:paraId="771D32C3" w14:textId="77777777" w:rsidR="00082C80" w:rsidRPr="00082C80" w:rsidRDefault="00082C80" w:rsidP="00082C80">
      <w:pPr>
        <w:tabs>
          <w:tab w:val="left" w:pos="426"/>
        </w:tabs>
        <w:spacing w:after="0" w:line="360" w:lineRule="auto"/>
        <w:ind w:left="1701"/>
        <w:contextualSpacing/>
        <w:jc w:val="both"/>
        <w:rPr>
          <w:rFonts w:ascii="Palatino Linotype" w:eastAsia="Calibri" w:hAnsi="Palatino Linotype" w:cs="Arial"/>
          <w:sz w:val="24"/>
          <w:szCs w:val="24"/>
          <w:lang w:eastAsia="es-ES"/>
        </w:rPr>
      </w:pPr>
      <w:r w:rsidRPr="00082C80">
        <w:rPr>
          <w:rFonts w:ascii="Palatino Linotype" w:eastAsia="Calibri" w:hAnsi="Palatino Linotype" w:cs="Arial"/>
          <w:sz w:val="24"/>
          <w:szCs w:val="24"/>
          <w:lang w:eastAsia="es-ES"/>
        </w:rPr>
        <w:t xml:space="preserve">• La obligación de protección legal del derecho a la vida. </w:t>
      </w:r>
    </w:p>
    <w:p w14:paraId="7380DB80" w14:textId="36314E5D" w:rsidR="00082C80" w:rsidRPr="00082C80" w:rsidRDefault="00082C80" w:rsidP="00082C80">
      <w:pPr>
        <w:tabs>
          <w:tab w:val="left" w:pos="426"/>
        </w:tabs>
        <w:spacing w:after="0" w:line="360" w:lineRule="auto"/>
        <w:ind w:left="1701"/>
        <w:contextualSpacing/>
        <w:jc w:val="both"/>
        <w:rPr>
          <w:rFonts w:ascii="Palatino Linotype" w:eastAsia="Calibri" w:hAnsi="Palatino Linotype" w:cs="Arial"/>
          <w:sz w:val="24"/>
          <w:szCs w:val="24"/>
          <w:lang w:eastAsia="es-ES"/>
        </w:rPr>
      </w:pPr>
      <w:r w:rsidRPr="00082C80">
        <w:rPr>
          <w:rFonts w:ascii="Palatino Linotype" w:eastAsia="Calibri" w:hAnsi="Palatino Linotype" w:cs="Arial"/>
          <w:sz w:val="24"/>
          <w:szCs w:val="24"/>
          <w:lang w:eastAsia="es-ES"/>
        </w:rPr>
        <w:t xml:space="preserve">• La prohibición de privación arbitraria del derecho a la vida.  </w:t>
      </w:r>
    </w:p>
    <w:p w14:paraId="1C981270" w14:textId="77777777" w:rsidR="00082C80" w:rsidRPr="00082C80" w:rsidRDefault="00082C80" w:rsidP="00082C80">
      <w:pPr>
        <w:tabs>
          <w:tab w:val="left" w:pos="426"/>
        </w:tabs>
        <w:spacing w:after="0" w:line="360" w:lineRule="auto"/>
        <w:contextualSpacing/>
        <w:jc w:val="both"/>
        <w:rPr>
          <w:rFonts w:ascii="Palatino Linotype" w:eastAsia="Calibri" w:hAnsi="Palatino Linotype" w:cs="Arial"/>
          <w:sz w:val="24"/>
          <w:szCs w:val="24"/>
          <w:lang w:eastAsia="es-ES"/>
        </w:rPr>
      </w:pPr>
    </w:p>
    <w:p w14:paraId="2F8AA3B8" w14:textId="06EDE893" w:rsidR="00082C80" w:rsidRDefault="00040B73" w:rsidP="00040B73">
      <w:pPr>
        <w:tabs>
          <w:tab w:val="left" w:pos="426"/>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15.- </w:t>
      </w:r>
      <w:r w:rsidR="00082C80" w:rsidRPr="00082C80">
        <w:rPr>
          <w:rFonts w:ascii="Palatino Linotype" w:eastAsia="Calibri" w:hAnsi="Palatino Linotype" w:cs="Arial"/>
          <w:sz w:val="24"/>
          <w:szCs w:val="24"/>
          <w:lang w:eastAsia="es-ES"/>
        </w:rPr>
        <w:t xml:space="preserve">De acuerdo a los preceptos antes invocados, la obligación de garantizar el derecho a la vida no solo implica que ninguna persona sea privada de su vida arbitrariamente, sino además garantizar el pleno ejercicio de todos los derechos humanos, </w:t>
      </w:r>
      <w:r w:rsidR="00A40477">
        <w:rPr>
          <w:rFonts w:ascii="Palatino Linotype" w:eastAsia="Calibri" w:hAnsi="Palatino Linotype" w:cs="Arial"/>
          <w:sz w:val="24"/>
          <w:szCs w:val="24"/>
          <w:lang w:eastAsia="es-ES"/>
        </w:rPr>
        <w:t xml:space="preserve">de </w:t>
      </w:r>
      <w:r w:rsidR="00082C80" w:rsidRPr="00082C80">
        <w:rPr>
          <w:rFonts w:ascii="Palatino Linotype" w:eastAsia="Calibri" w:hAnsi="Palatino Linotype" w:cs="Arial"/>
          <w:sz w:val="24"/>
          <w:szCs w:val="24"/>
          <w:lang w:eastAsia="es-ES"/>
        </w:rPr>
        <w:t>adoptar todas las medidas necesarias para proteger y preservar el derecho a la vida de quienes se encuentren bajo su jurisdicción, lo que involucra a todas sus instituciones</w:t>
      </w:r>
      <w:r w:rsidR="00082C80">
        <w:rPr>
          <w:rFonts w:ascii="Palatino Linotype" w:eastAsia="Calibri" w:hAnsi="Palatino Linotype" w:cs="Arial"/>
          <w:sz w:val="24"/>
          <w:szCs w:val="24"/>
          <w:lang w:eastAsia="es-ES"/>
        </w:rPr>
        <w:t>.</w:t>
      </w:r>
    </w:p>
    <w:p w14:paraId="7977DC07" w14:textId="77777777" w:rsidR="00082C80" w:rsidRPr="00082C80" w:rsidRDefault="00082C80" w:rsidP="00082C80">
      <w:pPr>
        <w:tabs>
          <w:tab w:val="left" w:pos="426"/>
        </w:tabs>
        <w:spacing w:after="0" w:line="360" w:lineRule="auto"/>
        <w:contextualSpacing/>
        <w:jc w:val="both"/>
        <w:rPr>
          <w:rFonts w:ascii="Palatino Linotype" w:eastAsia="Calibri" w:hAnsi="Palatino Linotype" w:cs="Arial"/>
          <w:sz w:val="24"/>
          <w:szCs w:val="24"/>
          <w:lang w:eastAsia="es-ES"/>
        </w:rPr>
      </w:pPr>
    </w:p>
    <w:p w14:paraId="4385A4AC" w14:textId="6CE3A693" w:rsidR="00082C80" w:rsidRDefault="00040B73" w:rsidP="00040B73">
      <w:pPr>
        <w:tabs>
          <w:tab w:val="left" w:pos="426"/>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16.- </w:t>
      </w:r>
      <w:r w:rsidR="00082C80" w:rsidRPr="00082C80">
        <w:rPr>
          <w:rFonts w:ascii="Palatino Linotype" w:eastAsia="Calibri" w:hAnsi="Palatino Linotype" w:cs="Arial"/>
          <w:sz w:val="24"/>
          <w:szCs w:val="24"/>
          <w:lang w:eastAsia="es-ES"/>
        </w:rPr>
        <w:t xml:space="preserve">Siguiendo los lineamientos sentados por la Suprema Corte de Justicia de la Nación, la gravedad de las violaciones a derechos humanos se acreditará mediante dos operaciones distintas: (i) prueba de la existencia de violaciones a derechos fundamentales; y (ii) la calificación de esas violaciones como graves. </w:t>
      </w:r>
    </w:p>
    <w:p w14:paraId="31AA900D" w14:textId="77777777" w:rsidR="00082C80" w:rsidRDefault="00082C80" w:rsidP="00082C80">
      <w:pPr>
        <w:pStyle w:val="Prrafodelista"/>
        <w:rPr>
          <w:rFonts w:ascii="Palatino Linotype" w:eastAsia="Calibri" w:hAnsi="Palatino Linotype" w:cs="Arial"/>
          <w:sz w:val="24"/>
          <w:szCs w:val="24"/>
          <w:lang w:eastAsia="es-ES"/>
        </w:rPr>
      </w:pPr>
    </w:p>
    <w:p w14:paraId="41F74EE5" w14:textId="747A4604"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17.- </w:t>
      </w:r>
      <w:r w:rsidR="00082C80" w:rsidRPr="00082C80">
        <w:rPr>
          <w:rFonts w:ascii="Palatino Linotype" w:eastAsia="Calibri" w:hAnsi="Palatino Linotype" w:cs="Arial"/>
          <w:sz w:val="24"/>
          <w:szCs w:val="24"/>
          <w:lang w:eastAsia="es-ES"/>
        </w:rPr>
        <w:t xml:space="preserve">La prueba de la existencia de las violaciones no representa mayor problema, mientras que para demostrar que las violaciones a derechos fundamentales son “graves” se requiere de juicios de valor, reconducibles al terreno probatorio </w:t>
      </w:r>
      <w:r w:rsidR="00082C80" w:rsidRPr="00082C80">
        <w:rPr>
          <w:rFonts w:ascii="Palatino Linotype" w:eastAsia="Calibri" w:hAnsi="Palatino Linotype" w:cs="Arial"/>
          <w:sz w:val="24"/>
          <w:szCs w:val="24"/>
          <w:lang w:eastAsia="es-ES"/>
        </w:rPr>
        <w:lastRenderedPageBreak/>
        <w:t>dotándolos de contenido descriptivo. Así pues, para acreditar este elemento la Suprema Corte ha exigido que se compruebe la trascendencia social de las violaciones, lo cual se podrá determinar con base en criterios cuantitativos o cualitativos.</w:t>
      </w:r>
    </w:p>
    <w:p w14:paraId="0CE4C6A0" w14:textId="77777777" w:rsidR="00082C80" w:rsidRDefault="00082C80" w:rsidP="00082C80">
      <w:pPr>
        <w:pStyle w:val="Prrafodelista"/>
        <w:rPr>
          <w:rFonts w:ascii="Palatino Linotype" w:eastAsia="Calibri" w:hAnsi="Palatino Linotype" w:cs="Arial"/>
          <w:sz w:val="24"/>
          <w:szCs w:val="24"/>
          <w:lang w:eastAsia="es-ES"/>
        </w:rPr>
      </w:pPr>
    </w:p>
    <w:p w14:paraId="5F346284" w14:textId="11DD07F5"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18.- </w:t>
      </w:r>
      <w:r w:rsidR="00082C80" w:rsidRPr="00082C80">
        <w:rPr>
          <w:rFonts w:ascii="Palatino Linotype" w:eastAsia="Calibri" w:hAnsi="Palatino Linotype" w:cs="Arial"/>
          <w:sz w:val="24"/>
          <w:szCs w:val="24"/>
          <w:lang w:eastAsia="es-ES"/>
        </w:rPr>
        <w:t>El criterio cuantitativo determina la gravedad de las violaciones demostrando que tienen una trascendencia social en función de aspectos medibles o cuantificables, tales como el número, la intensidad, la amplitud, la generalidad, la frecuencia o su prolongación en el tiempo, así como, evidentemente, la combinación de varios de estos aspectos</w:t>
      </w:r>
      <w:r w:rsidR="00082C80">
        <w:rPr>
          <w:rFonts w:ascii="Palatino Linotype" w:eastAsia="Calibri" w:hAnsi="Palatino Linotype" w:cs="Arial"/>
          <w:sz w:val="24"/>
          <w:szCs w:val="24"/>
          <w:lang w:eastAsia="es-ES"/>
        </w:rPr>
        <w:t>.</w:t>
      </w:r>
      <w:r w:rsidR="00082C80" w:rsidRPr="00082C80">
        <w:rPr>
          <w:rFonts w:ascii="Palatino Linotype" w:eastAsia="Calibri" w:hAnsi="Palatino Linotype" w:cs="Arial"/>
          <w:sz w:val="24"/>
          <w:szCs w:val="24"/>
          <w:lang w:eastAsia="es-ES"/>
        </w:rPr>
        <w:t xml:space="preserve"> Es lógico que el criterio anterior no haya  podido aplicarse a todos los casos, razón por la cual la Suprema Corte de Justicia de la Nación también ha entendido que en algunos supuestos la trascendencia social de las violaciones se puede demostrar mediante un criterio cualitativo, determinando si éstas presentan alguna característica o cualidad que les dé una dimensión específica. </w:t>
      </w:r>
    </w:p>
    <w:p w14:paraId="5A83141A" w14:textId="77777777" w:rsidR="00082C80" w:rsidRDefault="00082C80" w:rsidP="00082C80">
      <w:pPr>
        <w:pStyle w:val="Prrafodelista"/>
        <w:rPr>
          <w:rFonts w:ascii="Palatino Linotype" w:eastAsia="Calibri" w:hAnsi="Palatino Linotype" w:cs="Arial"/>
          <w:sz w:val="24"/>
          <w:szCs w:val="24"/>
          <w:lang w:eastAsia="es-ES"/>
        </w:rPr>
      </w:pPr>
    </w:p>
    <w:p w14:paraId="19455B11" w14:textId="67870942"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19.- </w:t>
      </w:r>
      <w:r w:rsidR="00082C80" w:rsidRPr="00082C80">
        <w:rPr>
          <w:rFonts w:ascii="Palatino Linotype" w:eastAsia="Calibri" w:hAnsi="Palatino Linotype" w:cs="Arial"/>
          <w:sz w:val="24"/>
          <w:szCs w:val="24"/>
          <w:lang w:eastAsia="es-ES"/>
        </w:rPr>
        <w:t xml:space="preserve">Respecto al criterio cualitativo, la Suprema Corte de Justicia de la Nación ha determinado en forma casuística algunos supuestos en los cuales se ha actualizado: </w:t>
      </w:r>
    </w:p>
    <w:p w14:paraId="2844D973" w14:textId="77777777" w:rsidR="00082C80" w:rsidRDefault="00082C80" w:rsidP="00082C80">
      <w:pPr>
        <w:pStyle w:val="Prrafodelista"/>
        <w:rPr>
          <w:rFonts w:ascii="Palatino Linotype" w:eastAsia="Calibri" w:hAnsi="Palatino Linotype" w:cs="Arial"/>
          <w:sz w:val="24"/>
          <w:szCs w:val="24"/>
          <w:lang w:eastAsia="es-ES"/>
        </w:rPr>
      </w:pPr>
    </w:p>
    <w:p w14:paraId="40015FCB" w14:textId="0BD42E38" w:rsidR="00082C80" w:rsidRPr="00082C80" w:rsidRDefault="00082C80" w:rsidP="00082C80">
      <w:pPr>
        <w:pStyle w:val="Prrafodelista"/>
        <w:numPr>
          <w:ilvl w:val="0"/>
          <w:numId w:val="34"/>
        </w:numPr>
        <w:tabs>
          <w:tab w:val="left" w:pos="0"/>
        </w:tabs>
        <w:spacing w:after="0" w:line="360" w:lineRule="auto"/>
        <w:jc w:val="both"/>
        <w:rPr>
          <w:rFonts w:ascii="Palatino Linotype" w:eastAsia="Calibri" w:hAnsi="Palatino Linotype" w:cs="Arial"/>
          <w:sz w:val="24"/>
          <w:szCs w:val="24"/>
          <w:lang w:eastAsia="es-ES"/>
        </w:rPr>
      </w:pPr>
      <w:r w:rsidRPr="00082C80">
        <w:rPr>
          <w:rFonts w:ascii="Palatino Linotype" w:eastAsia="Calibri" w:hAnsi="Palatino Linotype" w:cs="Arial"/>
          <w:sz w:val="24"/>
          <w:szCs w:val="24"/>
          <w:lang w:eastAsia="es-ES"/>
        </w:rPr>
        <w:t>concierto de autoridades de dos o más poderes federales o locales para afectar deliberadamente los derechos de una persona, desconociendo el sistema de distribución de competencias establecido en la Constitución o el principio de división de poderes; y</w:t>
      </w:r>
    </w:p>
    <w:p w14:paraId="1904F6B6" w14:textId="40DB833B" w:rsidR="00082C80" w:rsidRPr="00082C80" w:rsidRDefault="00082C80" w:rsidP="00082C80">
      <w:pPr>
        <w:pStyle w:val="Prrafodelista"/>
        <w:numPr>
          <w:ilvl w:val="0"/>
          <w:numId w:val="34"/>
        </w:numPr>
        <w:tabs>
          <w:tab w:val="left" w:pos="0"/>
        </w:tabs>
        <w:spacing w:after="0" w:line="360" w:lineRule="auto"/>
        <w:jc w:val="both"/>
        <w:rPr>
          <w:rFonts w:ascii="Palatino Linotype" w:eastAsia="Calibri" w:hAnsi="Palatino Linotype" w:cs="Arial"/>
          <w:sz w:val="24"/>
          <w:szCs w:val="24"/>
          <w:lang w:eastAsia="es-ES"/>
        </w:rPr>
      </w:pPr>
      <w:r w:rsidRPr="00082C80">
        <w:rPr>
          <w:rFonts w:ascii="Palatino Linotype" w:eastAsia="Calibri" w:hAnsi="Palatino Linotype" w:cs="Arial"/>
          <w:sz w:val="24"/>
          <w:szCs w:val="24"/>
          <w:lang w:eastAsia="es-ES"/>
        </w:rPr>
        <w:lastRenderedPageBreak/>
        <w:t>entrega a la comunidad de información manipulada, incompleta o el simple impedimento de conocer la verdad, afectando con ello la formación de la voluntad general y generando una cultura del engaño.</w:t>
      </w:r>
    </w:p>
    <w:p w14:paraId="3F927A5B" w14:textId="77777777" w:rsidR="00082C80" w:rsidRDefault="00082C80" w:rsidP="00082C80">
      <w:pPr>
        <w:pStyle w:val="Prrafodelista"/>
        <w:ind w:left="0"/>
        <w:rPr>
          <w:rFonts w:ascii="Palatino Linotype" w:eastAsia="Calibri" w:hAnsi="Palatino Linotype" w:cs="Arial"/>
          <w:sz w:val="24"/>
          <w:szCs w:val="24"/>
          <w:lang w:eastAsia="es-ES"/>
        </w:rPr>
      </w:pPr>
    </w:p>
    <w:p w14:paraId="1670D782" w14:textId="5F2412B0"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20.- </w:t>
      </w:r>
      <w:r w:rsidR="00082C80" w:rsidRPr="00082C80">
        <w:rPr>
          <w:rFonts w:ascii="Palatino Linotype" w:eastAsia="Calibri" w:hAnsi="Palatino Linotype" w:cs="Arial"/>
          <w:sz w:val="24"/>
          <w:szCs w:val="24"/>
          <w:lang w:eastAsia="es-ES"/>
        </w:rPr>
        <w:t xml:space="preserve">Adicionalmente, según se desprende de las determinaciones adoptadas por  el Pleno de </w:t>
      </w:r>
      <w:r>
        <w:rPr>
          <w:rFonts w:ascii="Palatino Linotype" w:eastAsia="Calibri" w:hAnsi="Palatino Linotype" w:cs="Arial"/>
          <w:sz w:val="24"/>
          <w:szCs w:val="24"/>
          <w:lang w:eastAsia="es-ES"/>
        </w:rPr>
        <w:t xml:space="preserve">la </w:t>
      </w:r>
      <w:r w:rsidR="00082C80" w:rsidRPr="00082C80">
        <w:rPr>
          <w:rFonts w:ascii="Palatino Linotype" w:eastAsia="Calibri" w:hAnsi="Palatino Linotype" w:cs="Arial"/>
          <w:sz w:val="24"/>
          <w:szCs w:val="24"/>
          <w:lang w:eastAsia="es-ES"/>
        </w:rPr>
        <w:t xml:space="preserve"> Suprema Corte de Justicia de la Nación al resolver el expediente Varios 912/2010, la totalidad de los criterios interpretativos de la Corte Interamericana de Derechos Humanos contenidos en sentencias condenatorias para el Estado mexicano resultan de observancia obligatoria para </w:t>
      </w:r>
      <w:proofErr w:type="gramStart"/>
      <w:r w:rsidR="00082C80" w:rsidRPr="00082C80">
        <w:rPr>
          <w:rFonts w:ascii="Palatino Linotype" w:eastAsia="Calibri" w:hAnsi="Palatino Linotype" w:cs="Arial"/>
          <w:sz w:val="24"/>
          <w:szCs w:val="24"/>
          <w:lang w:eastAsia="es-ES"/>
        </w:rPr>
        <w:t>México .</w:t>
      </w:r>
      <w:proofErr w:type="gramEnd"/>
    </w:p>
    <w:p w14:paraId="155BF4E8" w14:textId="77777777" w:rsidR="00082C80" w:rsidRDefault="00082C80" w:rsidP="00082C80">
      <w:pPr>
        <w:tabs>
          <w:tab w:val="left" w:pos="0"/>
        </w:tabs>
        <w:spacing w:after="0" w:line="360" w:lineRule="auto"/>
        <w:contextualSpacing/>
        <w:jc w:val="both"/>
        <w:rPr>
          <w:rFonts w:ascii="Palatino Linotype" w:eastAsia="Calibri" w:hAnsi="Palatino Linotype" w:cs="Arial"/>
          <w:sz w:val="24"/>
          <w:szCs w:val="24"/>
          <w:lang w:eastAsia="es-ES"/>
        </w:rPr>
      </w:pPr>
    </w:p>
    <w:p w14:paraId="4C2D9714" w14:textId="08694C96"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21.- </w:t>
      </w:r>
      <w:r w:rsidR="00082C80" w:rsidRPr="00082C80">
        <w:rPr>
          <w:rFonts w:ascii="Palatino Linotype" w:eastAsia="Calibri" w:hAnsi="Palatino Linotype" w:cs="Arial"/>
          <w:sz w:val="24"/>
          <w:szCs w:val="24"/>
          <w:lang w:eastAsia="es-ES"/>
        </w:rPr>
        <w:t>Así pues, la Corte Interamericana de Derechos Humanos ha desarrollado, al igual que el Máximo Tribunal, criterios sobre qué debe entenderse por violaciones graves a derechos humanos, tal y como se observa en el párrafo 139 del Caso Radilla Pacheco Vs. México:</w:t>
      </w:r>
    </w:p>
    <w:p w14:paraId="659622B0" w14:textId="77777777" w:rsidR="00082C80" w:rsidRDefault="00082C80" w:rsidP="00082C80">
      <w:pPr>
        <w:pStyle w:val="Prrafodelista"/>
        <w:rPr>
          <w:rFonts w:ascii="Palatino Linotype" w:eastAsia="Calibri" w:hAnsi="Palatino Linotype" w:cs="Arial"/>
          <w:sz w:val="24"/>
          <w:szCs w:val="24"/>
          <w:lang w:eastAsia="es-ES"/>
        </w:rPr>
      </w:pPr>
    </w:p>
    <w:p w14:paraId="7FE5F2EE" w14:textId="77777777" w:rsidR="00082C80" w:rsidRPr="00040B73" w:rsidRDefault="00082C80" w:rsidP="00082C80">
      <w:pPr>
        <w:spacing w:after="0" w:line="360" w:lineRule="auto"/>
        <w:ind w:left="1134"/>
        <w:contextualSpacing/>
        <w:jc w:val="both"/>
        <w:rPr>
          <w:rFonts w:ascii="Palatino Linotype" w:hAnsi="Palatino Linotype"/>
          <w:i/>
        </w:rPr>
      </w:pPr>
      <w:r w:rsidRPr="00040B73">
        <w:rPr>
          <w:rFonts w:ascii="Palatino Linotype" w:hAnsi="Palatino Linotype"/>
          <w:i/>
        </w:rPr>
        <w:t xml:space="preserve">139. En el derecho internacional la jurisprudencia de este Tribunal ha sido precursora de la consolidación de una perspectiva comprensiva de la gravedad y el carácter continuado o permanente y autónomo de la figura de la desaparición forzada de personas. La Corte ha reiterado que ésta constituye una violación múltiple de varios derechos protegidos por la Convención Americana que coloca a la víctima en un estado de completa indefensión, acarreando otras vulneraciones conexas, siendo particularmente grave cuando forma parte de un patrón sistemático o práctica aplicada o tolerada por el Estado. La desaparición forzada implica un craso abandono de los principios esenciales </w:t>
      </w:r>
      <w:r w:rsidRPr="00040B73">
        <w:rPr>
          <w:rFonts w:ascii="Palatino Linotype" w:hAnsi="Palatino Linotype"/>
          <w:i/>
        </w:rPr>
        <w:lastRenderedPageBreak/>
        <w:t xml:space="preserve">en que se fundamenta el Sistema Interamericano, y su prohibición ha alcanzado carácter de </w:t>
      </w:r>
      <w:proofErr w:type="spellStart"/>
      <w:r w:rsidRPr="00040B73">
        <w:rPr>
          <w:rFonts w:ascii="Palatino Linotype" w:hAnsi="Palatino Linotype"/>
          <w:i/>
        </w:rPr>
        <w:t>jus</w:t>
      </w:r>
      <w:proofErr w:type="spellEnd"/>
      <w:r w:rsidRPr="00040B73">
        <w:rPr>
          <w:rFonts w:ascii="Palatino Linotype" w:hAnsi="Palatino Linotype"/>
          <w:i/>
        </w:rPr>
        <w:t xml:space="preserve"> </w:t>
      </w:r>
      <w:proofErr w:type="spellStart"/>
      <w:r w:rsidRPr="00040B73">
        <w:rPr>
          <w:rFonts w:ascii="Palatino Linotype" w:hAnsi="Palatino Linotype"/>
          <w:i/>
        </w:rPr>
        <w:t>cogens</w:t>
      </w:r>
      <w:proofErr w:type="spellEnd"/>
      <w:r w:rsidRPr="00040B73">
        <w:rPr>
          <w:rFonts w:ascii="Palatino Linotype" w:hAnsi="Palatino Linotype"/>
          <w:i/>
        </w:rPr>
        <w:t xml:space="preserve">. </w:t>
      </w:r>
    </w:p>
    <w:p w14:paraId="4BBDA682" w14:textId="77777777" w:rsidR="00082C80" w:rsidRDefault="00082C80" w:rsidP="00082C80">
      <w:pPr>
        <w:spacing w:after="0" w:line="360" w:lineRule="auto"/>
        <w:ind w:left="1134"/>
        <w:contextualSpacing/>
        <w:jc w:val="both"/>
        <w:rPr>
          <w:rFonts w:ascii="Palatino Linotype" w:eastAsia="Calibri" w:hAnsi="Palatino Linotype" w:cs="Arial"/>
          <w:sz w:val="24"/>
          <w:szCs w:val="24"/>
          <w:lang w:eastAsia="es-ES"/>
        </w:rPr>
      </w:pPr>
    </w:p>
    <w:p w14:paraId="36EFDC99" w14:textId="566D9932"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22.- </w:t>
      </w:r>
      <w:r w:rsidR="00082C80" w:rsidRPr="00082C80">
        <w:rPr>
          <w:rFonts w:ascii="Palatino Linotype" w:eastAsia="Calibri" w:hAnsi="Palatino Linotype" w:cs="Arial"/>
          <w:sz w:val="24"/>
          <w:szCs w:val="24"/>
          <w:lang w:eastAsia="es-ES"/>
        </w:rPr>
        <w:t>Ahora bien, del análisis de las consideraciones de la Corte Interamericana de Derechos Humanos se desprende que la clasificación de violaciones a derechos humanos como “graves” atiende más a criterios cualitativos que cuantitativos. Aún y cuando en muchos casos dichas violaciones sí se presentan en contextos generalizados de violencia, se considera que la “gravedad” radica, esencialmente en que se presenten las siguientes características: (i) multiplicidad de violaciones comprendidas dentro del fenómeno delictivo; (ii) especial magnitud de las violaciones en relación a la naturaleza de los derechos afectados; y (iii) una participación importante del Estado (al ser los actos cometidos por agentes estatales o con la aquiescencia, tolerancia o apoyo del Estado).</w:t>
      </w:r>
    </w:p>
    <w:p w14:paraId="210757B0" w14:textId="77777777" w:rsidR="00082C80" w:rsidRDefault="00082C80" w:rsidP="00082C80">
      <w:pPr>
        <w:tabs>
          <w:tab w:val="left" w:pos="0"/>
        </w:tabs>
        <w:spacing w:after="0" w:line="360" w:lineRule="auto"/>
        <w:contextualSpacing/>
        <w:jc w:val="both"/>
        <w:rPr>
          <w:rFonts w:ascii="Palatino Linotype" w:eastAsia="Calibri" w:hAnsi="Palatino Linotype" w:cs="Arial"/>
          <w:sz w:val="24"/>
          <w:szCs w:val="24"/>
          <w:lang w:eastAsia="es-ES"/>
        </w:rPr>
      </w:pPr>
    </w:p>
    <w:p w14:paraId="57DE5CF8" w14:textId="459AE968" w:rsid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23.- </w:t>
      </w:r>
      <w:r w:rsidR="00082C80" w:rsidRPr="00082C80">
        <w:rPr>
          <w:rFonts w:ascii="Palatino Linotype" w:eastAsia="Calibri" w:hAnsi="Palatino Linotype" w:cs="Arial"/>
          <w:sz w:val="24"/>
          <w:szCs w:val="24"/>
          <w:lang w:eastAsia="es-ES"/>
        </w:rPr>
        <w:t xml:space="preserve">Sobre el asunto que aquí se trata tenemos que presuntamente existe una participación importante del Estado (ámbito municipal) e implicó la violación intensa a los </w:t>
      </w:r>
      <w:r w:rsidR="00082C80" w:rsidRPr="00082C80">
        <w:rPr>
          <w:rFonts w:ascii="Palatino Linotype" w:eastAsia="Calibri" w:hAnsi="Palatino Linotype" w:cs="Arial"/>
          <w:b/>
          <w:sz w:val="24"/>
          <w:szCs w:val="24"/>
          <w:lang w:eastAsia="es-ES"/>
        </w:rPr>
        <w:t xml:space="preserve">derechos a la vida, la integridad personal, la libertad, </w:t>
      </w:r>
      <w:r w:rsidR="00082C80" w:rsidRPr="00082C80">
        <w:rPr>
          <w:rFonts w:ascii="Palatino Linotype" w:eastAsia="Calibri" w:hAnsi="Palatino Linotype" w:cs="Arial"/>
          <w:b/>
          <w:bCs/>
          <w:sz w:val="24"/>
          <w:szCs w:val="24"/>
          <w:lang w:eastAsia="es-ES"/>
        </w:rPr>
        <w:t>seguridad personal y, en su caso, al derecho a no ser sometido al uso desproporcionado o indebido de la fuerza por parte de integrantes de una institución de seguridad pública como lo es la policía municipal</w:t>
      </w:r>
      <w:r w:rsidR="00082C80" w:rsidRPr="00082C80">
        <w:rPr>
          <w:rFonts w:ascii="Palatino Linotype" w:eastAsia="Calibri" w:hAnsi="Palatino Linotype" w:cs="Arial"/>
          <w:sz w:val="24"/>
          <w:szCs w:val="24"/>
          <w:lang w:eastAsia="es-ES"/>
        </w:rPr>
        <w:t>.</w:t>
      </w:r>
    </w:p>
    <w:p w14:paraId="37D96CC2" w14:textId="77777777" w:rsidR="00082C80" w:rsidRDefault="00082C80" w:rsidP="00082C80">
      <w:pPr>
        <w:pStyle w:val="Prrafodelista"/>
        <w:rPr>
          <w:rFonts w:ascii="Palatino Linotype" w:eastAsia="Calibri" w:hAnsi="Palatino Linotype" w:cs="Arial"/>
          <w:sz w:val="24"/>
          <w:szCs w:val="24"/>
          <w:lang w:eastAsia="es-ES"/>
        </w:rPr>
      </w:pPr>
    </w:p>
    <w:p w14:paraId="67752488" w14:textId="62F9173E" w:rsidR="00082C80" w:rsidRPr="00082C80" w:rsidRDefault="00040B73" w:rsidP="00040B73">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24.- </w:t>
      </w:r>
      <w:r w:rsidR="00082C80" w:rsidRPr="00082C80">
        <w:rPr>
          <w:rFonts w:ascii="Palatino Linotype" w:eastAsia="Calibri" w:hAnsi="Palatino Linotype" w:cs="Arial"/>
          <w:sz w:val="24"/>
          <w:szCs w:val="24"/>
          <w:lang w:eastAsia="es-ES"/>
        </w:rPr>
        <w:t xml:space="preserve">De lo anterior se desprende que el criterio cualitativo de la Corte Interamericana coincide con el de la Suprema Corte de Justicia de la Nación, pues en ambos casos </w:t>
      </w:r>
      <w:r w:rsidR="00082C80" w:rsidRPr="00082C80">
        <w:rPr>
          <w:rFonts w:ascii="Palatino Linotype" w:eastAsia="Calibri" w:hAnsi="Palatino Linotype" w:cs="Arial"/>
          <w:sz w:val="24"/>
          <w:szCs w:val="24"/>
          <w:lang w:eastAsia="es-ES"/>
        </w:rPr>
        <w:lastRenderedPageBreak/>
        <w:t>se reconocen como graves violaciones a derechos humanos, delitos que revisten ciertas características que los dotan de una trascendencia social, afectando no sólo a la víctima sino a toda la sociedad, por la intensidad de la ruptura que representan para el orden constitucional.</w:t>
      </w:r>
    </w:p>
    <w:p w14:paraId="0A4C59AF" w14:textId="77777777" w:rsidR="00040B73" w:rsidRPr="003271CF"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2E19468C" w14:textId="6D337492" w:rsidR="00040B73" w:rsidRPr="000F1716"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25. </w:t>
      </w:r>
      <w:r w:rsidRPr="000F1716">
        <w:rPr>
          <w:rFonts w:ascii="Palatino Linotype" w:eastAsiaTheme="minorEastAsia" w:hAnsi="Palatino Linotype"/>
          <w:color w:val="000000" w:themeColor="text1"/>
          <w:sz w:val="24"/>
        </w:rPr>
        <w:t>Así las cosas, resulta esencial</w:t>
      </w:r>
      <w:r>
        <w:rPr>
          <w:rFonts w:ascii="Palatino Linotype" w:eastAsiaTheme="minorEastAsia" w:hAnsi="Palatino Linotype"/>
          <w:color w:val="000000" w:themeColor="text1"/>
          <w:sz w:val="24"/>
        </w:rPr>
        <w:t xml:space="preserve"> destacar lo ya resuelto por la</w:t>
      </w:r>
      <w:r w:rsidRPr="000F1716">
        <w:rPr>
          <w:rFonts w:ascii="Palatino Linotype" w:eastAsiaTheme="minorEastAsia" w:hAnsi="Palatino Linotype"/>
          <w:color w:val="000000" w:themeColor="text1"/>
          <w:sz w:val="24"/>
        </w:rPr>
        <w:t xml:space="preserve"> Segunda Sala de la Suprema Corte de Justicia de la Nación en el sentido de que las autoridades requeridas tienen la capacidad para determinar de manera inicial si se está frente a una violación grave a los derechos humanos a efectos de entregar la información solicitada. Así se decidió en un caso donde se le requirió a la Comisión Nacional de los Derechos Humanos la entrega de información relativa a hechos que podrían constituir graves violaciones a los derechos humanos</w:t>
      </w:r>
      <w:r w:rsidRPr="000F1716">
        <w:rPr>
          <w:rFonts w:ascii="Palatino Linotype" w:eastAsiaTheme="minorEastAsia" w:hAnsi="Palatino Linotype"/>
          <w:color w:val="000000" w:themeColor="text1"/>
          <w:sz w:val="24"/>
          <w:vertAlign w:val="superscript"/>
        </w:rPr>
        <w:footnoteReference w:id="5"/>
      </w:r>
      <w:r w:rsidRPr="000F1716">
        <w:rPr>
          <w:rFonts w:ascii="Palatino Linotype" w:eastAsiaTheme="minorEastAsia" w:hAnsi="Palatino Linotype"/>
          <w:color w:val="000000" w:themeColor="text1"/>
          <w:sz w:val="24"/>
        </w:rPr>
        <w:t>.</w:t>
      </w:r>
    </w:p>
    <w:p w14:paraId="1AB436A3" w14:textId="77777777" w:rsidR="00040B73" w:rsidRPr="000F1716"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7A58F073" w14:textId="69F2B01D" w:rsidR="00040B73" w:rsidRPr="000F1716"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26.- </w:t>
      </w:r>
      <w:r w:rsidRPr="000F1716">
        <w:rPr>
          <w:rFonts w:ascii="Palatino Linotype" w:eastAsiaTheme="minorEastAsia" w:hAnsi="Palatino Linotype"/>
          <w:color w:val="000000" w:themeColor="text1"/>
          <w:sz w:val="24"/>
        </w:rPr>
        <w:t>Sirve de sustento lo establecido por la Suprema Corte de Justicia de la Nación, la cual, a través de la siguiente tesis aislada nos indica que:</w:t>
      </w:r>
    </w:p>
    <w:p w14:paraId="410D556D" w14:textId="77777777" w:rsidR="00040B73" w:rsidRDefault="00040B73" w:rsidP="00040B73">
      <w:pPr>
        <w:pStyle w:val="Prrafodelista"/>
        <w:rPr>
          <w:rFonts w:ascii="Palatino Linotype" w:eastAsiaTheme="minorEastAsia" w:hAnsi="Palatino Linotype"/>
          <w:color w:val="000000" w:themeColor="text1"/>
        </w:rPr>
      </w:pPr>
    </w:p>
    <w:p w14:paraId="379314EF" w14:textId="77777777" w:rsidR="00040B73" w:rsidRPr="00502CAF" w:rsidRDefault="00040B73" w:rsidP="00040B73">
      <w:pPr>
        <w:pStyle w:val="Prrafodelista"/>
        <w:pBdr>
          <w:top w:val="nil"/>
          <w:left w:val="nil"/>
          <w:bottom w:val="nil"/>
          <w:right w:val="nil"/>
          <w:between w:val="nil"/>
          <w:bar w:val="nil"/>
        </w:pBdr>
        <w:spacing w:line="360" w:lineRule="auto"/>
        <w:ind w:left="567" w:right="616"/>
        <w:jc w:val="both"/>
        <w:rPr>
          <w:rFonts w:ascii="Palatino Linotype" w:eastAsia="Calibri" w:hAnsi="Palatino Linotype" w:cs="Arial"/>
          <w:i/>
          <w:iCs/>
        </w:rPr>
      </w:pPr>
      <w:r w:rsidRPr="008A4B0D">
        <w:rPr>
          <w:rFonts w:ascii="Palatino Linotype" w:eastAsia="Calibri" w:hAnsi="Palatino Linotype" w:cs="Arial"/>
          <w:b/>
          <w:bCs/>
          <w:i/>
          <w:iCs/>
        </w:rPr>
        <w:t>DERECHOS FUNDAMENTALES. SUS LÍMITES INTERNOS Y EXTERNOS</w:t>
      </w:r>
      <w:r w:rsidRPr="00502CAF">
        <w:rPr>
          <w:rFonts w:ascii="Palatino Linotype" w:eastAsia="Calibri" w:hAnsi="Palatino Linotype" w:cs="Arial"/>
          <w:i/>
          <w:iCs/>
        </w:rPr>
        <w:t xml:space="preserve">. La teoría del contenido esencial de los derechos fundamentales establece que contienen un núcleo fijo e inmutable, de manera que cualquier afectación a éste resulta ilícita, y sólo en su periferia pueden establecerse las limitaciones y restricciones necesarias y justificadas, así como expandirse las condiciones de su ejercicio, partiendo de la base de </w:t>
      </w:r>
      <w:r w:rsidRPr="00502CAF">
        <w:rPr>
          <w:rFonts w:ascii="Palatino Linotype" w:eastAsia="Calibri" w:hAnsi="Palatino Linotype" w:cs="Arial"/>
          <w:i/>
          <w:iCs/>
        </w:rPr>
        <w:lastRenderedPageBreak/>
        <w:t>que estos derechos no son absolutos y su ejercicio está sujeto a límites, más allá de los cuales, éste resulta ilegítimo. En estas condiciones, la delimitación de ese núcleo 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es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p>
    <w:p w14:paraId="2096E29A" w14:textId="77777777" w:rsidR="00040B73" w:rsidRPr="00502CAF" w:rsidRDefault="00040B73" w:rsidP="00040B73">
      <w:pPr>
        <w:pBdr>
          <w:top w:val="nil"/>
          <w:left w:val="nil"/>
          <w:bottom w:val="nil"/>
          <w:right w:val="nil"/>
          <w:between w:val="nil"/>
          <w:bar w:val="nil"/>
        </w:pBdr>
        <w:spacing w:line="360" w:lineRule="auto"/>
        <w:ind w:left="567" w:right="616"/>
        <w:jc w:val="both"/>
        <w:rPr>
          <w:rFonts w:ascii="Palatino Linotype" w:eastAsia="Calibri" w:hAnsi="Palatino Linotype" w:cs="Arial"/>
          <w:i/>
          <w:iCs/>
        </w:rPr>
      </w:pPr>
    </w:p>
    <w:p w14:paraId="577FF640" w14:textId="77777777" w:rsidR="00040B73" w:rsidRDefault="00040B73" w:rsidP="00040B73">
      <w:pPr>
        <w:pBdr>
          <w:top w:val="nil"/>
          <w:left w:val="nil"/>
          <w:bottom w:val="nil"/>
          <w:right w:val="nil"/>
          <w:between w:val="nil"/>
          <w:bar w:val="nil"/>
        </w:pBdr>
        <w:spacing w:line="360" w:lineRule="auto"/>
        <w:ind w:left="567" w:right="616"/>
        <w:jc w:val="both"/>
        <w:rPr>
          <w:rFonts w:ascii="Palatino Linotype" w:eastAsia="Calibri" w:hAnsi="Palatino Linotype" w:cs="Arial"/>
          <w:i/>
          <w:iCs/>
        </w:rPr>
      </w:pPr>
      <w:r w:rsidRPr="00502CAF">
        <w:rPr>
          <w:rFonts w:ascii="Palatino Linotype" w:eastAsia="Calibri" w:hAnsi="Palatino Linotype" w:cs="Arial"/>
          <w:i/>
          <w:iCs/>
        </w:rPr>
        <w:t xml:space="preserve">CUARTO TRIBUNAL COLEGIADO EN MATERIA ADMINISTRATIVA DEL PRIMER CIRCUITO. Amparo en revisión 257/2012. Ruth Corona Muñoz. 6 de diciembre de 2012. Unanimidad de votos. Ponente: Jean Claude </w:t>
      </w:r>
      <w:proofErr w:type="spellStart"/>
      <w:r w:rsidRPr="00502CAF">
        <w:rPr>
          <w:rFonts w:ascii="Palatino Linotype" w:eastAsia="Calibri" w:hAnsi="Palatino Linotype" w:cs="Arial"/>
          <w:i/>
          <w:iCs/>
        </w:rPr>
        <w:t>Tron</w:t>
      </w:r>
      <w:proofErr w:type="spellEnd"/>
      <w:r w:rsidRPr="00502CAF">
        <w:rPr>
          <w:rFonts w:ascii="Palatino Linotype" w:eastAsia="Calibri" w:hAnsi="Palatino Linotype" w:cs="Arial"/>
          <w:i/>
          <w:iCs/>
        </w:rPr>
        <w:t xml:space="preserve"> </w:t>
      </w:r>
      <w:proofErr w:type="spellStart"/>
      <w:r w:rsidRPr="00502CAF">
        <w:rPr>
          <w:rFonts w:ascii="Palatino Linotype" w:eastAsia="Calibri" w:hAnsi="Palatino Linotype" w:cs="Arial"/>
          <w:i/>
          <w:iCs/>
        </w:rPr>
        <w:t>Petit</w:t>
      </w:r>
      <w:proofErr w:type="spellEnd"/>
      <w:r w:rsidRPr="00502CAF">
        <w:rPr>
          <w:rFonts w:ascii="Palatino Linotype" w:eastAsia="Calibri" w:hAnsi="Palatino Linotype" w:cs="Arial"/>
          <w:i/>
          <w:iCs/>
        </w:rPr>
        <w:t>. Secretaria: Mayra Susana Martínez López.</w:t>
      </w:r>
    </w:p>
    <w:p w14:paraId="6316D9F4" w14:textId="77777777" w:rsidR="00040B73" w:rsidRPr="00502CAF" w:rsidRDefault="00040B73" w:rsidP="00040B73">
      <w:pPr>
        <w:pBdr>
          <w:top w:val="nil"/>
          <w:left w:val="nil"/>
          <w:bottom w:val="nil"/>
          <w:right w:val="nil"/>
          <w:between w:val="nil"/>
          <w:bar w:val="nil"/>
        </w:pBdr>
        <w:spacing w:line="360" w:lineRule="auto"/>
        <w:ind w:right="616"/>
        <w:jc w:val="both"/>
        <w:rPr>
          <w:rFonts w:ascii="Palatino Linotype" w:eastAsia="Calibri" w:hAnsi="Palatino Linotype" w:cs="Arial"/>
          <w:i/>
          <w:iCs/>
        </w:rPr>
      </w:pPr>
    </w:p>
    <w:p w14:paraId="7EB44446" w14:textId="127A5667" w:rsidR="00040B73" w:rsidRPr="009C5F99" w:rsidRDefault="00040B73" w:rsidP="00040B73">
      <w:pPr>
        <w:pBdr>
          <w:top w:val="nil"/>
          <w:left w:val="nil"/>
          <w:bottom w:val="nil"/>
          <w:right w:val="nil"/>
          <w:between w:val="nil"/>
          <w:bar w:val="nil"/>
        </w:pBdr>
        <w:spacing w:after="0" w:line="360" w:lineRule="auto"/>
        <w:jc w:val="both"/>
        <w:rPr>
          <w:rFonts w:ascii="Palatino Linotype" w:eastAsia="Calibri" w:hAnsi="Palatino Linotype" w:cs="Arial"/>
          <w:sz w:val="24"/>
        </w:rPr>
      </w:pPr>
      <w:r>
        <w:rPr>
          <w:rFonts w:ascii="Palatino Linotype" w:eastAsia="Calibri" w:hAnsi="Palatino Linotype" w:cs="Arial"/>
          <w:sz w:val="24"/>
        </w:rPr>
        <w:t xml:space="preserve">27.- </w:t>
      </w:r>
      <w:r w:rsidRPr="009C5F99">
        <w:rPr>
          <w:rFonts w:ascii="Palatino Linotype" w:eastAsia="Calibri" w:hAnsi="Palatino Linotype" w:cs="Arial"/>
          <w:sz w:val="24"/>
        </w:rPr>
        <w:t xml:space="preserve">Por su parte, la Convención Americana Sobre Derechos Humanos en su artículo 1° establece que; </w:t>
      </w:r>
    </w:p>
    <w:p w14:paraId="64AC1B14" w14:textId="77777777" w:rsidR="00040B73" w:rsidRDefault="00040B73" w:rsidP="00040B73">
      <w:pPr>
        <w:pStyle w:val="Prrafodelista"/>
        <w:pBdr>
          <w:top w:val="nil"/>
          <w:left w:val="nil"/>
          <w:bottom w:val="nil"/>
          <w:right w:val="nil"/>
          <w:between w:val="nil"/>
          <w:bar w:val="nil"/>
        </w:pBdr>
        <w:spacing w:line="360" w:lineRule="auto"/>
        <w:ind w:left="0"/>
        <w:jc w:val="both"/>
        <w:rPr>
          <w:rFonts w:ascii="Palatino Linotype" w:eastAsia="Calibri" w:hAnsi="Palatino Linotype" w:cs="Arial"/>
        </w:rPr>
      </w:pPr>
    </w:p>
    <w:p w14:paraId="3997AC9A" w14:textId="77777777" w:rsidR="00040B73" w:rsidRPr="00502CAF" w:rsidRDefault="00040B73" w:rsidP="00040B73">
      <w:pPr>
        <w:pStyle w:val="Prrafodelista"/>
        <w:pBdr>
          <w:top w:val="nil"/>
          <w:left w:val="nil"/>
          <w:bottom w:val="nil"/>
          <w:right w:val="nil"/>
          <w:between w:val="nil"/>
          <w:bar w:val="nil"/>
        </w:pBdr>
        <w:spacing w:line="360" w:lineRule="auto"/>
        <w:ind w:left="567" w:right="616"/>
        <w:jc w:val="center"/>
        <w:rPr>
          <w:rFonts w:ascii="Palatino Linotype" w:eastAsia="Calibri" w:hAnsi="Palatino Linotype" w:cs="Arial"/>
          <w:i/>
          <w:iCs/>
        </w:rPr>
      </w:pPr>
      <w:r w:rsidRPr="00502CAF">
        <w:rPr>
          <w:rFonts w:ascii="Palatino Linotype" w:hAnsi="Palatino Linotype" w:cs="Tahoma"/>
          <w:i/>
          <w:iCs/>
          <w:color w:val="000000"/>
        </w:rPr>
        <w:lastRenderedPageBreak/>
        <w:t>“</w:t>
      </w:r>
      <w:r w:rsidRPr="00502CAF">
        <w:rPr>
          <w:rFonts w:ascii="Palatino Linotype" w:hAnsi="Palatino Linotype" w:cs="Tahoma"/>
          <w:b/>
          <w:bCs/>
          <w:i/>
          <w:iCs/>
          <w:color w:val="000000"/>
        </w:rPr>
        <w:t>CONVENCION AMERICANA SOBRE DERECHOS HUMANOS</w:t>
      </w:r>
    </w:p>
    <w:p w14:paraId="0AC55DB9" w14:textId="77777777" w:rsidR="00040B73" w:rsidRPr="00502CAF" w:rsidRDefault="00040B73" w:rsidP="00040B73">
      <w:pPr>
        <w:pStyle w:val="Prrafodelista"/>
        <w:pBdr>
          <w:top w:val="nil"/>
          <w:left w:val="nil"/>
          <w:bottom w:val="nil"/>
          <w:right w:val="nil"/>
          <w:between w:val="nil"/>
          <w:bar w:val="nil"/>
        </w:pBdr>
        <w:spacing w:line="360" w:lineRule="auto"/>
        <w:ind w:left="567" w:right="616"/>
        <w:jc w:val="center"/>
        <w:rPr>
          <w:rFonts w:ascii="Palatino Linotype" w:hAnsi="Palatino Linotype" w:cs="Tahoma"/>
          <w:b/>
          <w:bCs/>
          <w:i/>
          <w:iCs/>
          <w:color w:val="000000"/>
        </w:rPr>
      </w:pPr>
      <w:r w:rsidRPr="00502CAF">
        <w:rPr>
          <w:rFonts w:ascii="Palatino Linotype" w:hAnsi="Palatino Linotype" w:cs="Tahoma"/>
          <w:b/>
          <w:bCs/>
          <w:i/>
          <w:iCs/>
          <w:color w:val="000000"/>
        </w:rPr>
        <w:t>Artículo 1.  Obligación de Respetar los Derechos</w:t>
      </w:r>
    </w:p>
    <w:p w14:paraId="50A94A83" w14:textId="77777777" w:rsidR="00040B73" w:rsidRPr="008A4B0D" w:rsidRDefault="00040B73" w:rsidP="00040B73">
      <w:pPr>
        <w:pStyle w:val="Prrafodelista"/>
        <w:pBdr>
          <w:top w:val="nil"/>
          <w:left w:val="nil"/>
          <w:bottom w:val="nil"/>
          <w:right w:val="nil"/>
          <w:between w:val="nil"/>
          <w:bar w:val="nil"/>
        </w:pBdr>
        <w:spacing w:line="360" w:lineRule="auto"/>
        <w:ind w:left="567" w:right="616"/>
        <w:jc w:val="center"/>
        <w:rPr>
          <w:rFonts w:ascii="Palatino Linotype" w:eastAsia="Calibri" w:hAnsi="Palatino Linotype" w:cs="Arial"/>
          <w:i/>
          <w:iCs/>
          <w:sz w:val="10"/>
          <w:szCs w:val="10"/>
        </w:rPr>
      </w:pPr>
    </w:p>
    <w:p w14:paraId="099C684C" w14:textId="77777777" w:rsidR="00040B73" w:rsidRPr="00502CAF" w:rsidRDefault="00040B73" w:rsidP="00040B73">
      <w:pPr>
        <w:pStyle w:val="Prrafodelista"/>
        <w:pBdr>
          <w:top w:val="nil"/>
          <w:left w:val="nil"/>
          <w:bottom w:val="nil"/>
          <w:right w:val="nil"/>
          <w:between w:val="nil"/>
          <w:bar w:val="nil"/>
        </w:pBdr>
        <w:spacing w:line="360" w:lineRule="auto"/>
        <w:ind w:left="567" w:right="616"/>
        <w:jc w:val="both"/>
        <w:rPr>
          <w:rFonts w:ascii="Palatino Linotype" w:eastAsia="Calibri" w:hAnsi="Palatino Linotype" w:cs="Arial"/>
          <w:i/>
          <w:iCs/>
        </w:rPr>
      </w:pPr>
      <w:r w:rsidRPr="00502CAF">
        <w:rPr>
          <w:rFonts w:ascii="Palatino Linotype" w:eastAsia="Calibri" w:hAnsi="Palatino Linotype" w:cs="Arial"/>
          <w:i/>
          <w:iCs/>
        </w:rPr>
        <w:t xml:space="preserve">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p>
    <w:p w14:paraId="5059E3E1" w14:textId="77777777" w:rsidR="00040B73" w:rsidRDefault="00040B73" w:rsidP="00040B73">
      <w:pPr>
        <w:pStyle w:val="Prrafodelista"/>
        <w:rPr>
          <w:rFonts w:ascii="Palatino Linotype" w:eastAsiaTheme="minorEastAsia" w:hAnsi="Palatino Linotype"/>
          <w:color w:val="000000" w:themeColor="text1"/>
        </w:rPr>
      </w:pPr>
    </w:p>
    <w:p w14:paraId="23881864" w14:textId="5746A156" w:rsidR="00040B73"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28.- </w:t>
      </w:r>
      <w:r w:rsidRPr="000F1716">
        <w:rPr>
          <w:rFonts w:ascii="Palatino Linotype" w:eastAsiaTheme="minorEastAsia" w:hAnsi="Palatino Linotype"/>
          <w:color w:val="000000" w:themeColor="text1"/>
          <w:sz w:val="24"/>
        </w:rPr>
        <w:t>Así, el derecho a la verdad tiene, como el derecho a la libertad de expresión, una dimensión individual y otra colectiva. La Corte Interamericana ha sostenido que la sociedad como un todo debe ser informada de todo lo sucedido con en relación a las violaciones graves a derechos humanos. Asimismo, la Comisión Interamericana ha señalado “</w:t>
      </w:r>
      <w:r w:rsidRPr="000F1716">
        <w:rPr>
          <w:rFonts w:ascii="Palatino Linotype" w:eastAsiaTheme="minorEastAsia" w:hAnsi="Palatino Linotype"/>
          <w:i/>
          <w:iCs/>
          <w:color w:val="000000" w:themeColor="text1"/>
          <w:sz w:val="24"/>
        </w:rPr>
        <w:t>que toda la sociedad tiene el irrenunciable derecho de conocer la verdad de lo ocurrido, así como las razones y circunstancias en las que aberrantes delitos llegaron a cometerse, a fin de evitar que esos hechos vuelvan a ocurrir en el futuro”</w:t>
      </w:r>
      <w:r w:rsidRPr="000F1716">
        <w:rPr>
          <w:rFonts w:ascii="Palatino Linotype" w:eastAsiaTheme="minorEastAsia" w:hAnsi="Palatino Linotype"/>
          <w:i/>
          <w:iCs/>
          <w:color w:val="000000" w:themeColor="text1"/>
          <w:sz w:val="24"/>
          <w:vertAlign w:val="superscript"/>
        </w:rPr>
        <w:footnoteReference w:id="6"/>
      </w:r>
      <w:r w:rsidRPr="000F1716">
        <w:rPr>
          <w:rFonts w:ascii="Palatino Linotype" w:eastAsiaTheme="minorEastAsia" w:hAnsi="Palatino Linotype"/>
          <w:color w:val="000000" w:themeColor="text1"/>
          <w:sz w:val="24"/>
        </w:rPr>
        <w:t>.</w:t>
      </w:r>
    </w:p>
    <w:p w14:paraId="371C6C27" w14:textId="77777777" w:rsidR="00040B73" w:rsidRPr="000F1716" w:rsidRDefault="00040B73" w:rsidP="00040B73">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5C7EE652" w14:textId="78CD719A" w:rsidR="0081295F"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29. </w:t>
      </w:r>
      <w:r w:rsidR="00E17B68">
        <w:rPr>
          <w:rFonts w:ascii="Palatino Linotype" w:eastAsia="Calibri" w:hAnsi="Palatino Linotype" w:cs="Arial"/>
          <w:sz w:val="24"/>
          <w:szCs w:val="24"/>
          <w:lang w:val="es-ES" w:eastAsia="es-ES"/>
        </w:rPr>
        <w:t xml:space="preserve">Por </w:t>
      </w:r>
      <w:r w:rsidR="00E17B68" w:rsidRPr="00E17B68">
        <w:rPr>
          <w:rFonts w:ascii="Palatino Linotype" w:eastAsia="Calibri" w:hAnsi="Palatino Linotype" w:cs="Arial"/>
          <w:sz w:val="24"/>
          <w:szCs w:val="24"/>
          <w:lang w:eastAsia="es-ES"/>
        </w:rPr>
        <w:t>su parte, la Corte Interamericana de Derechos Humanos ha establecido la obligación que tiene</w:t>
      </w:r>
      <w:r w:rsidR="00E17B68">
        <w:rPr>
          <w:rFonts w:ascii="Palatino Linotype" w:eastAsia="Calibri" w:hAnsi="Palatino Linotype" w:cs="Arial"/>
          <w:sz w:val="24"/>
          <w:szCs w:val="24"/>
          <w:lang w:eastAsia="es-ES"/>
        </w:rPr>
        <w:t>n</w:t>
      </w:r>
      <w:r w:rsidR="00E17B68" w:rsidRPr="00E17B68">
        <w:rPr>
          <w:rFonts w:ascii="Palatino Linotype" w:eastAsia="Calibri" w:hAnsi="Palatino Linotype" w:cs="Arial"/>
          <w:sz w:val="24"/>
          <w:szCs w:val="24"/>
          <w:lang w:eastAsia="es-ES"/>
        </w:rPr>
        <w:t xml:space="preserve"> los Estado</w:t>
      </w:r>
      <w:r w:rsidR="00E17B68">
        <w:rPr>
          <w:rFonts w:ascii="Palatino Linotype" w:eastAsia="Calibri" w:hAnsi="Palatino Linotype" w:cs="Arial"/>
          <w:sz w:val="24"/>
          <w:szCs w:val="24"/>
          <w:lang w:eastAsia="es-ES"/>
        </w:rPr>
        <w:t>s</w:t>
      </w:r>
      <w:r w:rsidR="00E17B68" w:rsidRPr="00E17B68">
        <w:rPr>
          <w:rFonts w:ascii="Palatino Linotype" w:eastAsia="Calibri" w:hAnsi="Palatino Linotype" w:cs="Arial"/>
          <w:sz w:val="24"/>
          <w:szCs w:val="24"/>
          <w:lang w:eastAsia="es-ES"/>
        </w:rPr>
        <w:t xml:space="preserve"> parte de la Convención para proporcionar cualquier información relacionada con graves violaciones a derechos humanos:</w:t>
      </w:r>
    </w:p>
    <w:p w14:paraId="1298C779" w14:textId="6FC032A1"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1DC588FB" w14:textId="58BEB7C6" w:rsidR="00E17B68" w:rsidRDefault="00E17B68" w:rsidP="00E17B68">
      <w:pPr>
        <w:spacing w:after="0" w:line="276" w:lineRule="auto"/>
        <w:ind w:left="567" w:right="567"/>
        <w:contextualSpacing/>
        <w:jc w:val="both"/>
        <w:rPr>
          <w:rFonts w:ascii="Palatino Linotype" w:hAnsi="Palatino Linotype" w:cs="Arial"/>
          <w:i/>
          <w:shd w:val="clear" w:color="auto" w:fill="FFFFFF"/>
        </w:rPr>
      </w:pPr>
      <w:r w:rsidRPr="00803B42">
        <w:rPr>
          <w:rFonts w:ascii="Palatino Linotype" w:hAnsi="Palatino Linotype" w:cs="Arial"/>
          <w:i/>
          <w:shd w:val="clear" w:color="auto" w:fill="FFFFFF"/>
        </w:rPr>
        <w:t>“</w:t>
      </w:r>
      <w:r w:rsidRPr="00E17B68">
        <w:rPr>
          <w:rFonts w:ascii="Palatino Linotype" w:hAnsi="Palatino Linotype" w:cs="Arial"/>
          <w:b/>
          <w:bCs/>
          <w:i/>
          <w:shd w:val="clear" w:color="auto" w:fill="FFFFFF"/>
        </w:rPr>
        <w:t>que toda persona</w:t>
      </w:r>
      <w:r w:rsidRPr="00803B42">
        <w:rPr>
          <w:rFonts w:ascii="Palatino Linotype" w:hAnsi="Palatino Linotype" w:cs="Arial"/>
          <w:i/>
          <w:shd w:val="clear" w:color="auto" w:fill="FFFFFF"/>
        </w:rPr>
        <w:t xml:space="preserve">, </w:t>
      </w:r>
      <w:r w:rsidRPr="00E17B68">
        <w:rPr>
          <w:rFonts w:ascii="Palatino Linotype" w:hAnsi="Palatino Linotype" w:cs="Arial"/>
          <w:b/>
          <w:bCs/>
          <w:i/>
          <w:shd w:val="clear" w:color="auto" w:fill="FFFFFF"/>
        </w:rPr>
        <w:t>incluyendo los familiares de las víctimas de graves violaciones a derechos humanos</w:t>
      </w:r>
      <w:r w:rsidRPr="00803B42">
        <w:rPr>
          <w:rFonts w:ascii="Palatino Linotype" w:hAnsi="Palatino Linotype" w:cs="Arial"/>
          <w:i/>
          <w:shd w:val="clear" w:color="auto" w:fill="FFFFFF"/>
        </w:rPr>
        <w:t xml:space="preserve">, </w:t>
      </w:r>
      <w:r w:rsidRPr="00E17B68">
        <w:rPr>
          <w:rFonts w:ascii="Palatino Linotype" w:hAnsi="Palatino Linotype" w:cs="Arial"/>
          <w:b/>
          <w:bCs/>
          <w:i/>
          <w:shd w:val="clear" w:color="auto" w:fill="FFFFFF"/>
        </w:rPr>
        <w:t>tiene el derecho a conocer la verdad</w:t>
      </w:r>
      <w:r w:rsidRPr="00803B42">
        <w:rPr>
          <w:rFonts w:ascii="Palatino Linotype" w:hAnsi="Palatino Linotype" w:cs="Arial"/>
          <w:i/>
          <w:shd w:val="clear" w:color="auto" w:fill="FFFFFF"/>
        </w:rPr>
        <w:t xml:space="preserve">. </w:t>
      </w:r>
      <w:r w:rsidRPr="00E17B68">
        <w:rPr>
          <w:rFonts w:ascii="Palatino Linotype" w:hAnsi="Palatino Linotype" w:cs="Arial"/>
          <w:b/>
          <w:bCs/>
          <w:i/>
          <w:shd w:val="clear" w:color="auto" w:fill="FFFFFF"/>
        </w:rPr>
        <w:t>En consecuencia</w:t>
      </w:r>
      <w:r w:rsidRPr="00803B42">
        <w:rPr>
          <w:rFonts w:ascii="Palatino Linotype" w:hAnsi="Palatino Linotype" w:cs="Arial"/>
          <w:i/>
          <w:shd w:val="clear" w:color="auto" w:fill="FFFFFF"/>
        </w:rPr>
        <w:t xml:space="preserve">, los familiares de las víctimas, y </w:t>
      </w:r>
      <w:r w:rsidRPr="00E17B68">
        <w:rPr>
          <w:rFonts w:ascii="Palatino Linotype" w:hAnsi="Palatino Linotype" w:cs="Arial"/>
          <w:b/>
          <w:bCs/>
          <w:i/>
          <w:shd w:val="clear" w:color="auto" w:fill="FFFFFF"/>
        </w:rPr>
        <w:t>la sociedad, deben ser informados de todo lo sucedido con relación a dichas violaciones</w:t>
      </w:r>
      <w:r w:rsidRPr="00803B42">
        <w:rPr>
          <w:rFonts w:ascii="Palatino Linotype" w:hAnsi="Palatino Linotype" w:cs="Arial"/>
          <w:i/>
          <w:shd w:val="clear" w:color="auto" w:fill="FFFFFF"/>
        </w:rPr>
        <w:t>. (…)”</w:t>
      </w:r>
    </w:p>
    <w:p w14:paraId="279CFCB9" w14:textId="0C32951C" w:rsidR="00E17B68" w:rsidRPr="00E17B68" w:rsidRDefault="00E17B68" w:rsidP="00E17B68">
      <w:pPr>
        <w:spacing w:after="0" w:line="276" w:lineRule="auto"/>
        <w:ind w:left="567" w:right="567"/>
        <w:contextualSpacing/>
        <w:jc w:val="both"/>
        <w:rPr>
          <w:rFonts w:ascii="Palatino Linotype" w:hAnsi="Palatino Linotype"/>
          <w:iCs/>
        </w:rPr>
      </w:pPr>
      <w:r>
        <w:rPr>
          <w:rFonts w:ascii="Palatino Linotype" w:hAnsi="Palatino Linotype" w:cs="Arial"/>
          <w:iCs/>
          <w:shd w:val="clear" w:color="auto" w:fill="FFFFFF"/>
        </w:rPr>
        <w:t>(Énfasis añadido)</w:t>
      </w:r>
    </w:p>
    <w:p w14:paraId="0E0DB3DB" w14:textId="77777777" w:rsidR="00E17B68" w:rsidRDefault="00E17B68"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32260165" w14:textId="77777777" w:rsidR="00040B73"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p>
    <w:p w14:paraId="329518CA" w14:textId="2318C2CA" w:rsidR="0081295F" w:rsidRPr="00E17B68"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eastAsia="es-ES"/>
        </w:rPr>
        <w:t xml:space="preserve">30.- </w:t>
      </w:r>
      <w:r w:rsidR="00082C80">
        <w:rPr>
          <w:rFonts w:ascii="Palatino Linotype" w:eastAsia="Calibri" w:hAnsi="Palatino Linotype" w:cs="Arial"/>
          <w:sz w:val="24"/>
          <w:szCs w:val="24"/>
          <w:lang w:eastAsia="es-ES"/>
        </w:rPr>
        <w:t>E</w:t>
      </w:r>
      <w:r w:rsidR="00E17B68" w:rsidRPr="00E17B68">
        <w:rPr>
          <w:rFonts w:ascii="Palatino Linotype" w:eastAsia="Calibri" w:hAnsi="Palatino Linotype" w:cs="Arial"/>
          <w:sz w:val="24"/>
          <w:szCs w:val="24"/>
          <w:lang w:eastAsia="es-ES"/>
        </w:rPr>
        <w:t xml:space="preserve">xisten diversas sentencias en materia de Amparo en las que los Jueces han reconocido que </w:t>
      </w:r>
      <w:r w:rsidR="00E17B68" w:rsidRPr="00E17B68">
        <w:rPr>
          <w:rFonts w:ascii="Palatino Linotype" w:eastAsia="Calibri" w:hAnsi="Palatino Linotype" w:cs="Arial"/>
          <w:b/>
          <w:bCs/>
          <w:sz w:val="24"/>
          <w:szCs w:val="24"/>
          <w:lang w:eastAsia="es-ES"/>
        </w:rPr>
        <w:t>no es necesario un pronunciamiento previo de autoridad competente que determine la existencia de violaciones graves a los derechos humanos o delitos de lesa humanidad</w:t>
      </w:r>
      <w:r w:rsidR="00E17B68" w:rsidRPr="00E17B68">
        <w:rPr>
          <w:rFonts w:ascii="Palatino Linotype" w:eastAsia="Calibri" w:hAnsi="Palatino Linotype" w:cs="Arial"/>
          <w:sz w:val="24"/>
          <w:szCs w:val="24"/>
          <w:lang w:eastAsia="es-ES"/>
        </w:rPr>
        <w:t>, pues el órgano garante cuenta con las facultades para pronunciarse al respecto:</w:t>
      </w:r>
    </w:p>
    <w:p w14:paraId="17FAFEA3" w14:textId="77777777" w:rsidR="00E17B68" w:rsidRPr="00E17B68" w:rsidRDefault="00E17B68" w:rsidP="00E17B68">
      <w:pPr>
        <w:numPr>
          <w:ilvl w:val="1"/>
          <w:numId w:val="32"/>
        </w:numPr>
        <w:spacing w:after="0" w:line="360" w:lineRule="auto"/>
        <w:ind w:left="1134"/>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Juicio </w:t>
      </w:r>
      <w:r w:rsidRPr="00E17B68">
        <w:rPr>
          <w:rFonts w:ascii="Palatino Linotype" w:eastAsia="Calibri" w:hAnsi="Palatino Linotype" w:cs="Arial"/>
          <w:sz w:val="24"/>
          <w:szCs w:val="24"/>
          <w:lang w:eastAsia="es-ES"/>
        </w:rPr>
        <w:t>de Amparo 1371/2013, resuelto por el Juzgado Octavo de Distrito en Materia Administrativa en el entonces Distrito Federal, en cuya sentencia se señala:</w:t>
      </w:r>
      <w:r w:rsidRPr="00E17B68">
        <w:rPr>
          <w:rFonts w:ascii="Palatino Linotype" w:eastAsia="Calibri" w:hAnsi="Palatino Linotype" w:cs="Arial"/>
          <w:i/>
          <w:sz w:val="24"/>
          <w:szCs w:val="24"/>
          <w:lang w:eastAsia="es-ES"/>
        </w:rPr>
        <w:t xml:space="preserve"> “Contrario a lo asentado por el IFAI, dicho Instituto sí cuenta con facultades para pronunciarse prima facie sobre las violaciones graves de derechos humanos únicamente para efectos de asumir y ejercer sus propias competencias en materia de acceso a la información de las averiguaciones previas”</w:t>
      </w:r>
      <w:r w:rsidRPr="00E17B68">
        <w:rPr>
          <w:rFonts w:ascii="Palatino Linotype" w:eastAsia="Calibri" w:hAnsi="Palatino Linotype" w:cs="Arial"/>
          <w:iCs/>
          <w:sz w:val="24"/>
          <w:szCs w:val="24"/>
          <w:vertAlign w:val="superscript"/>
          <w:lang w:eastAsia="es-ES"/>
        </w:rPr>
        <w:footnoteReference w:id="7"/>
      </w:r>
    </w:p>
    <w:p w14:paraId="4ED8AD35" w14:textId="13077741" w:rsidR="00E17B68" w:rsidRPr="00040B73" w:rsidRDefault="00E17B68" w:rsidP="00E17B68">
      <w:pPr>
        <w:numPr>
          <w:ilvl w:val="1"/>
          <w:numId w:val="32"/>
        </w:numPr>
        <w:tabs>
          <w:tab w:val="left" w:pos="426"/>
        </w:tabs>
        <w:spacing w:after="0" w:line="360" w:lineRule="auto"/>
        <w:ind w:left="1134"/>
        <w:contextualSpacing/>
        <w:jc w:val="both"/>
        <w:rPr>
          <w:rFonts w:ascii="Palatino Linotype" w:eastAsia="Calibri" w:hAnsi="Palatino Linotype" w:cs="Arial"/>
          <w:sz w:val="24"/>
          <w:szCs w:val="24"/>
          <w:lang w:val="es-ES" w:eastAsia="es-ES"/>
        </w:rPr>
      </w:pPr>
      <w:r w:rsidRPr="00E17B68">
        <w:rPr>
          <w:rFonts w:ascii="Palatino Linotype" w:eastAsia="Calibri" w:hAnsi="Palatino Linotype" w:cs="Arial"/>
          <w:iCs/>
          <w:sz w:val="24"/>
          <w:szCs w:val="24"/>
          <w:lang w:eastAsia="es-ES"/>
        </w:rPr>
        <w:t>Juicio de Amparo 1189/2013 resuelto por el Juzgado Sexto de Distrito en Materia Administrativa en el entonces Distrito Federal:</w:t>
      </w:r>
      <w:r w:rsidRPr="00E17B68">
        <w:rPr>
          <w:rFonts w:ascii="Palatino Linotype" w:eastAsia="Calibri" w:hAnsi="Palatino Linotype" w:cs="Arial"/>
          <w:i/>
          <w:iCs/>
          <w:sz w:val="24"/>
          <w:szCs w:val="24"/>
          <w:lang w:eastAsia="es-ES"/>
        </w:rPr>
        <w:t xml:space="preserve"> “En este contexto, de los razonamientos anteriores, se concluye que el Instituto Federal de Acceso a </w:t>
      </w:r>
      <w:r w:rsidRPr="00E17B68">
        <w:rPr>
          <w:rFonts w:ascii="Palatino Linotype" w:eastAsia="Calibri" w:hAnsi="Palatino Linotype" w:cs="Arial"/>
          <w:i/>
          <w:iCs/>
          <w:sz w:val="24"/>
          <w:szCs w:val="24"/>
          <w:lang w:eastAsia="es-ES"/>
        </w:rPr>
        <w:lastRenderedPageBreak/>
        <w:t>la Información, en términos del artículo 37 de la Ley Federal de Transparencia y Acceso a la Información Pública Gubernamental, sí cuenta con facultades para interpretar si en el caso específico, opera la excepción de reserva prevista en el artículo 14, último párrafo, respecto de la averiguación previa (…)”</w:t>
      </w:r>
      <w:r w:rsidRPr="00E17B68">
        <w:rPr>
          <w:rFonts w:ascii="Palatino Linotype" w:eastAsia="Calibri" w:hAnsi="Palatino Linotype" w:cs="Arial"/>
          <w:sz w:val="24"/>
          <w:szCs w:val="24"/>
          <w:vertAlign w:val="superscript"/>
          <w:lang w:eastAsia="es-ES"/>
        </w:rPr>
        <w:footnoteReference w:id="8"/>
      </w:r>
      <w:r w:rsidRPr="00E17B68">
        <w:rPr>
          <w:rFonts w:ascii="Palatino Linotype" w:eastAsia="Calibri" w:hAnsi="Palatino Linotype" w:cs="Arial"/>
          <w:sz w:val="24"/>
          <w:szCs w:val="24"/>
          <w:lang w:eastAsia="es-ES"/>
        </w:rPr>
        <w:t>.</w:t>
      </w:r>
    </w:p>
    <w:p w14:paraId="41834008" w14:textId="77777777" w:rsidR="00040B73" w:rsidRPr="00040B73" w:rsidRDefault="00040B73" w:rsidP="00040B73">
      <w:pPr>
        <w:pStyle w:val="Prrafodelista"/>
        <w:tabs>
          <w:tab w:val="left" w:pos="0"/>
          <w:tab w:val="left" w:pos="426"/>
        </w:tabs>
        <w:spacing w:after="0" w:line="360" w:lineRule="auto"/>
        <w:ind w:left="360"/>
        <w:jc w:val="both"/>
        <w:rPr>
          <w:rFonts w:ascii="Palatino Linotype" w:eastAsia="Calibri" w:hAnsi="Palatino Linotype" w:cs="Arial"/>
          <w:sz w:val="24"/>
          <w:szCs w:val="24"/>
          <w:lang w:eastAsia="es-ES"/>
        </w:rPr>
      </w:pPr>
    </w:p>
    <w:p w14:paraId="633C543C" w14:textId="39F3FFC1" w:rsidR="00040B73" w:rsidRPr="00040B73" w:rsidRDefault="00040B73" w:rsidP="00040B73">
      <w:pPr>
        <w:tabs>
          <w:tab w:val="left" w:pos="0"/>
        </w:tabs>
        <w:spacing w:before="240" w:after="240" w:line="360" w:lineRule="auto"/>
        <w:ind w:right="51"/>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31</w:t>
      </w:r>
      <w:r w:rsidRPr="00040B73">
        <w:rPr>
          <w:rFonts w:ascii="Palatino Linotype" w:eastAsiaTheme="minorEastAsia" w:hAnsi="Palatino Linotype"/>
          <w:color w:val="000000" w:themeColor="text1"/>
          <w:sz w:val="24"/>
        </w:rPr>
        <w:t xml:space="preserve">.- Cabe resaltar que, en el presente asunto, ha sido la propia Fiscalía General de Justicia del Estado de México, quien mediante comunicados oficiales y tarjetas informativas ha informado públicamente respecto a los hechos investigados, asimismo con relación </w:t>
      </w:r>
      <w:r w:rsidRPr="00040B73">
        <w:rPr>
          <w:rFonts w:ascii="Palatino Linotype" w:eastAsiaTheme="minorEastAsia" w:hAnsi="Palatino Linotype"/>
          <w:b/>
          <w:color w:val="000000" w:themeColor="text1"/>
          <w:sz w:val="24"/>
        </w:rPr>
        <w:t>a la actuación de los elementos policiacos que tomaron parte en los hechos</w:t>
      </w:r>
      <w:r w:rsidRPr="00040B73">
        <w:rPr>
          <w:rFonts w:ascii="Palatino Linotype" w:eastAsiaTheme="minorEastAsia" w:hAnsi="Palatino Linotype"/>
          <w:color w:val="000000" w:themeColor="text1"/>
          <w:sz w:val="24"/>
        </w:rPr>
        <w:t xml:space="preserve">, lo cual se destaca como </w:t>
      </w:r>
      <w:r w:rsidRPr="00040B73">
        <w:rPr>
          <w:rFonts w:ascii="Palatino Linotype" w:eastAsiaTheme="minorEastAsia" w:hAnsi="Palatino Linotype"/>
          <w:b/>
          <w:color w:val="000000" w:themeColor="text1"/>
          <w:sz w:val="24"/>
        </w:rPr>
        <w:t>hecho notorio</w:t>
      </w:r>
      <w:r w:rsidRPr="00040B73">
        <w:rPr>
          <w:rFonts w:ascii="Palatino Linotype" w:eastAsiaTheme="minorEastAsia" w:hAnsi="Palatino Linotype"/>
          <w:color w:val="000000" w:themeColor="text1"/>
          <w:sz w:val="24"/>
        </w:rPr>
        <w:t>.</w:t>
      </w:r>
    </w:p>
    <w:p w14:paraId="55D82EE7" w14:textId="21DFE8BE" w:rsidR="00040B73" w:rsidRPr="00040B73" w:rsidRDefault="00040B73" w:rsidP="00040B73">
      <w:pPr>
        <w:tabs>
          <w:tab w:val="left" w:pos="426"/>
        </w:tabs>
        <w:spacing w:before="240" w:after="240" w:line="360" w:lineRule="auto"/>
        <w:ind w:right="51"/>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32</w:t>
      </w:r>
      <w:r w:rsidRPr="00040B73">
        <w:rPr>
          <w:rFonts w:ascii="Palatino Linotype" w:eastAsiaTheme="minorEastAsia" w:hAnsi="Palatino Linotype"/>
          <w:color w:val="000000" w:themeColor="text1"/>
          <w:sz w:val="24"/>
        </w:rPr>
        <w:t xml:space="preserve">.- Por hecho notorio, se entiende desde el punto de vista jurídico, cualquier acontecimiento de dominio público conocido por casi todas las personas, de manera que no requiere ser probado, para que sea invocado por un tribunal.  Es aplicable al respecto, por similitud del caso planteado, la tesis I.3o.C.35 K (10a.), sustentada por el Tercer Tribunal Colegiado en Materia Civil del Primer Circuito, consultable en el Semanario Judicial de la Federación, bajo el registro 2004949, del siguiente contenido: </w:t>
      </w:r>
    </w:p>
    <w:p w14:paraId="618C479B"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eastAsiaTheme="minorEastAsia" w:hAnsi="Palatino Linotype"/>
          <w:color w:val="000000" w:themeColor="text1"/>
          <w:sz w:val="24"/>
        </w:rPr>
      </w:pPr>
    </w:p>
    <w:p w14:paraId="5DA3F088"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hAnsi="Palatino Linotype"/>
          <w:i/>
        </w:rPr>
      </w:pPr>
      <w:r w:rsidRPr="00040B73">
        <w:rPr>
          <w:rFonts w:ascii="Palatino Linotype" w:hAnsi="Palatino Linotype"/>
          <w:i/>
        </w:rPr>
        <w:lastRenderedPageBreak/>
        <w:t xml:space="preserve">“PÁGINAS WEB O ELECTRÓNICAS. SU CONTENIDO ES UN HECHO NOTORIO Y SUSCEPTIBLE DE SER VALORADO EN UNA DECISIÓN JUDICIAL.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54F6878"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hAnsi="Palatino Linotype"/>
          <w:i/>
        </w:rPr>
      </w:pPr>
    </w:p>
    <w:p w14:paraId="0267C659" w14:textId="3CB71A24" w:rsidR="00040B73" w:rsidRPr="00040B73" w:rsidRDefault="00040B73" w:rsidP="00040B73">
      <w:pPr>
        <w:tabs>
          <w:tab w:val="left" w:pos="426"/>
        </w:tabs>
        <w:spacing w:before="240" w:after="240" w:line="360" w:lineRule="auto"/>
        <w:ind w:right="51"/>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33</w:t>
      </w:r>
      <w:r w:rsidRPr="00040B73">
        <w:rPr>
          <w:rFonts w:ascii="Palatino Linotype" w:eastAsiaTheme="minorEastAsia" w:hAnsi="Palatino Linotype"/>
          <w:color w:val="000000" w:themeColor="text1"/>
          <w:sz w:val="24"/>
        </w:rPr>
        <w:t xml:space="preserve">.- Asimismo, el criterio jurisprudencial emitido en la  tesis XX.2o. J/24, Instancia: Tribunales Colegiados de Circuito, consultable en el Semanario Judicial de la Federación, bajo el registro  168124, que refiere: </w:t>
      </w:r>
    </w:p>
    <w:p w14:paraId="6230F675"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eastAsiaTheme="minorEastAsia" w:hAnsi="Palatino Linotype"/>
          <w:color w:val="000000" w:themeColor="text1"/>
          <w:sz w:val="24"/>
        </w:rPr>
      </w:pPr>
    </w:p>
    <w:p w14:paraId="0B6BD434"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eastAsiaTheme="minorEastAsia" w:hAnsi="Palatino Linotype"/>
          <w:color w:val="000000" w:themeColor="text1"/>
          <w:sz w:val="24"/>
        </w:rPr>
      </w:pPr>
      <w:r w:rsidRPr="00040B73">
        <w:rPr>
          <w:rFonts w:ascii="Palatino Linotype" w:hAnsi="Palatino Linotype"/>
          <w:i/>
        </w:rPr>
        <w:lastRenderedPageBreak/>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w:t>
      </w:r>
      <w:hyperlink r:id="rId8" w:history="1">
        <w:r w:rsidRPr="00040B73">
          <w:rPr>
            <w:rFonts w:ascii="Palatino Linotype" w:hAnsi="Palatino Linotype"/>
            <w:i/>
          </w:rPr>
          <w:t>88 del Código Federal de Procedimientos Civiles</w:t>
        </w:r>
      </w:hyperlink>
      <w:r w:rsidRPr="00040B73">
        <w:rPr>
          <w:rFonts w:ascii="Palatino Linotype" w:hAnsi="Palatino Linotype"/>
          <w:i/>
        </w:rPr>
        <w:t>,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t xml:space="preserve">  Entonces, la información que las propias dependencias deciden difundir a la sociedad, a través de sus sitios web oficiales, constituye un hecho notorio, al que puede acceder cualquier persona que lo desee. </w:t>
      </w:r>
    </w:p>
    <w:p w14:paraId="42B8965F"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eastAsiaTheme="minorEastAsia" w:hAnsi="Palatino Linotype"/>
          <w:color w:val="000000" w:themeColor="text1"/>
          <w:sz w:val="24"/>
        </w:rPr>
      </w:pPr>
    </w:p>
    <w:p w14:paraId="3E6D9F4A" w14:textId="2CFE1281" w:rsidR="00040B73" w:rsidRPr="00040B73" w:rsidRDefault="00040B73" w:rsidP="00040B73">
      <w:pPr>
        <w:tabs>
          <w:tab w:val="left" w:pos="426"/>
        </w:tabs>
        <w:spacing w:before="240" w:after="240" w:line="360" w:lineRule="auto"/>
        <w:ind w:right="51"/>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34</w:t>
      </w:r>
      <w:r w:rsidRPr="00040B73">
        <w:rPr>
          <w:rFonts w:ascii="Palatino Linotype" w:eastAsiaTheme="minorEastAsia" w:hAnsi="Palatino Linotype"/>
          <w:color w:val="000000" w:themeColor="text1"/>
          <w:sz w:val="24"/>
        </w:rPr>
        <w:t>. De ahí que se estime que el contenido del documento intitulado tarjeta informativa emitido por la Fiscalía General de Justicia del Estado de México, constituye un hecho notorio, y por tanto, sea factible aludir a su contenido.</w:t>
      </w:r>
    </w:p>
    <w:p w14:paraId="0E84BF7D" w14:textId="5E75D3A8" w:rsidR="00040B73" w:rsidRPr="009C5F99" w:rsidRDefault="009307A8" w:rsidP="00040B73">
      <w:pPr>
        <w:pStyle w:val="Prrafodelista"/>
        <w:ind w:left="360"/>
        <w:rPr>
          <w:rFonts w:ascii="Palatino Linotype" w:eastAsiaTheme="minorEastAsia" w:hAnsi="Palatino Linotype"/>
          <w:color w:val="000000" w:themeColor="text1"/>
          <w:sz w:val="24"/>
        </w:rPr>
      </w:pPr>
      <w:r>
        <w:rPr>
          <w:noProof/>
          <w:lang w:eastAsia="es-MX"/>
        </w:rPr>
        <w:lastRenderedPageBreak/>
        <w:drawing>
          <wp:inline distT="0" distB="0" distL="0" distR="0" wp14:anchorId="6945CA7E" wp14:editId="1B352B2A">
            <wp:extent cx="4746929" cy="458288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97" t="24181" r="33229" b="18877"/>
                    <a:stretch/>
                  </pic:blipFill>
                  <pic:spPr bwMode="auto">
                    <a:xfrm>
                      <a:off x="0" y="0"/>
                      <a:ext cx="4758220" cy="4593788"/>
                    </a:xfrm>
                    <a:prstGeom prst="rect">
                      <a:avLst/>
                    </a:prstGeom>
                    <a:ln>
                      <a:noFill/>
                    </a:ln>
                    <a:extLst>
                      <a:ext uri="{53640926-AAD7-44D8-BBD7-CCE9431645EC}">
                        <a14:shadowObscured xmlns:a14="http://schemas.microsoft.com/office/drawing/2010/main"/>
                      </a:ext>
                    </a:extLst>
                  </pic:spPr>
                </pic:pic>
              </a:graphicData>
            </a:graphic>
          </wp:inline>
        </w:drawing>
      </w:r>
    </w:p>
    <w:p w14:paraId="1039512A" w14:textId="77777777" w:rsidR="00040B73" w:rsidRDefault="00040B73" w:rsidP="00040B73">
      <w:pPr>
        <w:pStyle w:val="Prrafodelista"/>
        <w:tabs>
          <w:tab w:val="left" w:pos="426"/>
        </w:tabs>
        <w:spacing w:before="240" w:after="240" w:line="360" w:lineRule="auto"/>
        <w:ind w:left="360" w:right="51"/>
        <w:jc w:val="both"/>
        <w:rPr>
          <w:rFonts w:ascii="Palatino Linotype" w:eastAsiaTheme="minorEastAsia" w:hAnsi="Palatino Linotype"/>
          <w:color w:val="000000" w:themeColor="text1"/>
          <w:sz w:val="24"/>
        </w:rPr>
      </w:pPr>
    </w:p>
    <w:p w14:paraId="15B2DD94" w14:textId="60EF1657" w:rsidR="00040B73" w:rsidRPr="00040B73" w:rsidRDefault="00040B73" w:rsidP="00040B73">
      <w:pPr>
        <w:pStyle w:val="Prrafodelista"/>
        <w:tabs>
          <w:tab w:val="left" w:pos="426"/>
        </w:tabs>
        <w:spacing w:before="240" w:after="240" w:line="360" w:lineRule="auto"/>
        <w:ind w:left="0" w:right="51"/>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35</w:t>
      </w:r>
      <w:r w:rsidRPr="00040B73">
        <w:rPr>
          <w:rFonts w:ascii="Palatino Linotype" w:eastAsiaTheme="minorEastAsia" w:hAnsi="Palatino Linotype"/>
          <w:color w:val="000000" w:themeColor="text1"/>
          <w:sz w:val="24"/>
        </w:rPr>
        <w:t xml:space="preserve">.- En el mismo tenor, tenemos que el treinta y uno (31) de octubre de dos mil veintiuno, la Comisión de Derechos Humanos del Estado de México, publicó una Tarjeta Informativa, mediante la cual, hizo del conocimiento de la sociedad sobre el inicio de la queja de oficio con número de expediente CODHEM/TLAL/627/2021, por la violación al derecho humano a la integridad y seguridad personal y, en su caso, al derecho a no ser sometido al uso desproporcionado o indebido de la fuerza, derivado de los hechos acontecidos en la autopista </w:t>
      </w:r>
      <w:proofErr w:type="spellStart"/>
      <w:r w:rsidRPr="00040B73">
        <w:rPr>
          <w:rFonts w:ascii="Palatino Linotype" w:eastAsiaTheme="minorEastAsia" w:hAnsi="Palatino Linotype"/>
          <w:color w:val="000000" w:themeColor="text1"/>
          <w:sz w:val="24"/>
        </w:rPr>
        <w:t>Chamapa</w:t>
      </w:r>
      <w:proofErr w:type="spellEnd"/>
      <w:r w:rsidRPr="00040B73">
        <w:rPr>
          <w:rFonts w:ascii="Palatino Linotype" w:eastAsiaTheme="minorEastAsia" w:hAnsi="Palatino Linotype"/>
          <w:color w:val="000000" w:themeColor="text1"/>
          <w:sz w:val="24"/>
        </w:rPr>
        <w:t xml:space="preserve">-Lechería, en los que </w:t>
      </w:r>
      <w:r w:rsidRPr="00040B73">
        <w:rPr>
          <w:rFonts w:ascii="Palatino Linotype" w:eastAsiaTheme="minorEastAsia" w:hAnsi="Palatino Linotype"/>
          <w:color w:val="000000" w:themeColor="text1"/>
          <w:sz w:val="24"/>
        </w:rPr>
        <w:lastRenderedPageBreak/>
        <w:t xml:space="preserve">perdió la vida el actor </w:t>
      </w:r>
      <w:r w:rsidR="009307A8">
        <w:rPr>
          <w:rFonts w:ascii="Palatino Linotype" w:eastAsiaTheme="minorEastAsia" w:hAnsi="Palatino Linotype"/>
          <w:color w:val="000000" w:themeColor="text1"/>
          <w:sz w:val="24"/>
        </w:rPr>
        <w:t xml:space="preserve">XXXX </w:t>
      </w:r>
      <w:proofErr w:type="spellStart"/>
      <w:r w:rsidR="009307A8">
        <w:rPr>
          <w:rFonts w:ascii="Palatino Linotype" w:eastAsiaTheme="minorEastAsia" w:hAnsi="Palatino Linotype"/>
          <w:color w:val="000000" w:themeColor="text1"/>
          <w:sz w:val="24"/>
        </w:rPr>
        <w:t>XXXX</w:t>
      </w:r>
      <w:proofErr w:type="spellEnd"/>
      <w:r w:rsidR="009307A8">
        <w:rPr>
          <w:rFonts w:ascii="Palatino Linotype" w:eastAsiaTheme="minorEastAsia" w:hAnsi="Palatino Linotype"/>
          <w:color w:val="000000" w:themeColor="text1"/>
          <w:sz w:val="24"/>
        </w:rPr>
        <w:t xml:space="preserve"> XXX XXXX</w:t>
      </w:r>
      <w:r w:rsidRPr="00040B73">
        <w:rPr>
          <w:rFonts w:ascii="Palatino Linotype" w:eastAsiaTheme="minorEastAsia" w:hAnsi="Palatino Linotype"/>
          <w:color w:val="000000" w:themeColor="text1"/>
          <w:sz w:val="24"/>
        </w:rPr>
        <w:t>. Se comparte a continuación la Tarjeta publicada por el organismo:</w:t>
      </w:r>
    </w:p>
    <w:p w14:paraId="09EB2EF7" w14:textId="77777777" w:rsidR="00040B73" w:rsidRPr="00040B73" w:rsidRDefault="00040B73" w:rsidP="00040B73">
      <w:pPr>
        <w:pStyle w:val="Prrafodelista"/>
        <w:tabs>
          <w:tab w:val="left" w:pos="426"/>
        </w:tabs>
        <w:spacing w:before="240" w:after="240" w:line="360" w:lineRule="auto"/>
        <w:ind w:left="360" w:right="51"/>
        <w:jc w:val="both"/>
        <w:rPr>
          <w:rFonts w:ascii="Palatino Linotype" w:eastAsiaTheme="minorEastAsia" w:hAnsi="Palatino Linotype"/>
          <w:color w:val="000000" w:themeColor="text1"/>
        </w:rPr>
      </w:pPr>
    </w:p>
    <w:p w14:paraId="1E75760D" w14:textId="6406492D" w:rsidR="00040B73" w:rsidRPr="00040B73" w:rsidRDefault="009307A8" w:rsidP="00040B73">
      <w:pPr>
        <w:tabs>
          <w:tab w:val="left" w:pos="426"/>
        </w:tabs>
        <w:spacing w:before="240" w:after="240" w:line="360" w:lineRule="auto"/>
        <w:ind w:right="51"/>
        <w:jc w:val="center"/>
        <w:rPr>
          <w:rFonts w:ascii="Palatino Linotype" w:eastAsiaTheme="minorEastAsia" w:hAnsi="Palatino Linotype"/>
          <w:color w:val="000000" w:themeColor="text1"/>
        </w:rPr>
      </w:pPr>
      <w:r>
        <w:rPr>
          <w:noProof/>
          <w:lang w:eastAsia="es-MX"/>
        </w:rPr>
        <w:drawing>
          <wp:inline distT="0" distB="0" distL="0" distR="0" wp14:anchorId="6032408D" wp14:editId="6CE0C7B9">
            <wp:extent cx="4368800" cy="33587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58" t="26956" r="29622" b="17522"/>
                    <a:stretch/>
                  </pic:blipFill>
                  <pic:spPr bwMode="auto">
                    <a:xfrm>
                      <a:off x="0" y="0"/>
                      <a:ext cx="4380532" cy="3367763"/>
                    </a:xfrm>
                    <a:prstGeom prst="rect">
                      <a:avLst/>
                    </a:prstGeom>
                    <a:ln>
                      <a:noFill/>
                    </a:ln>
                    <a:extLst>
                      <a:ext uri="{53640926-AAD7-44D8-BBD7-CCE9431645EC}">
                        <a14:shadowObscured xmlns:a14="http://schemas.microsoft.com/office/drawing/2010/main"/>
                      </a:ext>
                    </a:extLst>
                  </pic:spPr>
                </pic:pic>
              </a:graphicData>
            </a:graphic>
          </wp:inline>
        </w:drawing>
      </w:r>
    </w:p>
    <w:p w14:paraId="07F576AF" w14:textId="77777777" w:rsidR="00040B73" w:rsidRDefault="00040B73" w:rsidP="00040B73">
      <w:pPr>
        <w:tabs>
          <w:tab w:val="left" w:pos="426"/>
        </w:tabs>
        <w:spacing w:after="0" w:line="360" w:lineRule="auto"/>
        <w:ind w:left="360"/>
        <w:contextualSpacing/>
        <w:jc w:val="both"/>
        <w:rPr>
          <w:rFonts w:ascii="Palatino Linotype" w:eastAsia="Calibri" w:hAnsi="Palatino Linotype" w:cs="Arial"/>
          <w:sz w:val="24"/>
          <w:szCs w:val="24"/>
          <w:lang w:val="es-ES" w:eastAsia="es-ES"/>
        </w:rPr>
      </w:pPr>
    </w:p>
    <w:p w14:paraId="7D7CCBC5"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15268BC4" w14:textId="62DA1604" w:rsidR="002734B9" w:rsidRPr="000F0725"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36.- </w:t>
      </w:r>
      <w:r w:rsidR="000F0725" w:rsidRPr="000F0725">
        <w:rPr>
          <w:rFonts w:ascii="Palatino Linotype" w:eastAsia="Calibri" w:hAnsi="Palatino Linotype" w:cs="Arial"/>
          <w:sz w:val="24"/>
          <w:szCs w:val="24"/>
          <w:lang w:val="es-ES" w:eastAsia="es-ES"/>
        </w:rPr>
        <w:t xml:space="preserve">Cabe señalar que Amnistía Internacional publicó, en octubre de dos mil veintiuno, el informe titulado </w:t>
      </w:r>
      <w:r w:rsidR="000F0725" w:rsidRPr="000F0725">
        <w:rPr>
          <w:rFonts w:ascii="Palatino Linotype" w:eastAsia="Calibri" w:hAnsi="Palatino Linotype" w:cs="Arial"/>
          <w:i/>
          <w:iCs/>
          <w:sz w:val="24"/>
          <w:szCs w:val="24"/>
          <w:lang w:val="es-ES" w:eastAsia="es-ES"/>
        </w:rPr>
        <w:t>‘Policías Bajo la Lupa. Cinco Claves para la Supervisión y la Rendición de Cuentas de la Policía en las Américas’</w:t>
      </w:r>
      <w:r w:rsidR="000F0725" w:rsidRPr="000F0725">
        <w:rPr>
          <w:rFonts w:ascii="Palatino Linotype" w:eastAsia="Calibri" w:hAnsi="Palatino Linotype" w:cs="Arial"/>
          <w:sz w:val="24"/>
          <w:szCs w:val="24"/>
          <w:lang w:val="es-ES" w:eastAsia="es-ES"/>
        </w:rPr>
        <w:t xml:space="preserve">, el cual presenta cinco recomendaciones </w:t>
      </w:r>
      <w:r w:rsidR="000F0725" w:rsidRPr="000F0725">
        <w:rPr>
          <w:rFonts w:ascii="Palatino Linotype" w:eastAsia="Calibri" w:hAnsi="Palatino Linotype" w:cs="Arial"/>
          <w:sz w:val="24"/>
          <w:szCs w:val="24"/>
          <w:lang w:eastAsia="es-ES"/>
        </w:rPr>
        <w:t xml:space="preserve">clave para que los Estados aborden las violaciones de los derechos humanos cometidas por la policía en toda la región: introducir mecanismos independientes y eficaces para la supervisión y la rendición de cuentas de la policía; </w:t>
      </w:r>
      <w:r w:rsidR="000F0725" w:rsidRPr="000F0725">
        <w:rPr>
          <w:rFonts w:ascii="Palatino Linotype" w:eastAsia="Calibri" w:hAnsi="Palatino Linotype" w:cs="Arial"/>
          <w:b/>
          <w:bCs/>
          <w:sz w:val="24"/>
          <w:szCs w:val="24"/>
          <w:lang w:eastAsia="es-ES"/>
        </w:rPr>
        <w:lastRenderedPageBreak/>
        <w:t>reconocer y reforzar</w:t>
      </w:r>
      <w:r w:rsidR="000F0725" w:rsidRPr="0017492B">
        <w:rPr>
          <w:rFonts w:ascii="Palatino Linotype" w:eastAsia="Calibri" w:hAnsi="Palatino Linotype" w:cs="Arial"/>
          <w:b/>
          <w:bCs/>
          <w:sz w:val="24"/>
          <w:szCs w:val="24"/>
          <w:lang w:eastAsia="es-ES"/>
        </w:rPr>
        <w:t xml:space="preserve"> </w:t>
      </w:r>
      <w:r w:rsidR="000F0725" w:rsidRPr="000F0725">
        <w:rPr>
          <w:rFonts w:ascii="Palatino Linotype" w:eastAsia="Calibri" w:hAnsi="Palatino Linotype" w:cs="Arial"/>
          <w:b/>
          <w:bCs/>
          <w:sz w:val="24"/>
          <w:szCs w:val="24"/>
          <w:lang w:eastAsia="es-ES"/>
        </w:rPr>
        <w:t>el papel crucial de las organizaciones de la sociedad civil</w:t>
      </w:r>
      <w:r w:rsidR="000F0725" w:rsidRPr="0017492B">
        <w:rPr>
          <w:rFonts w:ascii="Palatino Linotype" w:eastAsia="Calibri" w:hAnsi="Palatino Linotype" w:cs="Arial"/>
          <w:b/>
          <w:bCs/>
          <w:sz w:val="24"/>
          <w:szCs w:val="24"/>
          <w:lang w:eastAsia="es-ES"/>
        </w:rPr>
        <w:t xml:space="preserve"> </w:t>
      </w:r>
      <w:r w:rsidR="000F0725" w:rsidRPr="000F0725">
        <w:rPr>
          <w:rFonts w:ascii="Palatino Linotype" w:eastAsia="Calibri" w:hAnsi="Palatino Linotype" w:cs="Arial"/>
          <w:b/>
          <w:bCs/>
          <w:sz w:val="24"/>
          <w:szCs w:val="24"/>
          <w:lang w:eastAsia="es-ES"/>
        </w:rPr>
        <w:t>y los grupos de víctimas en los sistemas de supervisión</w:t>
      </w:r>
      <w:r w:rsidR="000F0725" w:rsidRPr="0017492B">
        <w:rPr>
          <w:rFonts w:ascii="Palatino Linotype" w:eastAsia="Calibri" w:hAnsi="Palatino Linotype" w:cs="Arial"/>
          <w:b/>
          <w:bCs/>
          <w:sz w:val="24"/>
          <w:szCs w:val="24"/>
          <w:lang w:eastAsia="es-ES"/>
        </w:rPr>
        <w:t xml:space="preserve"> </w:t>
      </w:r>
      <w:r w:rsidR="000F0725" w:rsidRPr="000F0725">
        <w:rPr>
          <w:rFonts w:ascii="Palatino Linotype" w:eastAsia="Calibri" w:hAnsi="Palatino Linotype" w:cs="Arial"/>
          <w:b/>
          <w:bCs/>
          <w:sz w:val="24"/>
          <w:szCs w:val="24"/>
          <w:lang w:eastAsia="es-ES"/>
        </w:rPr>
        <w:t>y rendición de cuentas de la policía</w:t>
      </w:r>
      <w:r w:rsidR="000F0725" w:rsidRPr="000F0725">
        <w:rPr>
          <w:rFonts w:ascii="Palatino Linotype" w:eastAsia="Calibri" w:hAnsi="Palatino Linotype" w:cs="Arial"/>
          <w:sz w:val="24"/>
          <w:szCs w:val="24"/>
          <w:lang w:eastAsia="es-ES"/>
        </w:rPr>
        <w:t>; garantizar que las investigaciones sobre posibles muertes ilegítimas a manos de la policía se lleven a cabo de conformidad con el Protocolo de Minnesota; abordar la violencia policial ilegítima como una cuestión estructural; y establecer claramente en las leyes y los reglamentos la responsabilidad de los mandos y otros superiores por la violencia policial ilegítima</w:t>
      </w:r>
      <w:r w:rsidR="000F0725">
        <w:rPr>
          <w:rStyle w:val="Refdenotaalpie"/>
          <w:rFonts w:ascii="Palatino Linotype" w:eastAsia="Calibri" w:hAnsi="Palatino Linotype" w:cs="Arial"/>
          <w:sz w:val="24"/>
          <w:szCs w:val="24"/>
          <w:lang w:eastAsia="es-ES"/>
        </w:rPr>
        <w:footnoteReference w:id="9"/>
      </w:r>
    </w:p>
    <w:p w14:paraId="587B9CE7" w14:textId="77777777" w:rsidR="002734B9" w:rsidRDefault="002734B9" w:rsidP="002734B9">
      <w:pPr>
        <w:tabs>
          <w:tab w:val="left" w:pos="426"/>
        </w:tabs>
        <w:spacing w:after="0" w:line="360" w:lineRule="auto"/>
        <w:contextualSpacing/>
        <w:jc w:val="both"/>
        <w:rPr>
          <w:rFonts w:ascii="Palatino Linotype" w:eastAsia="Calibri" w:hAnsi="Palatino Linotype" w:cs="Arial"/>
          <w:sz w:val="24"/>
          <w:szCs w:val="24"/>
          <w:lang w:val="es-ES" w:eastAsia="es-ES"/>
        </w:rPr>
      </w:pPr>
    </w:p>
    <w:p w14:paraId="2B61CCE6" w14:textId="638B8166" w:rsidR="009E2B9E" w:rsidRPr="009E2B9E"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37.- </w:t>
      </w:r>
      <w:r w:rsidR="0017492B" w:rsidRPr="009E2B9E">
        <w:rPr>
          <w:rFonts w:ascii="Palatino Linotype" w:eastAsia="Calibri" w:hAnsi="Palatino Linotype" w:cs="Arial"/>
          <w:sz w:val="24"/>
          <w:szCs w:val="24"/>
          <w:lang w:val="es-ES" w:eastAsia="es-ES"/>
        </w:rPr>
        <w:t xml:space="preserve">Dentro de la segunda clave sugerida por la obra, </w:t>
      </w:r>
      <w:r w:rsidR="009E2B9E" w:rsidRPr="009E2B9E">
        <w:rPr>
          <w:rFonts w:ascii="Palatino Linotype" w:eastAsia="Calibri" w:hAnsi="Palatino Linotype" w:cs="Arial"/>
          <w:sz w:val="24"/>
          <w:szCs w:val="24"/>
          <w:lang w:val="es-ES" w:eastAsia="es-ES"/>
        </w:rPr>
        <w:t xml:space="preserve">se señala la importancia de la participación de la sociedad civil y </w:t>
      </w:r>
      <w:proofErr w:type="gramStart"/>
      <w:r w:rsidR="009E2B9E" w:rsidRPr="009E2B9E">
        <w:rPr>
          <w:rFonts w:ascii="Palatino Linotype" w:eastAsia="Calibri" w:hAnsi="Palatino Linotype" w:cs="Arial"/>
          <w:sz w:val="24"/>
          <w:szCs w:val="24"/>
          <w:lang w:val="es-ES" w:eastAsia="es-ES"/>
        </w:rPr>
        <w:t>las organización</w:t>
      </w:r>
      <w:proofErr w:type="gramEnd"/>
      <w:r w:rsidR="009E2B9E" w:rsidRPr="009E2B9E">
        <w:rPr>
          <w:rFonts w:ascii="Palatino Linotype" w:eastAsia="Calibri" w:hAnsi="Palatino Linotype" w:cs="Arial"/>
          <w:sz w:val="24"/>
          <w:szCs w:val="24"/>
          <w:lang w:val="es-ES" w:eastAsia="es-ES"/>
        </w:rPr>
        <w:t xml:space="preserve"> de víctimas en la supervisión de la policía y la </w:t>
      </w:r>
      <w:r w:rsidR="009E2B9E" w:rsidRPr="009E2B9E">
        <w:rPr>
          <w:rFonts w:ascii="Palatino Linotype" w:eastAsia="Calibri" w:hAnsi="Palatino Linotype" w:cs="Arial"/>
          <w:b/>
          <w:bCs/>
          <w:sz w:val="24"/>
          <w:szCs w:val="24"/>
          <w:lang w:val="es-ES" w:eastAsia="es-ES"/>
        </w:rPr>
        <w:t>búsqueda de justicia</w:t>
      </w:r>
      <w:r w:rsidR="009E2B9E" w:rsidRPr="009E2B9E">
        <w:rPr>
          <w:rFonts w:ascii="Palatino Linotype" w:eastAsia="Calibri" w:hAnsi="Palatino Linotype" w:cs="Arial"/>
          <w:sz w:val="24"/>
          <w:szCs w:val="24"/>
          <w:lang w:val="es-ES" w:eastAsia="es-ES"/>
        </w:rPr>
        <w:t xml:space="preserve">. </w:t>
      </w:r>
      <w:r w:rsidR="009E2B9E" w:rsidRPr="009E2B9E">
        <w:rPr>
          <w:rFonts w:ascii="Palatino Linotype" w:eastAsia="Calibri" w:hAnsi="Palatino Linotype" w:cs="Arial"/>
          <w:sz w:val="24"/>
          <w:szCs w:val="24"/>
          <w:lang w:eastAsia="es-ES"/>
        </w:rPr>
        <w:t>Junto con los mecanismos formales e institucionalizados de supervisión y rendición de cuentas, también se vuelve crucial el control que ejerce la sociedad civil respecto de las fuerzas policiales. En la región, la sociedad civil posee amplia experiencia exigiendo que la labor policial se apegue a la ley y a los estándares internacionales de derechos humanos</w:t>
      </w:r>
      <w:r w:rsidR="009E2B9E">
        <w:rPr>
          <w:rStyle w:val="Refdenotaalpie"/>
          <w:rFonts w:ascii="Palatino Linotype" w:eastAsia="Calibri" w:hAnsi="Palatino Linotype" w:cs="Arial"/>
          <w:sz w:val="24"/>
          <w:szCs w:val="24"/>
          <w:lang w:eastAsia="es-ES"/>
        </w:rPr>
        <w:footnoteReference w:id="10"/>
      </w:r>
      <w:r w:rsidR="009E2B9E" w:rsidRPr="009E2B9E">
        <w:rPr>
          <w:rFonts w:ascii="Palatino Linotype" w:eastAsia="Calibri" w:hAnsi="Palatino Linotype" w:cs="Arial"/>
          <w:sz w:val="24"/>
          <w:szCs w:val="24"/>
          <w:lang w:eastAsia="es-ES"/>
        </w:rPr>
        <w:t xml:space="preserve">. </w:t>
      </w:r>
    </w:p>
    <w:p w14:paraId="749E5C90" w14:textId="77777777" w:rsidR="009E2B9E" w:rsidRPr="009E2B9E" w:rsidRDefault="009E2B9E" w:rsidP="009E2B9E">
      <w:pPr>
        <w:tabs>
          <w:tab w:val="left" w:pos="426"/>
        </w:tabs>
        <w:spacing w:after="0" w:line="360" w:lineRule="auto"/>
        <w:contextualSpacing/>
        <w:jc w:val="both"/>
        <w:rPr>
          <w:rFonts w:ascii="Palatino Linotype" w:eastAsia="Calibri" w:hAnsi="Palatino Linotype" w:cs="Arial"/>
          <w:sz w:val="24"/>
          <w:szCs w:val="24"/>
          <w:lang w:val="es-ES" w:eastAsia="es-ES"/>
        </w:rPr>
      </w:pPr>
    </w:p>
    <w:p w14:paraId="1AAE5D79" w14:textId="0C0CCE42" w:rsidR="002734B9" w:rsidRPr="009E2B9E"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eastAsia="es-ES"/>
        </w:rPr>
        <w:t xml:space="preserve">38.- </w:t>
      </w:r>
      <w:r w:rsidR="009E2B9E">
        <w:rPr>
          <w:rFonts w:ascii="Palatino Linotype" w:eastAsia="Calibri" w:hAnsi="Palatino Linotype" w:cs="Arial"/>
          <w:sz w:val="24"/>
          <w:szCs w:val="24"/>
          <w:lang w:eastAsia="es-ES"/>
        </w:rPr>
        <w:t xml:space="preserve">Del corolario anterior, el libro en comento comparte </w:t>
      </w:r>
      <w:r w:rsidR="009E2B9E" w:rsidRPr="009E2B9E">
        <w:rPr>
          <w:rFonts w:ascii="Palatino Linotype" w:eastAsia="Calibri" w:hAnsi="Palatino Linotype" w:cs="Arial"/>
          <w:sz w:val="24"/>
          <w:szCs w:val="24"/>
          <w:lang w:eastAsia="es-ES"/>
        </w:rPr>
        <w:t>cinco</w:t>
      </w:r>
      <w:r w:rsidR="009E2B9E">
        <w:rPr>
          <w:rFonts w:ascii="Palatino Linotype" w:eastAsia="Calibri" w:hAnsi="Palatino Linotype" w:cs="Arial"/>
          <w:sz w:val="24"/>
          <w:szCs w:val="24"/>
          <w:lang w:eastAsia="es-ES"/>
        </w:rPr>
        <w:t xml:space="preserve"> </w:t>
      </w:r>
      <w:r w:rsidR="009E2B9E" w:rsidRPr="009E2B9E">
        <w:rPr>
          <w:rFonts w:ascii="Palatino Linotype" w:eastAsia="Calibri" w:hAnsi="Palatino Linotype" w:cs="Arial"/>
          <w:sz w:val="24"/>
          <w:szCs w:val="24"/>
          <w:lang w:eastAsia="es-ES"/>
        </w:rPr>
        <w:t>estrategias</w:t>
      </w:r>
      <w:r w:rsidR="009E2B9E">
        <w:rPr>
          <w:rStyle w:val="Refdenotaalpie"/>
          <w:rFonts w:ascii="Palatino Linotype" w:eastAsia="Calibri" w:hAnsi="Palatino Linotype" w:cs="Arial"/>
          <w:sz w:val="24"/>
          <w:szCs w:val="24"/>
          <w:lang w:eastAsia="es-ES"/>
        </w:rPr>
        <w:footnoteReference w:id="11"/>
      </w:r>
      <w:r w:rsidR="009E2B9E">
        <w:rPr>
          <w:rFonts w:ascii="Palatino Linotype" w:eastAsia="Calibri" w:hAnsi="Palatino Linotype" w:cs="Arial"/>
          <w:sz w:val="24"/>
          <w:szCs w:val="24"/>
          <w:lang w:eastAsia="es-ES"/>
        </w:rPr>
        <w:t>, dentro de las que destaca la necesidad de</w:t>
      </w:r>
      <w:bookmarkStart w:id="1" w:name="_GoBack"/>
      <w:bookmarkEnd w:id="1"/>
      <w:r w:rsidR="009E2B9E">
        <w:rPr>
          <w:rFonts w:ascii="Palatino Linotype" w:eastAsia="Calibri" w:hAnsi="Palatino Linotype" w:cs="Arial"/>
          <w:sz w:val="24"/>
          <w:szCs w:val="24"/>
          <w:lang w:eastAsia="es-ES"/>
        </w:rPr>
        <w:t xml:space="preserve"> empujar procesos de incidencia política y cambio de narrativas</w:t>
      </w:r>
      <w:r w:rsidR="00CB2DEB">
        <w:rPr>
          <w:rFonts w:ascii="Palatino Linotype" w:eastAsia="Calibri" w:hAnsi="Palatino Linotype" w:cs="Arial"/>
          <w:sz w:val="24"/>
          <w:szCs w:val="24"/>
          <w:lang w:eastAsia="es-ES"/>
        </w:rPr>
        <w:t>. Al respecto, se expone lo siguiente:</w:t>
      </w:r>
    </w:p>
    <w:p w14:paraId="28738252" w14:textId="4E56B7CB" w:rsidR="002734B9" w:rsidRDefault="002734B9" w:rsidP="002734B9">
      <w:pPr>
        <w:tabs>
          <w:tab w:val="left" w:pos="426"/>
        </w:tabs>
        <w:spacing w:after="0" w:line="360" w:lineRule="auto"/>
        <w:contextualSpacing/>
        <w:jc w:val="both"/>
        <w:rPr>
          <w:rFonts w:ascii="Palatino Linotype" w:eastAsia="Calibri" w:hAnsi="Palatino Linotype" w:cs="Arial"/>
          <w:sz w:val="24"/>
          <w:szCs w:val="24"/>
          <w:lang w:val="es-ES" w:eastAsia="es-ES"/>
        </w:rPr>
      </w:pPr>
    </w:p>
    <w:p w14:paraId="6FD5B964" w14:textId="6E4195A1" w:rsidR="00CB2DEB" w:rsidRPr="00CB2DEB" w:rsidRDefault="00CB2DEB" w:rsidP="00CB2DEB">
      <w:pPr>
        <w:tabs>
          <w:tab w:val="left" w:pos="426"/>
        </w:tabs>
        <w:spacing w:after="0" w:line="276" w:lineRule="auto"/>
        <w:ind w:left="567" w:right="567"/>
        <w:contextualSpacing/>
        <w:jc w:val="both"/>
        <w:rPr>
          <w:rFonts w:ascii="Palatino Linotype" w:eastAsia="Calibri" w:hAnsi="Palatino Linotype" w:cs="Arial"/>
          <w:i/>
          <w:iCs/>
          <w:lang w:val="es-ES" w:eastAsia="es-ES"/>
        </w:rPr>
      </w:pPr>
      <w:r w:rsidRPr="00CB2DEB">
        <w:rPr>
          <w:rFonts w:ascii="Palatino Linotype" w:eastAsia="Calibri" w:hAnsi="Palatino Linotype" w:cs="Arial"/>
          <w:i/>
          <w:iCs/>
          <w:lang w:val="es-ES" w:eastAsia="es-ES"/>
        </w:rPr>
        <w:lastRenderedPageBreak/>
        <w:t>“</w:t>
      </w:r>
      <w:r w:rsidRPr="00CB2DEB">
        <w:rPr>
          <w:rFonts w:ascii="Palatino Linotype" w:eastAsia="Calibri" w:hAnsi="Palatino Linotype" w:cs="Arial"/>
          <w:b/>
          <w:bCs/>
          <w:i/>
          <w:iCs/>
          <w:lang w:val="es-ES" w:eastAsia="es-ES"/>
        </w:rPr>
        <w:t xml:space="preserve">El </w:t>
      </w:r>
      <w:r w:rsidRPr="00CB2DEB">
        <w:rPr>
          <w:rFonts w:ascii="Palatino Linotype" w:eastAsia="Calibri" w:hAnsi="Palatino Linotype" w:cs="Arial"/>
          <w:b/>
          <w:bCs/>
          <w:i/>
          <w:iCs/>
          <w:lang w:eastAsia="es-ES"/>
        </w:rPr>
        <w:t>cambio en las prácticas policiales y la sujeción de las fuerzas de seguridad a mecanismos de supervisión y rendición de cuentas también requiere de una sociedad civil capaz de incidir políticamente y de empujar un cambio de narrativa en la discusión pública.</w:t>
      </w:r>
      <w:r w:rsidRPr="00CB2DEB">
        <w:rPr>
          <w:rFonts w:ascii="Palatino Linotype" w:eastAsia="Calibri" w:hAnsi="Palatino Linotype" w:cs="Arial"/>
          <w:i/>
          <w:iCs/>
          <w:lang w:eastAsia="es-ES"/>
        </w:rPr>
        <w:t xml:space="preserve"> Aquí caben distintas estrategias, como participar en procesos de reforma legal, potenciar el activismo cibernético, </w:t>
      </w:r>
      <w:r w:rsidRPr="00CB2DEB">
        <w:rPr>
          <w:rFonts w:ascii="Palatino Linotype" w:eastAsia="Calibri" w:hAnsi="Palatino Linotype" w:cs="Arial"/>
          <w:b/>
          <w:bCs/>
          <w:i/>
          <w:iCs/>
          <w:lang w:eastAsia="es-ES"/>
        </w:rPr>
        <w:t>trabajar en la construcción de memoria respecto a violaciones de derechos humanos</w:t>
      </w:r>
      <w:r w:rsidRPr="00CB2DEB">
        <w:rPr>
          <w:rFonts w:ascii="Palatino Linotype" w:eastAsia="Calibri" w:hAnsi="Palatino Linotype" w:cs="Arial"/>
          <w:i/>
          <w:iCs/>
          <w:lang w:eastAsia="es-ES"/>
        </w:rPr>
        <w:t xml:space="preserve"> y desarrollar acciones de sensibilización encaminadas a disminuir prejuicios raciales, de género, de clase y de otro tipo que contribuyen al ejercicio discriminatorio y estigmatizador de la función policial.”</w:t>
      </w:r>
    </w:p>
    <w:p w14:paraId="3759CB4B" w14:textId="77777777" w:rsidR="00CB2DEB" w:rsidRDefault="00CB2DEB" w:rsidP="002734B9">
      <w:pPr>
        <w:tabs>
          <w:tab w:val="left" w:pos="426"/>
        </w:tabs>
        <w:spacing w:after="0" w:line="360" w:lineRule="auto"/>
        <w:contextualSpacing/>
        <w:jc w:val="both"/>
        <w:rPr>
          <w:rFonts w:ascii="Palatino Linotype" w:eastAsia="Calibri" w:hAnsi="Palatino Linotype" w:cs="Arial"/>
          <w:sz w:val="24"/>
          <w:szCs w:val="24"/>
          <w:lang w:val="es-ES" w:eastAsia="es-ES"/>
        </w:rPr>
      </w:pPr>
    </w:p>
    <w:p w14:paraId="6236A194" w14:textId="625165A8" w:rsidR="002734B9" w:rsidRDefault="00040B73" w:rsidP="00040B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39.- </w:t>
      </w:r>
      <w:r w:rsidR="00CB2DEB">
        <w:rPr>
          <w:rFonts w:ascii="Palatino Linotype" w:eastAsia="Calibri" w:hAnsi="Palatino Linotype" w:cs="Arial"/>
          <w:sz w:val="24"/>
          <w:szCs w:val="24"/>
          <w:lang w:val="es-ES" w:eastAsia="es-ES"/>
        </w:rPr>
        <w:t xml:space="preserve">Del recopilatorio anterior se menciona de forma abierta la importancia de la participación de la sociedad en el mejoramiento de los mecanismos y conductas policiales, a través de ejercicios de incidencia política, como la </w:t>
      </w:r>
      <w:r w:rsidR="00CB2DEB">
        <w:rPr>
          <w:rFonts w:ascii="Palatino Linotype" w:eastAsia="Calibri" w:hAnsi="Palatino Linotype" w:cs="Arial"/>
          <w:b/>
          <w:bCs/>
          <w:sz w:val="24"/>
          <w:szCs w:val="24"/>
          <w:lang w:val="es-ES" w:eastAsia="es-ES"/>
        </w:rPr>
        <w:t>construcción de memoria respecto a violaciones de derechos humanos</w:t>
      </w:r>
      <w:r w:rsidR="00CB2DEB">
        <w:rPr>
          <w:rFonts w:ascii="Palatino Linotype" w:eastAsia="Calibri" w:hAnsi="Palatino Linotype" w:cs="Arial"/>
          <w:sz w:val="24"/>
          <w:szCs w:val="24"/>
          <w:lang w:val="es-ES" w:eastAsia="es-ES"/>
        </w:rPr>
        <w:t xml:space="preserve">; como por ejemplo, el conceder el acceso a las carpetas de investigación de delitos </w:t>
      </w:r>
      <w:r w:rsidR="00D55463">
        <w:rPr>
          <w:rFonts w:ascii="Palatino Linotype" w:eastAsia="Calibri" w:hAnsi="Palatino Linotype" w:cs="Arial"/>
          <w:sz w:val="24"/>
          <w:szCs w:val="24"/>
          <w:lang w:val="es-ES" w:eastAsia="es-ES"/>
        </w:rPr>
        <w:t>donde se acrediten violaciones a derechos humanos. Lo anterior debe entenderse bajo la óptica de que no solamente se reconocen como ofendidos a los familiares de una víctima a quien se le violentaron sus derechos humanos, sino también a la sociedad en general, de ahí la importancia de su difusión.</w:t>
      </w:r>
    </w:p>
    <w:p w14:paraId="1C1EAD26" w14:textId="77777777" w:rsidR="00082C80" w:rsidRDefault="00082C80" w:rsidP="00082C80">
      <w:pPr>
        <w:tabs>
          <w:tab w:val="left" w:pos="426"/>
        </w:tabs>
        <w:spacing w:after="0" w:line="360" w:lineRule="auto"/>
        <w:contextualSpacing/>
        <w:jc w:val="both"/>
        <w:rPr>
          <w:rFonts w:ascii="Palatino Linotype" w:eastAsia="Calibri" w:hAnsi="Palatino Linotype" w:cs="Arial"/>
          <w:sz w:val="24"/>
          <w:szCs w:val="24"/>
          <w:lang w:val="es-ES" w:eastAsia="es-ES"/>
        </w:rPr>
      </w:pPr>
    </w:p>
    <w:p w14:paraId="0C839B17" w14:textId="52B7C107" w:rsidR="003514A8" w:rsidRPr="003514A8" w:rsidRDefault="003514A8" w:rsidP="003514A8">
      <w:pPr>
        <w:pStyle w:val="Ttulo3"/>
        <w:spacing w:before="0" w:line="360" w:lineRule="auto"/>
        <w:rPr>
          <w:rFonts w:ascii="Palatino Linotype" w:eastAsia="Calibri" w:hAnsi="Palatino Linotype" w:cs="Arial"/>
          <w:b/>
          <w:bCs/>
          <w:color w:val="auto"/>
          <w:lang w:val="es-ES" w:eastAsia="es-ES"/>
        </w:rPr>
      </w:pPr>
      <w:r w:rsidRPr="003514A8">
        <w:rPr>
          <w:rFonts w:ascii="Palatino Linotype" w:eastAsia="Calibri" w:hAnsi="Palatino Linotype" w:cs="Arial"/>
          <w:b/>
          <w:bCs/>
          <w:color w:val="auto"/>
          <w:lang w:val="es-ES" w:eastAsia="es-ES"/>
        </w:rPr>
        <w:t>VI. Conclusión.</w:t>
      </w:r>
    </w:p>
    <w:p w14:paraId="7A111412" w14:textId="77777777" w:rsidR="0081295F" w:rsidRDefault="0081295F" w:rsidP="0052682C">
      <w:pPr>
        <w:tabs>
          <w:tab w:val="left" w:pos="426"/>
        </w:tabs>
        <w:spacing w:after="0" w:line="360" w:lineRule="auto"/>
        <w:contextualSpacing/>
        <w:jc w:val="both"/>
        <w:rPr>
          <w:rFonts w:ascii="Palatino Linotype" w:eastAsia="Calibri" w:hAnsi="Palatino Linotype" w:cs="Arial"/>
          <w:sz w:val="24"/>
          <w:szCs w:val="24"/>
          <w:lang w:val="es-ES" w:eastAsia="es-ES"/>
        </w:rPr>
      </w:pPr>
    </w:p>
    <w:p w14:paraId="48A151A4" w14:textId="46831C53" w:rsidR="00040B73" w:rsidRDefault="00040B73" w:rsidP="00040B73">
      <w:pPr>
        <w:pBdr>
          <w:top w:val="nil"/>
          <w:left w:val="nil"/>
          <w:bottom w:val="nil"/>
          <w:right w:val="nil"/>
          <w:between w:val="nil"/>
          <w:bar w:val="nil"/>
        </w:pBdr>
        <w:spacing w:after="0" w:line="360" w:lineRule="auto"/>
        <w:jc w:val="both"/>
        <w:rPr>
          <w:rFonts w:ascii="Palatino Linotype" w:eastAsiaTheme="majorEastAsia" w:hAnsi="Palatino Linotype" w:cstheme="majorBidi"/>
          <w:bCs/>
          <w:sz w:val="24"/>
          <w:szCs w:val="24"/>
          <w:bdr w:val="nil"/>
        </w:rPr>
      </w:pPr>
      <w:r>
        <w:rPr>
          <w:rFonts w:ascii="Palatino Linotype" w:eastAsia="Calibri" w:hAnsi="Palatino Linotype" w:cs="Arial"/>
          <w:sz w:val="24"/>
          <w:szCs w:val="24"/>
          <w:lang w:val="es-ES" w:eastAsia="es-ES"/>
        </w:rPr>
        <w:t xml:space="preserve">40. </w:t>
      </w:r>
      <w:r w:rsidRPr="00040B73">
        <w:rPr>
          <w:rFonts w:ascii="Palatino Linotype" w:eastAsia="Calibri" w:hAnsi="Palatino Linotype" w:cs="Arial"/>
          <w:sz w:val="24"/>
          <w:szCs w:val="24"/>
          <w:lang w:val="es-ES" w:eastAsia="es-ES"/>
        </w:rPr>
        <w:t xml:space="preserve">En el presente asunto en particular no es procedente la clasificación de la información como reservada de la carpeta de investigación. Primeramente porque el acuerdo de clasificación que emitió el Sujeto Obligado no reúne las formalidades mínimas establecidas por la legislación de la materia, asimismo, de la revisión </w:t>
      </w:r>
      <w:r w:rsidRPr="00040B73">
        <w:rPr>
          <w:rFonts w:ascii="Palatino Linotype" w:eastAsia="Calibri" w:hAnsi="Palatino Linotype" w:cs="Arial"/>
          <w:sz w:val="24"/>
          <w:szCs w:val="24"/>
          <w:lang w:val="es-ES" w:eastAsia="es-ES"/>
        </w:rPr>
        <w:lastRenderedPageBreak/>
        <w:t xml:space="preserve">exhaustiva de los elementos fácticos del caso de que se trata, se advierte que se trata de la investigación de posibles violaciones graves de derechos humanos aun cuando no exista pronunciamiento previo de autoridad competente, cuando se determine, a partir de criterios cuantitativos y cualitativos la trascendencia social de las violaciones; e información relacionada con actos de corrupción de conformidad con las disposiciones jurídicas aplicables, elementos que el criterio mayoritario no observó y se limitó a restringir de manera arbitraria el derecho de acceso a la información inobservando el artículo primero constitucional, toda vez que la resolución emitida no promueve, respeta, protege ni garantiza el derecho ejercido por el particular, en relación al artículo 142, fracción II de la Ley de </w:t>
      </w:r>
      <w:r w:rsidRPr="00040B73">
        <w:rPr>
          <w:rFonts w:ascii="Palatino Linotype" w:eastAsiaTheme="majorEastAsia" w:hAnsi="Palatino Linotype" w:cstheme="majorBidi"/>
          <w:bCs/>
          <w:sz w:val="24"/>
          <w:szCs w:val="24"/>
          <w:bdr w:val="nil"/>
        </w:rPr>
        <w:t xml:space="preserve">Transparencia y Acceso a la Información Pública del Estado de México y Municipios.  </w:t>
      </w:r>
    </w:p>
    <w:p w14:paraId="0B19593E" w14:textId="77777777" w:rsidR="00040B73" w:rsidRDefault="00040B73" w:rsidP="00040B73">
      <w:pPr>
        <w:pBdr>
          <w:top w:val="nil"/>
          <w:left w:val="nil"/>
          <w:bottom w:val="nil"/>
          <w:right w:val="nil"/>
          <w:between w:val="nil"/>
          <w:bar w:val="nil"/>
        </w:pBdr>
        <w:spacing w:after="0" w:line="360" w:lineRule="auto"/>
        <w:jc w:val="both"/>
        <w:rPr>
          <w:rFonts w:ascii="Palatino Linotype" w:eastAsiaTheme="majorEastAsia" w:hAnsi="Palatino Linotype" w:cstheme="majorBidi"/>
          <w:bCs/>
          <w:sz w:val="24"/>
          <w:szCs w:val="24"/>
          <w:bdr w:val="nil"/>
        </w:rPr>
      </w:pPr>
    </w:p>
    <w:p w14:paraId="6681601C" w14:textId="77777777" w:rsidR="00040B73" w:rsidRDefault="00040B73" w:rsidP="00040B73">
      <w:pPr>
        <w:pBdr>
          <w:top w:val="nil"/>
          <w:left w:val="nil"/>
          <w:bottom w:val="nil"/>
          <w:right w:val="nil"/>
          <w:between w:val="nil"/>
          <w:bar w:val="nil"/>
        </w:pBdr>
        <w:spacing w:after="0" w:line="360" w:lineRule="auto"/>
        <w:jc w:val="both"/>
        <w:rPr>
          <w:rFonts w:ascii="Palatino Linotype" w:eastAsiaTheme="majorEastAsia" w:hAnsi="Palatino Linotype" w:cstheme="majorBidi"/>
          <w:bCs/>
          <w:sz w:val="24"/>
          <w:szCs w:val="24"/>
          <w:bdr w:val="nil"/>
        </w:rPr>
      </w:pPr>
    </w:p>
    <w:p w14:paraId="0C51020B" w14:textId="77777777" w:rsidR="00040B73" w:rsidRDefault="00040B73" w:rsidP="00040B73">
      <w:pPr>
        <w:pBdr>
          <w:top w:val="nil"/>
          <w:left w:val="nil"/>
          <w:bottom w:val="nil"/>
          <w:right w:val="nil"/>
          <w:between w:val="nil"/>
          <w:bar w:val="nil"/>
        </w:pBdr>
        <w:spacing w:after="0" w:line="360" w:lineRule="auto"/>
        <w:jc w:val="both"/>
        <w:rPr>
          <w:rFonts w:ascii="Palatino Linotype" w:eastAsiaTheme="majorEastAsia" w:hAnsi="Palatino Linotype" w:cstheme="majorBidi"/>
          <w:bCs/>
          <w:sz w:val="24"/>
          <w:szCs w:val="24"/>
          <w:bdr w:val="nil"/>
        </w:rPr>
      </w:pPr>
    </w:p>
    <w:p w14:paraId="09B6AE17" w14:textId="77777777" w:rsidR="00040B73" w:rsidRPr="002A43BC"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r>
        <w:rPr>
          <w:rFonts w:ascii="Palatino Linotype" w:eastAsia="Arial" w:hAnsi="Palatino Linotype" w:cs="Arial"/>
          <w:b/>
          <w:color w:val="000000" w:themeColor="text1"/>
          <w:sz w:val="24"/>
          <w:szCs w:val="24"/>
          <w:bdr w:val="nil"/>
          <w:lang w:eastAsia="es-MX"/>
        </w:rPr>
        <w:t>MARÍA DEL ROSARIO MEJÍA AYALA</w:t>
      </w:r>
    </w:p>
    <w:p w14:paraId="40414B46"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r w:rsidRPr="002A43BC">
        <w:rPr>
          <w:rFonts w:ascii="Palatino Linotype" w:eastAsia="Arial" w:hAnsi="Palatino Linotype" w:cs="Arial"/>
          <w:b/>
          <w:color w:val="000000" w:themeColor="text1"/>
          <w:sz w:val="24"/>
          <w:szCs w:val="24"/>
          <w:bdr w:val="nil"/>
          <w:lang w:eastAsia="es-MX"/>
        </w:rPr>
        <w:t>COMISIONADO</w:t>
      </w:r>
    </w:p>
    <w:p w14:paraId="23F188A2"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04137E48"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7AE031F2"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05E90E0C"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58CCA305"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3D96EDA7"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6227FCA7"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33147C78" w14:textId="77777777" w:rsidR="00040B73" w:rsidRDefault="00040B73" w:rsidP="00040B73">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33F7CD5A" w14:textId="26658C6E" w:rsidR="00040B73" w:rsidRPr="008A4B0D" w:rsidRDefault="00040B73" w:rsidP="00040B73">
      <w:pPr>
        <w:pBdr>
          <w:top w:val="nil"/>
          <w:left w:val="nil"/>
          <w:bottom w:val="nil"/>
          <w:right w:val="nil"/>
          <w:between w:val="nil"/>
          <w:bar w:val="nil"/>
        </w:pBdr>
        <w:spacing w:after="0" w:line="360" w:lineRule="auto"/>
        <w:rPr>
          <w:rFonts w:ascii="Palatino Linotype" w:eastAsia="Arial" w:hAnsi="Palatino Linotype" w:cs="Arial"/>
          <w:b/>
          <w:color w:val="000000" w:themeColor="text1"/>
          <w:sz w:val="24"/>
          <w:szCs w:val="24"/>
          <w:bdr w:val="nil"/>
          <w:lang w:eastAsia="es-MX"/>
        </w:rPr>
      </w:pPr>
      <w:r>
        <w:rPr>
          <w:rFonts w:ascii="Palatino Linotype" w:eastAsia="Arial" w:hAnsi="Palatino Linotype" w:cs="Arial"/>
          <w:b/>
          <w:color w:val="000000" w:themeColor="text1"/>
          <w:sz w:val="24"/>
          <w:szCs w:val="24"/>
          <w:bdr w:val="nil"/>
          <w:lang w:eastAsia="es-MX"/>
        </w:rPr>
        <w:t>JAAV/MRMA.</w:t>
      </w:r>
    </w:p>
    <w:p w14:paraId="1AC81ABE" w14:textId="77777777" w:rsidR="00040B73" w:rsidRPr="00040B73" w:rsidRDefault="00040B73" w:rsidP="00040B73">
      <w:pPr>
        <w:pBdr>
          <w:top w:val="nil"/>
          <w:left w:val="nil"/>
          <w:bottom w:val="nil"/>
          <w:right w:val="nil"/>
          <w:between w:val="nil"/>
          <w:bar w:val="nil"/>
        </w:pBdr>
        <w:spacing w:after="0" w:line="360" w:lineRule="auto"/>
        <w:jc w:val="both"/>
        <w:rPr>
          <w:rFonts w:ascii="Palatino Linotype" w:eastAsiaTheme="majorEastAsia" w:hAnsi="Palatino Linotype" w:cstheme="majorBidi"/>
          <w:b/>
          <w:sz w:val="24"/>
          <w:szCs w:val="24"/>
          <w:bdr w:val="nil"/>
        </w:rPr>
      </w:pPr>
    </w:p>
    <w:p w14:paraId="52784090" w14:textId="34A9410D" w:rsidR="00F13A65" w:rsidRDefault="00F13A65" w:rsidP="00040B73">
      <w:pPr>
        <w:jc w:val="both"/>
        <w:rPr>
          <w:rFonts w:ascii="Palatino Linotype" w:eastAsia="Calibri" w:hAnsi="Palatino Linotype" w:cs="Arial"/>
          <w:sz w:val="24"/>
          <w:szCs w:val="24"/>
          <w:lang w:val="es-ES" w:eastAsia="es-ES"/>
        </w:rPr>
      </w:pPr>
    </w:p>
    <w:p w14:paraId="5D47A0AC" w14:textId="77777777" w:rsidR="00F13A65" w:rsidRDefault="00F13A65" w:rsidP="00F13A65">
      <w:pPr>
        <w:tabs>
          <w:tab w:val="left" w:pos="426"/>
        </w:tabs>
        <w:spacing w:after="0" w:line="360" w:lineRule="auto"/>
        <w:contextualSpacing/>
        <w:jc w:val="both"/>
        <w:rPr>
          <w:rFonts w:ascii="Palatino Linotype" w:eastAsia="Calibri" w:hAnsi="Palatino Linotype" w:cs="Arial"/>
          <w:sz w:val="24"/>
          <w:szCs w:val="24"/>
          <w:lang w:val="es-ES" w:eastAsia="es-ES"/>
        </w:rPr>
      </w:pPr>
    </w:p>
    <w:sectPr w:rsidR="00F13A65" w:rsidSect="002A43BC">
      <w:headerReference w:type="even" r:id="rId11"/>
      <w:headerReference w:type="default" r:id="rId12"/>
      <w:footerReference w:type="even" r:id="rId13"/>
      <w:footerReference w:type="default" r:id="rId14"/>
      <w:headerReference w:type="first" r:id="rId15"/>
      <w:footerReference w:type="first" r:id="rId16"/>
      <w:pgSz w:w="12240" w:h="15840" w:code="1"/>
      <w:pgMar w:top="2268" w:right="1701" w:bottom="226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0E93F" w14:textId="77777777" w:rsidR="00032F67" w:rsidRDefault="00032F67" w:rsidP="002C0425">
      <w:pPr>
        <w:spacing w:after="0" w:line="240" w:lineRule="auto"/>
      </w:pPr>
      <w:r>
        <w:separator/>
      </w:r>
    </w:p>
  </w:endnote>
  <w:endnote w:type="continuationSeparator" w:id="0">
    <w:p w14:paraId="50A31676" w14:textId="77777777" w:rsidR="00032F67" w:rsidRDefault="00032F67" w:rsidP="002C0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5F29D" w14:textId="77777777" w:rsidR="00590481" w:rsidRDefault="005904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585527"/>
      <w:docPartObj>
        <w:docPartGallery w:val="Page Numbers (Bottom of Page)"/>
        <w:docPartUnique/>
      </w:docPartObj>
    </w:sdtPr>
    <w:sdtEndPr/>
    <w:sdtContent>
      <w:sdt>
        <w:sdtPr>
          <w:id w:val="-1769616900"/>
          <w:docPartObj>
            <w:docPartGallery w:val="Page Numbers (Top of Page)"/>
            <w:docPartUnique/>
          </w:docPartObj>
        </w:sdtPr>
        <w:sdtEndPr/>
        <w:sdtContent>
          <w:p w14:paraId="545B0F92" w14:textId="77777777" w:rsidR="00213603" w:rsidRDefault="00213603">
            <w:pPr>
              <w:pStyle w:val="Piedepgina"/>
              <w:jc w:val="right"/>
            </w:pPr>
            <w:r w:rsidRPr="0052203D">
              <w:rPr>
                <w:rFonts w:ascii="Palatino Linotype" w:hAnsi="Palatino Linotype"/>
                <w:sz w:val="20"/>
                <w:szCs w:val="20"/>
                <w:lang w:val="es-ES"/>
              </w:rPr>
              <w:t xml:space="preserve">Página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PAGE</w:instrText>
            </w:r>
            <w:r w:rsidRPr="0052203D">
              <w:rPr>
                <w:rFonts w:ascii="Palatino Linotype" w:hAnsi="Palatino Linotype"/>
                <w:b/>
                <w:bCs/>
                <w:sz w:val="20"/>
                <w:szCs w:val="20"/>
              </w:rPr>
              <w:fldChar w:fldCharType="separate"/>
            </w:r>
            <w:r w:rsidR="009307A8">
              <w:rPr>
                <w:rFonts w:ascii="Palatino Linotype" w:hAnsi="Palatino Linotype"/>
                <w:b/>
                <w:bCs/>
                <w:noProof/>
                <w:sz w:val="20"/>
                <w:szCs w:val="20"/>
              </w:rPr>
              <w:t>21</w:t>
            </w:r>
            <w:r w:rsidRPr="0052203D">
              <w:rPr>
                <w:rFonts w:ascii="Palatino Linotype" w:hAnsi="Palatino Linotype"/>
                <w:b/>
                <w:bCs/>
                <w:sz w:val="20"/>
                <w:szCs w:val="20"/>
              </w:rPr>
              <w:fldChar w:fldCharType="end"/>
            </w:r>
            <w:r w:rsidRPr="0052203D">
              <w:rPr>
                <w:rFonts w:ascii="Palatino Linotype" w:hAnsi="Palatino Linotype"/>
                <w:sz w:val="20"/>
                <w:szCs w:val="20"/>
                <w:lang w:val="es-ES"/>
              </w:rPr>
              <w:t xml:space="preserve"> de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NUMPAGES</w:instrText>
            </w:r>
            <w:r w:rsidRPr="0052203D">
              <w:rPr>
                <w:rFonts w:ascii="Palatino Linotype" w:hAnsi="Palatino Linotype"/>
                <w:b/>
                <w:bCs/>
                <w:sz w:val="20"/>
                <w:szCs w:val="20"/>
              </w:rPr>
              <w:fldChar w:fldCharType="separate"/>
            </w:r>
            <w:r w:rsidR="009307A8">
              <w:rPr>
                <w:rFonts w:ascii="Palatino Linotype" w:hAnsi="Palatino Linotype"/>
                <w:b/>
                <w:bCs/>
                <w:noProof/>
                <w:sz w:val="20"/>
                <w:szCs w:val="20"/>
              </w:rPr>
              <w:t>26</w:t>
            </w:r>
            <w:r w:rsidRPr="0052203D">
              <w:rPr>
                <w:rFonts w:ascii="Palatino Linotype" w:hAnsi="Palatino Linotype"/>
                <w:b/>
                <w:bCs/>
                <w:sz w:val="20"/>
                <w:szCs w:val="20"/>
              </w:rPr>
              <w:fldChar w:fldCharType="end"/>
            </w:r>
          </w:p>
        </w:sdtContent>
      </w:sdt>
    </w:sdtContent>
  </w:sdt>
  <w:p w14:paraId="447141E2" w14:textId="77777777" w:rsidR="00213603" w:rsidRDefault="0021360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C9714" w14:textId="77777777" w:rsidR="00590481" w:rsidRDefault="005904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4DEC5" w14:textId="77777777" w:rsidR="00032F67" w:rsidRDefault="00032F67" w:rsidP="002C0425">
      <w:pPr>
        <w:spacing w:after="0" w:line="240" w:lineRule="auto"/>
      </w:pPr>
      <w:r>
        <w:separator/>
      </w:r>
    </w:p>
  </w:footnote>
  <w:footnote w:type="continuationSeparator" w:id="0">
    <w:p w14:paraId="356580FD" w14:textId="77777777" w:rsidR="00032F67" w:rsidRDefault="00032F67" w:rsidP="002C0425">
      <w:pPr>
        <w:spacing w:after="0" w:line="240" w:lineRule="auto"/>
      </w:pPr>
      <w:r>
        <w:continuationSeparator/>
      </w:r>
    </w:p>
  </w:footnote>
  <w:footnote w:id="1">
    <w:p w14:paraId="1DAF1956" w14:textId="77777777" w:rsidR="00040B73" w:rsidRDefault="00040B73" w:rsidP="00040B73">
      <w:pPr>
        <w:pStyle w:val="Textonotapie"/>
      </w:pPr>
      <w:r>
        <w:rPr>
          <w:rStyle w:val="Refdenotaalpie"/>
        </w:rPr>
        <w:footnoteRef/>
      </w:r>
      <w:hyperlink r:id="rId1" w:history="1">
        <w:r>
          <w:rPr>
            <w:rStyle w:val="Hipervnculo"/>
          </w:rPr>
          <w:t>https://www.cndh.org.mx/documento/caso-radilla-pacheco-vs-mexico</w:t>
        </w:r>
      </w:hyperlink>
      <w:r>
        <w:t xml:space="preserve">  </w:t>
      </w:r>
    </w:p>
  </w:footnote>
  <w:footnote w:id="2">
    <w:p w14:paraId="616BC0C5" w14:textId="77777777" w:rsidR="00040B73" w:rsidRDefault="00040B73" w:rsidP="00040B73">
      <w:pPr>
        <w:pStyle w:val="Textonotapie"/>
        <w:jc w:val="both"/>
        <w:rPr>
          <w:rFonts w:ascii="Palatino Linotype" w:hAnsi="Palatino Linotype"/>
        </w:rPr>
      </w:pPr>
      <w:r>
        <w:rPr>
          <w:rStyle w:val="Refdenotaalpie"/>
        </w:rPr>
        <w:footnoteRef/>
      </w:r>
      <w:r>
        <w:t xml:space="preserve"> </w:t>
      </w:r>
      <w:r>
        <w:rPr>
          <w:rFonts w:ascii="Palatino Linotype" w:hAnsi="Palatino Linotype"/>
        </w:rPr>
        <w:t>ARTÍCULO 8. Garantías Judiciales</w:t>
      </w:r>
    </w:p>
    <w:p w14:paraId="7DCF3F2C" w14:textId="77777777" w:rsidR="00040B73" w:rsidRDefault="00040B73" w:rsidP="00040B73">
      <w:pPr>
        <w:pStyle w:val="Textonotapie"/>
        <w:jc w:val="both"/>
        <w:rPr>
          <w:rFonts w:ascii="Palatino Linotype" w:hAnsi="Palatino Linotype"/>
        </w:rPr>
      </w:pPr>
      <w:r>
        <w:rPr>
          <w:rFonts w:ascii="Palatino Linotype" w:hAnsi="Palatino Linotype"/>
        </w:rPr>
        <w:t>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footnote>
  <w:footnote w:id="3">
    <w:p w14:paraId="12B7739F" w14:textId="77777777" w:rsidR="00040B73" w:rsidRDefault="00040B73" w:rsidP="00040B73">
      <w:pPr>
        <w:pStyle w:val="Textonotapie"/>
      </w:pPr>
      <w:r>
        <w:rPr>
          <w:rStyle w:val="Refdenotaalpie"/>
        </w:rPr>
        <w:footnoteRef/>
      </w:r>
      <w:r>
        <w:t xml:space="preserve"> </w:t>
      </w:r>
      <w:hyperlink r:id="rId2" w:history="1">
        <w:r>
          <w:rPr>
            <w:rStyle w:val="Hipervnculo"/>
          </w:rPr>
          <w:t>https://www.corteidh.or.cr/docs/casos/articulos/seriec_219_esp.pdf</w:t>
        </w:r>
      </w:hyperlink>
      <w:r>
        <w:t xml:space="preserve"> </w:t>
      </w:r>
    </w:p>
  </w:footnote>
  <w:footnote w:id="4">
    <w:p w14:paraId="04438EFF" w14:textId="4F014C9D" w:rsidR="00082C80" w:rsidRDefault="00082C80" w:rsidP="00040B73">
      <w:pPr>
        <w:pStyle w:val="Textonotapie"/>
        <w:jc w:val="both"/>
      </w:pPr>
      <w:r>
        <w:rPr>
          <w:rStyle w:val="Refdenotaalpie"/>
        </w:rPr>
        <w:footnoteRef/>
      </w:r>
      <w:r>
        <w:t xml:space="preserve"> Observación General N° 36 sobre el artículo 6 del Pacto Internacional de Derechos Civiles y Políticos, relativos al derecho a la vida, párrafo 2.</w:t>
      </w:r>
    </w:p>
  </w:footnote>
  <w:footnote w:id="5">
    <w:p w14:paraId="10E85E63" w14:textId="77777777" w:rsidR="00040B73" w:rsidRDefault="00040B73" w:rsidP="00040B73">
      <w:pPr>
        <w:pStyle w:val="Textonotapie"/>
        <w:jc w:val="both"/>
      </w:pPr>
      <w:r>
        <w:rPr>
          <w:rStyle w:val="Refdenotaalpie"/>
        </w:rPr>
        <w:footnoteRef/>
      </w:r>
      <w:r>
        <w:t xml:space="preserve"> Cfr. Amparo en revisión 38/2017. Fundación para la Justicia y el Estado Democrático de Derecho, A.C. 24 de mayo de 2017. Unanimidad de cuatro votos de los Ministros Alberto Pérez </w:t>
      </w:r>
      <w:proofErr w:type="spellStart"/>
      <w:r>
        <w:t>Dayán</w:t>
      </w:r>
      <w:proofErr w:type="spellEnd"/>
      <w:r>
        <w:t xml:space="preserve">, Javier </w:t>
      </w:r>
      <w:proofErr w:type="spellStart"/>
      <w:r>
        <w:t>Laynez</w:t>
      </w:r>
      <w:proofErr w:type="spellEnd"/>
      <w:r>
        <w:t xml:space="preserve"> </w:t>
      </w:r>
      <w:proofErr w:type="spellStart"/>
      <w:r>
        <w:t>Potisek</w:t>
      </w:r>
      <w:proofErr w:type="spellEnd"/>
      <w:r>
        <w:t xml:space="preserve">, José Fernando Franco González Salas y Eduardo Medina Mora I. Ausente: Margarita Beatriz Luna Ramos. Ponente: Alberto Pérez </w:t>
      </w:r>
      <w:proofErr w:type="spellStart"/>
      <w:r>
        <w:t>Dayán</w:t>
      </w:r>
      <w:proofErr w:type="spellEnd"/>
      <w:r>
        <w:t>. Secretario: Isidro Emmanuel Muñoz Acevedo.</w:t>
      </w:r>
    </w:p>
  </w:footnote>
  <w:footnote w:id="6">
    <w:p w14:paraId="02127F4B" w14:textId="77777777" w:rsidR="00040B73" w:rsidRDefault="00040B73" w:rsidP="00040B73">
      <w:pPr>
        <w:pStyle w:val="Textonotapie"/>
        <w:jc w:val="both"/>
      </w:pPr>
      <w:r>
        <w:rPr>
          <w:rStyle w:val="Refdenotaalpie"/>
        </w:rPr>
        <w:footnoteRef/>
      </w:r>
      <w:r>
        <w:t xml:space="preserve"> Ver: Corte IDH. Caso Myrna </w:t>
      </w:r>
      <w:proofErr w:type="spellStart"/>
      <w:r>
        <w:t>Mack</w:t>
      </w:r>
      <w:proofErr w:type="spellEnd"/>
      <w:r>
        <w:t xml:space="preserve"> Chang Vs. Guatemala. Fondo, Reparaciones y Costas. Sentencia de 25 de noviembre de 2003. Serie C No. 101. </w:t>
      </w:r>
    </w:p>
    <w:p w14:paraId="1AAA1453" w14:textId="77777777" w:rsidR="00040B73" w:rsidRDefault="00040B73" w:rsidP="00040B73">
      <w:pPr>
        <w:pStyle w:val="Textonotapie"/>
        <w:jc w:val="both"/>
      </w:pPr>
      <w:r>
        <w:t xml:space="preserve">Corte IDH. Caso de la Comunidad </w:t>
      </w:r>
      <w:proofErr w:type="spellStart"/>
      <w:r>
        <w:t>Moiwana</w:t>
      </w:r>
      <w:proofErr w:type="spellEnd"/>
      <w:r>
        <w:t xml:space="preserve"> Vs. Surinam. Excepciones Preliminares, Fondo, Reparaciones y Costas. Sentencia 15 de junio de 2005. Serie C No. 124. </w:t>
      </w:r>
    </w:p>
    <w:p w14:paraId="09DA70DA" w14:textId="77777777" w:rsidR="00040B73" w:rsidRDefault="00040B73" w:rsidP="00040B73">
      <w:pPr>
        <w:pStyle w:val="Textonotapie"/>
        <w:jc w:val="both"/>
      </w:pPr>
      <w:r>
        <w:t>CIDH Informe Anual 1985 -1986, OEA/</w:t>
      </w:r>
      <w:proofErr w:type="spellStart"/>
      <w:r>
        <w:t>Ser.L</w:t>
      </w:r>
      <w:proofErr w:type="spellEnd"/>
      <w:r>
        <w:t xml:space="preserve">/V/II.68, Doc. 8 </w:t>
      </w:r>
      <w:proofErr w:type="spellStart"/>
      <w:r>
        <w:t>rev.</w:t>
      </w:r>
      <w:proofErr w:type="spellEnd"/>
      <w:r>
        <w:t xml:space="preserve"> 1, 26 de septiembre 1986, Capítulo V, citado en CIDH, “</w:t>
      </w:r>
      <w:r w:rsidRPr="00961B36">
        <w:rPr>
          <w:i/>
          <w:iCs/>
        </w:rPr>
        <w:t>El derecho a la verdad en América</w:t>
      </w:r>
      <w:r>
        <w:t>”</w:t>
      </w:r>
    </w:p>
  </w:footnote>
  <w:footnote w:id="7">
    <w:p w14:paraId="2076A965" w14:textId="77777777" w:rsidR="00E17B68" w:rsidRPr="00082C80" w:rsidRDefault="00E17B68" w:rsidP="00E17B68">
      <w:pPr>
        <w:pStyle w:val="Textonotapie"/>
        <w:jc w:val="both"/>
      </w:pPr>
      <w:r w:rsidRPr="00082C80">
        <w:footnoteRef/>
      </w:r>
      <w:r>
        <w:t xml:space="preserve"> </w:t>
      </w:r>
      <w:r w:rsidRPr="00082C80">
        <w:t>Juzgado Octavo de Distrito en Materia Administrativa en el D.F. Sentencia de 11 de abril de 2014. Pág. 46</w:t>
      </w:r>
    </w:p>
  </w:footnote>
  <w:footnote w:id="8">
    <w:p w14:paraId="034D44B0" w14:textId="77777777" w:rsidR="00E17B68" w:rsidRPr="006E0BD9" w:rsidRDefault="00E17B68" w:rsidP="00E17B68">
      <w:pPr>
        <w:pStyle w:val="Textonotapie"/>
        <w:rPr>
          <w:lang w:val="es-ES"/>
        </w:rPr>
      </w:pPr>
      <w:r>
        <w:rPr>
          <w:rStyle w:val="Refdenotaalpie"/>
        </w:rPr>
        <w:footnoteRef/>
      </w:r>
      <w:r>
        <w:t xml:space="preserve"> </w:t>
      </w:r>
      <w:r>
        <w:rPr>
          <w:lang w:val="es-ES"/>
        </w:rPr>
        <w:t xml:space="preserve">Oficio No. IFAI-0A/XPM/081/2015 disponible en </w:t>
      </w:r>
      <w:r w:rsidRPr="00961B36">
        <w:t>http://www.senado.gob.mx/comisiones/anticorrupcion/docs/transparencia/</w:t>
      </w:r>
      <w:proofErr w:type="gramStart"/>
      <w:r w:rsidRPr="00961B36">
        <w:t>IFAI1.pdf</w:t>
      </w:r>
      <w:r>
        <w:t xml:space="preserve"> ,</w:t>
      </w:r>
      <w:proofErr w:type="gramEnd"/>
      <w:r>
        <w:t xml:space="preserve"> por no encontrarse disponible la versión pública de la sentencia según página del Consejo de la Judicatura Federal.</w:t>
      </w:r>
    </w:p>
  </w:footnote>
  <w:footnote w:id="9">
    <w:p w14:paraId="7A013F8F" w14:textId="210188D8" w:rsidR="000F0725" w:rsidRPr="0017492B" w:rsidRDefault="000F0725">
      <w:pPr>
        <w:pStyle w:val="Textonotapie"/>
      </w:pPr>
      <w:r>
        <w:rPr>
          <w:rStyle w:val="Refdenotaalpie"/>
        </w:rPr>
        <w:footnoteRef/>
      </w:r>
      <w:r>
        <w:t xml:space="preserve"> </w:t>
      </w:r>
      <w:r w:rsidR="0017492B">
        <w:t xml:space="preserve">Amnistía Internacional, </w:t>
      </w:r>
      <w:r w:rsidR="0017492B">
        <w:rPr>
          <w:i/>
          <w:iCs/>
        </w:rPr>
        <w:t>Policías Bajo la Lupa. Cinco Claves para la Supervisión y la Rendición de Cuentas de la Policía en las Américas</w:t>
      </w:r>
      <w:r w:rsidR="0017492B">
        <w:t>, Octubre de 2021.</w:t>
      </w:r>
    </w:p>
  </w:footnote>
  <w:footnote w:id="10">
    <w:p w14:paraId="380CEC90" w14:textId="29E1567D" w:rsidR="009E2B9E" w:rsidRDefault="009E2B9E">
      <w:pPr>
        <w:pStyle w:val="Textonotapie"/>
      </w:pPr>
      <w:r>
        <w:rPr>
          <w:rStyle w:val="Refdenotaalpie"/>
        </w:rPr>
        <w:footnoteRef/>
      </w:r>
      <w:r>
        <w:t xml:space="preserve"> Amnistía Internacional, </w:t>
      </w:r>
      <w:r>
        <w:rPr>
          <w:i/>
          <w:iCs/>
        </w:rPr>
        <w:t>Policías Bajo la Lupa. Cinco Claves para la Supervisión y la Rendición de Cuentas de la Policía en las Américas</w:t>
      </w:r>
      <w:r>
        <w:t>, p. 08, Octubre de 2021.</w:t>
      </w:r>
    </w:p>
  </w:footnote>
  <w:footnote w:id="11">
    <w:p w14:paraId="1C83E71A" w14:textId="48215F1E" w:rsidR="009E2B9E" w:rsidRDefault="009E2B9E">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953C9" w14:textId="6013DF26" w:rsidR="00590481" w:rsidRDefault="00032F67">
    <w:pPr>
      <w:pStyle w:val="Encabezado"/>
    </w:pPr>
    <w:r>
      <w:rPr>
        <w:noProof/>
      </w:rPr>
      <w:pict w14:anchorId="7CB25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16563" o:spid="_x0000_s2053"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Palatino Linotype&quot;;font-size:1pt" string="VOTO DISIDEN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67C83" w14:textId="2A33D43B" w:rsidR="00213603" w:rsidRDefault="00032F67">
    <w:pPr>
      <w:pStyle w:val="Encabezado"/>
    </w:pPr>
    <w:r>
      <w:rPr>
        <w:noProof/>
      </w:rPr>
      <w:pict w14:anchorId="1ADCF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16564" o:spid="_x0000_s2054" type="#_x0000_t136" style="position:absolute;margin-left:0;margin-top:0;width:538.05pt;height:84.95pt;rotation:315;z-index:-251651072;mso-position-horizontal:center;mso-position-horizontal-relative:margin;mso-position-vertical:center;mso-position-vertical-relative:margin" o:allowincell="f" fillcolor="silver" stroked="f">
          <v:fill opacity=".5"/>
          <v:textpath style="font-family:&quot;Palatino Linotype&quot;;font-size:1pt" string="VOTO DISIDENTE"/>
          <w10:wrap anchorx="margin" anchory="margin"/>
        </v:shape>
      </w:pict>
    </w:r>
    <w:r w:rsidR="00590481">
      <w:rPr>
        <w:rFonts w:ascii="Palatino Linotype" w:hAnsi="Palatino Linotype"/>
        <w:noProof/>
        <w:lang w:eastAsia="es-MX"/>
      </w:rPr>
      <w:drawing>
        <wp:anchor distT="0" distB="0" distL="114300" distR="114300" simplePos="0" relativeHeight="251659264" behindDoc="1" locked="0" layoutInCell="1" allowOverlap="1" wp14:anchorId="1E4E3AD3" wp14:editId="114E4E10">
          <wp:simplePos x="0" y="0"/>
          <wp:positionH relativeFrom="page">
            <wp:posOffset>76200</wp:posOffset>
          </wp:positionH>
          <wp:positionV relativeFrom="paragraph">
            <wp:posOffset>-391160</wp:posOffset>
          </wp:positionV>
          <wp:extent cx="7604125" cy="9903677"/>
          <wp:effectExtent l="0" t="0" r="0" b="2540"/>
          <wp:wrapNone/>
          <wp:docPr id="2" name="Imagen 2" descr="Gráfico de burbu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de burbuj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D3675C" w14:textId="77777777" w:rsidR="00213603" w:rsidRDefault="0021360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9F5D" w14:textId="4C31961F" w:rsidR="00590481" w:rsidRDefault="00032F67">
    <w:pPr>
      <w:pStyle w:val="Encabezado"/>
    </w:pPr>
    <w:r>
      <w:rPr>
        <w:noProof/>
      </w:rPr>
      <w:pict w14:anchorId="3ABEF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16562" o:spid="_x0000_s2052"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Palatino Linotype&quot;;font-size:1pt" string="VOTO DISIDEN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DFB"/>
    <w:multiLevelType w:val="hybridMultilevel"/>
    <w:tmpl w:val="5C2EE6B6"/>
    <w:lvl w:ilvl="0" w:tplc="679EA47A">
      <w:start w:val="1"/>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956DB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7E39F9"/>
    <w:multiLevelType w:val="hybridMultilevel"/>
    <w:tmpl w:val="634838C0"/>
    <w:lvl w:ilvl="0" w:tplc="FFFFFFFF">
      <w:start w:val="1"/>
      <w:numFmt w:val="decimal"/>
      <w:lvlText w:val="%1."/>
      <w:lvlJc w:val="left"/>
      <w:pPr>
        <w:ind w:left="360" w:hanging="360"/>
      </w:pPr>
      <w:rPr>
        <w:rFonts w:ascii="Palatino Linotype" w:hAnsi="Palatino Linotype" w:hint="default"/>
        <w:b/>
        <w:i w:val="0"/>
        <w:sz w:val="24"/>
      </w:rPr>
    </w:lvl>
    <w:lvl w:ilvl="1" w:tplc="A260BC0E">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5D08D2"/>
    <w:multiLevelType w:val="hybridMultilevel"/>
    <w:tmpl w:val="6EF2AE00"/>
    <w:lvl w:ilvl="0" w:tplc="6616D4C6">
      <w:start w:val="1"/>
      <w:numFmt w:val="lowerLetter"/>
      <w:lvlText w:val="%1)"/>
      <w:lvlJc w:val="left"/>
      <w:pPr>
        <w:ind w:left="720" w:hanging="360"/>
      </w:pPr>
      <w:rPr>
        <w:rFonts w:eastAsia="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C81620"/>
    <w:multiLevelType w:val="hybridMultilevel"/>
    <w:tmpl w:val="62F6F100"/>
    <w:lvl w:ilvl="0" w:tplc="257C80E4">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084F3C"/>
    <w:multiLevelType w:val="hybridMultilevel"/>
    <w:tmpl w:val="B7E2D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FB7A435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7D0697"/>
    <w:multiLevelType w:val="hybridMultilevel"/>
    <w:tmpl w:val="ABB48A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5E2F0D"/>
    <w:multiLevelType w:val="hybridMultilevel"/>
    <w:tmpl w:val="F214B2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C640A2"/>
    <w:multiLevelType w:val="hybridMultilevel"/>
    <w:tmpl w:val="A4200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4302224A"/>
    <w:lvl w:ilvl="0" w:tplc="50A2BCFA">
      <w:start w:val="1"/>
      <w:numFmt w:val="decimal"/>
      <w:lvlText w:val="%1."/>
      <w:lvlJc w:val="left"/>
      <w:pPr>
        <w:ind w:left="1211"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116F41"/>
    <w:multiLevelType w:val="hybridMultilevel"/>
    <w:tmpl w:val="0BAC2F30"/>
    <w:lvl w:ilvl="0" w:tplc="FFFFFFFF">
      <w:start w:val="1"/>
      <w:numFmt w:val="decimal"/>
      <w:lvlText w:val="%1."/>
      <w:lvlJc w:val="left"/>
      <w:pPr>
        <w:ind w:left="36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6866BDB"/>
    <w:multiLevelType w:val="hybridMultilevel"/>
    <w:tmpl w:val="EE84DF4E"/>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4">
    <w:nsid w:val="382533DB"/>
    <w:multiLevelType w:val="hybridMultilevel"/>
    <w:tmpl w:val="345648DA"/>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A63322"/>
    <w:multiLevelType w:val="hybridMultilevel"/>
    <w:tmpl w:val="65B44AD4"/>
    <w:lvl w:ilvl="0" w:tplc="FFFFFFFF">
      <w:start w:val="1"/>
      <w:numFmt w:val="decimal"/>
      <w:lvlText w:val="%1."/>
      <w:lvlJc w:val="left"/>
      <w:pPr>
        <w:ind w:left="36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04D01F0"/>
    <w:multiLevelType w:val="hybridMultilevel"/>
    <w:tmpl w:val="20A010AE"/>
    <w:lvl w:ilvl="0" w:tplc="47F8579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48C61492"/>
    <w:multiLevelType w:val="hybridMultilevel"/>
    <w:tmpl w:val="CAD01DB2"/>
    <w:lvl w:ilvl="0" w:tplc="B726CFF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633160"/>
    <w:multiLevelType w:val="hybridMultilevel"/>
    <w:tmpl w:val="6D76E55A"/>
    <w:lvl w:ilvl="0" w:tplc="FFFFFFFF">
      <w:start w:val="1"/>
      <w:numFmt w:val="decimal"/>
      <w:lvlText w:val="%1."/>
      <w:lvlJc w:val="left"/>
      <w:pPr>
        <w:ind w:left="360" w:hanging="360"/>
      </w:pPr>
      <w:rPr>
        <w:rFonts w:ascii="Palatino Linotype" w:hAnsi="Palatino Linotype" w:hint="default"/>
        <w:b/>
        <w:i w:val="0"/>
        <w:sz w:val="24"/>
      </w:rPr>
    </w:lvl>
    <w:lvl w:ilvl="1" w:tplc="2E5ABC62">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A85231C"/>
    <w:multiLevelType w:val="hybridMultilevel"/>
    <w:tmpl w:val="2AA8E96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nsid w:val="51D35B30"/>
    <w:multiLevelType w:val="hybridMultilevel"/>
    <w:tmpl w:val="7646CFA6"/>
    <w:lvl w:ilvl="0" w:tplc="8DDCC7AA">
      <w:start w:val="43"/>
      <w:numFmt w:val="decimal"/>
      <w:lvlText w:val="%1."/>
      <w:lvlJc w:val="left"/>
      <w:pPr>
        <w:ind w:left="720" w:hanging="360"/>
      </w:pPr>
      <w:rPr>
        <w:rFonts w:hint="default"/>
        <w:b/>
      </w:rPr>
    </w:lvl>
    <w:lvl w:ilvl="1" w:tplc="04090019">
      <w:start w:val="1"/>
      <w:numFmt w:val="lowerLetter"/>
      <w:lvlText w:val="%2."/>
      <w:lvlJc w:val="left"/>
      <w:pPr>
        <w:ind w:left="2487"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44432D"/>
    <w:multiLevelType w:val="hybridMultilevel"/>
    <w:tmpl w:val="8EC6E7A6"/>
    <w:lvl w:ilvl="0" w:tplc="50A2BCFA">
      <w:start w:val="1"/>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7202FA"/>
    <w:multiLevelType w:val="hybridMultilevel"/>
    <w:tmpl w:val="5DF84F14"/>
    <w:lvl w:ilvl="0" w:tplc="314C95F2">
      <w:start w:val="1"/>
      <w:numFmt w:val="decimal"/>
      <w:lvlText w:val="%1."/>
      <w:lvlJc w:val="left"/>
      <w:pPr>
        <w:ind w:left="36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CF6A33"/>
    <w:multiLevelType w:val="multilevel"/>
    <w:tmpl w:val="EAA44480"/>
    <w:lvl w:ilvl="0">
      <w:start w:val="5"/>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5F4779B8"/>
    <w:multiLevelType w:val="hybridMultilevel"/>
    <w:tmpl w:val="D3CE1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3102028"/>
    <w:multiLevelType w:val="hybridMultilevel"/>
    <w:tmpl w:val="F41680FE"/>
    <w:lvl w:ilvl="0" w:tplc="25CEB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5FD5512"/>
    <w:multiLevelType w:val="hybridMultilevel"/>
    <w:tmpl w:val="51C43D86"/>
    <w:lvl w:ilvl="0" w:tplc="E958599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78D4FB1"/>
    <w:multiLevelType w:val="hybridMultilevel"/>
    <w:tmpl w:val="0A0CCE9C"/>
    <w:lvl w:ilvl="0" w:tplc="50A2BCFA">
      <w:start w:val="1"/>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B25E4A"/>
    <w:multiLevelType w:val="hybridMultilevel"/>
    <w:tmpl w:val="AC220B64"/>
    <w:lvl w:ilvl="0" w:tplc="6256DB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E62758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2E249B"/>
    <w:multiLevelType w:val="hybridMultilevel"/>
    <w:tmpl w:val="B7E2D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E82A9B"/>
    <w:multiLevelType w:val="hybridMultilevel"/>
    <w:tmpl w:val="D5363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556AF8"/>
    <w:multiLevelType w:val="hybridMultilevel"/>
    <w:tmpl w:val="BA20D2F8"/>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3"/>
  </w:num>
  <w:num w:numId="2">
    <w:abstractNumId w:val="31"/>
  </w:num>
  <w:num w:numId="3">
    <w:abstractNumId w:val="0"/>
  </w:num>
  <w:num w:numId="4">
    <w:abstractNumId w:val="9"/>
  </w:num>
  <w:num w:numId="5">
    <w:abstractNumId w:val="24"/>
  </w:num>
  <w:num w:numId="6">
    <w:abstractNumId w:val="20"/>
  </w:num>
  <w:num w:numId="7">
    <w:abstractNumId w:val="16"/>
  </w:num>
  <w:num w:numId="8">
    <w:abstractNumId w:val="1"/>
  </w:num>
  <w:num w:numId="9">
    <w:abstractNumId w:val="11"/>
  </w:num>
  <w:num w:numId="10">
    <w:abstractNumId w:val="7"/>
  </w:num>
  <w:num w:numId="11">
    <w:abstractNumId w:val="26"/>
  </w:num>
  <w:num w:numId="12">
    <w:abstractNumId w:val="5"/>
  </w:num>
  <w:num w:numId="13">
    <w:abstractNumId w:val="17"/>
  </w:num>
  <w:num w:numId="14">
    <w:abstractNumId w:val="13"/>
  </w:num>
  <w:num w:numId="15">
    <w:abstractNumId w:val="32"/>
  </w:num>
  <w:num w:numId="16">
    <w:abstractNumId w:val="6"/>
  </w:num>
  <w:num w:numId="17">
    <w:abstractNumId w:val="8"/>
  </w:num>
  <w:num w:numId="18">
    <w:abstractNumId w:val="33"/>
  </w:num>
  <w:num w:numId="19">
    <w:abstractNumId w:val="30"/>
  </w:num>
  <w:num w:numId="20">
    <w:abstractNumId w:val="27"/>
  </w:num>
  <w:num w:numId="21">
    <w:abstractNumId w:val="10"/>
  </w:num>
  <w:num w:numId="22">
    <w:abstractNumId w:val="14"/>
  </w:num>
  <w:num w:numId="23">
    <w:abstractNumId w:val="25"/>
  </w:num>
  <w:num w:numId="24">
    <w:abstractNumId w:val="19"/>
  </w:num>
  <w:num w:numId="25">
    <w:abstractNumId w:val="29"/>
  </w:num>
  <w:num w:numId="26">
    <w:abstractNumId w:val="22"/>
  </w:num>
  <w:num w:numId="27">
    <w:abstractNumId w:val="3"/>
  </w:num>
  <w:num w:numId="28">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
  </w:num>
  <w:num w:numId="31">
    <w:abstractNumId w:val="18"/>
  </w:num>
  <w:num w:numId="32">
    <w:abstractNumId w:val="15"/>
  </w:num>
  <w:num w:numId="33">
    <w:abstractNumId w:val="34"/>
  </w:num>
  <w:num w:numId="34">
    <w:abstractNumId w:val="28"/>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25"/>
    <w:rsid w:val="000150BA"/>
    <w:rsid w:val="00016714"/>
    <w:rsid w:val="00032496"/>
    <w:rsid w:val="00032F67"/>
    <w:rsid w:val="00036132"/>
    <w:rsid w:val="00040B73"/>
    <w:rsid w:val="0007183B"/>
    <w:rsid w:val="00082C80"/>
    <w:rsid w:val="00091FA7"/>
    <w:rsid w:val="000A29FD"/>
    <w:rsid w:val="000B2316"/>
    <w:rsid w:val="000C3F66"/>
    <w:rsid w:val="000D2CB7"/>
    <w:rsid w:val="000D3249"/>
    <w:rsid w:val="000E7938"/>
    <w:rsid w:val="000F0725"/>
    <w:rsid w:val="000F2AE3"/>
    <w:rsid w:val="00100221"/>
    <w:rsid w:val="001132CB"/>
    <w:rsid w:val="00117A12"/>
    <w:rsid w:val="00122EB1"/>
    <w:rsid w:val="00136E67"/>
    <w:rsid w:val="00141B6E"/>
    <w:rsid w:val="00147149"/>
    <w:rsid w:val="00152DB2"/>
    <w:rsid w:val="001701E1"/>
    <w:rsid w:val="0017492B"/>
    <w:rsid w:val="00196054"/>
    <w:rsid w:val="001B2FE3"/>
    <w:rsid w:val="001C4337"/>
    <w:rsid w:val="001E1ABF"/>
    <w:rsid w:val="001E4B3C"/>
    <w:rsid w:val="001E6E61"/>
    <w:rsid w:val="00207CD1"/>
    <w:rsid w:val="00213603"/>
    <w:rsid w:val="00215DCF"/>
    <w:rsid w:val="00230453"/>
    <w:rsid w:val="002307C0"/>
    <w:rsid w:val="0023130B"/>
    <w:rsid w:val="0023170E"/>
    <w:rsid w:val="00253D8C"/>
    <w:rsid w:val="00262FC1"/>
    <w:rsid w:val="0026420F"/>
    <w:rsid w:val="00265603"/>
    <w:rsid w:val="00265760"/>
    <w:rsid w:val="002734B9"/>
    <w:rsid w:val="0027773D"/>
    <w:rsid w:val="00277FA3"/>
    <w:rsid w:val="0029152A"/>
    <w:rsid w:val="00297F2F"/>
    <w:rsid w:val="002A30A3"/>
    <w:rsid w:val="002A43BC"/>
    <w:rsid w:val="002B2DB8"/>
    <w:rsid w:val="002C0425"/>
    <w:rsid w:val="002E2EBD"/>
    <w:rsid w:val="00311B32"/>
    <w:rsid w:val="00325F46"/>
    <w:rsid w:val="003319CA"/>
    <w:rsid w:val="00337AD2"/>
    <w:rsid w:val="0034598D"/>
    <w:rsid w:val="003514A8"/>
    <w:rsid w:val="003603BF"/>
    <w:rsid w:val="00362069"/>
    <w:rsid w:val="0039183C"/>
    <w:rsid w:val="00392B10"/>
    <w:rsid w:val="0039495E"/>
    <w:rsid w:val="003B34A8"/>
    <w:rsid w:val="003C6C75"/>
    <w:rsid w:val="003F100C"/>
    <w:rsid w:val="003F5F80"/>
    <w:rsid w:val="00401D61"/>
    <w:rsid w:val="00406B19"/>
    <w:rsid w:val="0042787B"/>
    <w:rsid w:val="0043259F"/>
    <w:rsid w:val="0044193D"/>
    <w:rsid w:val="00465268"/>
    <w:rsid w:val="00466E0E"/>
    <w:rsid w:val="00490E5C"/>
    <w:rsid w:val="00494A1F"/>
    <w:rsid w:val="004971E6"/>
    <w:rsid w:val="004B4437"/>
    <w:rsid w:val="004B46C5"/>
    <w:rsid w:val="004D2A5F"/>
    <w:rsid w:val="004E6086"/>
    <w:rsid w:val="004E63BF"/>
    <w:rsid w:val="004F39B9"/>
    <w:rsid w:val="004F7A40"/>
    <w:rsid w:val="005001CF"/>
    <w:rsid w:val="005002AA"/>
    <w:rsid w:val="00502CAF"/>
    <w:rsid w:val="00504D1B"/>
    <w:rsid w:val="0050723D"/>
    <w:rsid w:val="00512D09"/>
    <w:rsid w:val="0052682C"/>
    <w:rsid w:val="00537FA4"/>
    <w:rsid w:val="00554B35"/>
    <w:rsid w:val="005644FF"/>
    <w:rsid w:val="005771E7"/>
    <w:rsid w:val="00587D1C"/>
    <w:rsid w:val="00590481"/>
    <w:rsid w:val="00593CC1"/>
    <w:rsid w:val="005B0502"/>
    <w:rsid w:val="005C2E7E"/>
    <w:rsid w:val="005C6624"/>
    <w:rsid w:val="005C7AE6"/>
    <w:rsid w:val="0060449E"/>
    <w:rsid w:val="0061369A"/>
    <w:rsid w:val="00621A70"/>
    <w:rsid w:val="00623067"/>
    <w:rsid w:val="00623C8D"/>
    <w:rsid w:val="00624117"/>
    <w:rsid w:val="006A4123"/>
    <w:rsid w:val="006A5D29"/>
    <w:rsid w:val="006C281B"/>
    <w:rsid w:val="006E10FC"/>
    <w:rsid w:val="006E6998"/>
    <w:rsid w:val="006F47DC"/>
    <w:rsid w:val="006F6E7B"/>
    <w:rsid w:val="00703237"/>
    <w:rsid w:val="00731C1B"/>
    <w:rsid w:val="0074075A"/>
    <w:rsid w:val="00742484"/>
    <w:rsid w:val="00754BC5"/>
    <w:rsid w:val="00760EFD"/>
    <w:rsid w:val="00773410"/>
    <w:rsid w:val="007813AE"/>
    <w:rsid w:val="00781609"/>
    <w:rsid w:val="0078362A"/>
    <w:rsid w:val="007846D2"/>
    <w:rsid w:val="00792890"/>
    <w:rsid w:val="00794FFF"/>
    <w:rsid w:val="007B5DDB"/>
    <w:rsid w:val="007B7418"/>
    <w:rsid w:val="007F2468"/>
    <w:rsid w:val="007F4F75"/>
    <w:rsid w:val="007F7136"/>
    <w:rsid w:val="00802AAE"/>
    <w:rsid w:val="0081295F"/>
    <w:rsid w:val="0082021B"/>
    <w:rsid w:val="008317DA"/>
    <w:rsid w:val="0083752B"/>
    <w:rsid w:val="008421EE"/>
    <w:rsid w:val="00847163"/>
    <w:rsid w:val="0087228E"/>
    <w:rsid w:val="0088136D"/>
    <w:rsid w:val="00881525"/>
    <w:rsid w:val="008833E0"/>
    <w:rsid w:val="00883783"/>
    <w:rsid w:val="008855B5"/>
    <w:rsid w:val="008957BF"/>
    <w:rsid w:val="00895986"/>
    <w:rsid w:val="008A4B0D"/>
    <w:rsid w:val="008C5C3F"/>
    <w:rsid w:val="008D0A77"/>
    <w:rsid w:val="008D7542"/>
    <w:rsid w:val="0090113F"/>
    <w:rsid w:val="0090379C"/>
    <w:rsid w:val="0090752F"/>
    <w:rsid w:val="00910ECF"/>
    <w:rsid w:val="0091171B"/>
    <w:rsid w:val="0091259D"/>
    <w:rsid w:val="009307A8"/>
    <w:rsid w:val="00930D24"/>
    <w:rsid w:val="00935E48"/>
    <w:rsid w:val="00941C31"/>
    <w:rsid w:val="00942EE7"/>
    <w:rsid w:val="00954D60"/>
    <w:rsid w:val="00956804"/>
    <w:rsid w:val="00956E2E"/>
    <w:rsid w:val="00957415"/>
    <w:rsid w:val="00964C1E"/>
    <w:rsid w:val="00971074"/>
    <w:rsid w:val="009773F9"/>
    <w:rsid w:val="00983717"/>
    <w:rsid w:val="00986004"/>
    <w:rsid w:val="00992606"/>
    <w:rsid w:val="009956CF"/>
    <w:rsid w:val="0099743B"/>
    <w:rsid w:val="009B57E6"/>
    <w:rsid w:val="009C3593"/>
    <w:rsid w:val="009E2B9E"/>
    <w:rsid w:val="009F0A19"/>
    <w:rsid w:val="009F0BC5"/>
    <w:rsid w:val="00A00825"/>
    <w:rsid w:val="00A045DD"/>
    <w:rsid w:val="00A04988"/>
    <w:rsid w:val="00A145A4"/>
    <w:rsid w:val="00A3574A"/>
    <w:rsid w:val="00A40477"/>
    <w:rsid w:val="00A472F8"/>
    <w:rsid w:val="00A518F7"/>
    <w:rsid w:val="00AA2CEC"/>
    <w:rsid w:val="00AD1A27"/>
    <w:rsid w:val="00AF3AD9"/>
    <w:rsid w:val="00AF53C4"/>
    <w:rsid w:val="00B00D57"/>
    <w:rsid w:val="00B0746B"/>
    <w:rsid w:val="00B14249"/>
    <w:rsid w:val="00B623D1"/>
    <w:rsid w:val="00B706FA"/>
    <w:rsid w:val="00B90ADC"/>
    <w:rsid w:val="00BA2B5D"/>
    <w:rsid w:val="00BB518F"/>
    <w:rsid w:val="00BC08D2"/>
    <w:rsid w:val="00BC4265"/>
    <w:rsid w:val="00C2473C"/>
    <w:rsid w:val="00C451F4"/>
    <w:rsid w:val="00C62100"/>
    <w:rsid w:val="00C70C3A"/>
    <w:rsid w:val="00C72F11"/>
    <w:rsid w:val="00C77E23"/>
    <w:rsid w:val="00C80F04"/>
    <w:rsid w:val="00C849E8"/>
    <w:rsid w:val="00C86B5D"/>
    <w:rsid w:val="00C92C05"/>
    <w:rsid w:val="00C93048"/>
    <w:rsid w:val="00CA6E2D"/>
    <w:rsid w:val="00CB2960"/>
    <w:rsid w:val="00CB2DEB"/>
    <w:rsid w:val="00CC2672"/>
    <w:rsid w:val="00CD2100"/>
    <w:rsid w:val="00CD5C84"/>
    <w:rsid w:val="00CF197B"/>
    <w:rsid w:val="00D05906"/>
    <w:rsid w:val="00D0791F"/>
    <w:rsid w:val="00D12B23"/>
    <w:rsid w:val="00D15C9D"/>
    <w:rsid w:val="00D2011B"/>
    <w:rsid w:val="00D55463"/>
    <w:rsid w:val="00D55CB7"/>
    <w:rsid w:val="00D573A8"/>
    <w:rsid w:val="00D61A44"/>
    <w:rsid w:val="00D835C9"/>
    <w:rsid w:val="00D87FCD"/>
    <w:rsid w:val="00D97982"/>
    <w:rsid w:val="00DB2154"/>
    <w:rsid w:val="00E0707D"/>
    <w:rsid w:val="00E17B68"/>
    <w:rsid w:val="00E427C6"/>
    <w:rsid w:val="00E42F7C"/>
    <w:rsid w:val="00E42F9C"/>
    <w:rsid w:val="00E5597A"/>
    <w:rsid w:val="00E579FB"/>
    <w:rsid w:val="00E62187"/>
    <w:rsid w:val="00E65FC8"/>
    <w:rsid w:val="00E80D20"/>
    <w:rsid w:val="00E97758"/>
    <w:rsid w:val="00EC1AD4"/>
    <w:rsid w:val="00ED65F6"/>
    <w:rsid w:val="00EE19CA"/>
    <w:rsid w:val="00EE29A1"/>
    <w:rsid w:val="00EE639D"/>
    <w:rsid w:val="00F13A65"/>
    <w:rsid w:val="00F173E3"/>
    <w:rsid w:val="00F26763"/>
    <w:rsid w:val="00F46F66"/>
    <w:rsid w:val="00F53756"/>
    <w:rsid w:val="00F579CF"/>
    <w:rsid w:val="00F644D1"/>
    <w:rsid w:val="00F74857"/>
    <w:rsid w:val="00F819D6"/>
    <w:rsid w:val="00FA7EDC"/>
    <w:rsid w:val="00FB13AE"/>
    <w:rsid w:val="00FB5CBE"/>
    <w:rsid w:val="00FC740C"/>
    <w:rsid w:val="00FE301B"/>
    <w:rsid w:val="00FE4391"/>
    <w:rsid w:val="00FF0294"/>
    <w:rsid w:val="00FF36DB"/>
    <w:rsid w:val="00FF5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E8A795"/>
  <w15:chartTrackingRefBased/>
  <w15:docId w15:val="{477FA421-1A48-4403-84D1-BA7738AF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758"/>
  </w:style>
  <w:style w:type="paragraph" w:styleId="Ttulo1">
    <w:name w:val="heading 1"/>
    <w:basedOn w:val="Normal"/>
    <w:next w:val="Normal"/>
    <w:link w:val="Ttulo1Car"/>
    <w:uiPriority w:val="9"/>
    <w:qFormat/>
    <w:rsid w:val="00CD5C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F59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C042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C0425"/>
    <w:rPr>
      <w:rFonts w:ascii="Times New Roman" w:eastAsia="Arial Unicode MS" w:hAnsi="Times New Roman" w:cs="Times New Roman"/>
      <w:sz w:val="20"/>
      <w:szCs w:val="20"/>
      <w:bdr w:val="ni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f,Ref,de nota al pie,註腳內容"/>
    <w:basedOn w:val="Fuentedeprrafopredeter"/>
    <w:unhideWhenUsed/>
    <w:qFormat/>
    <w:rsid w:val="002C0425"/>
    <w:rPr>
      <w:vertAlign w:val="superscript"/>
    </w:rPr>
  </w:style>
  <w:style w:type="paragraph" w:styleId="Piedepgina">
    <w:name w:val="footer"/>
    <w:basedOn w:val="Normal"/>
    <w:link w:val="PiedepginaCar"/>
    <w:uiPriority w:val="99"/>
    <w:unhideWhenUsed/>
    <w:rsid w:val="002C0425"/>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PiedepginaCar">
    <w:name w:val="Pie de página Car"/>
    <w:basedOn w:val="Fuentedeprrafopredeter"/>
    <w:link w:val="Piedepgina"/>
    <w:uiPriority w:val="99"/>
    <w:rsid w:val="002C0425"/>
    <w:rPr>
      <w:rFonts w:ascii="Times New Roman" w:eastAsia="Arial Unicode MS" w:hAnsi="Times New Roman" w:cs="Times New Roman"/>
      <w:sz w:val="24"/>
      <w:szCs w:val="24"/>
      <w:bdr w:val="nil"/>
    </w:rPr>
  </w:style>
  <w:style w:type="paragraph" w:styleId="Encabezado">
    <w:name w:val="header"/>
    <w:basedOn w:val="Normal"/>
    <w:link w:val="EncabezadoCar"/>
    <w:uiPriority w:val="99"/>
    <w:unhideWhenUsed/>
    <w:rsid w:val="002C0425"/>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EncabezadoCar">
    <w:name w:val="Encabezado Car"/>
    <w:basedOn w:val="Fuentedeprrafopredeter"/>
    <w:link w:val="Encabezado"/>
    <w:uiPriority w:val="99"/>
    <w:rsid w:val="002C0425"/>
    <w:rPr>
      <w:rFonts w:ascii="Times New Roman" w:eastAsia="Arial Unicode MS" w:hAnsi="Times New Roman" w:cs="Times New Roman"/>
      <w:sz w:val="24"/>
      <w:szCs w:val="24"/>
      <w:bdr w:val="ni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2496"/>
    <w:pPr>
      <w:ind w:left="720"/>
      <w:contextualSpacing/>
    </w:pPr>
  </w:style>
  <w:style w:type="paragraph" w:styleId="TDC1">
    <w:name w:val="toc 1"/>
    <w:basedOn w:val="Normal"/>
    <w:next w:val="Normal"/>
    <w:autoRedefine/>
    <w:uiPriority w:val="39"/>
    <w:unhideWhenUsed/>
    <w:rsid w:val="0034598D"/>
    <w:pPr>
      <w:tabs>
        <w:tab w:val="left" w:pos="440"/>
        <w:tab w:val="right" w:leader="dot" w:pos="8828"/>
      </w:tabs>
      <w:spacing w:after="0" w:line="360" w:lineRule="auto"/>
    </w:pPr>
  </w:style>
  <w:style w:type="paragraph" w:styleId="TDC2">
    <w:name w:val="toc 2"/>
    <w:basedOn w:val="Normal"/>
    <w:next w:val="Normal"/>
    <w:autoRedefine/>
    <w:uiPriority w:val="39"/>
    <w:unhideWhenUsed/>
    <w:rsid w:val="006E10FC"/>
    <w:pPr>
      <w:tabs>
        <w:tab w:val="left" w:pos="567"/>
        <w:tab w:val="right" w:leader="dot" w:pos="8828"/>
      </w:tabs>
      <w:spacing w:after="100"/>
    </w:pPr>
  </w:style>
  <w:style w:type="paragraph" w:styleId="TDC3">
    <w:name w:val="toc 3"/>
    <w:basedOn w:val="Normal"/>
    <w:next w:val="Normal"/>
    <w:autoRedefine/>
    <w:uiPriority w:val="39"/>
    <w:unhideWhenUsed/>
    <w:rsid w:val="00311B32"/>
    <w:pPr>
      <w:spacing w:after="100"/>
      <w:ind w:left="440"/>
    </w:pPr>
  </w:style>
  <w:style w:type="character" w:styleId="Hipervnculo">
    <w:name w:val="Hyperlink"/>
    <w:basedOn w:val="Fuentedeprrafopredeter"/>
    <w:uiPriority w:val="99"/>
    <w:unhideWhenUsed/>
    <w:rsid w:val="00311B3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170E"/>
  </w:style>
  <w:style w:type="paragraph" w:styleId="Sinespaciado">
    <w:name w:val="No Spacing"/>
    <w:aliases w:val="Francesa,INAI"/>
    <w:link w:val="SinespaciadoCar"/>
    <w:uiPriority w:val="1"/>
    <w:qFormat/>
    <w:rsid w:val="000150BA"/>
    <w:pPr>
      <w:spacing w:after="0" w:line="240" w:lineRule="auto"/>
    </w:pPr>
  </w:style>
  <w:style w:type="paragraph" w:styleId="Textodeglobo">
    <w:name w:val="Balloon Text"/>
    <w:basedOn w:val="Normal"/>
    <w:link w:val="TextodegloboCar"/>
    <w:uiPriority w:val="99"/>
    <w:semiHidden/>
    <w:unhideWhenUsed/>
    <w:rsid w:val="000150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50BA"/>
    <w:rPr>
      <w:rFonts w:ascii="Segoe UI" w:hAnsi="Segoe UI" w:cs="Segoe UI"/>
      <w:sz w:val="18"/>
      <w:szCs w:val="18"/>
    </w:rPr>
  </w:style>
  <w:style w:type="paragraph" w:styleId="NormalWeb">
    <w:name w:val="Normal (Web)"/>
    <w:basedOn w:val="Normal"/>
    <w:uiPriority w:val="99"/>
    <w:unhideWhenUsed/>
    <w:rsid w:val="00E977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CD5C84"/>
    <w:rPr>
      <w:rFonts w:asciiTheme="majorHAnsi" w:eastAsiaTheme="majorEastAsia" w:hAnsiTheme="majorHAnsi" w:cstheme="majorBidi"/>
      <w:color w:val="2E74B5" w:themeColor="accent1" w:themeShade="BF"/>
      <w:sz w:val="32"/>
      <w:szCs w:val="32"/>
    </w:rPr>
  </w:style>
  <w:style w:type="table" w:styleId="Tabladecuadrcula6concolores-nfasis3">
    <w:name w:val="Grid Table 6 Colorful Accent 3"/>
    <w:basedOn w:val="Tablanormal"/>
    <w:uiPriority w:val="51"/>
    <w:rsid w:val="00CD5C84"/>
    <w:pPr>
      <w:spacing w:after="0" w:line="240" w:lineRule="auto"/>
    </w:pPr>
    <w:rPr>
      <w:color w:val="7B7B7B" w:themeColor="accent3" w:themeShade="BF"/>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731C1B"/>
    <w:rPr>
      <w:color w:val="605E5C"/>
      <w:shd w:val="clear" w:color="auto" w:fill="E1DFDD"/>
    </w:rPr>
  </w:style>
  <w:style w:type="character" w:customStyle="1" w:styleId="Ttulo3Car">
    <w:name w:val="Título 3 Car"/>
    <w:basedOn w:val="Fuentedeprrafopredeter"/>
    <w:link w:val="Ttulo3"/>
    <w:uiPriority w:val="9"/>
    <w:semiHidden/>
    <w:rsid w:val="00FF5969"/>
    <w:rPr>
      <w:rFonts w:asciiTheme="majorHAnsi" w:eastAsiaTheme="majorEastAsia" w:hAnsiTheme="majorHAnsi" w:cstheme="majorBidi"/>
      <w:color w:val="1F4D78" w:themeColor="accent1" w:themeShade="7F"/>
      <w:sz w:val="24"/>
      <w:szCs w:val="24"/>
    </w:rPr>
  </w:style>
  <w:style w:type="character" w:customStyle="1" w:styleId="SinespaciadoCar">
    <w:name w:val="Sin espaciado Car"/>
    <w:aliases w:val="Francesa Car,INAI Car"/>
    <w:link w:val="Sinespaciado"/>
    <w:uiPriority w:val="1"/>
    <w:locked/>
    <w:rsid w:val="001E4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1841">
      <w:bodyDiv w:val="1"/>
      <w:marLeft w:val="0"/>
      <w:marRight w:val="0"/>
      <w:marTop w:val="0"/>
      <w:marBottom w:val="0"/>
      <w:divBdr>
        <w:top w:val="none" w:sz="0" w:space="0" w:color="auto"/>
        <w:left w:val="none" w:sz="0" w:space="0" w:color="auto"/>
        <w:bottom w:val="none" w:sz="0" w:space="0" w:color="auto"/>
        <w:right w:val="none" w:sz="0" w:space="0" w:color="auto"/>
      </w:divBdr>
    </w:div>
    <w:div w:id="184371303">
      <w:bodyDiv w:val="1"/>
      <w:marLeft w:val="0"/>
      <w:marRight w:val="0"/>
      <w:marTop w:val="0"/>
      <w:marBottom w:val="0"/>
      <w:divBdr>
        <w:top w:val="none" w:sz="0" w:space="0" w:color="auto"/>
        <w:left w:val="none" w:sz="0" w:space="0" w:color="auto"/>
        <w:bottom w:val="none" w:sz="0" w:space="0" w:color="auto"/>
        <w:right w:val="none" w:sz="0" w:space="0" w:color="auto"/>
      </w:divBdr>
    </w:div>
    <w:div w:id="508057248">
      <w:bodyDiv w:val="1"/>
      <w:marLeft w:val="0"/>
      <w:marRight w:val="0"/>
      <w:marTop w:val="0"/>
      <w:marBottom w:val="0"/>
      <w:divBdr>
        <w:top w:val="none" w:sz="0" w:space="0" w:color="auto"/>
        <w:left w:val="none" w:sz="0" w:space="0" w:color="auto"/>
        <w:bottom w:val="none" w:sz="0" w:space="0" w:color="auto"/>
        <w:right w:val="none" w:sz="0" w:space="0" w:color="auto"/>
      </w:divBdr>
    </w:div>
    <w:div w:id="664210062">
      <w:bodyDiv w:val="1"/>
      <w:marLeft w:val="0"/>
      <w:marRight w:val="0"/>
      <w:marTop w:val="0"/>
      <w:marBottom w:val="0"/>
      <w:divBdr>
        <w:top w:val="none" w:sz="0" w:space="0" w:color="auto"/>
        <w:left w:val="none" w:sz="0" w:space="0" w:color="auto"/>
        <w:bottom w:val="none" w:sz="0" w:space="0" w:color="auto"/>
        <w:right w:val="none" w:sz="0" w:space="0" w:color="auto"/>
      </w:divBdr>
    </w:div>
    <w:div w:id="1205095342">
      <w:bodyDiv w:val="1"/>
      <w:marLeft w:val="0"/>
      <w:marRight w:val="0"/>
      <w:marTop w:val="0"/>
      <w:marBottom w:val="0"/>
      <w:divBdr>
        <w:top w:val="none" w:sz="0" w:space="0" w:color="auto"/>
        <w:left w:val="none" w:sz="0" w:space="0" w:color="auto"/>
        <w:bottom w:val="none" w:sz="0" w:space="0" w:color="auto"/>
        <w:right w:val="none" w:sz="0" w:space="0" w:color="auto"/>
      </w:divBdr>
    </w:div>
    <w:div w:id="1224831947">
      <w:bodyDiv w:val="1"/>
      <w:marLeft w:val="0"/>
      <w:marRight w:val="0"/>
      <w:marTop w:val="0"/>
      <w:marBottom w:val="0"/>
      <w:divBdr>
        <w:top w:val="none" w:sz="0" w:space="0" w:color="auto"/>
        <w:left w:val="none" w:sz="0" w:space="0" w:color="auto"/>
        <w:bottom w:val="none" w:sz="0" w:space="0" w:color="auto"/>
        <w:right w:val="none" w:sz="0" w:space="0" w:color="auto"/>
      </w:divBdr>
      <w:divsChild>
        <w:div w:id="220486352">
          <w:marLeft w:val="0"/>
          <w:marRight w:val="0"/>
          <w:marTop w:val="0"/>
          <w:marBottom w:val="0"/>
          <w:divBdr>
            <w:top w:val="none" w:sz="0" w:space="0" w:color="auto"/>
            <w:left w:val="none" w:sz="0" w:space="0" w:color="auto"/>
            <w:bottom w:val="none" w:sz="0" w:space="0" w:color="auto"/>
            <w:right w:val="none" w:sz="0" w:space="0" w:color="auto"/>
          </w:divBdr>
        </w:div>
        <w:div w:id="1625429602">
          <w:marLeft w:val="0"/>
          <w:marRight w:val="0"/>
          <w:marTop w:val="0"/>
          <w:marBottom w:val="0"/>
          <w:divBdr>
            <w:top w:val="none" w:sz="0" w:space="0" w:color="auto"/>
            <w:left w:val="none" w:sz="0" w:space="0" w:color="auto"/>
            <w:bottom w:val="none" w:sz="0" w:space="0" w:color="auto"/>
            <w:right w:val="none" w:sz="0" w:space="0" w:color="auto"/>
          </w:divBdr>
          <w:divsChild>
            <w:div w:id="1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5620">
      <w:bodyDiv w:val="1"/>
      <w:marLeft w:val="0"/>
      <w:marRight w:val="0"/>
      <w:marTop w:val="0"/>
      <w:marBottom w:val="0"/>
      <w:divBdr>
        <w:top w:val="none" w:sz="0" w:space="0" w:color="auto"/>
        <w:left w:val="none" w:sz="0" w:space="0" w:color="auto"/>
        <w:bottom w:val="none" w:sz="0" w:space="0" w:color="auto"/>
        <w:right w:val="none" w:sz="0" w:space="0" w:color="auto"/>
      </w:divBdr>
    </w:div>
    <w:div w:id="1772894350">
      <w:bodyDiv w:val="1"/>
      <w:marLeft w:val="0"/>
      <w:marRight w:val="0"/>
      <w:marTop w:val="0"/>
      <w:marBottom w:val="0"/>
      <w:divBdr>
        <w:top w:val="none" w:sz="0" w:space="0" w:color="auto"/>
        <w:left w:val="none" w:sz="0" w:space="0" w:color="auto"/>
        <w:bottom w:val="none" w:sz="0" w:space="0" w:color="auto"/>
        <w:right w:val="none" w:sz="0" w:space="0" w:color="auto"/>
      </w:divBdr>
    </w:div>
    <w:div w:id="209115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corteidh.or.cr/docs/casos/articulos/seriec_219_esp.pdf" TargetMode="External"/><Relationship Id="rId1" Type="http://schemas.openxmlformats.org/officeDocument/2006/relationships/hyperlink" Target="https://www.cndh.org.mx/documento/caso-radilla-pacheco-vs-mexi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F7FB1-5898-4383-BF96-FE4A5BD8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5514</Words>
  <Characters>30332</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2022-06-13T23:04:00Z</cp:lastPrinted>
  <dcterms:created xsi:type="dcterms:W3CDTF">2022-06-10T18:44:00Z</dcterms:created>
  <dcterms:modified xsi:type="dcterms:W3CDTF">2022-06-22T21:08:00Z</dcterms:modified>
</cp:coreProperties>
</file>