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D2F4" w14:textId="113D8798" w:rsidR="00E81438" w:rsidRPr="00DC63E7" w:rsidRDefault="00406D8C"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VOTO DISIDENTE</w:t>
      </w:r>
      <w:r w:rsidR="00E81438" w:rsidRPr="00DC63E7">
        <w:rPr>
          <w:rFonts w:ascii="Palatino Linotype" w:hAnsi="Palatino Linotype" w:cs="Arial"/>
          <w:b/>
        </w:rPr>
        <w:t xml:space="preserve"> QUE FORMULA LA COMISIONADA</w:t>
      </w:r>
      <w:r w:rsidR="002351D3" w:rsidRPr="00DC63E7">
        <w:rPr>
          <w:rFonts w:ascii="Palatino Linotype" w:hAnsi="Palatino Linotype" w:cs="Arial"/>
          <w:b/>
        </w:rPr>
        <w:t xml:space="preserve"> SHARON CRISTINA MORALES MARTÍNEZ</w:t>
      </w:r>
      <w:r w:rsidR="00E81438" w:rsidRPr="00DC63E7">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w:t>
      </w:r>
      <w:r w:rsidR="002C26C5" w:rsidRPr="002C26C5">
        <w:rPr>
          <w:rFonts w:ascii="Palatino Linotype" w:hAnsi="Palatino Linotype" w:cs="Arial"/>
          <w:b/>
        </w:rPr>
        <w:t xml:space="preserve">EN LA </w:t>
      </w:r>
      <w:r w:rsidR="00963472" w:rsidRPr="00963472">
        <w:rPr>
          <w:rFonts w:ascii="Palatino Linotype" w:hAnsi="Palatino Linotype" w:cs="Arial"/>
          <w:b/>
        </w:rPr>
        <w:t>CUADRAGÉSIMA TERCERA SESIÓN ORDINARIA CELEBRADA EL TREINTA DE NOVIEMBRE DE DOS MIL VEINTIDÓS</w:t>
      </w:r>
      <w:r w:rsidR="00E81438" w:rsidRPr="00DC63E7">
        <w:rPr>
          <w:rFonts w:ascii="Palatino Linotype" w:hAnsi="Palatino Linotype" w:cs="Arial"/>
          <w:b/>
        </w:rPr>
        <w:t xml:space="preserve">, EN </w:t>
      </w:r>
      <w:r w:rsidR="0001529F" w:rsidRPr="00DC63E7">
        <w:rPr>
          <w:rFonts w:ascii="Palatino Linotype" w:hAnsi="Palatino Linotype" w:cs="Arial"/>
          <w:b/>
        </w:rPr>
        <w:t>LOS</w:t>
      </w:r>
      <w:r w:rsidR="00E81438" w:rsidRPr="00DC63E7">
        <w:rPr>
          <w:rFonts w:ascii="Palatino Linotype" w:hAnsi="Palatino Linotype" w:cs="Arial"/>
          <w:b/>
        </w:rPr>
        <w:t xml:space="preserve"> </w:t>
      </w:r>
      <w:r w:rsidR="00333436" w:rsidRPr="00DC63E7">
        <w:rPr>
          <w:rFonts w:ascii="Palatino Linotype" w:hAnsi="Palatino Linotype" w:cs="Arial"/>
          <w:b/>
        </w:rPr>
        <w:t>RECURSO DE REVISIÓN</w:t>
      </w:r>
      <w:r w:rsidR="00E81438" w:rsidRPr="00DC63E7">
        <w:rPr>
          <w:rFonts w:ascii="Palatino Linotype" w:hAnsi="Palatino Linotype" w:cs="Arial"/>
          <w:b/>
        </w:rPr>
        <w:t xml:space="preserve"> </w:t>
      </w:r>
      <w:r w:rsidR="00963472" w:rsidRPr="00963472">
        <w:rPr>
          <w:rFonts w:ascii="Palatino Linotype" w:hAnsi="Palatino Linotype" w:cs="Arial"/>
          <w:b/>
          <w:bCs/>
          <w:lang w:val="es-MX"/>
        </w:rPr>
        <w:t>09837/INFOEM/IP/RR/2022 y 09838/INFOEM/IP/RR/2022</w:t>
      </w:r>
      <w:r w:rsidR="003458C8">
        <w:rPr>
          <w:rFonts w:ascii="Palatino Linotype" w:hAnsi="Palatino Linotype" w:cs="Arial"/>
          <w:b/>
          <w:bCs/>
          <w:lang w:val="es-MX"/>
        </w:rPr>
        <w:t xml:space="preserve"> ACUMULADOS</w:t>
      </w:r>
      <w:r w:rsidR="0001529F"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6A00B50C"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C63E7">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01529F" w:rsidRPr="00DC63E7">
        <w:rPr>
          <w:rFonts w:ascii="Palatino Linotype" w:hAnsi="Palatino Linotype" w:cs="Arial"/>
          <w:sz w:val="22"/>
          <w:szCs w:val="22"/>
        </w:rPr>
        <w:t>los</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963472" w:rsidRPr="00963472">
        <w:rPr>
          <w:rFonts w:ascii="Palatino Linotype" w:hAnsi="Palatino Linotype"/>
          <w:b/>
          <w:bCs/>
          <w:color w:val="000000" w:themeColor="text1"/>
          <w:sz w:val="22"/>
          <w:szCs w:val="22"/>
        </w:rPr>
        <w:t>09837/INFOEM/IP/RR/2022</w:t>
      </w:r>
      <w:r w:rsidR="003458C8">
        <w:rPr>
          <w:rFonts w:ascii="Palatino Linotype" w:hAnsi="Palatino Linotype"/>
          <w:b/>
          <w:bCs/>
          <w:color w:val="000000" w:themeColor="text1"/>
          <w:sz w:val="22"/>
          <w:szCs w:val="22"/>
        </w:rPr>
        <w:t>y acumulado</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w:t>
      </w:r>
      <w:r w:rsidR="00ED4575" w:rsidRPr="00332425">
        <w:rPr>
          <w:rFonts w:ascii="Palatino Linotype" w:hAnsi="Palatino Linotype" w:cs="Arial"/>
          <w:b/>
          <w:sz w:val="22"/>
          <w:szCs w:val="22"/>
        </w:rPr>
        <w:t>Comisionada</w:t>
      </w:r>
      <w:r w:rsidR="00ED4575" w:rsidRPr="00DC63E7">
        <w:rPr>
          <w:rFonts w:ascii="Palatino Linotype" w:hAnsi="Palatino Linotype" w:cs="Arial"/>
          <w:sz w:val="22"/>
          <w:szCs w:val="22"/>
        </w:rPr>
        <w:t xml:space="preserve"> </w:t>
      </w:r>
      <w:r w:rsidR="00ED4575" w:rsidRPr="00DC63E7">
        <w:rPr>
          <w:rFonts w:ascii="Palatino Linotype" w:hAnsi="Palatino Linotype" w:cs="Arial"/>
          <w:b/>
          <w:sz w:val="22"/>
          <w:szCs w:val="22"/>
        </w:rPr>
        <w:t>SHARON CRISTINA MORALES MARTÍNEZ</w:t>
      </w:r>
      <w:r w:rsidR="00ED4575" w:rsidRPr="00DC63E7">
        <w:rPr>
          <w:rFonts w:ascii="Palatino Linotype" w:hAnsi="Palatino Linotype" w:cs="Arial"/>
          <w:sz w:val="22"/>
          <w:szCs w:val="22"/>
        </w:rPr>
        <w:t>, que es del tenor siguiente.</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08F2644"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en la</w:t>
      </w:r>
      <w:r w:rsidR="0001529F" w:rsidRPr="00DC63E7">
        <w:rPr>
          <w:rFonts w:ascii="Palatino Linotype" w:hAnsi="Palatino Linotype"/>
          <w:sz w:val="22"/>
          <w:szCs w:val="22"/>
        </w:rPr>
        <w:t>s</w:t>
      </w:r>
      <w:r w:rsidRPr="00DC63E7">
        <w:rPr>
          <w:rFonts w:ascii="Palatino Linotype" w:hAnsi="Palatino Linotype"/>
          <w:sz w:val="22"/>
          <w:szCs w:val="22"/>
        </w:rPr>
        <w:t xml:space="preserve"> Solicitud</w:t>
      </w:r>
      <w:r w:rsidR="0001529F" w:rsidRPr="00DC63E7">
        <w:rPr>
          <w:rFonts w:ascii="Palatino Linotype" w:hAnsi="Palatino Linotype"/>
          <w:sz w:val="22"/>
          <w:szCs w:val="22"/>
        </w:rPr>
        <w:t>es</w:t>
      </w:r>
      <w:r w:rsidRPr="00DC63E7">
        <w:rPr>
          <w:rFonts w:ascii="Palatino Linotype" w:hAnsi="Palatino Linotype"/>
          <w:sz w:val="22"/>
          <w:szCs w:val="22"/>
        </w:rPr>
        <w:t xml:space="preserve"> de Información</w:t>
      </w:r>
      <w:r w:rsidRPr="00DC63E7">
        <w:rPr>
          <w:rFonts w:ascii="Palatino Linotype" w:hAnsi="Palatino Linotype" w:cs="Arial"/>
          <w:sz w:val="22"/>
          <w:szCs w:val="22"/>
          <w:lang w:val="es-419"/>
        </w:rPr>
        <w:t>, mediante la cual solicitó:</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tbl>
      <w:tblPr>
        <w:tblStyle w:val="Tablaconcuadrcula31"/>
        <w:tblW w:w="8652" w:type="dxa"/>
        <w:jc w:val="center"/>
        <w:tblLook w:val="04A0" w:firstRow="1" w:lastRow="0" w:firstColumn="1" w:lastColumn="0" w:noHBand="0" w:noVBand="1"/>
      </w:tblPr>
      <w:tblGrid>
        <w:gridCol w:w="2867"/>
        <w:gridCol w:w="5785"/>
      </w:tblGrid>
      <w:tr w:rsidR="00963472" w:rsidRPr="00963472" w14:paraId="3E2A0ED5" w14:textId="77777777" w:rsidTr="00500F05">
        <w:trPr>
          <w:trHeight w:val="315"/>
          <w:tblHeader/>
          <w:jc w:val="center"/>
        </w:trPr>
        <w:tc>
          <w:tcPr>
            <w:tcW w:w="2626" w:type="dxa"/>
            <w:tcBorders>
              <w:top w:val="single" w:sz="2" w:space="0" w:color="auto"/>
              <w:left w:val="single" w:sz="2" w:space="0" w:color="auto"/>
              <w:bottom w:val="single" w:sz="2" w:space="0" w:color="auto"/>
              <w:right w:val="single" w:sz="2" w:space="0" w:color="auto"/>
            </w:tcBorders>
            <w:shd w:val="clear" w:color="auto" w:fill="3B3838" w:themeFill="background2" w:themeFillShade="40"/>
          </w:tcPr>
          <w:p w14:paraId="24456C5E" w14:textId="77777777" w:rsidR="00963472" w:rsidRPr="00963472" w:rsidRDefault="00963472" w:rsidP="00500F05">
            <w:pPr>
              <w:spacing w:before="100" w:beforeAutospacing="1" w:after="100" w:afterAutospacing="1" w:line="276" w:lineRule="auto"/>
              <w:jc w:val="center"/>
              <w:rPr>
                <w:rFonts w:ascii="Palatino Linotype" w:hAnsi="Palatino Linotype" w:cs="Arial"/>
                <w:b/>
                <w:bCs/>
                <w:color w:val="FFFFFF" w:themeColor="background1"/>
                <w:sz w:val="22"/>
                <w:szCs w:val="22"/>
              </w:rPr>
            </w:pPr>
            <w:bookmarkStart w:id="0" w:name="_Hlk113533669"/>
            <w:r w:rsidRPr="00963472">
              <w:rPr>
                <w:rFonts w:ascii="Palatino Linotype" w:hAnsi="Palatino Linotype" w:cs="Arial"/>
                <w:b/>
                <w:bCs/>
                <w:color w:val="FFFFFF" w:themeColor="background1"/>
                <w:sz w:val="22"/>
                <w:szCs w:val="22"/>
              </w:rPr>
              <w:t xml:space="preserve">Folio </w:t>
            </w:r>
          </w:p>
        </w:tc>
        <w:tc>
          <w:tcPr>
            <w:tcW w:w="6026" w:type="dxa"/>
            <w:tcBorders>
              <w:left w:val="single" w:sz="2" w:space="0" w:color="auto"/>
            </w:tcBorders>
            <w:shd w:val="clear" w:color="auto" w:fill="3B3838" w:themeFill="background2" w:themeFillShade="40"/>
          </w:tcPr>
          <w:p w14:paraId="165B0DB8" w14:textId="77777777" w:rsidR="00963472" w:rsidRPr="00963472" w:rsidRDefault="00963472" w:rsidP="00500F05">
            <w:pPr>
              <w:spacing w:before="100" w:beforeAutospacing="1" w:after="100" w:afterAutospacing="1" w:line="276" w:lineRule="auto"/>
              <w:jc w:val="center"/>
              <w:rPr>
                <w:rFonts w:ascii="Palatino Linotype" w:hAnsi="Palatino Linotype" w:cs="Arial"/>
                <w:b/>
                <w:bCs/>
                <w:color w:val="FFFFFF" w:themeColor="background1"/>
                <w:sz w:val="22"/>
                <w:szCs w:val="22"/>
              </w:rPr>
            </w:pPr>
            <w:r w:rsidRPr="00963472">
              <w:rPr>
                <w:rFonts w:ascii="Palatino Linotype" w:hAnsi="Palatino Linotype" w:cs="Arial"/>
                <w:b/>
                <w:bCs/>
                <w:color w:val="FFFFFF" w:themeColor="background1"/>
                <w:sz w:val="22"/>
                <w:szCs w:val="22"/>
              </w:rPr>
              <w:t xml:space="preserve">Solicitud </w:t>
            </w:r>
          </w:p>
        </w:tc>
      </w:tr>
      <w:tr w:rsidR="00963472" w:rsidRPr="00963472" w14:paraId="4FC2222C" w14:textId="77777777" w:rsidTr="00500F05">
        <w:trPr>
          <w:trHeight w:val="631"/>
          <w:jc w:val="center"/>
        </w:trPr>
        <w:tc>
          <w:tcPr>
            <w:tcW w:w="2626" w:type="dxa"/>
            <w:tcBorders>
              <w:top w:val="single" w:sz="2" w:space="0" w:color="auto"/>
              <w:bottom w:val="single" w:sz="2" w:space="0" w:color="auto"/>
            </w:tcBorders>
            <w:shd w:val="clear" w:color="auto" w:fill="auto"/>
          </w:tcPr>
          <w:p w14:paraId="6E87C3B0" w14:textId="77777777" w:rsidR="00963472" w:rsidRPr="00963472" w:rsidRDefault="00963472" w:rsidP="00500F05">
            <w:pPr>
              <w:spacing w:before="100" w:beforeAutospacing="1" w:after="100" w:afterAutospacing="1"/>
              <w:rPr>
                <w:rFonts w:ascii="Palatino Linotype" w:hAnsi="Palatino Linotype" w:cs="Arial"/>
                <w:b/>
                <w:bCs/>
                <w:sz w:val="22"/>
                <w:szCs w:val="22"/>
              </w:rPr>
            </w:pPr>
            <w:bookmarkStart w:id="1" w:name="_Hlk102395122"/>
            <w:r w:rsidRPr="00963472">
              <w:rPr>
                <w:rFonts w:ascii="Palatino Linotype" w:hAnsi="Palatino Linotype" w:cs="Arial"/>
                <w:b/>
                <w:bCs/>
                <w:sz w:val="22"/>
                <w:szCs w:val="22"/>
              </w:rPr>
              <w:t>00448/TENANCIN/IP/2022</w:t>
            </w:r>
          </w:p>
        </w:tc>
        <w:tc>
          <w:tcPr>
            <w:tcW w:w="6026" w:type="dxa"/>
            <w:shd w:val="clear" w:color="auto" w:fill="auto"/>
          </w:tcPr>
          <w:p w14:paraId="696B2D9F" w14:textId="77777777" w:rsidR="00963472" w:rsidRPr="00963472" w:rsidRDefault="00963472" w:rsidP="00500F05">
            <w:pPr>
              <w:spacing w:before="100" w:beforeAutospacing="1" w:after="100" w:afterAutospacing="1"/>
              <w:jc w:val="both"/>
              <w:rPr>
                <w:rFonts w:ascii="Palatino Linotype" w:hAnsi="Palatino Linotype" w:cs="Arial"/>
                <w:i/>
                <w:iCs/>
                <w:sz w:val="22"/>
                <w:szCs w:val="22"/>
              </w:rPr>
            </w:pPr>
            <w:r w:rsidRPr="00963472">
              <w:rPr>
                <w:rFonts w:ascii="Palatino Linotype" w:hAnsi="Palatino Linotype" w:cs="Arial"/>
                <w:i/>
                <w:iCs/>
                <w:sz w:val="22"/>
                <w:szCs w:val="22"/>
              </w:rPr>
              <w:t xml:space="preserve">“Solicito la información correspondiente al año 2022, del primer trimestre, de la fracción de Remuneraciones FRACCIÓNVIII A </w:t>
            </w:r>
            <w:r w:rsidRPr="00963472">
              <w:rPr>
                <w:rFonts w:ascii="Palatino Linotype" w:hAnsi="Palatino Linotype" w:cs="Arial"/>
                <w:i/>
                <w:iCs/>
                <w:sz w:val="22"/>
                <w:szCs w:val="22"/>
              </w:rPr>
              <w:lastRenderedPageBreak/>
              <w:t xml:space="preserve">del artículo 92, ya que en IPOMEX, no se cuenta con registro por parte del sujeto obligado. En dado caso que la información contenga datos personales, se </w:t>
            </w:r>
            <w:proofErr w:type="spellStart"/>
            <w:r w:rsidRPr="00963472">
              <w:rPr>
                <w:rFonts w:ascii="Palatino Linotype" w:hAnsi="Palatino Linotype" w:cs="Arial"/>
                <w:i/>
                <w:iCs/>
                <w:sz w:val="22"/>
                <w:szCs w:val="22"/>
              </w:rPr>
              <w:t>solicta</w:t>
            </w:r>
            <w:proofErr w:type="spellEnd"/>
            <w:r w:rsidRPr="00963472">
              <w:rPr>
                <w:rFonts w:ascii="Palatino Linotype" w:hAnsi="Palatino Linotype" w:cs="Arial"/>
                <w:i/>
                <w:iCs/>
                <w:sz w:val="22"/>
                <w:szCs w:val="22"/>
              </w:rPr>
              <w:t xml:space="preserve"> versión pública.” (Sic)</w:t>
            </w:r>
          </w:p>
        </w:tc>
      </w:tr>
      <w:bookmarkEnd w:id="0"/>
      <w:tr w:rsidR="00963472" w:rsidRPr="00963472" w14:paraId="60C0F739" w14:textId="77777777" w:rsidTr="00500F05">
        <w:trPr>
          <w:trHeight w:val="631"/>
          <w:jc w:val="center"/>
        </w:trPr>
        <w:tc>
          <w:tcPr>
            <w:tcW w:w="2626" w:type="dxa"/>
            <w:tcBorders>
              <w:top w:val="single" w:sz="2" w:space="0" w:color="auto"/>
              <w:bottom w:val="single" w:sz="2" w:space="0" w:color="auto"/>
            </w:tcBorders>
            <w:shd w:val="clear" w:color="auto" w:fill="auto"/>
          </w:tcPr>
          <w:p w14:paraId="65A5E406" w14:textId="77777777" w:rsidR="00963472" w:rsidRPr="00963472" w:rsidRDefault="00963472" w:rsidP="00500F05">
            <w:pPr>
              <w:spacing w:before="100" w:beforeAutospacing="1" w:after="100" w:afterAutospacing="1"/>
              <w:rPr>
                <w:rFonts w:ascii="Palatino Linotype" w:hAnsi="Palatino Linotype" w:cs="Arial"/>
                <w:b/>
                <w:bCs/>
                <w:sz w:val="22"/>
                <w:szCs w:val="22"/>
              </w:rPr>
            </w:pPr>
            <w:r w:rsidRPr="00963472">
              <w:rPr>
                <w:rFonts w:ascii="Palatino Linotype" w:hAnsi="Palatino Linotype" w:cs="Arial"/>
                <w:b/>
                <w:bCs/>
                <w:sz w:val="22"/>
                <w:szCs w:val="22"/>
              </w:rPr>
              <w:lastRenderedPageBreak/>
              <w:t>00450/TENANCIN/IP/2022</w:t>
            </w:r>
          </w:p>
        </w:tc>
        <w:tc>
          <w:tcPr>
            <w:tcW w:w="6026" w:type="dxa"/>
            <w:shd w:val="clear" w:color="auto" w:fill="auto"/>
          </w:tcPr>
          <w:p w14:paraId="2829A58E" w14:textId="77777777" w:rsidR="00963472" w:rsidRPr="00963472" w:rsidRDefault="00963472" w:rsidP="00500F05">
            <w:pPr>
              <w:spacing w:before="100" w:beforeAutospacing="1" w:after="100" w:afterAutospacing="1"/>
              <w:jc w:val="both"/>
              <w:rPr>
                <w:rFonts w:ascii="Palatino Linotype" w:hAnsi="Palatino Linotype" w:cs="Arial"/>
                <w:i/>
                <w:iCs/>
                <w:sz w:val="22"/>
                <w:szCs w:val="22"/>
              </w:rPr>
            </w:pPr>
            <w:r w:rsidRPr="00963472">
              <w:rPr>
                <w:rFonts w:ascii="Palatino Linotype" w:hAnsi="Palatino Linotype" w:cs="Arial"/>
                <w:i/>
                <w:iCs/>
                <w:sz w:val="22"/>
                <w:szCs w:val="22"/>
              </w:rPr>
              <w:t>“Solicito la información concerniente a la fracción de Tabulador de sueldos y salarios FRACCIÓNVIII B del art. 92. del año 2022. Ya que en su portal de IPOMEX no cuenta con información alguna para dicho ejercicio.” (Sic)</w:t>
            </w:r>
          </w:p>
        </w:tc>
      </w:tr>
      <w:bookmarkEnd w:id="1"/>
    </w:tbl>
    <w:p w14:paraId="34832473" w14:textId="77777777" w:rsidR="00ED4575" w:rsidRPr="002C26C5" w:rsidRDefault="00ED4575" w:rsidP="00DC63E7">
      <w:pPr>
        <w:spacing w:line="360" w:lineRule="auto"/>
        <w:ind w:left="851" w:right="1134"/>
        <w:jc w:val="both"/>
        <w:rPr>
          <w:rFonts w:ascii="Palatino Linotype" w:hAnsi="Palatino Linotype" w:cs="Arial"/>
          <w:lang w:val="es-MX"/>
        </w:rPr>
      </w:pPr>
    </w:p>
    <w:p w14:paraId="1DB08AC2" w14:textId="6464F13F" w:rsidR="002C26C5" w:rsidRPr="00963472"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963472">
        <w:rPr>
          <w:rFonts w:ascii="Palatino Linotype" w:hAnsi="Palatino Linotype" w:cs="Arial"/>
          <w:sz w:val="22"/>
          <w:szCs w:val="22"/>
        </w:rPr>
        <w:t xml:space="preserve">En respuesta, </w:t>
      </w:r>
      <w:r w:rsidRPr="00963472">
        <w:rPr>
          <w:rFonts w:ascii="Palatino Linotype" w:hAnsi="Palatino Linotype" w:cs="Arial"/>
          <w:b/>
          <w:sz w:val="22"/>
          <w:szCs w:val="22"/>
        </w:rPr>
        <w:t>EL SUJETO OBLIGADO</w:t>
      </w:r>
      <w:r w:rsidRPr="00963472">
        <w:rPr>
          <w:rFonts w:ascii="Palatino Linotype" w:hAnsi="Palatino Linotype" w:cs="Arial"/>
          <w:sz w:val="22"/>
          <w:szCs w:val="22"/>
        </w:rPr>
        <w:t>,</w:t>
      </w:r>
      <w:bookmarkStart w:id="2" w:name="_Hlk104238824"/>
      <w:r w:rsidR="002C26C5" w:rsidRPr="00963472">
        <w:rPr>
          <w:rFonts w:ascii="Palatino Linotype" w:eastAsia="MS Mincho" w:hAnsi="Palatino Linotype" w:cs="Arial"/>
          <w:b/>
          <w:bCs/>
          <w:sz w:val="22"/>
          <w:szCs w:val="22"/>
          <w:lang w:val="es-MX"/>
        </w:rPr>
        <w:t xml:space="preserve"> </w:t>
      </w:r>
      <w:r w:rsidR="002C26C5" w:rsidRPr="00963472">
        <w:rPr>
          <w:rFonts w:ascii="Palatino Linotype" w:eastAsia="MS Mincho" w:hAnsi="Palatino Linotype" w:cs="Arial"/>
          <w:sz w:val="22"/>
          <w:szCs w:val="22"/>
          <w:lang w:val="es-MX"/>
        </w:rPr>
        <w:t>acompaño a las respuestas con los archivos electrónicos denominados:</w:t>
      </w:r>
    </w:p>
    <w:p w14:paraId="18C7EF13" w14:textId="77777777" w:rsidR="002C26C5" w:rsidRPr="00963472" w:rsidRDefault="002C26C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p>
    <w:bookmarkEnd w:id="2"/>
    <w:p w14:paraId="379C02E6" w14:textId="77777777" w:rsidR="00963472" w:rsidRPr="00963472" w:rsidRDefault="00963472" w:rsidP="00963472">
      <w:pPr>
        <w:widowControl w:val="0"/>
        <w:autoSpaceDE w:val="0"/>
        <w:autoSpaceDN w:val="0"/>
        <w:adjustRightInd w:val="0"/>
        <w:spacing w:before="100" w:beforeAutospacing="1" w:after="100" w:afterAutospacing="1" w:line="360" w:lineRule="auto"/>
        <w:jc w:val="both"/>
        <w:rPr>
          <w:rFonts w:ascii="Palatino Linotype" w:hAnsi="Palatino Linotype" w:cs="Segoe UI"/>
          <w:sz w:val="22"/>
          <w:szCs w:val="22"/>
          <w:lang w:eastAsia="es-MX"/>
        </w:rPr>
      </w:pPr>
      <w:r w:rsidRPr="00963472">
        <w:rPr>
          <w:rFonts w:ascii="Palatino Linotype" w:hAnsi="Palatino Linotype" w:cs="Segoe UI"/>
          <w:sz w:val="22"/>
          <w:szCs w:val="22"/>
          <w:lang w:eastAsia="es-MX"/>
        </w:rPr>
        <w:t xml:space="preserve">Folio de la Solicitud </w:t>
      </w:r>
      <w:r w:rsidRPr="00963472">
        <w:rPr>
          <w:rFonts w:ascii="Palatino Linotype" w:hAnsi="Palatino Linotype" w:cs="Segoe UI"/>
          <w:b/>
          <w:sz w:val="22"/>
          <w:szCs w:val="22"/>
          <w:lang w:eastAsia="es-MX"/>
        </w:rPr>
        <w:t>00448/TENANCIN/IP/2022</w:t>
      </w:r>
      <w:r w:rsidRPr="00963472">
        <w:rPr>
          <w:rFonts w:ascii="Palatino Linotype" w:hAnsi="Palatino Linotype" w:cs="Segoe UI"/>
          <w:sz w:val="22"/>
          <w:szCs w:val="22"/>
          <w:lang w:eastAsia="es-MX"/>
        </w:rPr>
        <w:t xml:space="preserve"> relativa al </w:t>
      </w:r>
      <w:r w:rsidRPr="00963472">
        <w:rPr>
          <w:rFonts w:ascii="Palatino Linotype" w:hAnsi="Palatino Linotype" w:cs="Segoe UI"/>
          <w:bCs/>
          <w:sz w:val="22"/>
          <w:szCs w:val="22"/>
          <w:lang w:eastAsia="es-MX"/>
        </w:rPr>
        <w:t>Recurso de Revisión</w:t>
      </w:r>
      <w:r w:rsidRPr="00963472">
        <w:rPr>
          <w:rFonts w:ascii="Palatino Linotype" w:hAnsi="Palatino Linotype" w:cs="Segoe UI"/>
          <w:b/>
          <w:bCs/>
          <w:sz w:val="22"/>
          <w:szCs w:val="22"/>
          <w:lang w:eastAsia="es-MX"/>
        </w:rPr>
        <w:t> 09837/INFOEM/IP/RR/2022:</w:t>
      </w:r>
    </w:p>
    <w:p w14:paraId="7727FCA1" w14:textId="77777777" w:rsidR="00963472" w:rsidRPr="002E4E69" w:rsidRDefault="00963472" w:rsidP="00963472">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2E4E6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13ACD7" w14:textId="77777777" w:rsidR="00963472" w:rsidRPr="002E4E69" w:rsidRDefault="00963472" w:rsidP="00963472">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2E4E69">
        <w:rPr>
          <w:rFonts w:ascii="Palatino Linotype" w:hAnsi="Palatino Linotype" w:cs="Segoe UI"/>
          <w:i/>
          <w:iCs/>
          <w:sz w:val="22"/>
          <w:szCs w:val="22"/>
          <w:lang w:eastAsia="es-MX"/>
        </w:rPr>
        <w:t>SE REMITE RESPUESTA A LA SOLICITUD…”</w:t>
      </w:r>
    </w:p>
    <w:p w14:paraId="09648481" w14:textId="77777777" w:rsidR="00963472" w:rsidRPr="00963472" w:rsidRDefault="00963472" w:rsidP="00963472">
      <w:pPr>
        <w:spacing w:before="100" w:beforeAutospacing="1" w:after="100" w:afterAutospacing="1" w:line="360" w:lineRule="auto"/>
        <w:jc w:val="both"/>
        <w:rPr>
          <w:rFonts w:ascii="Palatino Linotype" w:eastAsia="MS Mincho" w:hAnsi="Palatino Linotype" w:cs="Arial"/>
          <w:sz w:val="22"/>
        </w:rPr>
      </w:pPr>
      <w:r w:rsidRPr="00963472">
        <w:rPr>
          <w:rFonts w:ascii="Palatino Linotype" w:eastAsia="MS Mincho" w:hAnsi="Palatino Linotype" w:cs="Arial"/>
          <w:sz w:val="22"/>
        </w:rPr>
        <w:t xml:space="preserve">A la respuesta  EL SUJETO OBLIGADO adjunto el archivo electrónico denominado </w:t>
      </w:r>
      <w:r w:rsidRPr="00963472">
        <w:rPr>
          <w:rFonts w:ascii="Palatino Linotype" w:eastAsia="MS Mincho" w:hAnsi="Palatino Linotype" w:cs="Arial"/>
          <w:b/>
          <w:i/>
          <w:sz w:val="22"/>
        </w:rPr>
        <w:t>“448-RESP-TESO.pdf”</w:t>
      </w:r>
      <w:r w:rsidRPr="00963472">
        <w:rPr>
          <w:rFonts w:ascii="Palatino Linotype" w:eastAsia="MS Mincho" w:hAnsi="Palatino Linotype" w:cs="Arial"/>
          <w:sz w:val="22"/>
        </w:rPr>
        <w:t>, el cual contiene el oficio PTM058/ST/CT/</w:t>
      </w:r>
      <w:proofErr w:type="spellStart"/>
      <w:r w:rsidRPr="00963472">
        <w:rPr>
          <w:rFonts w:ascii="Palatino Linotype" w:eastAsia="MS Mincho" w:hAnsi="Palatino Linotype" w:cs="Arial"/>
          <w:sz w:val="22"/>
        </w:rPr>
        <w:t>Sl</w:t>
      </w:r>
      <w:proofErr w:type="spellEnd"/>
      <w:r w:rsidRPr="00963472">
        <w:rPr>
          <w:rFonts w:ascii="Palatino Linotype" w:eastAsia="MS Mincho" w:hAnsi="Palatino Linotype" w:cs="Arial"/>
          <w:sz w:val="22"/>
        </w:rPr>
        <w:t>/00286/2022, signado por el Tesorero Municipal, quien es servidor público habilitado, donde menciona que no niega la existencia de la información, sin embargo, se encuentra imposibilitado de entregar la información en la modalidad señalada, por lo que cual se realiza un cambio de modalidad a consulta directa.</w:t>
      </w:r>
    </w:p>
    <w:p w14:paraId="703BED5A" w14:textId="77777777" w:rsidR="00963472" w:rsidRPr="00963472" w:rsidRDefault="00963472" w:rsidP="00963472">
      <w:pPr>
        <w:widowControl w:val="0"/>
        <w:autoSpaceDE w:val="0"/>
        <w:autoSpaceDN w:val="0"/>
        <w:adjustRightInd w:val="0"/>
        <w:spacing w:before="100" w:beforeAutospacing="1" w:after="100" w:afterAutospacing="1" w:line="360" w:lineRule="auto"/>
        <w:jc w:val="both"/>
        <w:rPr>
          <w:rFonts w:ascii="Palatino Linotype" w:hAnsi="Palatino Linotype" w:cs="Segoe UI"/>
          <w:sz w:val="22"/>
          <w:szCs w:val="22"/>
          <w:lang w:eastAsia="es-MX"/>
        </w:rPr>
      </w:pPr>
      <w:r w:rsidRPr="00963472">
        <w:rPr>
          <w:rFonts w:ascii="Palatino Linotype" w:hAnsi="Palatino Linotype" w:cs="Segoe UI"/>
          <w:sz w:val="22"/>
          <w:szCs w:val="22"/>
          <w:lang w:eastAsia="es-MX"/>
        </w:rPr>
        <w:t xml:space="preserve">Folio de la Solicitud </w:t>
      </w:r>
      <w:r w:rsidRPr="00963472">
        <w:rPr>
          <w:rFonts w:ascii="Palatino Linotype" w:hAnsi="Palatino Linotype" w:cs="Segoe UI"/>
          <w:b/>
          <w:bCs/>
          <w:sz w:val="22"/>
          <w:szCs w:val="22"/>
          <w:lang w:eastAsia="es-MX"/>
        </w:rPr>
        <w:t>00450</w:t>
      </w:r>
      <w:r w:rsidRPr="00963472">
        <w:rPr>
          <w:rFonts w:ascii="Palatino Linotype" w:hAnsi="Palatino Linotype" w:cs="Segoe UI"/>
          <w:b/>
          <w:sz w:val="22"/>
          <w:szCs w:val="22"/>
          <w:lang w:eastAsia="es-MX"/>
        </w:rPr>
        <w:t>/TENANCIN/IP/2022</w:t>
      </w:r>
      <w:r w:rsidRPr="00963472">
        <w:rPr>
          <w:rFonts w:ascii="Palatino Linotype" w:hAnsi="Palatino Linotype" w:cs="Segoe UI"/>
          <w:sz w:val="22"/>
          <w:szCs w:val="22"/>
          <w:lang w:eastAsia="es-MX"/>
        </w:rPr>
        <w:t xml:space="preserve"> relativa al </w:t>
      </w:r>
      <w:r w:rsidRPr="00963472">
        <w:rPr>
          <w:rFonts w:ascii="Palatino Linotype" w:hAnsi="Palatino Linotype" w:cs="Segoe UI"/>
          <w:bCs/>
          <w:sz w:val="22"/>
          <w:szCs w:val="22"/>
          <w:lang w:eastAsia="es-MX"/>
        </w:rPr>
        <w:t>Recurso de Revisión</w:t>
      </w:r>
      <w:r w:rsidRPr="00963472">
        <w:rPr>
          <w:rFonts w:ascii="Palatino Linotype" w:hAnsi="Palatino Linotype" w:cs="Segoe UI"/>
          <w:b/>
          <w:bCs/>
          <w:sz w:val="22"/>
          <w:szCs w:val="22"/>
          <w:lang w:eastAsia="es-MX"/>
        </w:rPr>
        <w:t> 09838/INFOEM/IP/RR/2022:</w:t>
      </w:r>
    </w:p>
    <w:p w14:paraId="460D8124" w14:textId="77777777" w:rsidR="00963472" w:rsidRPr="00963472" w:rsidRDefault="00963472" w:rsidP="00963472">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963472">
        <w:rPr>
          <w:rFonts w:ascii="Palatino Linotype" w:hAnsi="Palatino Linotype" w:cs="Segoe UI"/>
          <w:i/>
          <w:iCs/>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F202E34" w14:textId="77777777" w:rsidR="00963472" w:rsidRPr="00963472" w:rsidRDefault="00963472" w:rsidP="00963472">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963472">
        <w:rPr>
          <w:rFonts w:ascii="Palatino Linotype" w:hAnsi="Palatino Linotype" w:cs="Segoe UI"/>
          <w:i/>
          <w:iCs/>
          <w:sz w:val="22"/>
          <w:szCs w:val="22"/>
          <w:lang w:eastAsia="es-MX"/>
        </w:rPr>
        <w:t>SE REMITE RESPUESTA A LA SOLICITUD…”</w:t>
      </w:r>
    </w:p>
    <w:p w14:paraId="6099387C" w14:textId="77777777" w:rsidR="00963472" w:rsidRPr="00963472" w:rsidRDefault="00963472" w:rsidP="00963472">
      <w:pPr>
        <w:spacing w:before="100" w:beforeAutospacing="1" w:after="100" w:afterAutospacing="1" w:line="360" w:lineRule="auto"/>
        <w:jc w:val="both"/>
        <w:rPr>
          <w:rFonts w:ascii="Palatino Linotype" w:eastAsia="MS Mincho" w:hAnsi="Palatino Linotype" w:cs="Arial"/>
          <w:sz w:val="22"/>
          <w:szCs w:val="22"/>
        </w:rPr>
      </w:pPr>
      <w:r w:rsidRPr="00963472">
        <w:rPr>
          <w:rFonts w:ascii="Palatino Linotype" w:eastAsia="MS Mincho" w:hAnsi="Palatino Linotype" w:cs="Arial"/>
          <w:sz w:val="22"/>
          <w:szCs w:val="22"/>
        </w:rPr>
        <w:t xml:space="preserve">A la respuesta  EL SUJETO OBLIGADO adjunto el archivo electrónico denominado </w:t>
      </w:r>
      <w:r w:rsidRPr="00963472">
        <w:rPr>
          <w:rFonts w:ascii="Palatino Linotype" w:eastAsia="MS Mincho" w:hAnsi="Palatino Linotype" w:cs="Arial"/>
          <w:b/>
          <w:i/>
          <w:sz w:val="22"/>
          <w:szCs w:val="22"/>
        </w:rPr>
        <w:t>“450-RESP-TRANS.pdf”</w:t>
      </w:r>
      <w:r w:rsidRPr="00963472">
        <w:rPr>
          <w:rFonts w:ascii="Palatino Linotype" w:eastAsia="MS Mincho" w:hAnsi="Palatino Linotype" w:cs="Arial"/>
          <w:sz w:val="22"/>
          <w:szCs w:val="22"/>
        </w:rPr>
        <w:t xml:space="preserve">, el cual la respuesta signada por el Titular de la Unidad de Transparencia, el cual señala que la información requerida por el ciudadano se encuentra en el portal de IPOMEX, y puede ser consultada en la siguiente liga </w:t>
      </w:r>
      <w:hyperlink r:id="rId8" w:history="1">
        <w:r w:rsidRPr="00963472">
          <w:rPr>
            <w:rStyle w:val="Hipervnculo"/>
            <w:rFonts w:ascii="Palatino Linotype" w:eastAsia="MS Mincho" w:hAnsi="Palatino Linotype" w:cs="Arial"/>
            <w:sz w:val="22"/>
            <w:szCs w:val="22"/>
          </w:rPr>
          <w:t>https://www.ipomex.org.mx/ipo3/lgt/indice/TENANCINGO/art_92_viii_b/4.web</w:t>
        </w:r>
      </w:hyperlink>
      <w:r w:rsidRPr="00963472">
        <w:rPr>
          <w:rFonts w:ascii="Palatino Linotype" w:eastAsia="MS Mincho" w:hAnsi="Palatino Linotype" w:cs="Arial"/>
          <w:sz w:val="22"/>
          <w:szCs w:val="22"/>
        </w:rPr>
        <w:t xml:space="preserve">. </w:t>
      </w:r>
    </w:p>
    <w:p w14:paraId="4537626C" w14:textId="4A146713" w:rsidR="00963472" w:rsidRPr="00963472" w:rsidRDefault="00ED4575" w:rsidP="00963472">
      <w:pPr>
        <w:spacing w:line="360" w:lineRule="auto"/>
        <w:jc w:val="both"/>
        <w:rPr>
          <w:rFonts w:ascii="Palatino Linotype" w:hAnsi="Palatino Linotype" w:cs="Arial"/>
          <w:sz w:val="22"/>
          <w:szCs w:val="22"/>
        </w:rPr>
      </w:pPr>
      <w:r w:rsidRPr="00963472">
        <w:rPr>
          <w:rFonts w:ascii="Palatino Linotype" w:hAnsi="Palatino Linotype" w:cs="Arial"/>
          <w:sz w:val="22"/>
          <w:szCs w:val="22"/>
          <w:lang w:val="es-419"/>
        </w:rPr>
        <w:t xml:space="preserve">Inconforme con la respuesta, </w:t>
      </w:r>
      <w:r w:rsidR="00AB253B" w:rsidRPr="00963472">
        <w:rPr>
          <w:rFonts w:ascii="Palatino Linotype" w:hAnsi="Palatino Linotype" w:cs="Arial"/>
          <w:sz w:val="22"/>
          <w:szCs w:val="22"/>
          <w:lang w:val="es-419"/>
        </w:rPr>
        <w:t xml:space="preserve">el Recurrente </w:t>
      </w:r>
      <w:r w:rsidRPr="00963472">
        <w:rPr>
          <w:rFonts w:ascii="Palatino Linotype" w:hAnsi="Palatino Linotype" w:cs="Arial"/>
          <w:sz w:val="22"/>
          <w:szCs w:val="22"/>
          <w:lang w:val="es-419"/>
        </w:rPr>
        <w:t xml:space="preserve">interpuso el presente medio de defensa, </w:t>
      </w:r>
      <w:r w:rsidR="00963472" w:rsidRPr="00963472">
        <w:rPr>
          <w:rFonts w:ascii="Palatino Linotype" w:hAnsi="Palatino Linotype" w:cs="Arial"/>
          <w:sz w:val="22"/>
          <w:szCs w:val="22"/>
        </w:rPr>
        <w:t>en el que señaló el particular, los siguientes agravios para ambos Recursos, a saber:</w:t>
      </w:r>
    </w:p>
    <w:p w14:paraId="78C7A4DE" w14:textId="77777777" w:rsidR="00963472" w:rsidRPr="00963472" w:rsidRDefault="00963472" w:rsidP="00963472">
      <w:pPr>
        <w:pStyle w:val="Prrafodelista"/>
        <w:numPr>
          <w:ilvl w:val="0"/>
          <w:numId w:val="8"/>
        </w:numPr>
        <w:spacing w:before="100" w:beforeAutospacing="1" w:after="100" w:afterAutospacing="1" w:line="360" w:lineRule="auto"/>
        <w:contextualSpacing w:val="0"/>
        <w:jc w:val="both"/>
        <w:rPr>
          <w:rFonts w:ascii="Palatino Linotype" w:hAnsi="Palatino Linotype" w:cs="Arial"/>
          <w:b/>
          <w:bCs/>
          <w:sz w:val="22"/>
          <w:szCs w:val="22"/>
        </w:rPr>
      </w:pPr>
      <w:bookmarkStart w:id="3" w:name="_Hlk107958112"/>
      <w:bookmarkStart w:id="4" w:name="_Hlk110427792"/>
      <w:bookmarkStart w:id="5" w:name="_Hlk76554159"/>
      <w:r w:rsidRPr="00963472">
        <w:rPr>
          <w:rFonts w:ascii="Palatino Linotype" w:hAnsi="Palatino Linotype" w:cs="Arial"/>
          <w:b/>
          <w:bCs/>
          <w:sz w:val="22"/>
          <w:szCs w:val="22"/>
        </w:rPr>
        <w:t>Acto impugnado:</w:t>
      </w:r>
    </w:p>
    <w:p w14:paraId="1E0CDE79" w14:textId="77777777" w:rsidR="00963472" w:rsidRPr="00963472" w:rsidRDefault="00963472" w:rsidP="00963472">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963472">
        <w:rPr>
          <w:rFonts w:ascii="Palatino Linotype" w:hAnsi="Palatino Linotype" w:cs="Arial"/>
          <w:i/>
          <w:sz w:val="22"/>
          <w:szCs w:val="22"/>
        </w:rPr>
        <w:t>“Se me niega la información." (Sic)</w:t>
      </w:r>
    </w:p>
    <w:p w14:paraId="6EBF8B51" w14:textId="77777777" w:rsidR="00963472" w:rsidRPr="00963472" w:rsidRDefault="00963472" w:rsidP="00963472">
      <w:pPr>
        <w:pStyle w:val="Prrafodelista"/>
        <w:numPr>
          <w:ilvl w:val="0"/>
          <w:numId w:val="8"/>
        </w:numPr>
        <w:spacing w:before="100" w:beforeAutospacing="1" w:after="100" w:afterAutospacing="1" w:line="360" w:lineRule="auto"/>
        <w:contextualSpacing w:val="0"/>
        <w:jc w:val="both"/>
        <w:rPr>
          <w:rFonts w:ascii="Palatino Linotype" w:hAnsi="Palatino Linotype" w:cs="Arial"/>
          <w:b/>
          <w:bCs/>
          <w:sz w:val="22"/>
          <w:szCs w:val="22"/>
        </w:rPr>
      </w:pPr>
      <w:r w:rsidRPr="00963472">
        <w:rPr>
          <w:rFonts w:ascii="Palatino Linotype" w:hAnsi="Palatino Linotype" w:cs="Arial"/>
          <w:b/>
          <w:bCs/>
          <w:sz w:val="22"/>
          <w:szCs w:val="22"/>
        </w:rPr>
        <w:t>Razones o motivos de inconformidad:</w:t>
      </w:r>
    </w:p>
    <w:p w14:paraId="45508794" w14:textId="77777777" w:rsidR="00963472" w:rsidRPr="00963472" w:rsidRDefault="00963472" w:rsidP="00963472">
      <w:pPr>
        <w:spacing w:before="100" w:beforeAutospacing="1" w:after="100" w:afterAutospacing="1" w:line="276" w:lineRule="auto"/>
        <w:ind w:left="850" w:right="901"/>
        <w:jc w:val="both"/>
        <w:rPr>
          <w:rFonts w:ascii="Palatino Linotype" w:hAnsi="Palatino Linotype" w:cs="Arial"/>
          <w:i/>
          <w:sz w:val="22"/>
          <w:szCs w:val="22"/>
        </w:rPr>
      </w:pPr>
      <w:r w:rsidRPr="00963472">
        <w:rPr>
          <w:rFonts w:ascii="Palatino Linotype" w:hAnsi="Palatino Linotype" w:cs="Arial"/>
          <w:i/>
          <w:sz w:val="22"/>
          <w:szCs w:val="22"/>
        </w:rPr>
        <w:t>“</w:t>
      </w:r>
      <w:bookmarkEnd w:id="3"/>
      <w:r w:rsidRPr="00963472">
        <w:rPr>
          <w:rFonts w:ascii="Palatino Linotype" w:hAnsi="Palatino Linotype" w:cs="Arial"/>
          <w:i/>
          <w:sz w:val="22"/>
          <w:szCs w:val="22"/>
        </w:rPr>
        <w:t xml:space="preserve">Se me niega la información.” </w:t>
      </w:r>
    </w:p>
    <w:bookmarkEnd w:id="4"/>
    <w:bookmarkEnd w:id="5"/>
    <w:p w14:paraId="3F929E26" w14:textId="317B0A6A" w:rsidR="008D2E26" w:rsidRPr="00DC63E7" w:rsidRDefault="008D2E26"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Es así que, la Ponencia Resolutora realizó un estudio para determinar si </w:t>
      </w:r>
      <w:r w:rsidRPr="00DC63E7">
        <w:rPr>
          <w:rFonts w:ascii="Palatino Linotype" w:hAnsi="Palatino Linotype" w:cs="Arial"/>
          <w:b/>
          <w:bCs/>
          <w:sz w:val="22"/>
          <w:szCs w:val="22"/>
        </w:rPr>
        <w:t>EL SUJETO OBLIGADO</w:t>
      </w:r>
      <w:r w:rsidRPr="00DC63E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el artículo 179 de la Ley de Transparencia y Acceso a la Información Pública del Estado de México y sus Municipios</w:t>
      </w:r>
      <w:r w:rsidR="003458C8">
        <w:rPr>
          <w:rFonts w:ascii="Palatino Linotype" w:hAnsi="Palatino Linotype" w:cs="Arial"/>
          <w:sz w:val="22"/>
          <w:szCs w:val="22"/>
        </w:rPr>
        <w:t>.</w:t>
      </w:r>
    </w:p>
    <w:p w14:paraId="6B757E15" w14:textId="77777777" w:rsidR="00ED4575" w:rsidRPr="00DC63E7" w:rsidRDefault="00ED4575" w:rsidP="00DC63E7">
      <w:pPr>
        <w:spacing w:line="360" w:lineRule="auto"/>
        <w:contextualSpacing/>
        <w:jc w:val="both"/>
        <w:rPr>
          <w:rFonts w:ascii="Palatino Linotype" w:hAnsi="Palatino Linotype" w:cs="Arial"/>
          <w:sz w:val="22"/>
          <w:szCs w:val="22"/>
        </w:rPr>
      </w:pPr>
    </w:p>
    <w:p w14:paraId="62050923" w14:textId="1C776BB4" w:rsidR="009B22CE" w:rsidRPr="00DC63E7" w:rsidRDefault="009B22CE" w:rsidP="00DC63E7">
      <w:pPr>
        <w:spacing w:line="360" w:lineRule="auto"/>
        <w:jc w:val="both"/>
        <w:rPr>
          <w:rFonts w:ascii="Palatino Linotype" w:hAnsi="Palatino Linotype"/>
          <w:i/>
          <w:color w:val="000000"/>
          <w:sz w:val="22"/>
          <w:szCs w:val="20"/>
        </w:rPr>
      </w:pPr>
      <w:r w:rsidRPr="00DC63E7">
        <w:rPr>
          <w:rFonts w:ascii="Palatino Linotype" w:hAnsi="Palatino Linotype"/>
          <w:color w:val="000000"/>
          <w:sz w:val="22"/>
          <w:szCs w:val="20"/>
        </w:rPr>
        <w:lastRenderedPageBreak/>
        <w:t xml:space="preserve">En esa tesitura, el presente recurso se </w:t>
      </w:r>
      <w:r w:rsidR="00544787">
        <w:rPr>
          <w:rFonts w:ascii="Palatino Linotype" w:hAnsi="Palatino Linotype"/>
          <w:color w:val="000000"/>
          <w:sz w:val="22"/>
          <w:szCs w:val="20"/>
        </w:rPr>
        <w:t>elaboró</w:t>
      </w:r>
      <w:r w:rsidRPr="00DC63E7">
        <w:rPr>
          <w:rFonts w:ascii="Palatino Linotype" w:hAnsi="Palatino Linotype"/>
          <w:color w:val="000000"/>
          <w:sz w:val="22"/>
          <w:szCs w:val="20"/>
        </w:rPr>
        <w:t xml:space="preserve"> engrose</w:t>
      </w:r>
      <w:r w:rsidR="00332425">
        <w:rPr>
          <w:rFonts w:ascii="Palatino Linotype" w:hAnsi="Palatino Linotype"/>
          <w:color w:val="000000"/>
          <w:sz w:val="22"/>
          <w:szCs w:val="20"/>
        </w:rPr>
        <w:t xml:space="preserve"> con el </w:t>
      </w:r>
      <w:r w:rsidRPr="00DC63E7">
        <w:rPr>
          <w:rFonts w:ascii="Palatino Linotype" w:hAnsi="Palatino Linotype"/>
          <w:color w:val="000000"/>
          <w:sz w:val="22"/>
          <w:szCs w:val="20"/>
        </w:rPr>
        <w:t xml:space="preserve">criterio mayoritario </w:t>
      </w:r>
      <w:r w:rsidR="00332425">
        <w:rPr>
          <w:rFonts w:ascii="Palatino Linotype" w:hAnsi="Palatino Linotype"/>
          <w:color w:val="000000"/>
          <w:sz w:val="22"/>
          <w:szCs w:val="20"/>
        </w:rPr>
        <w:t>d</w:t>
      </w:r>
      <w:r w:rsidRPr="00DC63E7">
        <w:rPr>
          <w:rFonts w:ascii="Palatino Linotype" w:hAnsi="Palatino Linotype"/>
          <w:color w:val="000000"/>
          <w:sz w:val="22"/>
          <w:szCs w:val="20"/>
        </w:rPr>
        <w:t>el Pleno de este Instituto, en el que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C63E7">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DC63E7" w:rsidRDefault="00BE7409" w:rsidP="00DC63E7">
      <w:pPr>
        <w:spacing w:line="360" w:lineRule="auto"/>
        <w:contextualSpacing/>
        <w:jc w:val="both"/>
        <w:rPr>
          <w:rFonts w:ascii="Palatino Linotype" w:hAnsi="Palatino Linotype" w:cs="Arial"/>
          <w:sz w:val="22"/>
          <w:szCs w:val="22"/>
        </w:rPr>
      </w:pPr>
    </w:p>
    <w:p w14:paraId="403A35AE" w14:textId="5D57A604" w:rsidR="00D734D9" w:rsidRPr="00DC63E7" w:rsidRDefault="003F6468"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En ese sentido, </w:t>
      </w:r>
      <w:r w:rsidR="00E26DA0" w:rsidRPr="00DC63E7">
        <w:rPr>
          <w:rFonts w:ascii="Palatino Linotype" w:hAnsi="Palatino Linotype" w:cs="Arial"/>
          <w:sz w:val="22"/>
          <w:szCs w:val="22"/>
        </w:rPr>
        <w:t>se realiz</w:t>
      </w:r>
      <w:r w:rsidR="00E6403A" w:rsidRPr="00DC63E7">
        <w:rPr>
          <w:rFonts w:ascii="Palatino Linotype" w:hAnsi="Palatino Linotype" w:cs="Arial"/>
          <w:sz w:val="22"/>
          <w:szCs w:val="22"/>
        </w:rPr>
        <w:t>ó</w:t>
      </w:r>
      <w:r w:rsidR="00E26DA0" w:rsidRPr="00DC63E7">
        <w:rPr>
          <w:rFonts w:ascii="Palatino Linotype" w:hAnsi="Palatino Linotype" w:cs="Arial"/>
          <w:sz w:val="22"/>
          <w:szCs w:val="22"/>
        </w:rPr>
        <w:t xml:space="preserve"> el </w:t>
      </w:r>
      <w:r w:rsidR="00E6403A" w:rsidRPr="00DC63E7">
        <w:rPr>
          <w:rFonts w:ascii="Palatino Linotype" w:hAnsi="Palatino Linotype" w:cs="Arial"/>
          <w:sz w:val="22"/>
          <w:szCs w:val="22"/>
        </w:rPr>
        <w:t>engrose</w:t>
      </w:r>
      <w:r w:rsidR="00E26DA0" w:rsidRPr="00DC63E7">
        <w:rPr>
          <w:rFonts w:ascii="Palatino Linotype" w:hAnsi="Palatino Linotype" w:cs="Arial"/>
          <w:sz w:val="22"/>
          <w:szCs w:val="22"/>
        </w:rPr>
        <w:t xml:space="preserve"> </w:t>
      </w:r>
      <w:r w:rsidR="00332425">
        <w:rPr>
          <w:rFonts w:ascii="Palatino Linotype" w:hAnsi="Palatino Linotype"/>
          <w:color w:val="000000"/>
          <w:sz w:val="22"/>
          <w:szCs w:val="20"/>
        </w:rPr>
        <w:t xml:space="preserve">con el </w:t>
      </w:r>
      <w:r w:rsidR="00332425" w:rsidRPr="00DC63E7">
        <w:rPr>
          <w:rFonts w:ascii="Palatino Linotype" w:hAnsi="Palatino Linotype"/>
          <w:color w:val="000000"/>
          <w:sz w:val="22"/>
          <w:szCs w:val="20"/>
        </w:rPr>
        <w:t xml:space="preserve">criterio mayoritario </w:t>
      </w:r>
      <w:r w:rsidR="00332425">
        <w:rPr>
          <w:rFonts w:ascii="Palatino Linotype" w:hAnsi="Palatino Linotype"/>
          <w:color w:val="000000"/>
          <w:sz w:val="22"/>
          <w:szCs w:val="20"/>
        </w:rPr>
        <w:t>d</w:t>
      </w:r>
      <w:r w:rsidR="00332425" w:rsidRPr="00DC63E7">
        <w:rPr>
          <w:rFonts w:ascii="Palatino Linotype" w:hAnsi="Palatino Linotype"/>
          <w:color w:val="000000"/>
          <w:sz w:val="22"/>
          <w:szCs w:val="20"/>
        </w:rPr>
        <w:t>el Pleno de este Instituto</w:t>
      </w:r>
      <w:r w:rsidR="00332425">
        <w:rPr>
          <w:rFonts w:ascii="Palatino Linotype" w:hAnsi="Palatino Linotype" w:cs="Arial"/>
          <w:sz w:val="22"/>
          <w:szCs w:val="22"/>
        </w:rPr>
        <w:t xml:space="preserve">, </w:t>
      </w:r>
      <w:r w:rsidR="00E6403A" w:rsidRPr="00DC63E7">
        <w:rPr>
          <w:rFonts w:ascii="Palatino Linotype" w:hAnsi="Palatino Linotype" w:cs="Arial"/>
          <w:sz w:val="22"/>
          <w:szCs w:val="22"/>
        </w:rPr>
        <w:t>y</w:t>
      </w:r>
      <w:r w:rsidRPr="00DC63E7">
        <w:rPr>
          <w:rFonts w:ascii="Palatino Linotype" w:hAnsi="Palatino Linotype" w:cs="Arial"/>
          <w:sz w:val="22"/>
          <w:szCs w:val="22"/>
        </w:rPr>
        <w:t xml:space="preserve"> </w:t>
      </w:r>
      <w:r w:rsidR="00332425">
        <w:rPr>
          <w:rFonts w:ascii="Palatino Linotype" w:hAnsi="Palatino Linotype" w:cs="Arial"/>
          <w:sz w:val="22"/>
          <w:szCs w:val="22"/>
        </w:rPr>
        <w:t xml:space="preserve">se </w:t>
      </w:r>
      <w:r w:rsidR="008E75B6" w:rsidRPr="00DC63E7">
        <w:rPr>
          <w:rFonts w:ascii="Palatino Linotype" w:hAnsi="Palatino Linotype" w:cs="Arial"/>
          <w:sz w:val="22"/>
          <w:szCs w:val="22"/>
        </w:rPr>
        <w:t>orden</w:t>
      </w:r>
      <w:r w:rsidR="004365C0" w:rsidRPr="00DC63E7">
        <w:rPr>
          <w:rFonts w:ascii="Palatino Linotype" w:hAnsi="Palatino Linotype" w:cs="Arial"/>
          <w:sz w:val="22"/>
          <w:szCs w:val="22"/>
        </w:rPr>
        <w:t>ó</w:t>
      </w:r>
      <w:r w:rsidR="008E75B6" w:rsidRPr="00DC63E7">
        <w:rPr>
          <w:rFonts w:ascii="Palatino Linotype" w:hAnsi="Palatino Linotype" w:cs="Arial"/>
          <w:sz w:val="22"/>
          <w:szCs w:val="22"/>
        </w:rPr>
        <w:t xml:space="preserve"> </w:t>
      </w:r>
      <w:r w:rsidR="00D734D9" w:rsidRPr="00DC63E7">
        <w:rPr>
          <w:rFonts w:ascii="Palatino Linotype" w:hAnsi="Palatino Linotype" w:cs="Arial"/>
          <w:sz w:val="22"/>
          <w:szCs w:val="22"/>
        </w:rPr>
        <w:t xml:space="preserve">entregar la información solicitada por el recurrente únicamente reservando del nombre de los elementos </w:t>
      </w:r>
      <w:r w:rsidR="00D27FB7" w:rsidRPr="00DC63E7">
        <w:rPr>
          <w:rFonts w:ascii="Palatino Linotype" w:hAnsi="Palatino Linotype" w:cs="Arial"/>
          <w:sz w:val="22"/>
          <w:szCs w:val="22"/>
        </w:rPr>
        <w:t xml:space="preserve">operativos de </w:t>
      </w:r>
      <w:r w:rsidR="00E6403A" w:rsidRPr="00DC63E7">
        <w:rPr>
          <w:rFonts w:ascii="Palatino Linotype" w:hAnsi="Palatino Linotype" w:cs="Arial"/>
          <w:sz w:val="22"/>
          <w:szCs w:val="22"/>
        </w:rPr>
        <w:t>Seguridad Pública</w:t>
      </w:r>
      <w:r w:rsidR="00486C83" w:rsidRPr="00DC63E7">
        <w:rPr>
          <w:rFonts w:ascii="Palatino Linotype" w:hAnsi="Palatino Linotype" w:cs="Arial"/>
          <w:sz w:val="22"/>
          <w:szCs w:val="22"/>
        </w:rPr>
        <w:t xml:space="preserve">, </w:t>
      </w:r>
      <w:r w:rsidR="00D734D9" w:rsidRPr="00DC63E7">
        <w:rPr>
          <w:rFonts w:ascii="Palatino Linotype" w:hAnsi="Palatino Linotype" w:cs="Arial"/>
          <w:sz w:val="22"/>
          <w:szCs w:val="22"/>
        </w:rPr>
        <w:t>que se encuentren activos</w:t>
      </w:r>
      <w:r w:rsidR="00D27FB7" w:rsidRPr="00DC63E7">
        <w:rPr>
          <w:rFonts w:ascii="Palatino Linotype" w:hAnsi="Palatino Linotype" w:cs="Arial"/>
          <w:sz w:val="22"/>
          <w:szCs w:val="22"/>
        </w:rPr>
        <w:t xml:space="preserve"> en el Municipio </w:t>
      </w:r>
      <w:r w:rsidR="00ED4575" w:rsidRPr="00DC63E7">
        <w:rPr>
          <w:rFonts w:ascii="Palatino Linotype" w:hAnsi="Palatino Linotype" w:cs="Arial"/>
          <w:sz w:val="22"/>
          <w:szCs w:val="22"/>
        </w:rPr>
        <w:t xml:space="preserve">de </w:t>
      </w:r>
      <w:r w:rsidR="002515EA" w:rsidRPr="002515EA">
        <w:rPr>
          <w:rFonts w:ascii="Palatino Linotype" w:hAnsi="Palatino Linotype" w:cs="Arial"/>
          <w:sz w:val="22"/>
          <w:szCs w:val="22"/>
        </w:rPr>
        <w:t>Tenancingo</w:t>
      </w:r>
      <w:r w:rsidR="00D734D9" w:rsidRPr="00DC63E7">
        <w:rPr>
          <w:rFonts w:ascii="Palatino Linotype" w:hAnsi="Palatino Linotype" w:cs="Arial"/>
          <w:sz w:val="22"/>
          <w:szCs w:val="22"/>
        </w:rPr>
        <w:t xml:space="preserve">, </w:t>
      </w:r>
      <w:r w:rsidR="00117ACE" w:rsidRPr="00DC63E7">
        <w:rPr>
          <w:rFonts w:ascii="Palatino Linotype" w:hAnsi="Palatino Linotype" w:cs="Arial"/>
          <w:sz w:val="22"/>
          <w:szCs w:val="22"/>
        </w:rPr>
        <w:t xml:space="preserve">como lo es criterio mayoritario del Pleno de este Instituto, </w:t>
      </w:r>
      <w:r w:rsidR="00D734D9" w:rsidRPr="00DC63E7">
        <w:rPr>
          <w:rFonts w:ascii="Palatino Linotype" w:hAnsi="Palatino Linotype" w:cs="Arial"/>
          <w:sz w:val="22"/>
          <w:szCs w:val="22"/>
        </w:rPr>
        <w:t xml:space="preserve">en términos del artículo 140, fracción IV, de la </w:t>
      </w:r>
      <w:r w:rsidR="008E75B6" w:rsidRPr="00DC63E7">
        <w:rPr>
          <w:rFonts w:ascii="Palatino Linotype" w:hAnsi="Palatino Linotype" w:cs="Arial"/>
          <w:sz w:val="22"/>
          <w:szCs w:val="22"/>
        </w:rPr>
        <w:t xml:space="preserve">Ley de Transparencia y Acceso a </w:t>
      </w:r>
      <w:r w:rsidR="00D734D9" w:rsidRPr="00DC63E7">
        <w:rPr>
          <w:rFonts w:ascii="Palatino Linotype" w:hAnsi="Palatino Linotype" w:cs="Arial"/>
          <w:sz w:val="22"/>
          <w:szCs w:val="22"/>
        </w:rPr>
        <w:t>la Información Pública del Estado de México y Municipios.</w:t>
      </w:r>
    </w:p>
    <w:p w14:paraId="7E6BA0D2" w14:textId="77777777" w:rsidR="00BE7409" w:rsidRPr="00DC63E7" w:rsidRDefault="00BE7409" w:rsidP="00DC63E7">
      <w:pPr>
        <w:spacing w:line="360" w:lineRule="auto"/>
        <w:contextualSpacing/>
        <w:jc w:val="both"/>
        <w:rPr>
          <w:rFonts w:ascii="Palatino Linotype" w:hAnsi="Palatino Linotype" w:cs="Arial"/>
          <w:sz w:val="22"/>
          <w:szCs w:val="22"/>
        </w:rPr>
      </w:pPr>
    </w:p>
    <w:p w14:paraId="62A5A15A" w14:textId="79FB7C11" w:rsidR="009D50D6" w:rsidRPr="00DC63E7" w:rsidRDefault="008D2E26" w:rsidP="00DC63E7">
      <w:pPr>
        <w:spacing w:line="360" w:lineRule="auto"/>
        <w:contextualSpacing/>
        <w:jc w:val="both"/>
        <w:rPr>
          <w:rFonts w:ascii="Palatino Linotype" w:hAnsi="Palatino Linotype"/>
          <w:color w:val="000000"/>
          <w:sz w:val="22"/>
          <w:szCs w:val="22"/>
        </w:rPr>
      </w:pPr>
      <w:r w:rsidRPr="00DC63E7">
        <w:rPr>
          <w:rFonts w:ascii="Palatino Linotype" w:hAnsi="Palatino Linotype" w:cs="Arial"/>
          <w:sz w:val="22"/>
          <w:szCs w:val="22"/>
        </w:rPr>
        <w:t>Estudi</w:t>
      </w:r>
      <w:r w:rsidR="00AD5C25" w:rsidRPr="00DC63E7">
        <w:rPr>
          <w:rFonts w:ascii="Palatino Linotype" w:hAnsi="Palatino Linotype" w:cs="Arial"/>
          <w:sz w:val="22"/>
          <w:szCs w:val="22"/>
        </w:rPr>
        <w:t>o</w:t>
      </w:r>
      <w:r w:rsidR="00492D79" w:rsidRPr="00DC63E7">
        <w:rPr>
          <w:rFonts w:ascii="Palatino Linotype" w:hAnsi="Palatino Linotype" w:cs="Arial"/>
          <w:sz w:val="22"/>
          <w:szCs w:val="22"/>
        </w:rPr>
        <w:t xml:space="preserve"> con el cual esta Ponencia no </w:t>
      </w:r>
      <w:r w:rsidR="009D50D6" w:rsidRPr="00DC63E7">
        <w:rPr>
          <w:rFonts w:ascii="Palatino Linotype" w:hAnsi="Palatino Linotype" w:cs="Arial"/>
          <w:sz w:val="22"/>
          <w:szCs w:val="22"/>
        </w:rPr>
        <w:t>coincide</w:t>
      </w:r>
      <w:r w:rsidR="00492D79" w:rsidRPr="00DC63E7">
        <w:rPr>
          <w:rFonts w:ascii="Palatino Linotype" w:hAnsi="Palatino Linotype" w:cs="Arial"/>
          <w:sz w:val="22"/>
          <w:szCs w:val="22"/>
        </w:rPr>
        <w:t xml:space="preserve">, </w:t>
      </w:r>
      <w:r w:rsidR="009D50D6" w:rsidRPr="00DC63E7">
        <w:rPr>
          <w:rFonts w:ascii="Palatino Linotype" w:hAnsi="Palatino Linotype" w:cs="Arial"/>
          <w:sz w:val="22"/>
          <w:szCs w:val="22"/>
        </w:rPr>
        <w:t xml:space="preserve">ya que </w:t>
      </w:r>
      <w:r w:rsidR="009D50D6" w:rsidRPr="00DC63E7">
        <w:rPr>
          <w:rFonts w:ascii="Palatino Linotype" w:hAnsi="Palatino Linotype"/>
          <w:color w:val="000000"/>
          <w:sz w:val="22"/>
          <w:szCs w:val="22"/>
        </w:rPr>
        <w:t xml:space="preserve">la entrega de la información </w:t>
      </w:r>
      <w:r w:rsidR="00A07096" w:rsidRPr="00DC63E7">
        <w:rPr>
          <w:rFonts w:ascii="Palatino Linotype" w:hAnsi="Palatino Linotype"/>
          <w:color w:val="000000"/>
          <w:sz w:val="22"/>
          <w:szCs w:val="22"/>
        </w:rPr>
        <w:t xml:space="preserve">del cargo y área de adscripción del personal de seguridad pública, </w:t>
      </w:r>
      <w:r w:rsidR="009D50D6" w:rsidRPr="00DC63E7">
        <w:rPr>
          <w:rFonts w:ascii="Palatino Linotype" w:hAnsi="Palatino Linotype"/>
          <w:color w:val="000000"/>
          <w:sz w:val="22"/>
          <w:szCs w:val="22"/>
        </w:rPr>
        <w:t>en su respectiva versión pública puede hacer identificable a</w:t>
      </w:r>
      <w:r w:rsidR="006D5765" w:rsidRPr="00DC63E7">
        <w:rPr>
          <w:rFonts w:ascii="Palatino Linotype" w:hAnsi="Palatino Linotype"/>
          <w:color w:val="000000"/>
          <w:sz w:val="22"/>
          <w:szCs w:val="22"/>
        </w:rPr>
        <w:t xml:space="preserve"> dichos elementos de seguridad</w:t>
      </w:r>
      <w:r w:rsidR="009D50D6" w:rsidRPr="00DC63E7">
        <w:rPr>
          <w:rFonts w:ascii="Palatino Linotype" w:hAnsi="Palatino Linotype"/>
          <w:color w:val="000000"/>
          <w:sz w:val="22"/>
          <w:szCs w:val="22"/>
        </w:rPr>
        <w:t xml:space="preserve">. </w:t>
      </w:r>
    </w:p>
    <w:p w14:paraId="3DA15A42" w14:textId="072BD5A3" w:rsidR="009D50D6" w:rsidRPr="00DC63E7" w:rsidRDefault="009D50D6" w:rsidP="00DC63E7">
      <w:pPr>
        <w:spacing w:line="360" w:lineRule="auto"/>
        <w:contextualSpacing/>
        <w:jc w:val="both"/>
        <w:rPr>
          <w:rFonts w:ascii="Palatino Linotype" w:hAnsi="Palatino Linotype" w:cs="Arial"/>
          <w:sz w:val="22"/>
          <w:szCs w:val="22"/>
        </w:rPr>
      </w:pPr>
    </w:p>
    <w:p w14:paraId="3FD39E5F" w14:textId="71D3852A" w:rsidR="006D5765" w:rsidRPr="00DC63E7" w:rsidRDefault="009D50D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s="Arial"/>
          <w:sz w:val="22"/>
          <w:szCs w:val="22"/>
        </w:rPr>
        <w:t xml:space="preserve">Aunado a ello, </w:t>
      </w:r>
      <w:r w:rsidR="00492D79" w:rsidRPr="00DC63E7">
        <w:rPr>
          <w:rFonts w:ascii="Palatino Linotype" w:hAnsi="Palatino Linotype" w:cs="Arial"/>
          <w:sz w:val="22"/>
          <w:szCs w:val="22"/>
        </w:rPr>
        <w:t>la</w:t>
      </w:r>
      <w:r w:rsidR="00AD5C25" w:rsidRPr="00DC63E7">
        <w:rPr>
          <w:rFonts w:ascii="Palatino Linotype" w:hAnsi="Palatino Linotype" w:cs="Arial"/>
          <w:sz w:val="22"/>
          <w:szCs w:val="22"/>
        </w:rPr>
        <w:t xml:space="preserve"> Suprema Corte de Justicia de la Nación </w:t>
      </w:r>
      <w:r w:rsidR="004365C0" w:rsidRPr="00DC63E7">
        <w:rPr>
          <w:rFonts w:ascii="Palatino Linotype" w:hAnsi="Palatino Linotype" w:cs="Arial"/>
          <w:sz w:val="22"/>
          <w:szCs w:val="22"/>
        </w:rPr>
        <w:t xml:space="preserve">el </w:t>
      </w:r>
      <w:r w:rsidR="00A84394" w:rsidRPr="00DC63E7">
        <w:rPr>
          <w:rFonts w:ascii="Palatino Linotype" w:hAnsi="Palatino Linotype" w:cs="Arial"/>
          <w:sz w:val="22"/>
          <w:szCs w:val="22"/>
        </w:rPr>
        <w:t xml:space="preserve">doce de mayo de dos mil veintidós, resolvió la Controversia Constitucional 325/2019, en </w:t>
      </w:r>
      <w:r w:rsidRPr="00DC63E7">
        <w:rPr>
          <w:rFonts w:ascii="Palatino Linotype" w:hAnsi="Palatino Linotype" w:cs="Arial"/>
          <w:sz w:val="22"/>
          <w:szCs w:val="22"/>
        </w:rPr>
        <w:t xml:space="preserve">la </w:t>
      </w:r>
      <w:r w:rsidR="00A84394" w:rsidRPr="00DC63E7">
        <w:rPr>
          <w:rFonts w:ascii="Palatino Linotype" w:hAnsi="Palatino Linotype" w:cs="Arial"/>
          <w:sz w:val="22"/>
          <w:szCs w:val="22"/>
        </w:rPr>
        <w:t xml:space="preserve">que determinó clasificar como reservada la información relativa al personal sustantivo/operativo, </w:t>
      </w:r>
      <w:r w:rsidR="006D5765" w:rsidRPr="00DC63E7">
        <w:rPr>
          <w:rFonts w:ascii="Palatino Linotype" w:hAnsi="Palatino Linotype" w:cs="Arial"/>
          <w:sz w:val="22"/>
          <w:szCs w:val="22"/>
        </w:rPr>
        <w:t xml:space="preserve">entendiéndose aquellos servidores públicos que realizan funciones sustantivas y de averiguación, en </w:t>
      </w:r>
      <w:r w:rsidR="00E601D1" w:rsidRPr="00DC63E7">
        <w:rPr>
          <w:rFonts w:ascii="Palatino Linotype" w:hAnsi="Palatino Linotype" w:cs="Arial"/>
          <w:sz w:val="22"/>
          <w:szCs w:val="22"/>
        </w:rPr>
        <w:t xml:space="preserve">la </w:t>
      </w:r>
      <w:r w:rsidR="006D5765" w:rsidRPr="00DC63E7">
        <w:rPr>
          <w:rFonts w:ascii="Palatino Linotype" w:hAnsi="Palatino Linotype" w:cs="Arial"/>
          <w:sz w:val="22"/>
          <w:szCs w:val="22"/>
        </w:rPr>
        <w:t xml:space="preserve">citada resolución determinó que divulgar su información </w:t>
      </w:r>
      <w:r w:rsidR="006D5765" w:rsidRPr="00DC63E7">
        <w:rPr>
          <w:rFonts w:ascii="Palatino Linotype" w:hAnsi="Palatino Linotype" w:cs="Arial"/>
          <w:b/>
          <w:bCs/>
          <w:sz w:val="22"/>
          <w:szCs w:val="22"/>
        </w:rPr>
        <w:t xml:space="preserve">representa un riesgo real, demostrable e identificable, </w:t>
      </w:r>
      <w:r w:rsidR="006D5765" w:rsidRPr="00DC63E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DC63E7">
        <w:rPr>
          <w:rFonts w:ascii="Palatino Linotype" w:hAnsi="Palatino Linotype" w:cs="Arial"/>
          <w:sz w:val="22"/>
          <w:szCs w:val="22"/>
        </w:rPr>
        <w:t xml:space="preserve">como notas periodísticas, redes sociales Twitter, Facebook, Instagram y LinkedIn </w:t>
      </w:r>
      <w:r w:rsidR="006D5765" w:rsidRPr="00DC63E7">
        <w:rPr>
          <w:rFonts w:ascii="Palatino Linotype" w:hAnsi="Palatino Linotype" w:cs="Arial"/>
          <w:sz w:val="22"/>
          <w:szCs w:val="22"/>
        </w:rPr>
        <w:t xml:space="preserve">provocaría que los grupos delictivos estuvieran en posibilidad de identificar a cada uno de las personas que realizan tareas </w:t>
      </w:r>
      <w:r w:rsidR="006D5765" w:rsidRPr="00DC63E7">
        <w:rPr>
          <w:rFonts w:ascii="Palatino Linotype" w:hAnsi="Palatino Linotype" w:cs="Arial"/>
          <w:sz w:val="22"/>
          <w:szCs w:val="22"/>
        </w:rPr>
        <w:lastRenderedPageBreak/>
        <w:t xml:space="preserve">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DC63E7" w:rsidRDefault="00A07096" w:rsidP="00DC63E7">
      <w:pPr>
        <w:spacing w:line="360" w:lineRule="auto"/>
        <w:contextualSpacing/>
        <w:jc w:val="both"/>
        <w:rPr>
          <w:rFonts w:ascii="Palatino Linotype" w:hAnsi="Palatino Linotype" w:cs="Arial"/>
          <w:sz w:val="22"/>
          <w:szCs w:val="22"/>
        </w:rPr>
      </w:pPr>
    </w:p>
    <w:p w14:paraId="399637A7" w14:textId="212E371D" w:rsidR="008D2E26" w:rsidRPr="00DC63E7" w:rsidRDefault="006D5765" w:rsidP="00DC63E7">
      <w:pPr>
        <w:spacing w:line="360" w:lineRule="auto"/>
        <w:contextualSpacing/>
        <w:jc w:val="both"/>
        <w:rPr>
          <w:rFonts w:ascii="Palatino Linotype" w:hAnsi="Palatino Linotype" w:cs="Arial"/>
          <w:sz w:val="22"/>
          <w:szCs w:val="22"/>
        </w:rPr>
      </w:pPr>
      <w:r w:rsidRPr="00DC63E7">
        <w:rPr>
          <w:rFonts w:ascii="Palatino Linotype" w:hAnsi="Palatino Linotype"/>
          <w:bCs/>
          <w:color w:val="000000"/>
          <w:sz w:val="22"/>
          <w:szCs w:val="22"/>
        </w:rPr>
        <w:t>Es por ello</w:t>
      </w:r>
      <w:r w:rsidRPr="00DC63E7">
        <w:rPr>
          <w:rFonts w:ascii="Palatino Linotype" w:hAnsi="Palatino Linotype"/>
          <w:b/>
          <w:color w:val="000000"/>
          <w:sz w:val="22"/>
          <w:szCs w:val="22"/>
        </w:rPr>
        <w:t xml:space="preserve">, que la suscrita considera de </w:t>
      </w:r>
      <w:r w:rsidR="008D2E26" w:rsidRPr="00DC63E7">
        <w:rPr>
          <w:rFonts w:ascii="Palatino Linotype" w:hAnsi="Palatino Linotype"/>
          <w:b/>
          <w:color w:val="000000"/>
          <w:sz w:val="22"/>
          <w:szCs w:val="22"/>
        </w:rPr>
        <w:t xml:space="preserve">suma importancia </w:t>
      </w:r>
      <w:r w:rsidRPr="00DC63E7">
        <w:rPr>
          <w:rFonts w:ascii="Palatino Linotype" w:hAnsi="Palatino Linotype"/>
          <w:b/>
          <w:color w:val="000000"/>
          <w:sz w:val="22"/>
          <w:szCs w:val="22"/>
        </w:rPr>
        <w:t xml:space="preserve">la </w:t>
      </w:r>
      <w:r w:rsidR="008D2E26" w:rsidRPr="00DC63E7">
        <w:rPr>
          <w:rFonts w:ascii="Palatino Linotype" w:hAnsi="Palatino Linotype"/>
          <w:b/>
          <w:color w:val="000000"/>
          <w:sz w:val="22"/>
          <w:szCs w:val="22"/>
        </w:rPr>
        <w:t xml:space="preserve">reserva respecto al cargo y área de adscripción del personal de Seguridad Pública </w:t>
      </w:r>
      <w:r w:rsidR="008D2E26" w:rsidRPr="00DC63E7">
        <w:rPr>
          <w:rFonts w:ascii="Palatino Linotype" w:hAnsi="Palatino Linotype"/>
          <w:color w:val="000000"/>
          <w:sz w:val="22"/>
          <w:szCs w:val="22"/>
        </w:rPr>
        <w:t xml:space="preserve">del </w:t>
      </w:r>
      <w:r w:rsidR="00ED4575" w:rsidRPr="00DC63E7">
        <w:rPr>
          <w:rFonts w:ascii="Palatino Linotype" w:hAnsi="Palatino Linotype"/>
          <w:color w:val="000000"/>
          <w:sz w:val="22"/>
          <w:szCs w:val="22"/>
        </w:rPr>
        <w:t xml:space="preserve">Ayuntamiento de </w:t>
      </w:r>
      <w:r w:rsidR="002515EA" w:rsidRPr="002515EA">
        <w:rPr>
          <w:rFonts w:ascii="Palatino Linotype" w:hAnsi="Palatino Linotype"/>
          <w:color w:val="000000"/>
          <w:sz w:val="22"/>
          <w:szCs w:val="22"/>
        </w:rPr>
        <w:t>Tenancingo</w:t>
      </w:r>
      <w:r w:rsidR="008D2E26" w:rsidRPr="00DC63E7">
        <w:rPr>
          <w:rFonts w:ascii="Palatino Linotype" w:hAnsi="Palatino Linotype"/>
          <w:color w:val="000000"/>
          <w:sz w:val="22"/>
          <w:szCs w:val="22"/>
        </w:rPr>
        <w:t xml:space="preserve">, pues se ordenó la </w:t>
      </w:r>
      <w:r w:rsidR="00963472">
        <w:rPr>
          <w:rFonts w:ascii="Palatino Linotype" w:hAnsi="Palatino Linotype"/>
          <w:color w:val="000000"/>
          <w:sz w:val="22"/>
          <w:szCs w:val="22"/>
        </w:rPr>
        <w:t xml:space="preserve">entrega de los </w:t>
      </w:r>
      <w:r w:rsidR="00963472" w:rsidRPr="00963472">
        <w:rPr>
          <w:rFonts w:ascii="Palatino Linotype" w:hAnsi="Palatino Linotype"/>
          <w:color w:val="000000"/>
          <w:sz w:val="22"/>
          <w:szCs w:val="22"/>
        </w:rPr>
        <w:t>documentos donde consten las remuneraciones brutas y netas, todas las percepciones, sueldos, prestaciones, gratificaciones, primas, comisiones, dietas, bonos, estímulos, ingresos y sistemas de compensación, de todos los servidores públicos de base o de confianza, del 01 de enero al 29 de abril de 2022;</w:t>
      </w:r>
      <w:r w:rsidR="00963472">
        <w:rPr>
          <w:rFonts w:ascii="Palatino Linotype" w:hAnsi="Palatino Linotype"/>
          <w:color w:val="000000"/>
          <w:sz w:val="22"/>
          <w:szCs w:val="22"/>
        </w:rPr>
        <w:t xml:space="preserve"> </w:t>
      </w:r>
      <w:r w:rsidR="008F7866" w:rsidRPr="00DC63E7">
        <w:rPr>
          <w:rFonts w:ascii="Palatino Linotype" w:hAnsi="Palatino Linotype"/>
          <w:color w:val="000000"/>
          <w:sz w:val="22"/>
          <w:szCs w:val="22"/>
        </w:rPr>
        <w:t>estos</w:t>
      </w:r>
      <w:r w:rsidR="008D2E26" w:rsidRPr="00DC63E7">
        <w:rPr>
          <w:rFonts w:ascii="Palatino Linotype" w:hAnsi="Palatino Linotype"/>
          <w:color w:val="000000"/>
          <w:sz w:val="22"/>
          <w:szCs w:val="22"/>
        </w:rPr>
        <w:t xml:space="preserve"> documento</w:t>
      </w:r>
      <w:r w:rsidR="008F7866" w:rsidRPr="00DC63E7">
        <w:rPr>
          <w:rFonts w:ascii="Palatino Linotype" w:hAnsi="Palatino Linotype"/>
          <w:color w:val="000000"/>
          <w:sz w:val="22"/>
          <w:szCs w:val="22"/>
        </w:rPr>
        <w:t xml:space="preserve">s </w:t>
      </w:r>
      <w:r w:rsidR="008D2E26" w:rsidRPr="00DC63E7">
        <w:rPr>
          <w:rFonts w:ascii="Palatino Linotype" w:hAnsi="Palatino Linotype"/>
          <w:color w:val="000000"/>
          <w:sz w:val="22"/>
          <w:szCs w:val="22"/>
        </w:rPr>
        <w:t xml:space="preserve">puede dar a conocer dicha información, </w:t>
      </w:r>
      <w:r w:rsidRPr="00DC63E7">
        <w:rPr>
          <w:rFonts w:ascii="Palatino Linotype" w:hAnsi="Palatino Linotype"/>
          <w:color w:val="000000"/>
          <w:sz w:val="22"/>
          <w:szCs w:val="22"/>
        </w:rPr>
        <w:t xml:space="preserve">ya que </w:t>
      </w:r>
      <w:r w:rsidR="008D2E26" w:rsidRPr="00DC63E7">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DC63E7">
        <w:rPr>
          <w:rFonts w:ascii="Palatino Linotype" w:hAnsi="Palatino Linotype"/>
          <w:color w:val="000000"/>
          <w:sz w:val="22"/>
          <w:szCs w:val="22"/>
        </w:rPr>
        <w:t xml:space="preserve">ubicarlos </w:t>
      </w:r>
      <w:r w:rsidR="008D2E26" w:rsidRPr="00DC63E7">
        <w:rPr>
          <w:rFonts w:ascii="Palatino Linotype" w:hAnsi="Palatino Linotype"/>
          <w:color w:val="000000"/>
          <w:sz w:val="22"/>
          <w:szCs w:val="22"/>
        </w:rPr>
        <w:t>por el hecho de pertenecer o haber pertenecido a una organización que llev</w:t>
      </w:r>
      <w:r w:rsidR="00BE7409" w:rsidRPr="00DC63E7">
        <w:rPr>
          <w:rFonts w:ascii="Palatino Linotype" w:hAnsi="Palatino Linotype"/>
          <w:color w:val="000000"/>
          <w:sz w:val="22"/>
          <w:szCs w:val="22"/>
        </w:rPr>
        <w:t>a</w:t>
      </w:r>
      <w:r w:rsidR="008D2E26" w:rsidRPr="00DC63E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DC63E7" w:rsidRDefault="008D2E26" w:rsidP="00DC63E7">
      <w:pPr>
        <w:spacing w:line="360" w:lineRule="auto"/>
        <w:jc w:val="both"/>
        <w:rPr>
          <w:rFonts w:ascii="Palatino Linotype" w:hAnsi="Palatino Linotype"/>
          <w:color w:val="000000"/>
          <w:sz w:val="22"/>
          <w:szCs w:val="22"/>
        </w:rPr>
      </w:pPr>
    </w:p>
    <w:p w14:paraId="3C616AE7" w14:textId="264C061A"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Aunado a ello,</w:t>
      </w:r>
      <w:r w:rsidR="00927E8E" w:rsidRPr="00DC63E7">
        <w:rPr>
          <w:rFonts w:ascii="Palatino Linotype" w:hAnsi="Palatino Linotype"/>
          <w:color w:val="000000"/>
          <w:sz w:val="22"/>
          <w:szCs w:val="22"/>
        </w:rPr>
        <w:t xml:space="preserve"> dar </w:t>
      </w:r>
      <w:r w:rsidR="008D2E26" w:rsidRPr="00DC63E7">
        <w:rPr>
          <w:rFonts w:ascii="Palatino Linotype" w:hAnsi="Palatino Linotype"/>
          <w:color w:val="000000"/>
          <w:sz w:val="22"/>
          <w:szCs w:val="22"/>
        </w:rPr>
        <w:t xml:space="preserve">esa información </w:t>
      </w:r>
      <w:r w:rsidR="00927E8E" w:rsidRPr="00DC63E7">
        <w:rPr>
          <w:rFonts w:ascii="Palatino Linotype" w:hAnsi="Palatino Linotype"/>
          <w:color w:val="000000"/>
          <w:sz w:val="22"/>
          <w:szCs w:val="22"/>
        </w:rPr>
        <w:t xml:space="preserve">puede </w:t>
      </w:r>
      <w:r w:rsidR="008D2E26" w:rsidRPr="00DC63E7">
        <w:rPr>
          <w:rFonts w:ascii="Palatino Linotype" w:hAnsi="Palatino Linotype"/>
          <w:color w:val="000000"/>
          <w:sz w:val="22"/>
          <w:szCs w:val="22"/>
        </w:rPr>
        <w:t xml:space="preserve">vulnerar la vida, </w:t>
      </w:r>
      <w:r w:rsidR="00927E8E" w:rsidRPr="00DC63E7">
        <w:rPr>
          <w:rFonts w:ascii="Palatino Linotype" w:hAnsi="Palatino Linotype"/>
          <w:color w:val="000000"/>
          <w:sz w:val="22"/>
          <w:szCs w:val="22"/>
        </w:rPr>
        <w:t xml:space="preserve">integridad, </w:t>
      </w:r>
      <w:r w:rsidR="008D2E26" w:rsidRPr="00DC63E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DC63E7">
        <w:rPr>
          <w:rFonts w:ascii="Palatino Linotype" w:hAnsi="Palatino Linotype"/>
          <w:color w:val="000000"/>
          <w:sz w:val="22"/>
          <w:szCs w:val="22"/>
        </w:rPr>
        <w:t xml:space="preserve">amenazar, </w:t>
      </w:r>
      <w:r w:rsidR="008D2E26" w:rsidRPr="00DC63E7">
        <w:rPr>
          <w:rFonts w:ascii="Palatino Linotype" w:hAnsi="Palatino Linotype"/>
          <w:color w:val="000000"/>
          <w:sz w:val="22"/>
          <w:szCs w:val="22"/>
        </w:rPr>
        <w:t xml:space="preserve">inhibir o </w:t>
      </w:r>
      <w:r w:rsidR="00551E7F" w:rsidRPr="00DC63E7">
        <w:rPr>
          <w:rFonts w:ascii="Palatino Linotype" w:hAnsi="Palatino Linotype"/>
          <w:color w:val="000000"/>
          <w:sz w:val="22"/>
          <w:szCs w:val="22"/>
        </w:rPr>
        <w:t xml:space="preserve">extorsionar </w:t>
      </w:r>
      <w:r w:rsidR="008D2E26" w:rsidRPr="00DC63E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DC63E7" w:rsidRDefault="008D2E26" w:rsidP="00DC63E7">
      <w:pPr>
        <w:spacing w:line="360" w:lineRule="auto"/>
        <w:jc w:val="both"/>
        <w:rPr>
          <w:rFonts w:ascii="Palatino Linotype" w:hAnsi="Palatino Linotype"/>
          <w:color w:val="000000"/>
          <w:sz w:val="22"/>
          <w:szCs w:val="22"/>
        </w:rPr>
      </w:pPr>
    </w:p>
    <w:p w14:paraId="6DA5BD9E" w14:textId="7B44322A" w:rsidR="008D2E26" w:rsidRPr="00DC63E7" w:rsidRDefault="008D2E2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olor w:val="000000"/>
          <w:sz w:val="22"/>
          <w:szCs w:val="20"/>
        </w:rPr>
        <w:t xml:space="preserve">Ahora bien, </w:t>
      </w:r>
      <w:r w:rsidR="006D150E" w:rsidRPr="00DC63E7">
        <w:rPr>
          <w:rFonts w:ascii="Palatino Linotype" w:hAnsi="Palatino Linotype"/>
          <w:color w:val="000000"/>
          <w:sz w:val="22"/>
          <w:szCs w:val="20"/>
        </w:rPr>
        <w:t xml:space="preserve">al </w:t>
      </w:r>
      <w:r w:rsidRPr="00DC63E7">
        <w:rPr>
          <w:rFonts w:ascii="Palatino Linotype" w:hAnsi="Palatino Linotype"/>
          <w:color w:val="000000"/>
          <w:sz w:val="22"/>
          <w:szCs w:val="20"/>
        </w:rPr>
        <w:t>reservarse</w:t>
      </w:r>
      <w:r w:rsidR="00BE7409" w:rsidRPr="00DC63E7">
        <w:rPr>
          <w:rFonts w:ascii="Palatino Linotype" w:hAnsi="Palatino Linotype"/>
          <w:color w:val="000000"/>
          <w:sz w:val="22"/>
          <w:szCs w:val="20"/>
        </w:rPr>
        <w:t xml:space="preserve"> solo</w:t>
      </w:r>
      <w:r w:rsidRPr="00DC63E7">
        <w:rPr>
          <w:rFonts w:ascii="Palatino Linotype" w:hAnsi="Palatino Linotype"/>
          <w:color w:val="000000"/>
          <w:sz w:val="22"/>
          <w:szCs w:val="20"/>
        </w:rPr>
        <w:t xml:space="preserve"> los nombres del personal adscrito al área de Seguridad Pública del Municipio de </w:t>
      </w:r>
      <w:r w:rsidR="002515EA" w:rsidRPr="002515EA">
        <w:rPr>
          <w:rFonts w:ascii="Palatino Linotype" w:hAnsi="Palatino Linotype"/>
          <w:color w:val="000000"/>
          <w:sz w:val="22"/>
          <w:szCs w:val="20"/>
        </w:rPr>
        <w:t xml:space="preserve">Tenancingo </w:t>
      </w:r>
      <w:r w:rsidR="006D150E" w:rsidRPr="00DC63E7">
        <w:rPr>
          <w:rFonts w:ascii="Palatino Linotype" w:hAnsi="Palatino Linotype"/>
          <w:color w:val="000000"/>
          <w:sz w:val="22"/>
          <w:szCs w:val="20"/>
        </w:rPr>
        <w:t xml:space="preserve">y </w:t>
      </w:r>
      <w:r w:rsidRPr="00DC63E7">
        <w:rPr>
          <w:rFonts w:ascii="Palatino Linotype" w:hAnsi="Palatino Linotype"/>
          <w:iCs/>
          <w:color w:val="000000"/>
          <w:sz w:val="22"/>
          <w:szCs w:val="20"/>
        </w:rPr>
        <w:t>al entregar</w:t>
      </w:r>
      <w:r w:rsidR="00645217" w:rsidRPr="00DC63E7">
        <w:rPr>
          <w:rFonts w:ascii="Palatino Linotype" w:hAnsi="Palatino Linotype"/>
          <w:iCs/>
          <w:color w:val="000000"/>
          <w:sz w:val="22"/>
          <w:szCs w:val="20"/>
        </w:rPr>
        <w:t xml:space="preserve"> </w:t>
      </w:r>
      <w:r w:rsidR="00963472">
        <w:rPr>
          <w:rFonts w:ascii="Palatino Linotype" w:hAnsi="Palatino Linotype"/>
          <w:iCs/>
          <w:color w:val="000000"/>
          <w:sz w:val="22"/>
          <w:szCs w:val="20"/>
        </w:rPr>
        <w:t>l</w:t>
      </w:r>
      <w:r w:rsidR="00963472" w:rsidRPr="00963472">
        <w:rPr>
          <w:rFonts w:ascii="Palatino Linotype" w:hAnsi="Palatino Linotype"/>
          <w:iCs/>
          <w:color w:val="000000"/>
          <w:sz w:val="22"/>
          <w:szCs w:val="20"/>
        </w:rPr>
        <w:t xml:space="preserve">os documentos donde consten las remuneraciones brutas y netas, todas las percepciones, sueldos, prestaciones, gratificaciones, primas, comisiones, dietas, bonos, estímulos, ingresos y sistemas de compensación, de todos los servidores públicos de base o de </w:t>
      </w:r>
      <w:r w:rsidR="00963472" w:rsidRPr="00963472">
        <w:rPr>
          <w:rFonts w:ascii="Palatino Linotype" w:hAnsi="Palatino Linotype"/>
          <w:iCs/>
          <w:color w:val="000000"/>
          <w:sz w:val="22"/>
          <w:szCs w:val="20"/>
        </w:rPr>
        <w:lastRenderedPageBreak/>
        <w:t>confianza, del 01 de enero al 29 de abril de 2022;</w:t>
      </w:r>
      <w:r w:rsidR="00963472">
        <w:rPr>
          <w:rFonts w:ascii="Palatino Linotype" w:hAnsi="Palatino Linotype"/>
          <w:iCs/>
          <w:color w:val="000000"/>
          <w:sz w:val="22"/>
          <w:szCs w:val="20"/>
        </w:rPr>
        <w:t xml:space="preserve"> </w:t>
      </w:r>
      <w:r w:rsidRPr="00DC63E7">
        <w:rPr>
          <w:rFonts w:ascii="Palatino Linotype" w:hAnsi="Palatino Linotype"/>
          <w:iCs/>
          <w:color w:val="000000"/>
          <w:sz w:val="22"/>
          <w:szCs w:val="20"/>
        </w:rPr>
        <w:t xml:space="preserve">del </w:t>
      </w:r>
      <w:r w:rsidR="00A07096" w:rsidRPr="00DC63E7">
        <w:rPr>
          <w:rFonts w:ascii="Palatino Linotype" w:hAnsi="Palatino Linotype"/>
          <w:iCs/>
          <w:color w:val="000000"/>
          <w:sz w:val="22"/>
          <w:szCs w:val="20"/>
        </w:rPr>
        <w:t xml:space="preserve">referido </w:t>
      </w:r>
      <w:r w:rsidRPr="00DC63E7">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DC63E7" w:rsidRDefault="008D2E26" w:rsidP="00DC63E7">
      <w:pPr>
        <w:spacing w:line="360" w:lineRule="auto"/>
        <w:contextualSpacing/>
        <w:jc w:val="both"/>
        <w:rPr>
          <w:rFonts w:ascii="Palatino Linotype" w:hAnsi="Palatino Linotype"/>
          <w:iCs/>
          <w:color w:val="000000"/>
          <w:sz w:val="22"/>
          <w:szCs w:val="20"/>
        </w:rPr>
      </w:pPr>
    </w:p>
    <w:p w14:paraId="0C2FC6E4" w14:textId="6328A579" w:rsidR="008D2E26" w:rsidRPr="00DC63E7" w:rsidRDefault="00F51F44"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iCs/>
          <w:color w:val="000000"/>
          <w:sz w:val="22"/>
          <w:szCs w:val="20"/>
        </w:rPr>
        <w:t>Es importante,</w:t>
      </w:r>
      <w:r w:rsidR="008D2E26" w:rsidRPr="00DC63E7">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DC63E7">
        <w:rPr>
          <w:rFonts w:ascii="Palatino Linotype" w:hAnsi="Palatino Linotype"/>
          <w:b/>
          <w:iCs/>
          <w:color w:val="000000"/>
          <w:sz w:val="22"/>
          <w:szCs w:val="20"/>
          <w:u w:val="single"/>
        </w:rPr>
        <w:t>clasificar como reservada</w:t>
      </w:r>
      <w:r w:rsidR="008D2E26" w:rsidRPr="00DC63E7">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DC63E7" w:rsidRDefault="008D2E26" w:rsidP="00DC63E7">
      <w:pPr>
        <w:ind w:left="1134" w:right="1467"/>
        <w:jc w:val="both"/>
        <w:rPr>
          <w:rFonts w:ascii="Palatino Linotype" w:hAnsi="Palatino Linotype"/>
          <w:b/>
          <w:i/>
          <w:iCs/>
          <w:color w:val="000000"/>
          <w:sz w:val="20"/>
          <w:szCs w:val="20"/>
        </w:rPr>
      </w:pPr>
    </w:p>
    <w:p w14:paraId="027B6A3A" w14:textId="77777777" w:rsidR="008D2E26" w:rsidRPr="00DC63E7" w:rsidRDefault="008D2E26" w:rsidP="00DC63E7">
      <w:pPr>
        <w:ind w:left="1417" w:right="1468"/>
        <w:jc w:val="both"/>
        <w:rPr>
          <w:rFonts w:ascii="Palatino Linotype" w:hAnsi="Palatino Linotype"/>
          <w:i/>
          <w:iCs/>
          <w:color w:val="000000"/>
          <w:sz w:val="20"/>
          <w:szCs w:val="20"/>
        </w:rPr>
      </w:pPr>
      <w:r w:rsidRPr="00DC63E7">
        <w:rPr>
          <w:rFonts w:ascii="Palatino Linotype" w:hAnsi="Palatino Linotype"/>
          <w:b/>
          <w:i/>
          <w:iCs/>
          <w:color w:val="000000"/>
          <w:sz w:val="20"/>
          <w:szCs w:val="20"/>
        </w:rPr>
        <w:t>Artículo 110.</w:t>
      </w:r>
      <w:r w:rsidRPr="00DC63E7">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DC63E7" w:rsidRDefault="008D2E26" w:rsidP="00DC63E7">
      <w:pPr>
        <w:ind w:left="1417" w:right="1468"/>
        <w:jc w:val="both"/>
        <w:rPr>
          <w:rFonts w:ascii="Palatino Linotype" w:hAnsi="Palatino Linotype"/>
          <w:i/>
          <w:iCs/>
          <w:color w:val="000000"/>
          <w:sz w:val="20"/>
          <w:szCs w:val="20"/>
        </w:rPr>
      </w:pPr>
    </w:p>
    <w:p w14:paraId="42551826" w14:textId="77777777" w:rsidR="008D2E26" w:rsidRPr="00DC63E7" w:rsidRDefault="008D2E26" w:rsidP="00DC63E7">
      <w:pPr>
        <w:ind w:left="1417" w:right="1468"/>
        <w:jc w:val="both"/>
        <w:rPr>
          <w:rFonts w:ascii="Palatino Linotype" w:hAnsi="Palatino Linotype"/>
          <w:b/>
          <w:i/>
          <w:iCs/>
          <w:color w:val="000000"/>
          <w:sz w:val="20"/>
          <w:szCs w:val="20"/>
        </w:rPr>
      </w:pPr>
      <w:r w:rsidRPr="00DC63E7">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DC63E7">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DC63E7" w:rsidRDefault="008D2E26" w:rsidP="00DC63E7">
      <w:pPr>
        <w:spacing w:line="360" w:lineRule="auto"/>
        <w:ind w:left="1134" w:right="1467"/>
        <w:jc w:val="both"/>
        <w:rPr>
          <w:rFonts w:ascii="Palatino Linotype" w:hAnsi="Palatino Linotype"/>
          <w:b/>
          <w:i/>
          <w:iCs/>
          <w:color w:val="000000"/>
          <w:sz w:val="20"/>
          <w:szCs w:val="20"/>
        </w:rPr>
      </w:pPr>
    </w:p>
    <w:p w14:paraId="021FD634" w14:textId="4247EB4F"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 xml:space="preserve">Criterio </w:t>
      </w:r>
      <w:r w:rsidR="008D2E26" w:rsidRPr="00DC63E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DC63E7" w:rsidRDefault="008D2E26" w:rsidP="00DC63E7">
      <w:pPr>
        <w:spacing w:line="360" w:lineRule="auto"/>
        <w:jc w:val="both"/>
        <w:rPr>
          <w:rFonts w:ascii="Palatino Linotype" w:hAnsi="Palatino Linotype"/>
          <w:color w:val="000000"/>
          <w:sz w:val="10"/>
          <w:szCs w:val="22"/>
        </w:rPr>
      </w:pPr>
    </w:p>
    <w:p w14:paraId="5060894A"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i/>
          <w:sz w:val="20"/>
          <w:szCs w:val="20"/>
          <w:lang w:val="es-MX" w:eastAsia="es-MX"/>
        </w:rPr>
        <w:br/>
      </w:r>
      <w:r w:rsidRPr="00DC63E7">
        <w:rPr>
          <w:rFonts w:ascii="Palatino Linotype" w:hAnsi="Palatino Linotype" w:cs="Arial"/>
          <w:b/>
          <w:i/>
          <w:color w:val="000000"/>
          <w:sz w:val="20"/>
          <w:szCs w:val="20"/>
          <w:lang w:val="es-MX" w:eastAsia="es-MX"/>
        </w:rPr>
        <w:t>I.</w:t>
      </w:r>
      <w:r w:rsidRPr="00DC63E7">
        <w:rPr>
          <w:rFonts w:ascii="Palatino Linotype" w:hAnsi="Palatino Linotype" w:cs="Arial"/>
          <w:i/>
          <w:color w:val="000000"/>
          <w:sz w:val="20"/>
          <w:szCs w:val="20"/>
          <w:lang w:val="es-MX" w:eastAsia="es-MX"/>
        </w:rPr>
        <w:t xml:space="preserve"> Comprometa la </w:t>
      </w:r>
      <w:r w:rsidRPr="00DC63E7">
        <w:rPr>
          <w:rFonts w:ascii="Palatino Linotype" w:hAnsi="Palatino Linotype" w:cs="Arial"/>
          <w:b/>
          <w:bCs/>
          <w:i/>
          <w:color w:val="000000"/>
          <w:sz w:val="20"/>
          <w:szCs w:val="20"/>
          <w:u w:val="single"/>
          <w:lang w:val="es-MX" w:eastAsia="es-MX"/>
        </w:rPr>
        <w:t>Seguridad Nacional, la Seguridad Pública</w:t>
      </w:r>
      <w:r w:rsidRPr="00DC63E7">
        <w:rPr>
          <w:rFonts w:ascii="Palatino Linotype" w:hAnsi="Palatino Linotype" w:cs="Arial"/>
          <w:i/>
          <w:color w:val="000000"/>
          <w:sz w:val="20"/>
          <w:szCs w:val="20"/>
          <w:lang w:val="es-MX" w:eastAsia="es-MX"/>
        </w:rPr>
        <w:t xml:space="preserve"> con la defensa Nacional…</w:t>
      </w:r>
    </w:p>
    <w:p w14:paraId="1AD55014" w14:textId="77777777" w:rsidR="008D2E26" w:rsidRPr="00DC63E7" w:rsidRDefault="008D2E26" w:rsidP="00DC63E7">
      <w:pPr>
        <w:ind w:left="1417" w:right="1468"/>
        <w:jc w:val="both"/>
        <w:textAlignment w:val="baseline"/>
        <w:rPr>
          <w:rFonts w:ascii="Palatino Linotype" w:hAnsi="Palatino Linotype" w:cs="Arial"/>
          <w:b/>
          <w:i/>
          <w:color w:val="000000"/>
          <w:sz w:val="20"/>
          <w:szCs w:val="20"/>
          <w:lang w:val="es-MX" w:eastAsia="es-MX"/>
        </w:rPr>
      </w:pPr>
      <w:r w:rsidRPr="00DC63E7">
        <w:rPr>
          <w:rFonts w:ascii="Palatino Linotype" w:hAnsi="Palatino Linotype" w:cs="Arial"/>
          <w:b/>
          <w:i/>
          <w:color w:val="000000"/>
          <w:sz w:val="20"/>
          <w:szCs w:val="20"/>
          <w:lang w:val="es-MX" w:eastAsia="es-MX"/>
        </w:rPr>
        <w:t xml:space="preserve">V. Pueda poner en riesgo la vida, seguridad o salud de una persona física.” </w:t>
      </w:r>
    </w:p>
    <w:p w14:paraId="0136ABD0" w14:textId="77777777" w:rsidR="008D2E26" w:rsidRPr="00DC63E7" w:rsidRDefault="008D2E26" w:rsidP="00DC63E7">
      <w:pPr>
        <w:spacing w:line="360" w:lineRule="auto"/>
        <w:ind w:right="1752"/>
        <w:jc w:val="both"/>
        <w:textAlignment w:val="baseline"/>
        <w:rPr>
          <w:rFonts w:ascii="Palatino Linotype" w:hAnsi="Palatino Linotype" w:cs="Arial"/>
          <w:b/>
          <w:i/>
          <w:color w:val="000000"/>
          <w:sz w:val="20"/>
          <w:szCs w:val="20"/>
          <w:lang w:val="es-MX" w:eastAsia="es-MX"/>
        </w:rPr>
      </w:pPr>
    </w:p>
    <w:p w14:paraId="017C8407" w14:textId="55B6B733"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En ese tenor, </w:t>
      </w:r>
      <w:r w:rsidR="008D2E26" w:rsidRPr="00DC63E7">
        <w:rPr>
          <w:rFonts w:ascii="Palatino Linotype" w:hAnsi="Palatino Linotype"/>
          <w:color w:val="000000"/>
          <w:sz w:val="22"/>
          <w:szCs w:val="22"/>
        </w:rPr>
        <w:t>la suscrita considera que, para proteger cabalmente a los elementos</w:t>
      </w:r>
      <w:r w:rsidR="00F51F44" w:rsidRPr="00DC63E7">
        <w:rPr>
          <w:rFonts w:ascii="Palatino Linotype" w:hAnsi="Palatino Linotype"/>
          <w:color w:val="000000"/>
          <w:sz w:val="22"/>
          <w:szCs w:val="22"/>
        </w:rPr>
        <w:t xml:space="preserve"> sustantivos/operativos</w:t>
      </w:r>
      <w:r w:rsidR="008D2E26" w:rsidRPr="00DC63E7">
        <w:rPr>
          <w:rFonts w:ascii="Palatino Linotype" w:hAnsi="Palatino Linotype"/>
          <w:color w:val="000000"/>
          <w:sz w:val="22"/>
          <w:szCs w:val="22"/>
        </w:rPr>
        <w:t xml:space="preserve"> de dicha área, no solo deben resguardarse los datos relativos a sus nombres, sino también los relativos a sus </w:t>
      </w:r>
      <w:r w:rsidR="008D2E26" w:rsidRPr="00DC63E7">
        <w:rPr>
          <w:rFonts w:ascii="Palatino Linotype" w:hAnsi="Palatino Linotype"/>
          <w:b/>
          <w:color w:val="000000"/>
          <w:sz w:val="22"/>
          <w:szCs w:val="22"/>
          <w:u w:val="single"/>
        </w:rPr>
        <w:t>cargos y adscripciones</w:t>
      </w:r>
      <w:r w:rsidR="008D2E26" w:rsidRPr="00DC63E7">
        <w:rPr>
          <w:rFonts w:ascii="Palatino Linotype" w:hAnsi="Palatino Linotype"/>
          <w:color w:val="000000"/>
          <w:sz w:val="22"/>
          <w:szCs w:val="22"/>
        </w:rPr>
        <w:t xml:space="preserve">, toda vez que se trata de personal </w:t>
      </w:r>
      <w:r w:rsidR="00F51F44" w:rsidRPr="00DC63E7">
        <w:rPr>
          <w:rFonts w:ascii="Palatino Linotype" w:hAnsi="Palatino Linotype"/>
          <w:color w:val="000000"/>
          <w:sz w:val="22"/>
          <w:szCs w:val="22"/>
        </w:rPr>
        <w:t xml:space="preserve">sustantivo/operativo </w:t>
      </w:r>
      <w:r w:rsidR="008D2E26" w:rsidRPr="00DC63E7">
        <w:rPr>
          <w:rFonts w:ascii="Palatino Linotype" w:hAnsi="Palatino Linotype"/>
          <w:color w:val="000000"/>
          <w:sz w:val="22"/>
          <w:szCs w:val="22"/>
        </w:rPr>
        <w:t>cuyas funciones van encaminadas a resguardar la Seguridad Pública.</w:t>
      </w:r>
    </w:p>
    <w:p w14:paraId="20E1A329"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Es por ello, que como lo </w:t>
      </w:r>
      <w:r w:rsidR="00E601D1" w:rsidRPr="00DC63E7">
        <w:rPr>
          <w:rFonts w:ascii="Palatino Linotype" w:hAnsi="Palatino Linotype"/>
          <w:color w:val="000000"/>
          <w:sz w:val="22"/>
          <w:szCs w:val="22"/>
        </w:rPr>
        <w:t xml:space="preserve">he </w:t>
      </w:r>
      <w:r w:rsidRPr="00DC63E7">
        <w:rPr>
          <w:rFonts w:ascii="Palatino Linotype" w:hAnsi="Palatino Linotype"/>
          <w:color w:val="000000"/>
          <w:sz w:val="22"/>
          <w:szCs w:val="22"/>
        </w:rPr>
        <w:t>señalado</w:t>
      </w:r>
      <w:r w:rsidR="00AE47F4" w:rsidRPr="00DC63E7">
        <w:rPr>
          <w:rFonts w:ascii="Palatino Linotype" w:hAnsi="Palatino Linotype"/>
          <w:color w:val="000000"/>
          <w:sz w:val="22"/>
          <w:szCs w:val="22"/>
        </w:rPr>
        <w:t xml:space="preserve"> en </w:t>
      </w:r>
      <w:r w:rsidR="00E601D1" w:rsidRPr="00DC63E7">
        <w:rPr>
          <w:rFonts w:ascii="Palatino Linotype" w:hAnsi="Palatino Linotype"/>
          <w:color w:val="000000"/>
          <w:sz w:val="22"/>
          <w:szCs w:val="22"/>
        </w:rPr>
        <w:t xml:space="preserve">anteriores votos particulares </w:t>
      </w:r>
      <w:r w:rsidR="00AE47F4" w:rsidRPr="00DC63E7">
        <w:rPr>
          <w:rFonts w:ascii="Palatino Linotype" w:hAnsi="Palatino Linotype"/>
          <w:color w:val="000000"/>
          <w:sz w:val="22"/>
          <w:szCs w:val="22"/>
        </w:rPr>
        <w:t xml:space="preserve">y que </w:t>
      </w:r>
      <w:r w:rsidRPr="00DC63E7">
        <w:rPr>
          <w:rFonts w:ascii="Palatino Linotype" w:hAnsi="Palatino Linotype"/>
          <w:color w:val="000000"/>
          <w:sz w:val="22"/>
          <w:szCs w:val="22"/>
        </w:rPr>
        <w:t>la misma Ley de Transparencia</w:t>
      </w:r>
      <w:r w:rsidR="00F51F44" w:rsidRPr="00DC63E7">
        <w:rPr>
          <w:rFonts w:ascii="Palatino Linotype" w:hAnsi="Palatino Linotype"/>
          <w:color w:val="000000"/>
          <w:sz w:val="22"/>
          <w:szCs w:val="22"/>
        </w:rPr>
        <w:t xml:space="preserve"> y Acceso a la Información Pública del Estado de México y Municipios,</w:t>
      </w:r>
      <w:r w:rsidRPr="00DC63E7">
        <w:rPr>
          <w:rFonts w:ascii="Palatino Linotype" w:hAnsi="Palatino Linotype"/>
          <w:color w:val="000000"/>
          <w:sz w:val="22"/>
          <w:szCs w:val="22"/>
        </w:rPr>
        <w:t xml:space="preserve"> contempla la excepción particular en el caso de </w:t>
      </w:r>
      <w:r w:rsidRPr="00DC63E7">
        <w:rPr>
          <w:rFonts w:ascii="Palatino Linotype" w:hAnsi="Palatino Linotype"/>
          <w:b/>
          <w:i/>
          <w:color w:val="000000"/>
          <w:sz w:val="22"/>
          <w:szCs w:val="22"/>
        </w:rPr>
        <w:t>Seguridad Pública</w:t>
      </w:r>
      <w:r w:rsidRPr="00DC63E7">
        <w:rPr>
          <w:rFonts w:ascii="Palatino Linotype" w:hAnsi="Palatino Linotype"/>
          <w:color w:val="000000"/>
          <w:sz w:val="22"/>
          <w:szCs w:val="22"/>
        </w:rPr>
        <w:t xml:space="preserve"> y dado que estos elementos </w:t>
      </w:r>
      <w:r w:rsidR="00AE47F4" w:rsidRPr="00DC63E7">
        <w:rPr>
          <w:rFonts w:ascii="Palatino Linotype" w:hAnsi="Palatino Linotype"/>
          <w:color w:val="000000"/>
          <w:sz w:val="22"/>
          <w:szCs w:val="22"/>
        </w:rPr>
        <w:t>pertenecen a ese rubro</w:t>
      </w:r>
      <w:r w:rsidRPr="00DC63E7">
        <w:rPr>
          <w:rFonts w:ascii="Palatino Linotype" w:hAnsi="Palatino Linotype"/>
          <w:color w:val="000000"/>
          <w:sz w:val="22"/>
          <w:szCs w:val="22"/>
        </w:rPr>
        <w:t xml:space="preserve">, </w:t>
      </w:r>
      <w:r w:rsidR="00AE47F4" w:rsidRPr="00DC63E7">
        <w:rPr>
          <w:rFonts w:ascii="Palatino Linotype" w:hAnsi="Palatino Linotype"/>
          <w:color w:val="000000"/>
          <w:sz w:val="22"/>
          <w:szCs w:val="22"/>
        </w:rPr>
        <w:t xml:space="preserve">y </w:t>
      </w:r>
      <w:r w:rsidRPr="00DC63E7">
        <w:rPr>
          <w:rFonts w:ascii="Palatino Linotype" w:hAnsi="Palatino Linotype"/>
          <w:color w:val="000000"/>
          <w:sz w:val="22"/>
          <w:szCs w:val="22"/>
        </w:rPr>
        <w:t>son parte fundamental para el debido ejercicio de las obligaciones del Estado en cualquiera de sus tres niveles de gobierno</w:t>
      </w:r>
      <w:r w:rsidR="00AE47F4" w:rsidRPr="00DC63E7">
        <w:rPr>
          <w:rFonts w:ascii="Palatino Linotype" w:hAnsi="Palatino Linotype"/>
          <w:color w:val="000000"/>
          <w:sz w:val="22"/>
          <w:szCs w:val="22"/>
        </w:rPr>
        <w:t>, es importante reservar dicha información.</w:t>
      </w:r>
    </w:p>
    <w:p w14:paraId="45CA8FE7"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Ahora bien, l</w:t>
      </w:r>
      <w:r w:rsidR="008D2E26" w:rsidRPr="00DC63E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DC63E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DC63E7">
        <w:rPr>
          <w:rFonts w:ascii="Palatino Linotype" w:hAnsi="Palatino Linotype"/>
          <w:color w:val="000000"/>
          <w:sz w:val="22"/>
          <w:szCs w:val="22"/>
        </w:rPr>
        <w:t xml:space="preserve">, la cual señala: </w:t>
      </w:r>
    </w:p>
    <w:p w14:paraId="0F017E03"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DC63E7" w:rsidRDefault="008D2E26" w:rsidP="00DC63E7">
      <w:pPr>
        <w:autoSpaceDE w:val="0"/>
        <w:autoSpaceDN w:val="0"/>
        <w:adjustRightInd w:val="0"/>
        <w:ind w:left="1417" w:right="1468"/>
        <w:contextualSpacing/>
        <w:jc w:val="both"/>
        <w:rPr>
          <w:rFonts w:ascii="Palatino Linotype" w:hAnsi="Palatino Linotype"/>
          <w:color w:val="000000"/>
          <w:sz w:val="20"/>
          <w:szCs w:val="20"/>
        </w:rPr>
      </w:pPr>
      <w:r w:rsidRPr="00DC63E7">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DC63E7">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DC63E7">
        <w:rPr>
          <w:rFonts w:ascii="Palatino Linotype" w:hAnsi="Palatino Linotype"/>
          <w:b/>
          <w:i/>
          <w:color w:val="000000"/>
          <w:sz w:val="20"/>
          <w:szCs w:val="20"/>
        </w:rPr>
        <w:t xml:space="preserve">es jurídicamente adecuado que en las leyes reguladoras de cada materia, el legislador federal o local establezca las restricciones </w:t>
      </w:r>
      <w:r w:rsidRPr="00DC63E7">
        <w:rPr>
          <w:rFonts w:ascii="Palatino Linotype" w:hAnsi="Palatino Linotype"/>
          <w:b/>
          <w:i/>
          <w:color w:val="000000"/>
          <w:sz w:val="20"/>
          <w:szCs w:val="20"/>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w:t>
      </w:r>
      <w:r w:rsidRPr="00DC63E7">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DC63E7">
        <w:rPr>
          <w:rFonts w:ascii="Palatino Linotype" w:hAnsi="Palatino Linotype"/>
          <w:color w:val="000000"/>
          <w:sz w:val="20"/>
          <w:szCs w:val="20"/>
        </w:rPr>
        <w:t>.”</w:t>
      </w:r>
    </w:p>
    <w:p w14:paraId="4A122211" w14:textId="77777777" w:rsidR="008D2E26" w:rsidRPr="00DC63E7" w:rsidRDefault="008D2E26" w:rsidP="00DC63E7">
      <w:pPr>
        <w:autoSpaceDE w:val="0"/>
        <w:autoSpaceDN w:val="0"/>
        <w:adjustRightInd w:val="0"/>
        <w:ind w:left="1417" w:right="1467"/>
        <w:contextualSpacing/>
        <w:jc w:val="both"/>
        <w:rPr>
          <w:rFonts w:ascii="Palatino Linotype" w:hAnsi="Palatino Linotype"/>
          <w:color w:val="000000"/>
          <w:sz w:val="20"/>
          <w:szCs w:val="20"/>
        </w:rPr>
      </w:pPr>
      <w:r w:rsidRPr="00DC63E7">
        <w:rPr>
          <w:rFonts w:ascii="Palatino Linotype" w:hAnsi="Palatino Linotype"/>
          <w:i/>
          <w:color w:val="000000"/>
          <w:sz w:val="20"/>
          <w:szCs w:val="20"/>
        </w:rPr>
        <w:t>(Énfasis añadido)</w:t>
      </w:r>
    </w:p>
    <w:p w14:paraId="34B1C75C"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DC63E7" w:rsidRDefault="00F50C0B"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C63E7" w:rsidRDefault="00F50C0B" w:rsidP="00DC63E7">
      <w:pPr>
        <w:autoSpaceDE w:val="0"/>
        <w:autoSpaceDN w:val="0"/>
        <w:adjustRightInd w:val="0"/>
        <w:spacing w:line="360" w:lineRule="auto"/>
        <w:ind w:right="49"/>
        <w:contextualSpacing/>
        <w:jc w:val="both"/>
        <w:rPr>
          <w:rFonts w:ascii="Palatino Linotype" w:hAnsi="Palatino Linotype" w:cs="Arial"/>
          <w:sz w:val="22"/>
          <w:szCs w:val="22"/>
        </w:rPr>
      </w:pPr>
      <w:r w:rsidRPr="00DC63E7">
        <w:rPr>
          <w:rFonts w:ascii="Palatino Linotype" w:hAnsi="Palatino Linotype"/>
          <w:color w:val="000000"/>
          <w:sz w:val="22"/>
          <w:szCs w:val="22"/>
        </w:rPr>
        <w:t>Criterio que</w:t>
      </w:r>
      <w:r w:rsidR="00217F04" w:rsidRPr="00DC63E7">
        <w:rPr>
          <w:rFonts w:ascii="Palatino Linotype" w:hAnsi="Palatino Linotype"/>
          <w:color w:val="000000"/>
          <w:sz w:val="22"/>
          <w:szCs w:val="22"/>
        </w:rPr>
        <w:t xml:space="preserve"> el Máximo Tribunal de Justicia de este país</w:t>
      </w:r>
      <w:r w:rsidRPr="00DC63E7">
        <w:rPr>
          <w:rFonts w:ascii="Palatino Linotype" w:hAnsi="Palatino Linotype"/>
          <w:color w:val="000000"/>
          <w:sz w:val="22"/>
          <w:szCs w:val="22"/>
        </w:rPr>
        <w:t xml:space="preserve"> reiteró </w:t>
      </w:r>
      <w:r w:rsidR="00217F04" w:rsidRPr="00DC63E7">
        <w:rPr>
          <w:rFonts w:ascii="Palatino Linotype" w:hAnsi="Palatino Linotype"/>
          <w:color w:val="000000"/>
          <w:sz w:val="22"/>
          <w:szCs w:val="22"/>
        </w:rPr>
        <w:t xml:space="preserve">el </w:t>
      </w:r>
      <w:r w:rsidRPr="00DC63E7">
        <w:rPr>
          <w:rFonts w:ascii="Palatino Linotype" w:hAnsi="Palatino Linotype"/>
          <w:color w:val="000000"/>
          <w:sz w:val="22"/>
          <w:szCs w:val="22"/>
        </w:rPr>
        <w:t xml:space="preserve">doce de mayo </w:t>
      </w:r>
      <w:r w:rsidR="00217F04" w:rsidRPr="00DC63E7">
        <w:rPr>
          <w:rFonts w:ascii="Palatino Linotype" w:hAnsi="Palatino Linotype"/>
          <w:color w:val="000000"/>
          <w:sz w:val="22"/>
          <w:szCs w:val="22"/>
        </w:rPr>
        <w:t xml:space="preserve">del </w:t>
      </w:r>
      <w:r w:rsidRPr="00DC63E7">
        <w:rPr>
          <w:rFonts w:ascii="Palatino Linotype" w:hAnsi="Palatino Linotype"/>
          <w:color w:val="000000"/>
          <w:sz w:val="22"/>
          <w:szCs w:val="22"/>
        </w:rPr>
        <w:t xml:space="preserve">presente </w:t>
      </w:r>
      <w:r w:rsidR="00217F04" w:rsidRPr="00DC63E7">
        <w:rPr>
          <w:rFonts w:ascii="Palatino Linotype" w:hAnsi="Palatino Linotype"/>
          <w:color w:val="000000"/>
          <w:sz w:val="22"/>
          <w:szCs w:val="22"/>
        </w:rPr>
        <w:t xml:space="preserve">año, </w:t>
      </w:r>
      <w:r w:rsidRPr="00DC63E7">
        <w:rPr>
          <w:rFonts w:ascii="Palatino Linotype" w:hAnsi="Palatino Linotype"/>
          <w:color w:val="000000"/>
          <w:sz w:val="22"/>
          <w:szCs w:val="22"/>
        </w:rPr>
        <w:t xml:space="preserve">dentro de la </w:t>
      </w:r>
      <w:r w:rsidRPr="00DC63E7">
        <w:rPr>
          <w:rFonts w:ascii="Palatino Linotype" w:hAnsi="Palatino Linotype" w:cs="Arial"/>
          <w:sz w:val="22"/>
          <w:szCs w:val="22"/>
        </w:rPr>
        <w:t xml:space="preserve">Controversia Constitucional 325/2019. </w:t>
      </w:r>
    </w:p>
    <w:p w14:paraId="5C8A3D5C" w14:textId="77777777" w:rsidR="00E22565" w:rsidRPr="00DC63E7" w:rsidRDefault="00E22565"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79624EF7"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DC63E7">
        <w:rPr>
          <w:rFonts w:ascii="Palatino Linotype" w:hAnsi="Palatino Linotype"/>
          <w:color w:val="000000"/>
          <w:sz w:val="22"/>
          <w:szCs w:val="22"/>
        </w:rPr>
        <w:t xml:space="preserve">Pública </w:t>
      </w:r>
      <w:r w:rsidRPr="00DC63E7">
        <w:rPr>
          <w:rFonts w:ascii="Palatino Linotype" w:hAnsi="Palatino Linotype"/>
          <w:color w:val="000000"/>
          <w:sz w:val="22"/>
          <w:szCs w:val="22"/>
        </w:rPr>
        <w:t xml:space="preserve">del </w:t>
      </w:r>
      <w:r w:rsidR="0000229C" w:rsidRPr="00DC63E7">
        <w:rPr>
          <w:rFonts w:ascii="Palatino Linotype" w:hAnsi="Palatino Linotype"/>
          <w:color w:val="000000"/>
          <w:sz w:val="22"/>
          <w:szCs w:val="22"/>
        </w:rPr>
        <w:t xml:space="preserve">Ayuntamiento de </w:t>
      </w:r>
      <w:r w:rsidR="002515EA" w:rsidRPr="002515EA">
        <w:rPr>
          <w:rFonts w:ascii="Palatino Linotype" w:hAnsi="Palatino Linotype"/>
          <w:iCs/>
          <w:color w:val="000000"/>
          <w:sz w:val="22"/>
          <w:szCs w:val="22"/>
        </w:rPr>
        <w:t>Tenancingo</w:t>
      </w:r>
      <w:r w:rsidRPr="00DC63E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DC63E7" w:rsidRDefault="00CF4446" w:rsidP="00DC63E7">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t xml:space="preserve">En ese sentido, si bien, el cargo y las áreas de adscripción de mandos medios en adelante, deben ser de conocimiento </w:t>
      </w:r>
      <w:r w:rsidR="00CF4446" w:rsidRPr="00DC63E7">
        <w:rPr>
          <w:rFonts w:ascii="Palatino Linotype" w:hAnsi="Palatino Linotype"/>
          <w:color w:val="000000"/>
          <w:sz w:val="22"/>
          <w:szCs w:val="22"/>
        </w:rPr>
        <w:t>público</w:t>
      </w:r>
      <w:r w:rsidRPr="00DC63E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p>
    <w:p w14:paraId="5DA566A5" w14:textId="024565A8" w:rsidR="008D2E26" w:rsidRPr="00DC63E7" w:rsidRDefault="00217F04"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lang w:val="es-MX"/>
        </w:rPr>
        <w:lastRenderedPageBreak/>
        <w:t xml:space="preserve">De lo anteriormente expuesto emito </w:t>
      </w:r>
      <w:r w:rsidR="008D2E26" w:rsidRPr="00DC63E7">
        <w:rPr>
          <w:rFonts w:ascii="Palatino Linotype" w:hAnsi="Palatino Linotype" w:cs="Arial"/>
          <w:b/>
          <w:sz w:val="22"/>
          <w:szCs w:val="22"/>
        </w:rPr>
        <w:t>VOTO</w:t>
      </w:r>
      <w:r w:rsidR="00F50C0B" w:rsidRPr="00DC63E7">
        <w:rPr>
          <w:rFonts w:ascii="Palatino Linotype" w:hAnsi="Palatino Linotype" w:cs="Arial"/>
          <w:b/>
          <w:sz w:val="22"/>
          <w:szCs w:val="22"/>
        </w:rPr>
        <w:t xml:space="preserve"> DISIDENTE</w:t>
      </w:r>
      <w:r w:rsidR="008D2E26" w:rsidRPr="00DC63E7">
        <w:rPr>
          <w:rFonts w:ascii="Palatino Linotype" w:hAnsi="Palatino Linotype" w:cs="Arial"/>
          <w:b/>
          <w:sz w:val="22"/>
          <w:szCs w:val="22"/>
        </w:rPr>
        <w:t xml:space="preserve">, </w:t>
      </w:r>
      <w:r w:rsidR="008D2E26" w:rsidRPr="00DC63E7">
        <w:rPr>
          <w:rFonts w:ascii="Palatino Linotype" w:hAnsi="Palatino Linotype" w:cs="Arial"/>
          <w:sz w:val="22"/>
          <w:szCs w:val="22"/>
        </w:rPr>
        <w:t xml:space="preserve">pues se debió </w:t>
      </w:r>
      <w:r w:rsidR="00CF4446" w:rsidRPr="00DC63E7">
        <w:rPr>
          <w:rFonts w:ascii="Palatino Linotype" w:hAnsi="Palatino Linotype" w:cs="Arial"/>
          <w:sz w:val="22"/>
          <w:szCs w:val="22"/>
        </w:rPr>
        <w:t xml:space="preserve">privilegiar </w:t>
      </w:r>
      <w:r w:rsidR="008D2E26" w:rsidRPr="00DC63E7">
        <w:rPr>
          <w:rFonts w:ascii="Palatino Linotype" w:hAnsi="Palatino Linotype" w:cs="Arial"/>
          <w:sz w:val="22"/>
          <w:szCs w:val="22"/>
        </w:rPr>
        <w:t xml:space="preserve">la </w:t>
      </w:r>
      <w:r w:rsidR="008D2E26" w:rsidRPr="00963472">
        <w:rPr>
          <w:rFonts w:ascii="Palatino Linotype" w:hAnsi="Palatino Linotype" w:cs="Arial"/>
          <w:b/>
          <w:sz w:val="22"/>
          <w:szCs w:val="22"/>
          <w:u w:val="single"/>
        </w:rPr>
        <w:t xml:space="preserve">reserva de los datos relativos al </w:t>
      </w:r>
      <w:r w:rsidR="008D2E26" w:rsidRPr="00963472">
        <w:rPr>
          <w:rFonts w:ascii="Palatino Linotype" w:hAnsi="Palatino Linotype"/>
          <w:b/>
          <w:color w:val="000000"/>
          <w:sz w:val="22"/>
          <w:szCs w:val="22"/>
          <w:u w:val="single"/>
        </w:rPr>
        <w:t xml:space="preserve">cargo y área de adscripción del personal de Seguridad Pública del Municipio </w:t>
      </w:r>
      <w:r w:rsidR="0000229C" w:rsidRPr="00963472">
        <w:rPr>
          <w:rFonts w:ascii="Palatino Linotype" w:hAnsi="Palatino Linotype"/>
          <w:b/>
          <w:color w:val="000000"/>
          <w:sz w:val="22"/>
          <w:szCs w:val="22"/>
          <w:u w:val="single"/>
        </w:rPr>
        <w:t xml:space="preserve">de </w:t>
      </w:r>
      <w:r w:rsidR="002515EA" w:rsidRPr="00963472">
        <w:rPr>
          <w:rFonts w:ascii="Palatino Linotype" w:hAnsi="Palatino Linotype"/>
          <w:b/>
          <w:iCs/>
          <w:color w:val="000000"/>
          <w:sz w:val="22"/>
          <w:szCs w:val="22"/>
          <w:u w:val="single"/>
        </w:rPr>
        <w:t>Tenancingo</w:t>
      </w:r>
      <w:r w:rsidR="008D2E26" w:rsidRPr="00DC63E7">
        <w:rPr>
          <w:rFonts w:ascii="Palatino Linotype" w:hAnsi="Palatino Linotype"/>
          <w:color w:val="000000"/>
          <w:sz w:val="22"/>
          <w:szCs w:val="22"/>
        </w:rPr>
        <w:t xml:space="preserve">, </w:t>
      </w:r>
      <w:r w:rsidR="008D2E26" w:rsidRPr="00DC63E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DC63E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DC63E7">
        <w:rPr>
          <w:rFonts w:ascii="Palatino Linotype" w:hAnsi="Palatino Linotype" w:cs="Arial"/>
          <w:sz w:val="22"/>
          <w:szCs w:val="22"/>
        </w:rPr>
        <w:t xml:space="preserve">la </w:t>
      </w:r>
      <w:r w:rsidR="00CF4446" w:rsidRPr="00DC63E7">
        <w:rPr>
          <w:rFonts w:ascii="Palatino Linotype" w:hAnsi="Palatino Linotype" w:cs="Arial"/>
          <w:sz w:val="22"/>
          <w:szCs w:val="22"/>
        </w:rPr>
        <w:t xml:space="preserve">vida de </w:t>
      </w:r>
      <w:r w:rsidRPr="00DC63E7">
        <w:rPr>
          <w:rFonts w:ascii="Palatino Linotype" w:hAnsi="Palatino Linotype" w:cs="Arial"/>
          <w:sz w:val="22"/>
          <w:szCs w:val="22"/>
        </w:rPr>
        <w:t xml:space="preserve">una </w:t>
      </w:r>
      <w:r w:rsidR="00CF4446" w:rsidRPr="00DC63E7">
        <w:rPr>
          <w:rFonts w:ascii="Palatino Linotype" w:hAnsi="Palatino Linotype" w:cs="Arial"/>
          <w:sz w:val="22"/>
          <w:szCs w:val="22"/>
        </w:rPr>
        <w:t>persona.</w:t>
      </w:r>
    </w:p>
    <w:p w14:paraId="4835EE2F" w14:textId="77777777" w:rsidR="008D2E26" w:rsidRPr="00DC63E7" w:rsidRDefault="008D2E26" w:rsidP="00DC63E7">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DC63E7" w14:paraId="5A77C145" w14:textId="77777777" w:rsidTr="00137015">
        <w:trPr>
          <w:jc w:val="center"/>
        </w:trPr>
        <w:tc>
          <w:tcPr>
            <w:tcW w:w="5529" w:type="dxa"/>
          </w:tcPr>
          <w:p w14:paraId="57FF4EB3" w14:textId="77777777" w:rsidR="008D2E26" w:rsidRPr="00DC63E7" w:rsidRDefault="008D2E26" w:rsidP="00DC63E7">
            <w:pPr>
              <w:spacing w:line="360" w:lineRule="auto"/>
              <w:jc w:val="center"/>
              <w:rPr>
                <w:rFonts w:ascii="Palatino Linotype" w:hAnsi="Palatino Linotype"/>
                <w:b/>
                <w:i/>
                <w:sz w:val="22"/>
                <w:szCs w:val="22"/>
              </w:rPr>
            </w:pPr>
            <w:r w:rsidRPr="00DC63E7">
              <w:rPr>
                <w:rFonts w:ascii="Palatino Linotype" w:hAnsi="Palatino Linotype"/>
                <w:b/>
                <w:sz w:val="22"/>
                <w:szCs w:val="22"/>
              </w:rPr>
              <w:t xml:space="preserve">SHARON CRISTINA MORALES MARTÍNEZ </w:t>
            </w:r>
          </w:p>
          <w:p w14:paraId="787B09C2" w14:textId="77777777" w:rsidR="008D2E26" w:rsidRPr="00DC63E7" w:rsidRDefault="008D2E26" w:rsidP="00DC63E7">
            <w:pPr>
              <w:spacing w:line="360" w:lineRule="auto"/>
              <w:jc w:val="center"/>
              <w:rPr>
                <w:rFonts w:ascii="Palatino Linotype" w:hAnsi="Palatino Linotype"/>
                <w:b/>
                <w:sz w:val="20"/>
                <w:szCs w:val="20"/>
              </w:rPr>
            </w:pPr>
            <w:r w:rsidRPr="00DC63E7">
              <w:rPr>
                <w:rFonts w:ascii="Palatino Linotype" w:hAnsi="Palatino Linotype"/>
                <w:b/>
                <w:sz w:val="22"/>
                <w:szCs w:val="22"/>
              </w:rPr>
              <w:t>COMISIONADA</w:t>
            </w:r>
          </w:p>
          <w:p w14:paraId="2332446D" w14:textId="77777777" w:rsidR="008D2E26" w:rsidRPr="00DC63E7" w:rsidRDefault="008D2E26" w:rsidP="00DC63E7">
            <w:pPr>
              <w:spacing w:line="360" w:lineRule="auto"/>
              <w:jc w:val="center"/>
              <w:rPr>
                <w:rFonts w:ascii="Palatino Linotype" w:hAnsi="Palatino Linotype"/>
                <w:b/>
                <w:sz w:val="20"/>
                <w:szCs w:val="20"/>
              </w:rPr>
            </w:pPr>
          </w:p>
        </w:tc>
      </w:tr>
    </w:tbl>
    <w:p w14:paraId="3F3E4C55" w14:textId="77777777" w:rsidR="008D2E26" w:rsidRPr="00DC63E7" w:rsidRDefault="008D2E26" w:rsidP="00DC63E7">
      <w:pPr>
        <w:spacing w:line="360" w:lineRule="auto"/>
        <w:jc w:val="both"/>
        <w:rPr>
          <w:rFonts w:ascii="Palatino Linotype" w:eastAsia="Calibri" w:hAnsi="Palatino Linotype" w:cs="Arial"/>
          <w:color w:val="000000" w:themeColor="text1"/>
          <w:sz w:val="14"/>
          <w:szCs w:val="14"/>
        </w:rPr>
      </w:pPr>
    </w:p>
    <w:p w14:paraId="61E1B6E3" w14:textId="77777777" w:rsidR="008F7866" w:rsidRDefault="008F7866" w:rsidP="00DC63E7">
      <w:pPr>
        <w:spacing w:line="360" w:lineRule="auto"/>
        <w:jc w:val="both"/>
        <w:rPr>
          <w:rFonts w:ascii="Palatino Linotype" w:eastAsia="Calibri" w:hAnsi="Palatino Linotype" w:cs="Arial"/>
          <w:color w:val="000000" w:themeColor="text1"/>
          <w:sz w:val="18"/>
          <w:szCs w:val="18"/>
        </w:rPr>
      </w:pPr>
      <w:r w:rsidRPr="00DC63E7">
        <w:rPr>
          <w:rFonts w:ascii="Palatino Linotype" w:eastAsia="Calibri" w:hAnsi="Palatino Linotype" w:cs="Arial"/>
          <w:color w:val="000000" w:themeColor="text1"/>
          <w:sz w:val="18"/>
          <w:szCs w:val="18"/>
        </w:rPr>
        <w:t>SCMM/BLA/DEMF/CCC</w:t>
      </w:r>
    </w:p>
    <w:p w14:paraId="72504D45" w14:textId="0622B329" w:rsidR="00DC63E7" w:rsidRDefault="00DC63E7">
      <w:pPr>
        <w:spacing w:after="160" w:line="259" w:lineRule="auto"/>
        <w:rPr>
          <w:rFonts w:ascii="Palatino Linotype" w:eastAsia="Calibri" w:hAnsi="Palatino Linotype" w:cs="Arial"/>
          <w:color w:val="000000" w:themeColor="text1"/>
          <w:sz w:val="14"/>
          <w:szCs w:val="14"/>
        </w:rPr>
      </w:pPr>
      <w:r>
        <w:rPr>
          <w:rFonts w:ascii="Palatino Linotype" w:eastAsia="Calibri" w:hAnsi="Palatino Linotype" w:cs="Arial"/>
          <w:color w:val="000000" w:themeColor="text1"/>
          <w:sz w:val="14"/>
          <w:szCs w:val="14"/>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AF49" w14:textId="77777777" w:rsidR="00A548E4" w:rsidRDefault="00A548E4" w:rsidP="00E81438">
      <w:r>
        <w:separator/>
      </w:r>
    </w:p>
  </w:endnote>
  <w:endnote w:type="continuationSeparator" w:id="0">
    <w:p w14:paraId="151E9821" w14:textId="77777777" w:rsidR="00A548E4" w:rsidRDefault="00A548E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93B4" w14:textId="77777777" w:rsidR="000412FB" w:rsidRDefault="0000000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000000"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347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347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000000"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717A" w14:textId="77777777" w:rsidR="00A548E4" w:rsidRDefault="00A548E4" w:rsidP="00E81438">
      <w:r>
        <w:separator/>
      </w:r>
    </w:p>
  </w:footnote>
  <w:footnote w:type="continuationSeparator" w:id="0">
    <w:p w14:paraId="24E486DE" w14:textId="77777777" w:rsidR="00A548E4" w:rsidRDefault="00A548E4"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3F7E" w14:textId="77777777" w:rsidR="0034309A" w:rsidRDefault="0000000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00000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963472" w:rsidRDefault="0082275B" w:rsidP="0034309A">
    <w:pPr>
      <w:pStyle w:val="Encabezado"/>
      <w:tabs>
        <w:tab w:val="clear" w:pos="4252"/>
        <w:tab w:val="clear" w:pos="8504"/>
        <w:tab w:val="left" w:pos="2326"/>
      </w:tabs>
      <w:jc w:val="right"/>
      <w:rPr>
        <w:rFonts w:ascii="Palatino Linotype" w:hAnsi="Palatino Linotype" w:cs="Arial"/>
        <w:b/>
        <w:bCs/>
        <w:sz w:val="20"/>
        <w:szCs w:val="22"/>
      </w:rPr>
    </w:pPr>
    <w:r w:rsidRPr="00963472">
      <w:rPr>
        <w:rFonts w:ascii="Palatino Linotype" w:hAnsi="Palatino Linotype" w:cs="Arial"/>
        <w:b/>
        <w:bCs/>
        <w:sz w:val="20"/>
        <w:szCs w:val="22"/>
      </w:rPr>
      <w:t xml:space="preserve">VOTO </w:t>
    </w:r>
    <w:r w:rsidR="00406D8C" w:rsidRPr="00963472">
      <w:rPr>
        <w:rFonts w:ascii="Palatino Linotype" w:hAnsi="Palatino Linotype" w:cs="Arial"/>
        <w:b/>
        <w:bCs/>
        <w:sz w:val="20"/>
        <w:szCs w:val="22"/>
      </w:rPr>
      <w:t>DISIDENTE</w:t>
    </w:r>
  </w:p>
  <w:p w14:paraId="21A7A5A0" w14:textId="274005D9" w:rsidR="00634485" w:rsidRPr="00963472" w:rsidRDefault="00791445" w:rsidP="0034309A">
    <w:pPr>
      <w:pStyle w:val="Encabezado"/>
      <w:tabs>
        <w:tab w:val="clear" w:pos="4252"/>
        <w:tab w:val="clear" w:pos="8504"/>
        <w:tab w:val="left" w:pos="2326"/>
      </w:tabs>
      <w:jc w:val="right"/>
      <w:rPr>
        <w:rFonts w:ascii="Palatino Linotype" w:hAnsi="Palatino Linotype" w:cs="Arial"/>
        <w:b/>
        <w:bCs/>
        <w:sz w:val="20"/>
        <w:szCs w:val="22"/>
      </w:rPr>
    </w:pPr>
    <w:r w:rsidRPr="00963472">
      <w:rPr>
        <w:rFonts w:ascii="Palatino Linotype" w:hAnsi="Palatino Linotype" w:cs="Arial"/>
        <w:b/>
        <w:bCs/>
        <w:sz w:val="20"/>
        <w:szCs w:val="22"/>
      </w:rPr>
      <w:t xml:space="preserve">                </w:t>
    </w:r>
    <w:r w:rsidR="0082275B" w:rsidRPr="00963472">
      <w:rPr>
        <w:rFonts w:ascii="Palatino Linotype" w:hAnsi="Palatino Linotype" w:cs="Arial"/>
        <w:b/>
        <w:bCs/>
        <w:sz w:val="20"/>
        <w:szCs w:val="22"/>
      </w:rPr>
      <w:t>RECURSO DE REVISIÓN</w:t>
    </w:r>
    <w:r w:rsidRPr="00963472">
      <w:rPr>
        <w:rFonts w:ascii="Palatino Linotype" w:hAnsi="Palatino Linotype" w:cs="Arial"/>
        <w:b/>
        <w:bCs/>
        <w:sz w:val="20"/>
        <w:szCs w:val="22"/>
      </w:rPr>
      <w:t xml:space="preserve"> </w:t>
    </w:r>
    <w:r w:rsidR="00963472" w:rsidRPr="00963472">
      <w:rPr>
        <w:rFonts w:ascii="Palatino Linotype" w:hAnsi="Palatino Linotype"/>
        <w:b/>
        <w:bCs/>
        <w:color w:val="000000" w:themeColor="text1"/>
        <w:sz w:val="20"/>
        <w:szCs w:val="22"/>
        <w:lang w:val="es-MX"/>
      </w:rPr>
      <w:t>09837</w:t>
    </w:r>
    <w:r w:rsidR="002C26C5" w:rsidRPr="00963472">
      <w:rPr>
        <w:rFonts w:ascii="Palatino Linotype" w:hAnsi="Palatino Linotype"/>
        <w:b/>
        <w:bCs/>
        <w:color w:val="000000" w:themeColor="text1"/>
        <w:sz w:val="20"/>
        <w:szCs w:val="22"/>
        <w:lang w:val="es-MX"/>
      </w:rPr>
      <w:t>/INFOEM/IP/RR/2022 y acumulado</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5E1" w14:textId="77777777" w:rsidR="0034309A" w:rsidRDefault="0000000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079596">
    <w:abstractNumId w:val="4"/>
  </w:num>
  <w:num w:numId="2" w16cid:durableId="1950507871">
    <w:abstractNumId w:val="5"/>
    <w:lvlOverride w:ilvl="0">
      <w:lvl w:ilvl="0">
        <w:numFmt w:val="upperRoman"/>
        <w:lvlText w:val="%1."/>
        <w:lvlJc w:val="right"/>
      </w:lvl>
    </w:lvlOverride>
  </w:num>
  <w:num w:numId="3" w16cid:durableId="245071053">
    <w:abstractNumId w:val="6"/>
  </w:num>
  <w:num w:numId="4" w16cid:durableId="566066226">
    <w:abstractNumId w:val="1"/>
  </w:num>
  <w:num w:numId="5" w16cid:durableId="1897744195">
    <w:abstractNumId w:val="0"/>
  </w:num>
  <w:num w:numId="6" w16cid:durableId="601185532">
    <w:abstractNumId w:val="2"/>
  </w:num>
  <w:num w:numId="7" w16cid:durableId="1506745892">
    <w:abstractNumId w:val="7"/>
  </w:num>
  <w:num w:numId="8" w16cid:durableId="1923830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2826"/>
    <w:rsid w:val="002515EA"/>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32425"/>
    <w:rsid w:val="00333436"/>
    <w:rsid w:val="003351A9"/>
    <w:rsid w:val="00336322"/>
    <w:rsid w:val="003432EF"/>
    <w:rsid w:val="003458C8"/>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23AF5"/>
    <w:rsid w:val="005247EA"/>
    <w:rsid w:val="005300E6"/>
    <w:rsid w:val="0053098C"/>
    <w:rsid w:val="0053148C"/>
    <w:rsid w:val="005432D8"/>
    <w:rsid w:val="00544787"/>
    <w:rsid w:val="00551E7F"/>
    <w:rsid w:val="005526C9"/>
    <w:rsid w:val="00560C1E"/>
    <w:rsid w:val="00566FE4"/>
    <w:rsid w:val="005820EB"/>
    <w:rsid w:val="00595D69"/>
    <w:rsid w:val="005A3BF5"/>
    <w:rsid w:val="005A4D7F"/>
    <w:rsid w:val="005B07C2"/>
    <w:rsid w:val="005B4759"/>
    <w:rsid w:val="005C0E5C"/>
    <w:rsid w:val="005C66C0"/>
    <w:rsid w:val="005F542A"/>
    <w:rsid w:val="005F563A"/>
    <w:rsid w:val="00603369"/>
    <w:rsid w:val="00626823"/>
    <w:rsid w:val="00630A16"/>
    <w:rsid w:val="006444D8"/>
    <w:rsid w:val="00645217"/>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63472"/>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548E4"/>
    <w:rsid w:val="00A7349A"/>
    <w:rsid w:val="00A84394"/>
    <w:rsid w:val="00A85828"/>
    <w:rsid w:val="00A86692"/>
    <w:rsid w:val="00A86A4F"/>
    <w:rsid w:val="00A90BE0"/>
    <w:rsid w:val="00A96975"/>
    <w:rsid w:val="00A97177"/>
    <w:rsid w:val="00AA136B"/>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37A03"/>
    <w:rsid w:val="00C536CC"/>
    <w:rsid w:val="00C75B2F"/>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NANCINGO/art_92_viii_b/4.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E0FB-3455-4CEC-8B2F-4E4171B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2451</Words>
  <Characters>13484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César Corral Cruz</cp:lastModifiedBy>
  <cp:revision>11</cp:revision>
  <cp:lastPrinted>2022-12-05T16:36:00Z</cp:lastPrinted>
  <dcterms:created xsi:type="dcterms:W3CDTF">2022-06-06T16:39:00Z</dcterms:created>
  <dcterms:modified xsi:type="dcterms:W3CDTF">2022-12-05T16:36:00Z</dcterms:modified>
</cp:coreProperties>
</file>