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7F47" w14:textId="76F37017" w:rsidR="00DD6B2F" w:rsidRDefault="00DD6B2F" w:rsidP="00DD6B2F">
      <w:pPr>
        <w:pBdr>
          <w:top w:val="nil"/>
          <w:left w:val="nil"/>
          <w:bottom w:val="nil"/>
          <w:right w:val="nil"/>
          <w:between w:val="nil"/>
        </w:pBdr>
        <w:tabs>
          <w:tab w:val="center" w:pos="4252"/>
          <w:tab w:val="right" w:pos="8504"/>
        </w:tabs>
        <w:spacing w:after="0" w:line="360" w:lineRule="auto"/>
        <w:ind w:right="57"/>
        <w:contextualSpacing/>
        <w:jc w:val="both"/>
        <w:rPr>
          <w:rFonts w:ascii="Palatino Linotype" w:eastAsia="Palatino Linotype" w:hAnsi="Palatino Linotype" w:cs="Palatino Linotype"/>
          <w:b/>
          <w:color w:val="000000"/>
        </w:rPr>
      </w:pPr>
      <w:bookmarkStart w:id="0" w:name="_Hlk137142425"/>
      <w:r w:rsidRPr="009602AD">
        <w:rPr>
          <w:rFonts w:ascii="Palatino Linotype" w:eastAsia="Palatino Linotype" w:hAnsi="Palatino Linotype" w:cs="Palatino Linotype"/>
          <w:b/>
          <w:color w:val="000000"/>
        </w:rPr>
        <w:t>VOTO</w:t>
      </w:r>
      <w:r w:rsidR="00266447">
        <w:rPr>
          <w:rFonts w:ascii="Palatino Linotype" w:eastAsia="Palatino Linotype" w:hAnsi="Palatino Linotype" w:cs="Palatino Linotype"/>
          <w:b/>
          <w:color w:val="000000"/>
        </w:rPr>
        <w:t xml:space="preserve"> DISIDENTE</w:t>
      </w:r>
      <w:r w:rsidRPr="009602AD">
        <w:rPr>
          <w:rFonts w:ascii="Palatino Linotype" w:eastAsia="Palatino Linotype" w:hAnsi="Palatino Linotype" w:cs="Palatino Linotype"/>
          <w:b/>
          <w:color w:val="000000"/>
        </w:rPr>
        <w:t xml:space="preserve"> QUE FORMULA EL COMISIONADO LUIS GUSTAVO PARRA NORIEGA, A LA RESOLUCIÓN DEL RECURSO DE REVISIÓN </w:t>
      </w:r>
      <w:r>
        <w:rPr>
          <w:rFonts w:ascii="Palatino Linotype" w:eastAsia="Palatino Linotype" w:hAnsi="Palatino Linotype" w:cs="Palatino Linotype"/>
          <w:b/>
          <w:color w:val="000000"/>
        </w:rPr>
        <w:t>0</w:t>
      </w:r>
      <w:r w:rsidRPr="009602AD">
        <w:rPr>
          <w:rFonts w:ascii="Palatino Linotype" w:eastAsia="Palatino Linotype" w:hAnsi="Palatino Linotype" w:cs="Palatino Linotype"/>
          <w:b/>
          <w:color w:val="000000"/>
        </w:rPr>
        <w:t>1</w:t>
      </w:r>
      <w:r>
        <w:rPr>
          <w:rFonts w:ascii="Palatino Linotype" w:eastAsia="Palatino Linotype" w:hAnsi="Palatino Linotype" w:cs="Palatino Linotype"/>
          <w:b/>
          <w:color w:val="000000"/>
        </w:rPr>
        <w:t>600</w:t>
      </w:r>
      <w:r w:rsidRPr="009602AD">
        <w:rPr>
          <w:rFonts w:ascii="Palatino Linotype" w:eastAsia="Palatino Linotype" w:hAnsi="Palatino Linotype" w:cs="Palatino Linotype"/>
          <w:b/>
          <w:color w:val="000000"/>
        </w:rPr>
        <w:t>/INFOEM/IP/RR/202</w:t>
      </w:r>
      <w:r>
        <w:rPr>
          <w:rFonts w:ascii="Palatino Linotype" w:eastAsia="Palatino Linotype" w:hAnsi="Palatino Linotype" w:cs="Palatino Linotype"/>
          <w:b/>
          <w:color w:val="000000"/>
        </w:rPr>
        <w:t>3</w:t>
      </w:r>
      <w:r w:rsidRPr="009602AD">
        <w:rPr>
          <w:rFonts w:ascii="Palatino Linotype" w:eastAsia="Palatino Linotype" w:hAnsi="Palatino Linotype" w:cs="Palatino Linotype"/>
          <w:b/>
          <w:color w:val="000000"/>
        </w:rPr>
        <w:t xml:space="preserve">, PROMOVIDO EN CONTRA EL </w:t>
      </w:r>
      <w:r>
        <w:rPr>
          <w:rFonts w:ascii="Palatino Linotype" w:eastAsia="Palatino Linotype" w:hAnsi="Palatino Linotype" w:cs="Palatino Linotype"/>
          <w:b/>
          <w:color w:val="000000"/>
        </w:rPr>
        <w:t xml:space="preserve">AYUNTAMIENTO DE ZINACANTEPEC. </w:t>
      </w:r>
    </w:p>
    <w:p w14:paraId="5EFC8728" w14:textId="77777777" w:rsidR="00DD6B2F" w:rsidRDefault="00DD6B2F" w:rsidP="00DD6B2F">
      <w:pPr>
        <w:pBdr>
          <w:top w:val="nil"/>
          <w:left w:val="nil"/>
          <w:bottom w:val="nil"/>
          <w:right w:val="nil"/>
          <w:between w:val="nil"/>
        </w:pBdr>
        <w:tabs>
          <w:tab w:val="center" w:pos="4252"/>
          <w:tab w:val="right" w:pos="8504"/>
        </w:tabs>
        <w:spacing w:after="0" w:line="360" w:lineRule="auto"/>
        <w:contextualSpacing/>
        <w:jc w:val="both"/>
        <w:rPr>
          <w:rFonts w:ascii="Palatino Linotype" w:eastAsia="Palatino Linotype" w:hAnsi="Palatino Linotype" w:cs="Palatino Linotype"/>
          <w:color w:val="000000"/>
        </w:rPr>
      </w:pPr>
    </w:p>
    <w:p w14:paraId="18D9E47F" w14:textId="35A776F3" w:rsidR="00DD6B2F" w:rsidRDefault="00DD6B2F" w:rsidP="00DD6B2F">
      <w:pPr>
        <w:tabs>
          <w:tab w:val="left" w:pos="1843"/>
        </w:tabs>
        <w:spacing w:after="0" w:line="360" w:lineRule="auto"/>
        <w:contextualSpacing/>
        <w:jc w:val="both"/>
        <w:rPr>
          <w:rFonts w:ascii="Palatino Linotype" w:eastAsia="Palatino Linotype" w:hAnsi="Palatino Linotype" w:cs="Palatino Linotype"/>
          <w:b/>
        </w:rPr>
      </w:pPr>
      <w:r>
        <w:rPr>
          <w:rFonts w:ascii="Palatino Linotype" w:eastAsia="Palatino Linotype" w:hAnsi="Palatino Linotype" w:cs="Palatino Linotype"/>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eastAsia="Palatino Linotype" w:hAnsi="Palatino Linotype" w:cs="Palatino Linotype"/>
          <w:b/>
        </w:rPr>
        <w:t xml:space="preserve">Voto </w:t>
      </w:r>
      <w:r w:rsidR="00C92E0D">
        <w:rPr>
          <w:rFonts w:ascii="Palatino Linotype" w:eastAsia="Palatino Linotype" w:hAnsi="Palatino Linotype" w:cs="Palatino Linotype"/>
          <w:b/>
        </w:rPr>
        <w:t>Disidente</w:t>
      </w:r>
      <w:r>
        <w:rPr>
          <w:rFonts w:ascii="Palatino Linotype" w:eastAsia="Palatino Linotype" w:hAnsi="Palatino Linotype" w:cs="Palatino Linotype"/>
        </w:rPr>
        <w:t xml:space="preserve"> por no compartir las consideraciones que sustentan la Resolución del Recurso de Revisión </w:t>
      </w:r>
      <w:r>
        <w:rPr>
          <w:rFonts w:ascii="Palatino Linotype" w:eastAsia="Palatino Linotype" w:hAnsi="Palatino Linotype" w:cs="Palatino Linotype"/>
          <w:b/>
        </w:rPr>
        <w:t>01600/INFOEM/IP/RR/2023.</w:t>
      </w:r>
    </w:p>
    <w:p w14:paraId="7A1FA33E" w14:textId="77777777" w:rsidR="00DD6B2F" w:rsidRDefault="00DD6B2F" w:rsidP="00DD6B2F">
      <w:pPr>
        <w:tabs>
          <w:tab w:val="left" w:pos="1843"/>
        </w:tabs>
        <w:spacing w:after="0" w:line="360" w:lineRule="auto"/>
        <w:contextualSpacing/>
        <w:jc w:val="both"/>
        <w:rPr>
          <w:rFonts w:ascii="Palatino Linotype" w:eastAsia="Palatino Linotype" w:hAnsi="Palatino Linotype" w:cs="Palatino Linotype"/>
        </w:rPr>
      </w:pPr>
    </w:p>
    <w:p w14:paraId="18A94E0B" w14:textId="55E9C71B" w:rsidR="00C92E0D" w:rsidRDefault="00DD6B2F" w:rsidP="00DD6B2F">
      <w:pPr>
        <w:spacing w:after="0" w:line="360" w:lineRule="auto"/>
        <w:contextualSpacing/>
        <w:jc w:val="both"/>
        <w:rPr>
          <w:rFonts w:ascii="Palatino Linotype" w:hAnsi="Palatino Linotype"/>
        </w:rPr>
      </w:pPr>
      <w:r>
        <w:rPr>
          <w:rFonts w:ascii="Palatino Linotype" w:eastAsia="Palatino Linotype" w:hAnsi="Palatino Linotype" w:cs="Palatino Linotype"/>
        </w:rPr>
        <w:t xml:space="preserve">Como se desprende de la Resolución en comento, el Particular solicitó </w:t>
      </w:r>
      <w:r w:rsidR="00AB554C">
        <w:rPr>
          <w:rFonts w:ascii="Palatino Linotype" w:eastAsia="Palatino Linotype" w:hAnsi="Palatino Linotype" w:cs="Palatino Linotype"/>
        </w:rPr>
        <w:t>los números de cuentas bancarias del Ayuntamiento, así como sus más recientes estados de cuenta del año dos mil veintitrés</w:t>
      </w:r>
      <w:r>
        <w:rPr>
          <w:rFonts w:ascii="Palatino Linotype" w:hAnsi="Palatino Linotype"/>
        </w:rPr>
        <w:t>, en respuesta</w:t>
      </w:r>
      <w:r w:rsidR="00AB554C">
        <w:rPr>
          <w:rFonts w:ascii="Palatino Linotype" w:hAnsi="Palatino Linotype"/>
        </w:rPr>
        <w:t>,</w:t>
      </w:r>
      <w:r>
        <w:rPr>
          <w:rFonts w:ascii="Palatino Linotype" w:hAnsi="Palatino Linotype"/>
        </w:rPr>
        <w:t xml:space="preserve"> el Sujeto Obligado </w:t>
      </w:r>
      <w:r w:rsidR="00AB554C">
        <w:rPr>
          <w:rFonts w:ascii="Palatino Linotype" w:hAnsi="Palatino Linotype"/>
        </w:rPr>
        <w:t>proporcionó cinco números de cuenta y sus estados</w:t>
      </w:r>
      <w:r w:rsidR="00C92E0D">
        <w:rPr>
          <w:rFonts w:ascii="Palatino Linotype" w:hAnsi="Palatino Linotype"/>
        </w:rPr>
        <w:t xml:space="preserve"> </w:t>
      </w:r>
      <w:r w:rsidR="00CB3567">
        <w:rPr>
          <w:rFonts w:ascii="Palatino Linotype" w:hAnsi="Palatino Linotype"/>
        </w:rPr>
        <w:t xml:space="preserve">de cuenta </w:t>
      </w:r>
      <w:r w:rsidR="00C92E0D">
        <w:rPr>
          <w:rFonts w:ascii="Palatino Linotype" w:hAnsi="Palatino Linotype"/>
        </w:rPr>
        <w:t>correspondientes</w:t>
      </w:r>
      <w:r w:rsidR="00CB3567">
        <w:rPr>
          <w:rFonts w:ascii="Palatino Linotype" w:hAnsi="Palatino Linotype"/>
        </w:rPr>
        <w:t xml:space="preserve"> de</w:t>
      </w:r>
      <w:r w:rsidR="00AB554C">
        <w:rPr>
          <w:rFonts w:ascii="Palatino Linotype" w:hAnsi="Palatino Linotype"/>
        </w:rPr>
        <w:t xml:space="preserve"> dos bancos a saber, Banco Azteca y Banco Santander México S.A</w:t>
      </w:r>
      <w:r>
        <w:rPr>
          <w:rFonts w:ascii="Palatino Linotype" w:hAnsi="Palatino Linotype"/>
        </w:rPr>
        <w:t>.</w:t>
      </w:r>
      <w:r w:rsidR="00AD35A3">
        <w:rPr>
          <w:rFonts w:ascii="Palatino Linotype" w:hAnsi="Palatino Linotype"/>
        </w:rPr>
        <w:t xml:space="preserve"> Ante dicha circunstancia el Particular se inconformó por que no se le entregó la totalidad de la informaci</w:t>
      </w:r>
      <w:r w:rsidR="00C92E0D">
        <w:rPr>
          <w:rFonts w:ascii="Palatino Linotype" w:hAnsi="Palatino Linotype"/>
        </w:rPr>
        <w:t>ón</w:t>
      </w:r>
      <w:r w:rsidR="00A27AFE">
        <w:rPr>
          <w:rFonts w:ascii="Palatino Linotype" w:hAnsi="Palatino Linotype"/>
        </w:rPr>
        <w:t>, pues incluso en dichas cuentas bancarias no se advierte que correspondan a los montos con los que hace frente el pago de adeudos como la nómina.</w:t>
      </w:r>
    </w:p>
    <w:p w14:paraId="1F96750B" w14:textId="77777777" w:rsidR="00C92E0D" w:rsidRDefault="00C92E0D" w:rsidP="00DD6B2F">
      <w:pPr>
        <w:spacing w:after="0" w:line="360" w:lineRule="auto"/>
        <w:contextualSpacing/>
        <w:jc w:val="both"/>
        <w:rPr>
          <w:rFonts w:ascii="Palatino Linotype" w:hAnsi="Palatino Linotype"/>
        </w:rPr>
      </w:pPr>
    </w:p>
    <w:p w14:paraId="7340AE20" w14:textId="6EAC7026" w:rsidR="00501284" w:rsidRDefault="00DD6B2F" w:rsidP="00DD6B2F">
      <w:pPr>
        <w:spacing w:after="0" w:line="360" w:lineRule="auto"/>
        <w:contextualSpacing/>
        <w:jc w:val="both"/>
        <w:rPr>
          <w:rFonts w:ascii="Palatino Linotype" w:hAnsi="Palatino Linotype"/>
        </w:rPr>
      </w:pPr>
      <w:r>
        <w:rPr>
          <w:rFonts w:ascii="Palatino Linotype" w:hAnsi="Palatino Linotype"/>
        </w:rPr>
        <w:t xml:space="preserve">Conforme a lo anterior, </w:t>
      </w:r>
      <w:r w:rsidR="00AD35A3">
        <w:rPr>
          <w:rFonts w:ascii="Palatino Linotype" w:hAnsi="Palatino Linotype"/>
        </w:rPr>
        <w:t xml:space="preserve">este Instituto </w:t>
      </w:r>
      <w:r>
        <w:rPr>
          <w:rFonts w:ascii="Palatino Linotype" w:hAnsi="Palatino Linotype"/>
        </w:rPr>
        <w:t xml:space="preserve">determinó </w:t>
      </w:r>
      <w:r w:rsidR="00AD35A3">
        <w:rPr>
          <w:rFonts w:ascii="Palatino Linotype" w:hAnsi="Palatino Linotype"/>
        </w:rPr>
        <w:t xml:space="preserve">confirmar </w:t>
      </w:r>
      <w:r w:rsidR="00B8472E">
        <w:rPr>
          <w:rFonts w:ascii="Palatino Linotype" w:hAnsi="Palatino Linotype"/>
        </w:rPr>
        <w:t>la respuesta</w:t>
      </w:r>
      <w:r>
        <w:rPr>
          <w:rFonts w:ascii="Palatino Linotype" w:hAnsi="Palatino Linotype"/>
        </w:rPr>
        <w:t xml:space="preserve"> al considerar que, </w:t>
      </w:r>
      <w:r w:rsidR="00501284">
        <w:rPr>
          <w:rFonts w:ascii="Palatino Linotype" w:hAnsi="Palatino Linotype"/>
        </w:rPr>
        <w:t>con los documentos proporcionados por el Sujeto Obligado</w:t>
      </w:r>
      <w:r>
        <w:rPr>
          <w:rFonts w:ascii="Palatino Linotype" w:hAnsi="Palatino Linotype"/>
        </w:rPr>
        <w:t xml:space="preserve"> </w:t>
      </w:r>
      <w:r w:rsidR="00501284">
        <w:rPr>
          <w:rFonts w:ascii="Palatino Linotype" w:hAnsi="Palatino Linotype"/>
        </w:rPr>
        <w:t xml:space="preserve">atendía lo solicitado por el </w:t>
      </w:r>
      <w:r w:rsidR="00501284">
        <w:rPr>
          <w:rFonts w:ascii="Palatino Linotype" w:hAnsi="Palatino Linotype"/>
        </w:rPr>
        <w:lastRenderedPageBreak/>
        <w:t xml:space="preserve">Particular, en el sentido de que hizo entrega de los documentos en donde constaba el número de cuenta y los estados </w:t>
      </w:r>
      <w:r w:rsidR="00B8472E">
        <w:rPr>
          <w:rFonts w:ascii="Palatino Linotype" w:hAnsi="Palatino Linotype"/>
        </w:rPr>
        <w:t>las mismas</w:t>
      </w:r>
      <w:r w:rsidR="00501284">
        <w:rPr>
          <w:rFonts w:ascii="Palatino Linotype" w:hAnsi="Palatino Linotype"/>
        </w:rPr>
        <w:t>, los cuales abarcaban la temporalidad requerida por el solicitante</w:t>
      </w:r>
      <w:r w:rsidR="00B8472E">
        <w:rPr>
          <w:rFonts w:ascii="Palatino Linotype" w:hAnsi="Palatino Linotype"/>
        </w:rPr>
        <w:t xml:space="preserve"> y que </w:t>
      </w:r>
      <w:r w:rsidR="00B8472E" w:rsidRPr="00C27AED">
        <w:rPr>
          <w:rFonts w:ascii="Palatino Linotype" w:hAnsi="Palatino Linotype"/>
        </w:rPr>
        <w:t xml:space="preserve">en atención al </w:t>
      </w:r>
      <w:r w:rsidR="00C27AED">
        <w:rPr>
          <w:rFonts w:ascii="Palatino Linotype" w:hAnsi="Palatino Linotype"/>
        </w:rPr>
        <w:t xml:space="preserve">criterio con </w:t>
      </w:r>
      <w:r w:rsidR="00C27AED" w:rsidRPr="00C27AED">
        <w:rPr>
          <w:rFonts w:ascii="Palatino Linotype" w:hAnsi="Palatino Linotype"/>
        </w:rPr>
        <w:t>Clave de control: SO/031/2010</w:t>
      </w:r>
      <w:r w:rsidR="00B8472E" w:rsidRPr="00C27AED">
        <w:rPr>
          <w:rFonts w:ascii="Palatino Linotype" w:hAnsi="Palatino Linotype"/>
        </w:rPr>
        <w:t>, no tiene atribuciones</w:t>
      </w:r>
      <w:r w:rsidR="00B8472E">
        <w:rPr>
          <w:rFonts w:ascii="Palatino Linotype" w:hAnsi="Palatino Linotype"/>
        </w:rPr>
        <w:t xml:space="preserve"> para dudar de la veracidad de la respuesta.  </w:t>
      </w:r>
    </w:p>
    <w:p w14:paraId="074017B1" w14:textId="77777777" w:rsidR="001F4E66" w:rsidRDefault="001F4E66" w:rsidP="00DD6B2F">
      <w:pPr>
        <w:spacing w:after="0" w:line="360" w:lineRule="auto"/>
        <w:contextualSpacing/>
        <w:jc w:val="both"/>
        <w:rPr>
          <w:rFonts w:ascii="Palatino Linotype" w:hAnsi="Palatino Linotype"/>
        </w:rPr>
      </w:pPr>
    </w:p>
    <w:p w14:paraId="745BFB86" w14:textId="3BBF5341" w:rsidR="00EB36E1" w:rsidRDefault="00B8472E" w:rsidP="008C59D9">
      <w:pPr>
        <w:spacing w:after="0" w:line="360" w:lineRule="auto"/>
        <w:contextualSpacing/>
        <w:jc w:val="both"/>
        <w:rPr>
          <w:rFonts w:ascii="Palatino Linotype" w:hAnsi="Palatino Linotype"/>
          <w:color w:val="000000" w:themeColor="text1"/>
        </w:rPr>
      </w:pPr>
      <w:r>
        <w:rPr>
          <w:rFonts w:ascii="Palatino Linotype" w:hAnsi="Palatino Linotype"/>
          <w:color w:val="000000" w:themeColor="text1"/>
        </w:rPr>
        <w:t>Sin embargo, no se comparte lo a</w:t>
      </w:r>
      <w:r w:rsidR="00CB3567">
        <w:rPr>
          <w:rFonts w:ascii="Palatino Linotype" w:hAnsi="Palatino Linotype"/>
          <w:color w:val="000000" w:themeColor="text1"/>
        </w:rPr>
        <w:t>nterior,</w:t>
      </w:r>
      <w:r w:rsidR="00DD6B2F" w:rsidRPr="008C59D9">
        <w:rPr>
          <w:rFonts w:ascii="Palatino Linotype" w:hAnsi="Palatino Linotype"/>
          <w:color w:val="000000" w:themeColor="text1"/>
        </w:rPr>
        <w:t xml:space="preserve"> </w:t>
      </w:r>
      <w:r>
        <w:rPr>
          <w:rFonts w:ascii="Palatino Linotype" w:hAnsi="Palatino Linotype"/>
          <w:color w:val="000000" w:themeColor="text1"/>
        </w:rPr>
        <w:t>toda vez que en mi Ponencia se localizó el documento denominado “Notas a los Estados Financieros” d</w:t>
      </w:r>
      <w:r w:rsidRPr="008C59D9">
        <w:rPr>
          <w:rFonts w:ascii="Palatino Linotype" w:hAnsi="Palatino Linotype"/>
          <w:color w:val="000000" w:themeColor="text1"/>
        </w:rPr>
        <w:t xml:space="preserve">el Ayuntamiento de Zinacantepec </w:t>
      </w:r>
      <w:r>
        <w:rPr>
          <w:rFonts w:ascii="Palatino Linotype" w:hAnsi="Palatino Linotype"/>
          <w:color w:val="000000" w:themeColor="text1"/>
        </w:rPr>
        <w:t xml:space="preserve">que corresponden al periodo del primero al treinta y uno de marzo de este año, publicada </w:t>
      </w:r>
      <w:r w:rsidR="00CB3567">
        <w:rPr>
          <w:rFonts w:ascii="Palatino Linotype" w:hAnsi="Palatino Linotype"/>
          <w:color w:val="000000" w:themeColor="text1"/>
        </w:rPr>
        <w:t>en el</w:t>
      </w:r>
      <w:r w:rsidR="008C59D9">
        <w:rPr>
          <w:rFonts w:ascii="Palatino Linotype" w:hAnsi="Palatino Linotype"/>
          <w:color w:val="000000" w:themeColor="text1"/>
        </w:rPr>
        <w:t xml:space="preserve"> enlace; </w:t>
      </w:r>
      <w:hyperlink r:id="rId7" w:history="1">
        <w:r w:rsidR="008C59D9" w:rsidRPr="008C59D9">
          <w:rPr>
            <w:rStyle w:val="Hipervnculo"/>
            <w:rFonts w:ascii="Palatino Linotype" w:eastAsia="Times New Roman" w:hAnsi="Palatino Linotype"/>
            <w:color w:val="000000" w:themeColor="text1"/>
            <w:u w:val="none"/>
          </w:rPr>
          <w:t>https://www.zinacantepec.gob.mx/CONAC/ayuntamiento/2023/1T/1%20CONTABLE/6.-Notas%20a%20los%20Estados%20Financieros.pdf</w:t>
        </w:r>
      </w:hyperlink>
      <w:r w:rsidR="008C59D9">
        <w:rPr>
          <w:rStyle w:val="Hipervnculo"/>
          <w:rFonts w:ascii="Palatino Linotype" w:eastAsia="Times New Roman" w:hAnsi="Palatino Linotype"/>
          <w:color w:val="000000" w:themeColor="text1"/>
          <w:u w:val="none"/>
        </w:rPr>
        <w:t xml:space="preserve">, </w:t>
      </w:r>
      <w:r>
        <w:rPr>
          <w:rStyle w:val="Hipervnculo"/>
          <w:rFonts w:ascii="Palatino Linotype" w:eastAsia="Times New Roman" w:hAnsi="Palatino Linotype"/>
          <w:color w:val="000000" w:themeColor="text1"/>
          <w:u w:val="none"/>
        </w:rPr>
        <w:t xml:space="preserve"> correspondiente, </w:t>
      </w:r>
      <w:r w:rsidR="00EB36E1">
        <w:rPr>
          <w:rStyle w:val="Hipervnculo"/>
          <w:rFonts w:ascii="Palatino Linotype" w:eastAsia="Times New Roman" w:hAnsi="Palatino Linotype"/>
          <w:color w:val="000000" w:themeColor="text1"/>
          <w:u w:val="none"/>
        </w:rPr>
        <w:t>en el que se observa</w:t>
      </w:r>
      <w:r w:rsidR="008C59D9">
        <w:rPr>
          <w:rFonts w:ascii="Palatino Linotype" w:hAnsi="Palatino Linotype"/>
          <w:color w:val="000000" w:themeColor="text1"/>
        </w:rPr>
        <w:t xml:space="preserve"> </w:t>
      </w:r>
      <w:r w:rsidR="001F4E66" w:rsidRPr="008C59D9">
        <w:rPr>
          <w:rFonts w:ascii="Palatino Linotype" w:hAnsi="Palatino Linotype"/>
          <w:color w:val="000000" w:themeColor="text1"/>
        </w:rPr>
        <w:t>diversa información</w:t>
      </w:r>
      <w:r w:rsidR="008C59D9">
        <w:rPr>
          <w:rFonts w:ascii="Palatino Linotype" w:hAnsi="Palatino Linotype"/>
          <w:color w:val="000000" w:themeColor="text1"/>
        </w:rPr>
        <w:t xml:space="preserve"> </w:t>
      </w:r>
      <w:r w:rsidR="001F4E66" w:rsidRPr="008C59D9">
        <w:rPr>
          <w:rFonts w:ascii="Palatino Linotype" w:hAnsi="Palatino Linotype"/>
          <w:color w:val="000000" w:themeColor="text1"/>
        </w:rPr>
        <w:t xml:space="preserve">que da cuenta de </w:t>
      </w:r>
      <w:r w:rsidR="001F4E66" w:rsidRPr="00B8472E">
        <w:rPr>
          <w:rFonts w:ascii="Palatino Linotype" w:hAnsi="Palatino Linotype"/>
          <w:b/>
          <w:bCs/>
          <w:color w:val="000000" w:themeColor="text1"/>
          <w:u w:val="single"/>
        </w:rPr>
        <w:t>la existencia de otras cuentas con distintos bancos</w:t>
      </w:r>
      <w:r w:rsidR="001F4E66" w:rsidRPr="008C59D9">
        <w:rPr>
          <w:rFonts w:ascii="Palatino Linotype" w:hAnsi="Palatino Linotype"/>
          <w:color w:val="000000" w:themeColor="text1"/>
        </w:rPr>
        <w:t xml:space="preserve">, </w:t>
      </w:r>
      <w:r>
        <w:rPr>
          <w:rFonts w:ascii="Palatino Linotype" w:hAnsi="Palatino Linotype"/>
          <w:color w:val="000000" w:themeColor="text1"/>
        </w:rPr>
        <w:t>como se</w:t>
      </w:r>
      <w:r w:rsidR="001F4E66" w:rsidRPr="008C59D9">
        <w:rPr>
          <w:rFonts w:ascii="Palatino Linotype" w:hAnsi="Palatino Linotype"/>
          <w:color w:val="000000" w:themeColor="text1"/>
        </w:rPr>
        <w:t xml:space="preserve"> observa</w:t>
      </w:r>
      <w:r>
        <w:rPr>
          <w:rFonts w:ascii="Palatino Linotype" w:hAnsi="Palatino Linotype"/>
          <w:color w:val="000000" w:themeColor="text1"/>
        </w:rPr>
        <w:t xml:space="preserve"> a continuación:</w:t>
      </w:r>
    </w:p>
    <w:p w14:paraId="64AA1533" w14:textId="77777777" w:rsidR="00EB36E1" w:rsidRDefault="00EB36E1" w:rsidP="008C59D9">
      <w:pPr>
        <w:spacing w:after="0" w:line="360" w:lineRule="auto"/>
        <w:contextualSpacing/>
        <w:jc w:val="both"/>
        <w:rPr>
          <w:rFonts w:ascii="Palatino Linotype" w:hAnsi="Palatino Linotype"/>
          <w:color w:val="000000" w:themeColor="text1"/>
        </w:rPr>
      </w:pPr>
    </w:p>
    <w:p w14:paraId="05CA04D2" w14:textId="38C2C3EE" w:rsidR="008C59D9" w:rsidRPr="008C59D9" w:rsidRDefault="00EB36E1" w:rsidP="00EB36E1">
      <w:pPr>
        <w:spacing w:after="0" w:line="360" w:lineRule="auto"/>
        <w:contextualSpacing/>
        <w:jc w:val="center"/>
        <w:rPr>
          <w:rFonts w:ascii="Palatino Linotype" w:eastAsia="Times New Roman" w:hAnsi="Palatino Linotype"/>
          <w:color w:val="000000" w:themeColor="text1"/>
        </w:rPr>
      </w:pPr>
      <w:r w:rsidRPr="00B855F7">
        <w:rPr>
          <w:noProof/>
          <w:sz w:val="20"/>
          <w:szCs w:val="20"/>
        </w:rPr>
        <w:drawing>
          <wp:inline distT="0" distB="0" distL="0" distR="0" wp14:anchorId="4586977B" wp14:editId="072E7675">
            <wp:extent cx="4886325" cy="3338247"/>
            <wp:effectExtent l="0" t="0" r="0" b="0"/>
            <wp:docPr id="15244952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95264" name=""/>
                    <pic:cNvPicPr/>
                  </pic:nvPicPr>
                  <pic:blipFill rotWithShape="1">
                    <a:blip r:embed="rId8"/>
                    <a:srcRect l="24270" t="20829" r="25323" b="17920"/>
                    <a:stretch/>
                  </pic:blipFill>
                  <pic:spPr bwMode="auto">
                    <a:xfrm>
                      <a:off x="0" y="0"/>
                      <a:ext cx="4948592" cy="3380787"/>
                    </a:xfrm>
                    <a:prstGeom prst="rect">
                      <a:avLst/>
                    </a:prstGeom>
                    <a:ln>
                      <a:noFill/>
                    </a:ln>
                    <a:extLst>
                      <a:ext uri="{53640926-AAD7-44D8-BBD7-CCE9431645EC}">
                        <a14:shadowObscured xmlns:a14="http://schemas.microsoft.com/office/drawing/2010/main"/>
                      </a:ext>
                    </a:extLst>
                  </pic:spPr>
                </pic:pic>
              </a:graphicData>
            </a:graphic>
          </wp:inline>
        </w:drawing>
      </w:r>
    </w:p>
    <w:p w14:paraId="6FF33A64" w14:textId="15E918CC" w:rsidR="00B8472E" w:rsidRDefault="00B8472E" w:rsidP="00DD6B2F">
      <w:pPr>
        <w:spacing w:after="0" w:line="360" w:lineRule="auto"/>
        <w:contextualSpacing/>
        <w:jc w:val="both"/>
        <w:rPr>
          <w:rFonts w:ascii="Palatino Linotype" w:hAnsi="Palatino Linotype"/>
        </w:rPr>
      </w:pPr>
      <w:r>
        <w:rPr>
          <w:rFonts w:ascii="Palatino Linotype" w:hAnsi="Palatino Linotype"/>
        </w:rPr>
        <w:lastRenderedPageBreak/>
        <w:t xml:space="preserve">De acuerdo con el documento anterior, el Ayuntamiento </w:t>
      </w:r>
      <w:r w:rsidR="007433B7">
        <w:rPr>
          <w:rFonts w:ascii="Palatino Linotype" w:hAnsi="Palatino Linotype"/>
        </w:rPr>
        <w:t xml:space="preserve">cuenta </w:t>
      </w:r>
      <w:proofErr w:type="gramStart"/>
      <w:r w:rsidR="007433B7">
        <w:rPr>
          <w:rFonts w:ascii="Palatino Linotype" w:hAnsi="Palatino Linotype"/>
        </w:rPr>
        <w:t xml:space="preserve">con </w:t>
      </w:r>
      <w:r w:rsidR="007433B7">
        <w:rPr>
          <w:rFonts w:ascii="Palatino Linotype" w:hAnsi="Palatino Linotype"/>
          <w:b/>
          <w:bCs/>
        </w:rPr>
        <w:t xml:space="preserve"> 125</w:t>
      </w:r>
      <w:proofErr w:type="gramEnd"/>
      <w:r w:rsidR="007433B7">
        <w:rPr>
          <w:rFonts w:ascii="Palatino Linotype" w:hAnsi="Palatino Linotype"/>
          <w:b/>
          <w:bCs/>
        </w:rPr>
        <w:t xml:space="preserve"> cuentas bancarias distribuidas en 12 instituciones de crédito</w:t>
      </w:r>
      <w:r w:rsidR="007433B7">
        <w:rPr>
          <w:rFonts w:ascii="Palatino Linotype" w:hAnsi="Palatino Linotype"/>
        </w:rPr>
        <w:t>, de las cuales incluso se reporta que en algunas, durante ese mes no tuvieron movimiento. Si bien es cierto que al ser un reporte del mes concluido y que se generó en fechas posterior a la solicitud, debe quedar claro que este documento público no da respuesta a la solicitud, pero sí permite acreditar que existen otras cuentas bancarias en el Ayuntamiento que corresponden al periodo solicitado por el particular, por lo que, lo procedente era modificar la respuesta y ordenar al sujeto obligado a que entregara la información de las cuentas faltantes.</w:t>
      </w:r>
    </w:p>
    <w:p w14:paraId="1811BDF6" w14:textId="77777777" w:rsidR="007433B7" w:rsidRDefault="007433B7" w:rsidP="00DD6B2F">
      <w:pPr>
        <w:spacing w:after="0" w:line="360" w:lineRule="auto"/>
        <w:contextualSpacing/>
        <w:jc w:val="both"/>
        <w:rPr>
          <w:rFonts w:ascii="Palatino Linotype" w:hAnsi="Palatino Linotype"/>
        </w:rPr>
      </w:pPr>
    </w:p>
    <w:p w14:paraId="5AB411BE" w14:textId="04BBAA9E" w:rsidR="007433B7" w:rsidRDefault="007433B7" w:rsidP="00DD6B2F">
      <w:pPr>
        <w:spacing w:after="0" w:line="360" w:lineRule="auto"/>
        <w:contextualSpacing/>
        <w:jc w:val="both"/>
        <w:rPr>
          <w:rFonts w:ascii="Palatino Linotype" w:hAnsi="Palatino Linotype"/>
          <w:b/>
          <w:bCs/>
        </w:rPr>
      </w:pPr>
      <w:r>
        <w:rPr>
          <w:rFonts w:ascii="Palatino Linotype" w:hAnsi="Palatino Linotype"/>
        </w:rPr>
        <w:t xml:space="preserve">Además, como se advierte del documento y acorde con las propias funciones del Ayuntamiento, se debe resaltar que estos dentro de sus funciones realizan una gran cantidad de pagos no sólo de salarios, sino de proveedores y contratistas, que además reciben dinero por el cobro de impuestos y derechos, de tal suerte que, se encuentra justificación en que cuenten con un alto número de cuentas bancarias, como lo demuestra el documento y que esto permita una mejor administración y organización de sus recursos, pues como se logra ver del mismo también tiene </w:t>
      </w:r>
      <w:r>
        <w:rPr>
          <w:rFonts w:ascii="Palatino Linotype" w:hAnsi="Palatino Linotype"/>
          <w:b/>
          <w:bCs/>
        </w:rPr>
        <w:t>cuentas de inversiones temporales</w:t>
      </w:r>
      <w:r w:rsidR="001E4BE7">
        <w:rPr>
          <w:rFonts w:ascii="Palatino Linotype" w:hAnsi="Palatino Linotype"/>
          <w:b/>
          <w:bCs/>
        </w:rPr>
        <w:t xml:space="preserve"> de tres meses</w:t>
      </w:r>
      <w:r>
        <w:rPr>
          <w:rFonts w:ascii="Palatino Linotype" w:hAnsi="Palatino Linotype"/>
          <w:b/>
          <w:bCs/>
        </w:rPr>
        <w:t>.</w:t>
      </w:r>
    </w:p>
    <w:p w14:paraId="11624D76" w14:textId="77777777" w:rsidR="007433B7" w:rsidRDefault="007433B7" w:rsidP="00DD6B2F">
      <w:pPr>
        <w:spacing w:after="0" w:line="360" w:lineRule="auto"/>
        <w:contextualSpacing/>
        <w:jc w:val="both"/>
        <w:rPr>
          <w:rFonts w:ascii="Palatino Linotype" w:hAnsi="Palatino Linotype"/>
          <w:b/>
          <w:bCs/>
        </w:rPr>
      </w:pPr>
    </w:p>
    <w:p w14:paraId="23CE0F9C" w14:textId="15AAD677" w:rsidR="007433B7" w:rsidRDefault="007433B7" w:rsidP="00DD6B2F">
      <w:pPr>
        <w:spacing w:after="0" w:line="360" w:lineRule="auto"/>
        <w:contextualSpacing/>
        <w:jc w:val="both"/>
        <w:rPr>
          <w:rFonts w:ascii="Palatino Linotype" w:hAnsi="Palatino Linotype"/>
        </w:rPr>
      </w:pPr>
      <w:r w:rsidRPr="007433B7">
        <w:rPr>
          <w:rFonts w:ascii="Palatino Linotype" w:hAnsi="Palatino Linotype"/>
        </w:rPr>
        <w:t>Ta</w:t>
      </w:r>
      <w:r>
        <w:rPr>
          <w:rFonts w:ascii="Palatino Linotype" w:hAnsi="Palatino Linotype"/>
        </w:rPr>
        <w:t xml:space="preserve">mbién es necesario reflexionar que las cuentas bancarias no se aperturan de manera temporal para recibir un pago o realizarlo, de tal manera que se pueda afirmar que las 123 cuentas de las que no se entregó información hayan sido abiertas del 4 al 31 de marzo y que por eso no se contaba con la información a la fecha de la solicitud, pues la administración de recursos y la gestión de pagos se realiza desde el primer día hábil del mes de enero de cada año en que la gente comienza a realizar el pago de sus impuestos anuales como el caso del predial, sin dejar de lado que cada quincena se paga la nómina, por lo que considero </w:t>
      </w:r>
      <w:r>
        <w:rPr>
          <w:rFonts w:ascii="Palatino Linotype" w:hAnsi="Palatino Linotype"/>
        </w:rPr>
        <w:lastRenderedPageBreak/>
        <w:t>que, plenamente le asiste la razón la Recurrente cuando se inconforma de que la información le fue entrega de manera incompleta.</w:t>
      </w:r>
    </w:p>
    <w:p w14:paraId="58DE07FA" w14:textId="77777777" w:rsidR="00C642EE" w:rsidRPr="007433B7" w:rsidRDefault="00C642EE" w:rsidP="00DD6B2F">
      <w:pPr>
        <w:spacing w:after="0" w:line="360" w:lineRule="auto"/>
        <w:contextualSpacing/>
        <w:jc w:val="both"/>
        <w:rPr>
          <w:rFonts w:ascii="Palatino Linotype" w:hAnsi="Palatino Linotype"/>
        </w:rPr>
      </w:pPr>
    </w:p>
    <w:p w14:paraId="73628E70" w14:textId="09BCC2B8" w:rsidR="001F4E66" w:rsidRDefault="00C642EE" w:rsidP="00DD6B2F">
      <w:pPr>
        <w:spacing w:after="0" w:line="360" w:lineRule="auto"/>
        <w:contextualSpacing/>
        <w:jc w:val="both"/>
        <w:rPr>
          <w:rFonts w:ascii="Palatino Linotype" w:hAnsi="Palatino Linotype"/>
        </w:rPr>
      </w:pPr>
      <w:r>
        <w:rPr>
          <w:rFonts w:ascii="Palatino Linotype" w:hAnsi="Palatino Linotype"/>
        </w:rPr>
        <w:t xml:space="preserve">Con base en lo anterior, emito el presente Voto Disidente toda vez que, desde mi perspectiva, </w:t>
      </w:r>
      <w:r w:rsidR="001F4E66">
        <w:rPr>
          <w:rFonts w:ascii="Palatino Linotype" w:hAnsi="Palatino Linotype"/>
        </w:rPr>
        <w:t xml:space="preserve">si bien el Sujeto Obligado </w:t>
      </w:r>
      <w:r>
        <w:rPr>
          <w:rFonts w:ascii="Palatino Linotype" w:hAnsi="Palatino Linotype"/>
        </w:rPr>
        <w:t>entregó información que</w:t>
      </w:r>
      <w:r w:rsidR="001F4E66">
        <w:rPr>
          <w:rFonts w:ascii="Palatino Linotype" w:hAnsi="Palatino Linotype"/>
        </w:rPr>
        <w:t xml:space="preserve"> daba cuenta de lo solicitado, lo cierto es que no procedía confirmar </w:t>
      </w:r>
      <w:r>
        <w:rPr>
          <w:rFonts w:ascii="Palatino Linotype" w:hAnsi="Palatino Linotype"/>
        </w:rPr>
        <w:t xml:space="preserve">la respuesta, </w:t>
      </w:r>
      <w:r w:rsidR="001F4E66">
        <w:rPr>
          <w:rFonts w:ascii="Palatino Linotype" w:hAnsi="Palatino Linotype"/>
        </w:rPr>
        <w:t>sino modificar</w:t>
      </w:r>
      <w:r>
        <w:rPr>
          <w:rFonts w:ascii="Palatino Linotype" w:hAnsi="Palatino Linotype"/>
        </w:rPr>
        <w:t xml:space="preserve">la, porque en  efecto se entregó incompleta; esto es, no se duda de la veracidad de lo ya proporcionado, sino que, se encontraron evidencias públicas de que existen otras cuentas bancarias de las cuales no se entregó la información; de tal suerte que procedía </w:t>
      </w:r>
      <w:r w:rsidR="001F4E66">
        <w:rPr>
          <w:rFonts w:ascii="Palatino Linotype" w:hAnsi="Palatino Linotype"/>
        </w:rPr>
        <w:t>ordenar la información faltante conforme a lo publicado por el mimo Ente Recurrido.</w:t>
      </w:r>
    </w:p>
    <w:p w14:paraId="7476245E" w14:textId="77777777" w:rsidR="00D30443" w:rsidRDefault="00D30443" w:rsidP="00DD6B2F">
      <w:pPr>
        <w:spacing w:after="0" w:line="360" w:lineRule="auto"/>
        <w:contextualSpacing/>
        <w:jc w:val="both"/>
        <w:rPr>
          <w:rFonts w:ascii="Palatino Linotype" w:hAnsi="Palatino Linotype"/>
        </w:rPr>
      </w:pPr>
    </w:p>
    <w:p w14:paraId="44F6AC6B" w14:textId="0BE2CD64" w:rsidR="00DD6B2F" w:rsidRDefault="00E13607" w:rsidP="00DD6B2F">
      <w:pPr>
        <w:spacing w:after="0" w:line="360" w:lineRule="auto"/>
        <w:contextualSpacing/>
        <w:jc w:val="both"/>
        <w:rPr>
          <w:rFonts w:ascii="Palatino Linotype" w:eastAsia="Palatino Linotype" w:hAnsi="Palatino Linotype" w:cs="Palatino Linotype"/>
        </w:rPr>
      </w:pPr>
      <w:r>
        <w:rPr>
          <w:rFonts w:ascii="Palatino Linotype" w:hAnsi="Palatino Linotype"/>
        </w:rPr>
        <w:t>P</w:t>
      </w:r>
      <w:r w:rsidR="00DD6B2F" w:rsidRPr="00FF0C7E">
        <w:rPr>
          <w:rFonts w:ascii="Palatino Linotype" w:hAnsi="Palatino Linotype"/>
        </w:rPr>
        <w:t xml:space="preserve">or ello, con base en los razonamientos expuestos, se emite el Presente </w:t>
      </w:r>
      <w:r w:rsidR="00DD6B2F" w:rsidRPr="00FF0C7E">
        <w:rPr>
          <w:rFonts w:ascii="Palatino Linotype" w:hAnsi="Palatino Linotype"/>
          <w:b/>
          <w:bCs/>
        </w:rPr>
        <w:t>Voto Particular</w:t>
      </w:r>
      <w:r w:rsidR="00DD6B2F">
        <w:rPr>
          <w:rFonts w:ascii="Palatino Linotype" w:eastAsia="Palatino Linotype" w:hAnsi="Palatino Linotype" w:cs="Palatino Linotype"/>
          <w:b/>
        </w:rPr>
        <w:t>.</w:t>
      </w:r>
      <w:r w:rsidR="00DD6B2F">
        <w:rPr>
          <w:rFonts w:ascii="Palatino Linotype" w:eastAsia="Palatino Linotype" w:hAnsi="Palatino Linotype" w:cs="Palatino Linotype"/>
        </w:rPr>
        <w:t xml:space="preserve"> ------------------------------------------------------------------------------------------------------------------------------------------------------------</w:t>
      </w:r>
      <w:r>
        <w:rPr>
          <w:rFonts w:ascii="Palatino Linotype" w:eastAsia="Palatino Linotype" w:hAnsi="Palatino Linotype" w:cs="Palatino Linotype"/>
        </w:rPr>
        <w:t>----------------------------------------------------------------------------------------</w:t>
      </w:r>
      <w:r w:rsidR="00DD6B2F">
        <w:br w:type="page"/>
      </w:r>
    </w:p>
    <w:p w14:paraId="46414BE7" w14:textId="77777777" w:rsidR="00DD6B2F" w:rsidRDefault="00DD6B2F" w:rsidP="00DD6B2F">
      <w:pPr>
        <w:spacing w:after="0" w:line="360" w:lineRule="auto"/>
        <w:contextualSpacing/>
        <w:jc w:val="both"/>
        <w:rPr>
          <w:rFonts w:ascii="Palatino Linotype" w:eastAsia="Palatino Linotype" w:hAnsi="Palatino Linotype" w:cs="Palatino Linotype"/>
        </w:rPr>
      </w:pPr>
    </w:p>
    <w:p w14:paraId="5209BE40" w14:textId="77777777" w:rsidR="00DD6B2F" w:rsidRDefault="00DD6B2F" w:rsidP="00DD6B2F">
      <w:pPr>
        <w:spacing w:line="360" w:lineRule="auto"/>
        <w:contextualSpacing/>
        <w:rPr>
          <w:rFonts w:ascii="Palatino Linotype" w:eastAsia="Palatino Linotype" w:hAnsi="Palatino Linotype" w:cs="Palatino Linotype"/>
        </w:rPr>
      </w:pPr>
    </w:p>
    <w:p w14:paraId="5AD47537" w14:textId="77777777" w:rsidR="00DD6B2F" w:rsidRDefault="00DD6B2F" w:rsidP="00DD6B2F">
      <w:pPr>
        <w:spacing w:line="360" w:lineRule="auto"/>
        <w:contextualSpacing/>
      </w:pPr>
    </w:p>
    <w:p w14:paraId="23A1A243" w14:textId="77777777" w:rsidR="00DD6B2F" w:rsidRDefault="00DD6B2F" w:rsidP="00DD6B2F">
      <w:pPr>
        <w:spacing w:line="360" w:lineRule="auto"/>
        <w:contextualSpacing/>
      </w:pPr>
    </w:p>
    <w:p w14:paraId="0ADAB1AB" w14:textId="77777777" w:rsidR="00DD6B2F" w:rsidRDefault="00DD6B2F" w:rsidP="00DD6B2F">
      <w:pPr>
        <w:spacing w:line="360" w:lineRule="auto"/>
        <w:contextualSpacing/>
      </w:pPr>
    </w:p>
    <w:p w14:paraId="02DEB1FC" w14:textId="77777777" w:rsidR="00DD6B2F" w:rsidRDefault="00DD6B2F" w:rsidP="00DD6B2F">
      <w:pPr>
        <w:spacing w:line="360" w:lineRule="auto"/>
        <w:contextualSpacing/>
      </w:pPr>
    </w:p>
    <w:p w14:paraId="345EC140" w14:textId="77777777" w:rsidR="00DD6B2F" w:rsidRDefault="00DD6B2F" w:rsidP="00DD6B2F">
      <w:pPr>
        <w:spacing w:line="360" w:lineRule="auto"/>
        <w:contextualSpacing/>
      </w:pPr>
    </w:p>
    <w:p w14:paraId="322890A4" w14:textId="77777777" w:rsidR="00DD6B2F" w:rsidRDefault="00DD6B2F" w:rsidP="00DD6B2F">
      <w:pPr>
        <w:spacing w:line="360" w:lineRule="auto"/>
        <w:contextualSpacing/>
      </w:pPr>
    </w:p>
    <w:p w14:paraId="5941ACA2" w14:textId="77777777" w:rsidR="00DD6B2F" w:rsidRPr="007F6C2B" w:rsidRDefault="00DD6B2F" w:rsidP="00DD6B2F">
      <w:pPr>
        <w:spacing w:line="360" w:lineRule="auto"/>
        <w:contextualSpacing/>
        <w:rPr>
          <w:lang w:val="es-MX"/>
        </w:rPr>
      </w:pPr>
    </w:p>
    <w:p w14:paraId="4788A083" w14:textId="77777777" w:rsidR="00DD6B2F" w:rsidRDefault="00DD6B2F" w:rsidP="00DD6B2F">
      <w:pPr>
        <w:spacing w:line="360" w:lineRule="auto"/>
        <w:contextualSpacing/>
      </w:pPr>
    </w:p>
    <w:bookmarkEnd w:id="0"/>
    <w:p w14:paraId="5F829D60" w14:textId="77777777" w:rsidR="00CE7148" w:rsidRDefault="00CE7148"/>
    <w:sectPr w:rsidR="00CE7148" w:rsidSect="00A27AFE">
      <w:headerReference w:type="even" r:id="rId9"/>
      <w:headerReference w:type="default" r:id="rId10"/>
      <w:footerReference w:type="default" r:id="rId11"/>
      <w:headerReference w:type="first" r:id="rId12"/>
      <w:pgSz w:w="12240" w:h="15840"/>
      <w:pgMar w:top="1417" w:right="1701" w:bottom="1417" w:left="1701" w:header="142"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68F3F" w14:textId="77777777" w:rsidR="00A23316" w:rsidRDefault="00A23316" w:rsidP="00DD6B2F">
      <w:pPr>
        <w:spacing w:after="0" w:line="240" w:lineRule="auto"/>
      </w:pPr>
      <w:r>
        <w:separator/>
      </w:r>
    </w:p>
  </w:endnote>
  <w:endnote w:type="continuationSeparator" w:id="0">
    <w:p w14:paraId="3666B322" w14:textId="77777777" w:rsidR="00A23316" w:rsidRDefault="00A23316" w:rsidP="00DD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F4DA" w14:textId="77777777" w:rsidR="006C7AE7" w:rsidRDefault="00CB3567">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p>
  <w:p w14:paraId="5D182DE7" w14:textId="77777777" w:rsidR="006C7AE7" w:rsidRDefault="00E4586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29BE" w14:textId="77777777" w:rsidR="00A23316" w:rsidRDefault="00A23316" w:rsidP="00DD6B2F">
      <w:pPr>
        <w:spacing w:after="0" w:line="240" w:lineRule="auto"/>
      </w:pPr>
      <w:r>
        <w:separator/>
      </w:r>
    </w:p>
  </w:footnote>
  <w:footnote w:type="continuationSeparator" w:id="0">
    <w:p w14:paraId="7BF0F11B" w14:textId="77777777" w:rsidR="00A23316" w:rsidRDefault="00A23316" w:rsidP="00DD6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C235" w14:textId="77777777" w:rsidR="006C7AE7" w:rsidRDefault="00E45863">
    <w:pPr>
      <w:pBdr>
        <w:top w:val="nil"/>
        <w:left w:val="nil"/>
        <w:bottom w:val="nil"/>
        <w:right w:val="nil"/>
        <w:between w:val="nil"/>
      </w:pBdr>
      <w:tabs>
        <w:tab w:val="center" w:pos="4252"/>
        <w:tab w:val="right" w:pos="8504"/>
      </w:tabs>
      <w:spacing w:after="0" w:line="240" w:lineRule="auto"/>
      <w:rPr>
        <w:color w:val="000000"/>
      </w:rPr>
    </w:pPr>
    <w:r>
      <w:rPr>
        <w:color w:val="000000"/>
      </w:rPr>
      <w:pict w14:anchorId="59F18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1.8pt;height:81.25pt;rotation:315;z-index:-251659776;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8C00" w14:textId="77777777" w:rsidR="006C7AE7" w:rsidRDefault="00E45863">
    <w:pPr>
      <w:widowControl w:val="0"/>
      <w:pBdr>
        <w:top w:val="nil"/>
        <w:left w:val="nil"/>
        <w:bottom w:val="nil"/>
        <w:right w:val="nil"/>
        <w:between w:val="nil"/>
      </w:pBdr>
      <w:spacing w:after="0" w:line="276" w:lineRule="auto"/>
      <w:rPr>
        <w:rFonts w:ascii="Palatino Linotype" w:eastAsia="Palatino Linotype" w:hAnsi="Palatino Linotype" w:cs="Palatino Linotype"/>
      </w:rPr>
    </w:pPr>
  </w:p>
  <w:tbl>
    <w:tblPr>
      <w:tblW w:w="8931" w:type="dxa"/>
      <w:tblBorders>
        <w:top w:val="nil"/>
        <w:left w:val="nil"/>
        <w:bottom w:val="nil"/>
        <w:right w:val="nil"/>
        <w:insideH w:val="nil"/>
        <w:insideV w:val="nil"/>
      </w:tblBorders>
      <w:tblLayout w:type="fixed"/>
      <w:tblLook w:val="0400" w:firstRow="0" w:lastRow="0" w:firstColumn="0" w:lastColumn="0" w:noHBand="0" w:noVBand="1"/>
    </w:tblPr>
    <w:tblGrid>
      <w:gridCol w:w="3969"/>
      <w:gridCol w:w="4962"/>
    </w:tblGrid>
    <w:tr w:rsidR="006C7AE7" w14:paraId="15CD4A8A" w14:textId="77777777" w:rsidTr="00DD6B2F">
      <w:trPr>
        <w:trHeight w:val="2219"/>
      </w:trPr>
      <w:tc>
        <w:tcPr>
          <w:tcW w:w="3969" w:type="dxa"/>
          <w:vAlign w:val="bottom"/>
        </w:tcPr>
        <w:p w14:paraId="2C14BDB5" w14:textId="77777777" w:rsidR="006C7AE7" w:rsidRDefault="00CB3567">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rPr>
            <w:drawing>
              <wp:inline distT="0" distB="0" distL="0" distR="0" wp14:anchorId="2278242B" wp14:editId="76103A25">
                <wp:extent cx="1873633" cy="1126540"/>
                <wp:effectExtent l="0" t="0" r="0" b="0"/>
                <wp:docPr id="1830017727" name="Imagen 183001772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p w14:paraId="32BE9D33" w14:textId="77777777" w:rsidR="006C7AE7" w:rsidRDefault="00E45863">
          <w:pPr>
            <w:pBdr>
              <w:top w:val="nil"/>
              <w:left w:val="nil"/>
              <w:bottom w:val="nil"/>
              <w:right w:val="nil"/>
              <w:between w:val="nil"/>
            </w:pBdr>
            <w:tabs>
              <w:tab w:val="center" w:pos="4252"/>
              <w:tab w:val="right" w:pos="8504"/>
              <w:tab w:val="center" w:pos="2614"/>
            </w:tabs>
            <w:ind w:left="-255"/>
            <w:rPr>
              <w:color w:val="000000"/>
            </w:rPr>
          </w:pPr>
        </w:p>
      </w:tc>
      <w:tc>
        <w:tcPr>
          <w:tcW w:w="4962" w:type="dxa"/>
          <w:vAlign w:val="center"/>
        </w:tcPr>
        <w:p w14:paraId="55A17C33" w14:textId="7B941AC6" w:rsidR="00C75538" w:rsidRPr="009602AD" w:rsidRDefault="00CB3567" w:rsidP="00C75538">
          <w:pPr>
            <w:tabs>
              <w:tab w:val="center" w:pos="4252"/>
              <w:tab w:val="right" w:pos="8504"/>
            </w:tabs>
            <w:spacing w:after="0" w:line="240" w:lineRule="auto"/>
            <w:ind w:left="-106" w:right="-250"/>
            <w:jc w:val="both"/>
            <w:rPr>
              <w:rFonts w:ascii="Palatino Linotype" w:eastAsiaTheme="minorHAnsi" w:hAnsi="Palatino Linotype" w:cs="Tahoma"/>
              <w:b/>
              <w:lang w:eastAsia="en-US"/>
            </w:rPr>
          </w:pPr>
          <w:r w:rsidRPr="009602AD">
            <w:rPr>
              <w:rFonts w:ascii="Palatino Linotype" w:eastAsiaTheme="minorHAnsi" w:hAnsi="Palatino Linotype" w:cs="Tahoma"/>
              <w:b/>
              <w:lang w:eastAsia="en-US"/>
            </w:rPr>
            <w:t xml:space="preserve">Voto </w:t>
          </w:r>
          <w:r w:rsidR="00C92E0D">
            <w:rPr>
              <w:rFonts w:ascii="Palatino Linotype" w:eastAsiaTheme="minorHAnsi" w:hAnsi="Palatino Linotype" w:cs="Tahoma"/>
              <w:b/>
              <w:lang w:eastAsia="en-US"/>
            </w:rPr>
            <w:t>Disidente</w:t>
          </w:r>
        </w:p>
        <w:p w14:paraId="2F26A617" w14:textId="516B9F04" w:rsidR="00C75538" w:rsidRPr="009602AD" w:rsidRDefault="00CB3567" w:rsidP="00C75538">
          <w:pPr>
            <w:tabs>
              <w:tab w:val="center" w:pos="4252"/>
              <w:tab w:val="right" w:pos="8504"/>
            </w:tabs>
            <w:spacing w:after="0" w:line="240" w:lineRule="auto"/>
            <w:ind w:left="-108" w:right="37"/>
            <w:jc w:val="both"/>
            <w:rPr>
              <w:rFonts w:ascii="Palatino Linotype" w:eastAsiaTheme="minorHAnsi" w:hAnsi="Palatino Linotype" w:cstheme="minorBidi"/>
              <w:lang w:val="es-MX" w:eastAsia="en-US"/>
            </w:rPr>
          </w:pPr>
          <w:r w:rsidRPr="009602AD">
            <w:rPr>
              <w:rFonts w:ascii="Palatino Linotype" w:eastAsiaTheme="minorHAnsi" w:hAnsi="Palatino Linotype" w:cs="Tahoma"/>
              <w:b/>
              <w:lang w:eastAsia="en-US"/>
            </w:rPr>
            <w:t xml:space="preserve">Recurso de Revisión: </w:t>
          </w:r>
          <w:r w:rsidR="00DD6B2F" w:rsidRPr="00DD6B2F">
            <w:rPr>
              <w:rFonts w:ascii="Palatino Linotype" w:eastAsiaTheme="minorHAnsi" w:hAnsi="Palatino Linotype" w:cs="Tahoma"/>
              <w:bCs/>
              <w:lang w:eastAsia="en-US"/>
            </w:rPr>
            <w:t>0</w:t>
          </w:r>
          <w:r w:rsidRPr="009602AD">
            <w:rPr>
              <w:rFonts w:ascii="Palatino Linotype" w:eastAsiaTheme="minorHAnsi" w:hAnsi="Palatino Linotype" w:cstheme="minorBidi"/>
              <w:lang w:val="es-MX" w:eastAsia="en-US"/>
            </w:rPr>
            <w:t>1</w:t>
          </w:r>
          <w:r w:rsidR="00DD6B2F">
            <w:rPr>
              <w:rFonts w:ascii="Palatino Linotype" w:eastAsiaTheme="minorHAnsi" w:hAnsi="Palatino Linotype" w:cstheme="minorBidi"/>
              <w:lang w:val="es-MX" w:eastAsia="en-US"/>
            </w:rPr>
            <w:t>600</w:t>
          </w:r>
          <w:r w:rsidRPr="009602AD">
            <w:rPr>
              <w:rFonts w:ascii="Palatino Linotype" w:eastAsiaTheme="minorHAnsi" w:hAnsi="Palatino Linotype" w:cstheme="minorBidi"/>
              <w:lang w:val="es-MX" w:eastAsia="en-US"/>
            </w:rPr>
            <w:t>/INFOEM/IP/RR/202</w:t>
          </w:r>
          <w:r w:rsidR="00DD6B2F">
            <w:rPr>
              <w:rFonts w:ascii="Palatino Linotype" w:eastAsiaTheme="minorHAnsi" w:hAnsi="Palatino Linotype" w:cstheme="minorBidi"/>
              <w:lang w:val="es-MX" w:eastAsia="en-US"/>
            </w:rPr>
            <w:t>3</w:t>
          </w:r>
          <w:r w:rsidRPr="009602AD">
            <w:rPr>
              <w:rFonts w:ascii="Palatino Linotype" w:eastAsiaTheme="minorHAnsi" w:hAnsi="Palatino Linotype" w:cstheme="minorBidi"/>
              <w:lang w:val="es-MX" w:eastAsia="en-US"/>
            </w:rPr>
            <w:t xml:space="preserve"> </w:t>
          </w:r>
        </w:p>
        <w:p w14:paraId="78BE99F7" w14:textId="24C1C97D" w:rsidR="00C75538" w:rsidRPr="007F6C2B" w:rsidRDefault="00CB3567" w:rsidP="00C75538">
          <w:pPr>
            <w:tabs>
              <w:tab w:val="center" w:pos="4252"/>
              <w:tab w:val="right" w:pos="8504"/>
            </w:tabs>
            <w:spacing w:after="0" w:line="240" w:lineRule="auto"/>
            <w:ind w:left="-108" w:right="37"/>
            <w:jc w:val="both"/>
            <w:rPr>
              <w:rFonts w:ascii="Palatino Linotype" w:eastAsiaTheme="minorHAnsi" w:hAnsi="Palatino Linotype" w:cstheme="minorBidi"/>
              <w:bCs/>
              <w:lang w:val="es-MX" w:eastAsia="en-US"/>
            </w:rPr>
          </w:pPr>
          <w:r w:rsidRPr="009602AD">
            <w:rPr>
              <w:rFonts w:ascii="Palatino Linotype" w:eastAsiaTheme="minorHAnsi" w:hAnsi="Palatino Linotype" w:cs="Tahoma"/>
              <w:b/>
              <w:lang w:eastAsia="en-US"/>
            </w:rPr>
            <w:t>Sujeto Obligado:</w:t>
          </w:r>
          <w:r w:rsidRPr="009602AD">
            <w:rPr>
              <w:rFonts w:ascii="Palatino Linotype" w:eastAsiaTheme="minorHAnsi" w:hAnsi="Palatino Linotype" w:cstheme="minorBidi"/>
              <w:bCs/>
              <w:lang w:val="es-MX" w:eastAsia="en-US"/>
            </w:rPr>
            <w:t xml:space="preserve"> </w:t>
          </w:r>
          <w:r w:rsidR="00DD6B2F">
            <w:rPr>
              <w:rFonts w:ascii="Palatino Linotype" w:eastAsia="Palatino Linotype" w:hAnsi="Palatino Linotype" w:cs="Palatino Linotype"/>
              <w:bCs/>
              <w:color w:val="000000"/>
            </w:rPr>
            <w:t>Ayuntamiento de Zinacantepec</w:t>
          </w:r>
        </w:p>
        <w:p w14:paraId="4325A239" w14:textId="71477548" w:rsidR="00C75538" w:rsidRDefault="00CB3567" w:rsidP="00C75538">
          <w:pPr>
            <w:pBdr>
              <w:top w:val="nil"/>
              <w:left w:val="nil"/>
              <w:bottom w:val="nil"/>
              <w:right w:val="nil"/>
              <w:between w:val="nil"/>
            </w:pBdr>
            <w:tabs>
              <w:tab w:val="center" w:pos="4252"/>
              <w:tab w:val="right" w:pos="8504"/>
            </w:tabs>
            <w:spacing w:line="240" w:lineRule="auto"/>
            <w:ind w:left="-108" w:right="-102"/>
            <w:jc w:val="both"/>
            <w:rPr>
              <w:rFonts w:ascii="Palatino Linotype" w:eastAsia="Palatino Linotype" w:hAnsi="Palatino Linotype" w:cs="Palatino Linotype"/>
              <w:color w:val="000000"/>
            </w:rPr>
          </w:pPr>
          <w:r w:rsidRPr="009602AD">
            <w:rPr>
              <w:rFonts w:ascii="Palatino Linotype" w:eastAsiaTheme="minorHAnsi" w:hAnsi="Palatino Linotype" w:cs="Tahoma"/>
              <w:b/>
              <w:lang w:eastAsia="en-US"/>
            </w:rPr>
            <w:t xml:space="preserve">Comisionado Ponente: </w:t>
          </w:r>
          <w:r w:rsidR="00DD6B2F">
            <w:rPr>
              <w:rFonts w:ascii="Palatino Linotype" w:hAnsi="Palatino Linotype" w:cs="Tahoma"/>
            </w:rPr>
            <w:t>José Martínez Vilchis</w:t>
          </w:r>
          <w:r>
            <w:rPr>
              <w:rFonts w:ascii="Palatino Linotype" w:hAnsi="Palatino Linotype" w:cs="Tahoma"/>
            </w:rPr>
            <w:t xml:space="preserve"> </w:t>
          </w:r>
        </w:p>
      </w:tc>
    </w:tr>
  </w:tbl>
  <w:p w14:paraId="7FB13DD6" w14:textId="77777777" w:rsidR="006C7AE7" w:rsidRDefault="00E45863">
    <w:pPr>
      <w:pBdr>
        <w:top w:val="nil"/>
        <w:left w:val="nil"/>
        <w:bottom w:val="nil"/>
        <w:right w:val="nil"/>
        <w:between w:val="nil"/>
      </w:pBdr>
      <w:tabs>
        <w:tab w:val="center" w:pos="4252"/>
        <w:tab w:val="right" w:pos="8504"/>
      </w:tabs>
      <w:spacing w:after="0" w:line="240" w:lineRule="auto"/>
      <w:rPr>
        <w:color w:val="000000"/>
        <w:sz w:val="2"/>
        <w:szCs w:val="2"/>
      </w:rPr>
    </w:pPr>
    <w:r>
      <w:rPr>
        <w:color w:val="000000"/>
      </w:rPr>
      <w:pict w14:anchorId="67938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margin-left:0;margin-top:0;width:541.8pt;height:81.25pt;rotation:315;z-index:-251658752;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4CD6" w14:textId="77777777" w:rsidR="006C7AE7" w:rsidRDefault="00E45863">
    <w:pPr>
      <w:pBdr>
        <w:top w:val="nil"/>
        <w:left w:val="nil"/>
        <w:bottom w:val="nil"/>
        <w:right w:val="nil"/>
        <w:between w:val="nil"/>
      </w:pBdr>
      <w:tabs>
        <w:tab w:val="center" w:pos="4252"/>
        <w:tab w:val="right" w:pos="8504"/>
      </w:tabs>
      <w:spacing w:after="0" w:line="240" w:lineRule="auto"/>
      <w:rPr>
        <w:color w:val="000000"/>
      </w:rPr>
    </w:pPr>
    <w:r>
      <w:rPr>
        <w:color w:val="000000"/>
      </w:rPr>
      <w:pict w14:anchorId="2139A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41.8pt;height:81.25pt;rotation:315;z-index:-251657728;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575360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3004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2F"/>
    <w:rsid w:val="001E4BE7"/>
    <w:rsid w:val="001F4E66"/>
    <w:rsid w:val="00264675"/>
    <w:rsid w:val="00266447"/>
    <w:rsid w:val="002D0F55"/>
    <w:rsid w:val="00337269"/>
    <w:rsid w:val="00354408"/>
    <w:rsid w:val="00501284"/>
    <w:rsid w:val="007433B7"/>
    <w:rsid w:val="008C59D9"/>
    <w:rsid w:val="00A23316"/>
    <w:rsid w:val="00A27AFE"/>
    <w:rsid w:val="00A55052"/>
    <w:rsid w:val="00AB554C"/>
    <w:rsid w:val="00AD35A3"/>
    <w:rsid w:val="00B603BD"/>
    <w:rsid w:val="00B8472E"/>
    <w:rsid w:val="00C27AED"/>
    <w:rsid w:val="00C642EE"/>
    <w:rsid w:val="00C92E0D"/>
    <w:rsid w:val="00CB3567"/>
    <w:rsid w:val="00CE7148"/>
    <w:rsid w:val="00D30443"/>
    <w:rsid w:val="00DD6B2F"/>
    <w:rsid w:val="00DD6D04"/>
    <w:rsid w:val="00E13607"/>
    <w:rsid w:val="00EB36E1"/>
    <w:rsid w:val="00FA33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7C245"/>
  <w15:chartTrackingRefBased/>
  <w15:docId w15:val="{9AB37C77-E1E6-413C-9CFB-7717F004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B2F"/>
    <w:rPr>
      <w:rFonts w:ascii="Calibri" w:eastAsia="Calibri" w:hAnsi="Calibri" w:cs="Calibri"/>
      <w:kern w:val="0"/>
      <w:lang w:val="es-ES"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D6B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6B2F"/>
    <w:rPr>
      <w:rFonts w:ascii="Calibri" w:eastAsia="Calibri" w:hAnsi="Calibri" w:cs="Calibri"/>
      <w:kern w:val="0"/>
      <w:lang w:val="es-ES" w:eastAsia="es-MX"/>
      <w14:ligatures w14:val="none"/>
    </w:rPr>
  </w:style>
  <w:style w:type="character" w:styleId="Hipervnculo">
    <w:name w:val="Hyperlink"/>
    <w:basedOn w:val="Fuentedeprrafopredeter"/>
    <w:uiPriority w:val="99"/>
    <w:unhideWhenUsed/>
    <w:rsid w:val="008C59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inacantepec.gob.mx/CONAC/ayuntamiento/2023/1T/1%20CONTABLE/6.-Notas%20a%20los%20Estados%20Financieros.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878</Words>
  <Characters>4831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3</cp:revision>
  <cp:lastPrinted>2023-06-12T15:50:00Z</cp:lastPrinted>
  <dcterms:created xsi:type="dcterms:W3CDTF">2023-06-12T15:49:00Z</dcterms:created>
  <dcterms:modified xsi:type="dcterms:W3CDTF">2023-06-12T16:23:00Z</dcterms:modified>
</cp:coreProperties>
</file>