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b w:val="1"/>
          <w:sz w:val="24"/>
          <w:szCs w:val="24"/>
        </w:rPr>
      </w:pPr>
      <w:bookmarkStart w:colFirst="0" w:colLast="0" w:name="_heading=h.gjdgxs" w:id="0"/>
      <w:bookmarkEnd w:id="0"/>
      <w:r w:rsidDel="00000000" w:rsidR="00000000" w:rsidRPr="00000000">
        <w:rPr>
          <w:rFonts w:ascii="Palatino Linotype" w:cs="Palatino Linotype" w:eastAsia="Palatino Linotype" w:hAnsi="Palatino Linotype"/>
          <w:b w:val="1"/>
          <w:sz w:val="24"/>
          <w:szCs w:val="24"/>
          <w:rtl w:val="0"/>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TRIGÉSIMA SEXTA SESIÓN ORDINARIA DEL TRES DE OCTUBRE DE DOS MIL VEINTITRÉS, EN EL RECURSO DE REVISIÓN 05716/INFOEM/IP/RR/2023.</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fracciones X y XI, del Reglamento del Instituto de Transparencia, Acceso a la Información Pública y Protección de Datos Personales del Estado de México, la suscrita emite </w:t>
      </w:r>
      <w:r w:rsidDel="00000000" w:rsidR="00000000" w:rsidRPr="00000000">
        <w:rPr>
          <w:rFonts w:ascii="Palatino Linotype" w:cs="Palatino Linotype" w:eastAsia="Palatino Linotype" w:hAnsi="Palatino Linotype"/>
          <w:b w:val="1"/>
          <w:sz w:val="24"/>
          <w:szCs w:val="24"/>
          <w:rtl w:val="0"/>
        </w:rPr>
        <w:t xml:space="preserve">VOTO DISIDENTE </w:t>
      </w:r>
      <w:r w:rsidDel="00000000" w:rsidR="00000000" w:rsidRPr="00000000">
        <w:rPr>
          <w:rFonts w:ascii="Palatino Linotype" w:cs="Palatino Linotype" w:eastAsia="Palatino Linotype" w:hAnsi="Palatino Linotype"/>
          <w:sz w:val="24"/>
          <w:szCs w:val="24"/>
          <w:rtl w:val="0"/>
        </w:rPr>
        <w:t xml:space="preserve">respecto a la resolución dictada en el recurso de revisión número </w:t>
      </w:r>
      <w:r w:rsidDel="00000000" w:rsidR="00000000" w:rsidRPr="00000000">
        <w:rPr>
          <w:rFonts w:ascii="Palatino Linotype" w:cs="Palatino Linotype" w:eastAsia="Palatino Linotype" w:hAnsi="Palatino Linotype"/>
          <w:b w:val="1"/>
          <w:sz w:val="24"/>
          <w:szCs w:val="24"/>
          <w:rtl w:val="0"/>
        </w:rPr>
        <w:t xml:space="preserve">05716/INFOEM/IP/RR/2023</w:t>
      </w:r>
      <w:r w:rsidDel="00000000" w:rsidR="00000000" w:rsidRPr="00000000">
        <w:rPr>
          <w:rFonts w:ascii="Palatino Linotype" w:cs="Palatino Linotype" w:eastAsia="Palatino Linotype" w:hAnsi="Palatino Linotype"/>
          <w:sz w:val="24"/>
          <w:szCs w:val="24"/>
          <w:rtl w:val="0"/>
        </w:rPr>
        <w:t xml:space="preserve">, pronunciada por el Pleno de este Instituto ante el proyecto presentado por el Comisionado</w:t>
      </w:r>
      <w:r w:rsidDel="00000000" w:rsidR="00000000" w:rsidRPr="00000000">
        <w:rPr>
          <w:rFonts w:ascii="Palatino Linotype" w:cs="Palatino Linotype" w:eastAsia="Palatino Linotype" w:hAnsi="Palatino Linotype"/>
          <w:b w:val="1"/>
          <w:sz w:val="24"/>
          <w:szCs w:val="24"/>
          <w:rtl w:val="0"/>
        </w:rPr>
        <w:t xml:space="preserve"> Luis Gustavo Parra Noriega</w:t>
      </w:r>
      <w:r w:rsidDel="00000000" w:rsidR="00000000" w:rsidRPr="00000000">
        <w:rPr>
          <w:rFonts w:ascii="Palatino Linotype" w:cs="Palatino Linotype" w:eastAsia="Palatino Linotype" w:hAnsi="Palatino Linotype"/>
          <w:sz w:val="24"/>
          <w:szCs w:val="24"/>
          <w:rtl w:val="0"/>
        </w:rPr>
        <w:t xml:space="preserve">, el cual es al tenor siguiente:</w:t>
      </w:r>
    </w:p>
    <w:p w:rsidR="00000000" w:rsidDel="00000000" w:rsidP="00000000" w:rsidRDefault="00000000" w:rsidRPr="00000000" w14:paraId="00000003">
      <w:pPr>
        <w:numPr>
          <w:ilvl w:val="0"/>
          <w:numId w:val="2"/>
        </w:numPr>
        <w:tabs>
          <w:tab w:val="left" w:leader="none" w:pos="567"/>
        </w:tabs>
        <w:spacing w:after="0" w:line="360" w:lineRule="auto"/>
        <w:ind w:left="284" w:firstLine="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Antecedentes.</w:t>
      </w:r>
    </w:p>
    <w:p w:rsidR="00000000" w:rsidDel="00000000" w:rsidP="00000000" w:rsidRDefault="00000000" w:rsidRPr="00000000" w14:paraId="0000000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asunto que nos ocupa,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solicitó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le proporcionara la siguiente información: </w:t>
      </w:r>
    </w:p>
    <w:p w:rsidR="00000000" w:rsidDel="00000000" w:rsidP="00000000" w:rsidRDefault="00000000" w:rsidRPr="00000000" w14:paraId="00000005">
      <w:pPr>
        <w:tabs>
          <w:tab w:val="left" w:leader="none" w:pos="851"/>
        </w:tabs>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“de los servidores públicos de seguridad pública (policías) se solicita el certificado único policial” (Sic)</w:t>
      </w:r>
    </w:p>
    <w:p w:rsidR="00000000" w:rsidDel="00000000" w:rsidP="00000000" w:rsidRDefault="00000000" w:rsidRPr="00000000" w14:paraId="00000006">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respuesta a la solicitud de información,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manifestó lo siguiente:</w:t>
      </w:r>
    </w:p>
    <w:p w:rsidR="00000000" w:rsidDel="00000000" w:rsidP="00000000" w:rsidRDefault="00000000" w:rsidRPr="00000000" w14:paraId="00000007">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“De conformidad con el artículo 167 de la Ley de Transparencia y Acceso a la Información Pública del Estado de México y Municipios vigente, la Dirección de Seguridad Pública y Tránsito declara incompetencia para atender la solicitud del peticionario, toda vez que el trámite para la obtención del Certificado Único Policial corresponde a la Secretaría Técnica del Consejo Municipal de Seguridad Publica.” (sic)</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Conocida la respuesta por la persona solicitante, al no estar conforme con los términos de la misma presentó el recurso de revisión que se resolvió, donde señaló como motivo de inconformidad, lo siguiente: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40" w:lineRule="auto"/>
        <w:ind w:left="851" w:right="900"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i w:val="1"/>
          <w:rtl w:val="0"/>
        </w:rPr>
        <w:t xml:space="preserve">NO QUIEREN ENTREGARME LA INFORMACIÓN QUE SÍ OBRA EN SU PODER” (sic)</w:t>
      </w:r>
      <w:r w:rsidDel="00000000" w:rsidR="00000000" w:rsidRPr="00000000">
        <w:rPr>
          <w:rtl w:val="0"/>
        </w:rPr>
      </w:r>
    </w:p>
    <w:p w:rsidR="00000000" w:rsidDel="00000000" w:rsidP="00000000" w:rsidRDefault="00000000" w:rsidRPr="00000000" w14:paraId="0000000A">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admitido el recurso de revisión, se puso a disposición de las partes para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presentara su informe justificado y la parte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presentara sus manifestaciones o alegatos, siendo ambas partes omisas en ejercer dicha prerrogativa.</w:t>
      </w:r>
    </w:p>
    <w:p w:rsidR="00000000" w:rsidDel="00000000" w:rsidP="00000000" w:rsidRDefault="00000000" w:rsidRPr="00000000" w14:paraId="0000000B">
      <w:pPr>
        <w:spacing w:after="240" w:before="240" w:line="360" w:lineRule="auto"/>
        <w:ind w:right="-6"/>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las cosas, el Comisionado Ponente consideró que los motivos de inconformidad aducidos por la parte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resultan fundados y determinó revocar la respuesta proporcionada para ordenar la entrega en versión pública, de los documentos donde conste lo siguiente:</w:t>
      </w:r>
    </w:p>
    <w:p w:rsidR="00000000" w:rsidDel="00000000" w:rsidP="00000000" w:rsidRDefault="00000000" w:rsidRPr="00000000" w14:paraId="0000000C">
      <w:pPr>
        <w:numPr>
          <w:ilvl w:val="0"/>
          <w:numId w:val="1"/>
        </w:numPr>
        <w:spacing w:after="0" w:line="360" w:lineRule="auto"/>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Certificado Único Policial de los policías municipales con los que contaba la Dirección de Seguridad Pública y Tránsito, al treinta y uno de julio de dos mil veintidós.</w:t>
      </w:r>
    </w:p>
    <w:p w:rsidR="00000000" w:rsidDel="00000000" w:rsidP="00000000" w:rsidRDefault="00000000" w:rsidRPr="00000000" w14:paraId="0000000D">
      <w:pPr>
        <w:spacing w:after="0" w:line="360" w:lineRule="auto"/>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before="240" w:line="360" w:lineRule="auto"/>
        <w:ind w:left="284" w:firstLine="0"/>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before="240" w:line="360" w:lineRule="auto"/>
        <w:ind w:left="284" w:firstLine="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II. Razones del Voto Disidente.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bookmarkStart w:colFirst="0" w:colLast="0" w:name="_heading=h.3hestacsg4px" w:id="1"/>
      <w:bookmarkEnd w:id="1"/>
      <w:r w:rsidDel="00000000" w:rsidR="00000000" w:rsidRPr="00000000">
        <w:rPr>
          <w:rFonts w:ascii="Palatino Linotype" w:cs="Palatino Linotype" w:eastAsia="Palatino Linotype" w:hAnsi="Palatino Linotype"/>
          <w:sz w:val="24"/>
          <w:szCs w:val="24"/>
          <w:rtl w:val="0"/>
        </w:rPr>
        <w:t xml:space="preserve">En este orden de ideas, resulta importante señalar que no coincido con los términos generales planteados en la Resolución, en virtud de que sin bien, bajo el principio de máxima publicidad toda la información que generen, administren o posean los sujetos obligados es pública, en el caso concreto, debió tomarse en consideración la materia de la solicitud, pues considero que la información solicitada, al corresponder con personal que se encuentra adscrito a instituciones de seguridad pública con funciones operativas  está sujeta a un claro régimen de excepción.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sidDel="00000000" w:rsidR="00000000" w:rsidRPr="00000000">
        <w:rPr>
          <w:rFonts w:ascii="Palatino Linotype" w:cs="Palatino Linotype" w:eastAsia="Palatino Linotype" w:hAnsi="Palatino Linotype"/>
          <w:b w:val="1"/>
          <w:sz w:val="24"/>
          <w:szCs w:val="24"/>
          <w:rtl w:val="0"/>
        </w:rPr>
        <w:t xml:space="preserve">los Municipios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cuyos fines son salvaguardar la vida, las libertades, la integridad y el patrimonio de las personas, así como contribuir a la generación y preservación del orden público y la paz social</w:t>
      </w:r>
      <w:r w:rsidDel="00000000" w:rsidR="00000000" w:rsidRPr="00000000">
        <w:rPr>
          <w:rFonts w:ascii="Palatino Linotype" w:cs="Palatino Linotype" w:eastAsia="Palatino Linotype" w:hAnsi="Palatino Linotype"/>
          <w:sz w:val="24"/>
          <w:szCs w:val="24"/>
          <w:rtl w:val="0"/>
        </w:rPr>
        <w:t xml:space="preserve">. Asimismo, señala que la actuación de las instituciones de seguridad pública se regirá por los principios de legalidad, objetividad, eficiencia, profesionalismo, honradez y respeto a los derechos humanos.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Estatal de Seguridad Pública, que a su vez contribuirá con el Sistema Nacional de Seguridad Pública; para la construcción de las bases para una plena seguridad ciudadana.</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y por ende, la procedencia de su clasificación como información reservada.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81.-</w:t>
      </w:r>
      <w:r w:rsidDel="00000000" w:rsidR="00000000" w:rsidRPr="00000000">
        <w:rPr>
          <w:rFonts w:ascii="Palatino Linotype" w:cs="Palatino Linotype" w:eastAsia="Palatino Linotype" w:hAnsi="Palatino Linotype"/>
          <w:i w:val="1"/>
          <w:rtl w:val="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u w:val="single"/>
          <w:rtl w:val="0"/>
        </w:rPr>
        <w:t xml:space="preserve">II. Aquella cuya revelación pueda ser utilizada para actualizar o potenciar una amenaza a la seguridad pública o a las instituciones del Estado de México ;</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ind w:left="567" w:right="990" w:firstLine="0"/>
        <w:jc w:val="both"/>
        <w:rPr>
          <w:rFonts w:ascii="Palatino Linotype" w:cs="Palatino Linotype" w:eastAsia="Palatino Linotype" w:hAnsi="Palatino Linotype"/>
          <w:b w:val="1"/>
          <w:i w:val="1"/>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armonía con esta disposición normativa, la Ley General de Transparencia y Acceso a la Información Pública, en su artículo 113, fracción I señala que deberá reservarse la información que con su publicación se comprometa a la seguridad pública y cuente con un efecto demostrable, posteriormente el artículo 140 fracción I de la Ley de Transparencia Local replica esta circunstancia de reserva, que señalan: </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284"/>
        </w:tabs>
        <w:spacing w:after="0" w:line="240" w:lineRule="auto"/>
        <w:ind w:left="567" w:right="70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360" w:lineRule="auto"/>
        <w:ind w:left="851" w:right="900"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“Ley General de Transparencia y Acceso a la Información Pública: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276"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113</w:t>
      </w:r>
      <w:r w:rsidDel="00000000" w:rsidR="00000000" w:rsidRPr="00000000">
        <w:rPr>
          <w:rFonts w:ascii="Palatino Linotype" w:cs="Palatino Linotype" w:eastAsia="Palatino Linotype" w:hAnsi="Palatino Linotype"/>
          <w:i w:val="1"/>
          <w:rtl w:val="0"/>
        </w:rPr>
        <w:t xml:space="preserve">. Como información reservada podrá clasificarse aquella cuya publicación:</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276"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 Comprometa la seguridad nacional, la seguridad pública o la defensa nacional y cuente con un propósito genuino y un efecto demostrable</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ind w:left="851" w:right="900"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“Ley de Transparencia y Acceso a la Información Pública del Estado de México y Municipios: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276"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140</w:t>
      </w:r>
      <w:r w:rsidDel="00000000" w:rsidR="00000000" w:rsidRPr="00000000">
        <w:rPr>
          <w:rFonts w:ascii="Palatino Linotype" w:cs="Palatino Linotype" w:eastAsia="Palatino Linotype" w:hAnsi="Palatino Linotype"/>
          <w:i w:val="1"/>
          <w:rtl w:val="0"/>
        </w:rPr>
        <w:t xml:space="preserve">. El acceso a la información pública será restringido excepcionalmente, cuando por razones de interés público, ésta sea clasificada como reservada, conforme a los criterios siguientes: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276"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 Comprometa la seguridad pública y cuente con un propósito genuino y un efecto demostrable</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Correlativo a lo anterior, Lineamientos Generales en Materia de Clasificación y Desclasificación de la Información, así como para la Elaboración de Versiones Públicas, publicados el 16 de abril de 2016 y reformados el 18 de noviembre de 2022 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crucial señalar que estos Lineamientos señalan </w:t>
      </w:r>
      <w:r w:rsidDel="00000000" w:rsidR="00000000" w:rsidRPr="00000000">
        <w:rPr>
          <w:rFonts w:ascii="Palatino Linotype" w:cs="Palatino Linotype" w:eastAsia="Palatino Linotype" w:hAnsi="Palatino Linotype"/>
          <w:b w:val="1"/>
          <w:sz w:val="24"/>
          <w:szCs w:val="24"/>
          <w:u w:val="single"/>
          <w:rtl w:val="0"/>
        </w:rPr>
        <w:t xml:space="preserve">que es susceptible de considerarse como reservada aquella que revele datos que pudieran ser aprovechados para conocer la capacidad de reacción de las instituciones encargadas de la seguridad pública</w:t>
      </w:r>
      <w:r w:rsidDel="00000000" w:rsidR="00000000" w:rsidRPr="00000000">
        <w:rPr>
          <w:rFonts w:ascii="Palatino Linotype" w:cs="Palatino Linotype" w:eastAsia="Palatino Linotype" w:hAnsi="Palatino Linotype"/>
          <w:sz w:val="24"/>
          <w:szCs w:val="24"/>
          <w:rtl w:val="0"/>
        </w:rPr>
        <w:t xml:space="preserve">, sus planes, estrategias, tecnología, información, sistemas de comunicaciones.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teniendo esto en cuenta y trasladando estas premisas al caso particular se estima que con la entrega de información de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 dispuesto expresamente por las disposiciones previamente insertadas, sino que, además, 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rsidR="00000000" w:rsidDel="00000000" w:rsidP="00000000" w:rsidRDefault="00000000" w:rsidRPr="00000000" w14:paraId="00000025">
      <w:pPr>
        <w:spacing w:after="240" w:before="24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conclusión, la reserva del personal operativo procede por dos circunstancias:</w:t>
      </w:r>
    </w:p>
    <w:p w:rsidR="00000000" w:rsidDel="00000000" w:rsidP="00000000" w:rsidRDefault="00000000" w:rsidRPr="00000000" w14:paraId="00000026">
      <w:pPr>
        <w:spacing w:after="240" w:before="240" w:line="360" w:lineRule="auto"/>
        <w:ind w:left="284" w:right="-3"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Se identifica en términos concretos cómo es que la información requerida podría comprometer el ejercicio de sus facultades constitucionales y, con ello, la seguridad pública, en virtud de que: </w:t>
      </w:r>
    </w:p>
    <w:p w:rsidR="00000000" w:rsidDel="00000000" w:rsidP="00000000" w:rsidRDefault="00000000" w:rsidRPr="00000000" w14:paraId="00000027">
      <w:pPr>
        <w:spacing w:after="240" w:before="240" w:line="360" w:lineRule="auto"/>
        <w:ind w:left="567" w:right="-3"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La información podría ser aprovechada por los grupos criminales para conocer la capacidad de reacción </w:t>
      </w:r>
    </w:p>
    <w:p w:rsidR="00000000" w:rsidDel="00000000" w:rsidP="00000000" w:rsidRDefault="00000000" w:rsidRPr="00000000" w14:paraId="00000028">
      <w:pPr>
        <w:spacing w:after="240" w:before="240" w:line="360" w:lineRule="auto"/>
        <w:ind w:left="567" w:right="-3"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Con dicha información se revelarían a detalle las características funcionales del personal y con ello, su organización para el cumplimiento de sus funciones; y </w:t>
      </w:r>
    </w:p>
    <w:p w:rsidR="00000000" w:rsidDel="00000000" w:rsidP="00000000" w:rsidRDefault="00000000" w:rsidRPr="00000000" w14:paraId="00000029">
      <w:pPr>
        <w:spacing w:after="240" w:before="240" w:line="360" w:lineRule="auto"/>
        <w:ind w:left="284" w:right="-3"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Existe una relación causal general entre la entrega de la información y la afectación a la seguridad pública, pues los grupos criminales estarían en posibilidad de obstaculizar o bloquear actividades encaminadas a preservar el orden dentro de la dinámica social. </w:t>
      </w:r>
    </w:p>
    <w:p w:rsidR="00000000" w:rsidDel="00000000" w:rsidP="00000000" w:rsidRDefault="00000000" w:rsidRPr="00000000" w14:paraId="0000002A">
      <w:pPr>
        <w:spacing w:after="240" w:before="24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tanto, entre mayor información se dé a conocer respecto del </w:t>
      </w:r>
      <w:r w:rsidDel="00000000" w:rsidR="00000000" w:rsidRPr="00000000">
        <w:rPr>
          <w:rFonts w:ascii="Palatino Linotype" w:cs="Palatino Linotype" w:eastAsia="Palatino Linotype" w:hAnsi="Palatino Linotype"/>
          <w:b w:val="1"/>
          <w:i w:val="1"/>
          <w:sz w:val="24"/>
          <w:szCs w:val="24"/>
          <w:rtl w:val="0"/>
        </w:rPr>
        <w:t xml:space="preserve">estado de fuerza </w:t>
      </w:r>
      <w:r w:rsidDel="00000000" w:rsidR="00000000" w:rsidRPr="00000000">
        <w:rPr>
          <w:rFonts w:ascii="Palatino Linotype" w:cs="Palatino Linotype" w:eastAsia="Palatino Linotype" w:hAnsi="Palatino Linotype"/>
          <w:sz w:val="24"/>
          <w:szCs w:val="24"/>
          <w:rtl w:val="0"/>
        </w:rPr>
        <w:t xml:space="preserve">con que cuentan el Estado y Municipios, mayor es la probabilidad de que la información pueda implementarse como medio para actualizar o potenciar una amenaza en contra de la seguridad pública de los mismos. </w:t>
      </w:r>
    </w:p>
    <w:p w:rsidR="00000000" w:rsidDel="00000000" w:rsidP="00000000" w:rsidRDefault="00000000" w:rsidRPr="00000000" w14:paraId="0000002B">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aunado a que no se hace una distinción entre el número de personal operativo y administrativo.</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consecuencia, la información de los elementos operativos adscrito a instituciones de seguridad pública,  deben recibir un tratamiento de carácter excepcional, y esto es en razón de que,  son los responsables de procurar el orden, la estabilidad y la defensa de la sociedad a la que pertenecen, por lo que, se estima que al proporcionar documentales en las que se aprecie dicha información dicha información se revela el número de servidores públicos operativos con funciones de seguridad pública activos en el Sujeto obligado; información con la que se da a conocer el estado de fuerza y la capacidad de reacción del órgano público.</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Máxime que en el caso concreto lo solicitado consiste, específicamente, en el certificado único policial de los policías adscritos a la Dirección de Seguridad Pública y Tránsito, documento que, de conformidad con el artículo 1 de los Lineamientos para la Emisión del Certificado Único Policial,  acredita a los policías como aptos para ingresar o permanecer en las instituciones de seguridad pública, y que cuentan con los conocimientos, el perfil, las habilidades y las aptitudes necesarias para el desempeño de su cargo, por ello, se considera que al  ser requisito indispensable para el ingreso y permanencia como elemento de una institución policial, todos los integrantes de las Instituciones de Seguridad Pública deben contar con dicho documento.</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este sentido, si en el presente caso, la pretensión de la persona solicitante consiste en conocer, el Certificado Único Policial de los policías, la suscrita considera que se debió clasificar dicha información como reservada al relacionarse con el personal que desempeña funciones operativas.</w:t>
      </w:r>
    </w:p>
    <w:p w:rsidR="00000000" w:rsidDel="00000000" w:rsidP="00000000" w:rsidRDefault="00000000" w:rsidRPr="00000000" w14:paraId="0000002F">
      <w:pPr>
        <w:spacing w:after="240" w:before="240" w:line="360" w:lineRule="auto"/>
        <w:ind w:right="139"/>
        <w:jc w:val="both"/>
        <w:rPr>
          <w:rFonts w:ascii="Palatino Linotype" w:cs="Palatino Linotype" w:eastAsia="Palatino Linotype" w:hAnsi="Palatino Linotype"/>
          <w:sz w:val="24"/>
          <w:szCs w:val="24"/>
        </w:rPr>
      </w:pPr>
      <w:bookmarkStart w:colFirst="0" w:colLast="0" w:name="_heading=h.30j0zll" w:id="2"/>
      <w:bookmarkEnd w:id="2"/>
      <w:r w:rsidDel="00000000" w:rsidR="00000000" w:rsidRPr="00000000">
        <w:rPr>
          <w:rFonts w:ascii="Palatino Linotype" w:cs="Palatino Linotype" w:eastAsia="Palatino Linotype" w:hAnsi="Palatino Linotype"/>
          <w:sz w:val="24"/>
          <w:szCs w:val="24"/>
          <w:rtl w:val="0"/>
        </w:rPr>
        <w:t xml:space="preserve">Es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sidDel="00000000" w:rsidR="00000000" w:rsidRPr="00000000">
        <w:rPr>
          <w:rFonts w:ascii="Palatino Linotype" w:cs="Palatino Linotype" w:eastAsia="Palatino Linotype" w:hAnsi="Palatino Linotype"/>
          <w:b w:val="1"/>
          <w:sz w:val="24"/>
          <w:szCs w:val="24"/>
          <w:u w:val="single"/>
          <w:rtl w:val="0"/>
        </w:rPr>
        <w:t xml:space="preserve">facilitaría a las cédulas delictivas el neutralizar las acciones implementadas o por implementar para la preservación de la paz pública, afectando así su estado de fuerza, o bien les permita </w:t>
      </w:r>
      <w:r w:rsidDel="00000000" w:rsidR="00000000" w:rsidRPr="00000000">
        <w:rPr>
          <w:rFonts w:ascii="Palatino Linotype" w:cs="Palatino Linotype" w:eastAsia="Palatino Linotype" w:hAnsi="Palatino Linotype"/>
          <w:sz w:val="24"/>
          <w:szCs w:val="24"/>
          <w:rtl w:val="0"/>
        </w:rPr>
        <w:t xml:space="preserve">realizar actos para amenazar, inhibir, extorsionar o corromper las funciones del personal operativo, lo que causaría una vulneración a la Seguridad Municipal, por lo tanto la suscrita no comparte las consideraciones vertidas en la resolución respecto del tratamiento que se le da a la información relativa a elementos operativos de instituciones de seguridad pública, y  por ende formula el presente voto disidente. </w:t>
      </w:r>
    </w:p>
    <w:p w:rsidR="00000000" w:rsidDel="00000000" w:rsidP="00000000" w:rsidRDefault="00000000" w:rsidRPr="00000000" w14:paraId="00000030">
      <w:pPr>
        <w:spacing w:after="240" w:before="240" w:line="360" w:lineRule="auto"/>
        <w:ind w:right="139"/>
        <w:jc w:val="both"/>
        <w:rPr>
          <w:rFonts w:ascii="Palatino Linotype" w:cs="Palatino Linotype" w:eastAsia="Palatino Linotype" w:hAnsi="Palatino Linotype"/>
          <w:sz w:val="24"/>
          <w:szCs w:val="24"/>
        </w:rPr>
        <w:sectPr>
          <w:headerReference r:id="rId7" w:type="default"/>
          <w:headerReference r:id="rId8" w:type="even"/>
          <w:footerReference r:id="rId9" w:type="default"/>
          <w:pgSz w:h="15840" w:w="12240" w:orient="portrait"/>
          <w:pgMar w:bottom="2268" w:top="1985" w:left="1701" w:right="1701" w:header="709" w:footer="584"/>
          <w:pgNumType w:start="1"/>
        </w:sectPr>
      </w:pPr>
      <w:r w:rsidDel="00000000" w:rsidR="00000000" w:rsidRPr="00000000">
        <w:rPr>
          <w:rtl w:val="0"/>
        </w:rPr>
      </w:r>
    </w:p>
    <w:p w:rsidR="00000000" w:rsidDel="00000000" w:rsidP="00000000" w:rsidRDefault="00000000" w:rsidRPr="00000000" w14:paraId="00000031">
      <w:pPr>
        <w:spacing w:after="0" w:line="360" w:lineRule="auto"/>
        <w:ind w:right="423"/>
        <w:jc w:val="both"/>
        <w:rPr>
          <w:rFonts w:ascii="Palatino Linotype" w:cs="Palatino Linotype" w:eastAsia="Palatino Linotype" w:hAnsi="Palatino Linotype"/>
        </w:rPr>
      </w:pPr>
      <w:r w:rsidDel="00000000" w:rsidR="00000000" w:rsidRPr="00000000">
        <w:rPr>
          <w:rtl w:val="0"/>
        </w:rPr>
      </w:r>
    </w:p>
    <w:sectPr>
      <w:headerReference r:id="rId10" w:type="default"/>
      <w:type w:val="nextPage"/>
      <w:pgSz w:h="15840" w:w="12240" w:orient="portrait"/>
      <w:pgMar w:bottom="2836" w:top="1871" w:left="1985" w:right="1327" w:header="709" w:footer="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-666746</wp:posOffset>
          </wp:positionH>
          <wp:positionV relativeFrom="paragraph">
            <wp:posOffset>-366391</wp:posOffset>
          </wp:positionV>
          <wp:extent cx="7510628" cy="9883775"/>
          <wp:effectExtent b="0" l="0" r="0" t="0"/>
          <wp:wrapNone/>
          <wp:docPr id="23731340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VOTO DISIDENTE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2552" w:firstLine="0"/>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   RECURSO DE REVISIÓN 0</w:t>
    </w:r>
    <w:r w:rsidDel="00000000" w:rsidR="00000000" w:rsidRPr="00000000">
      <w:rPr>
        <w:rFonts w:ascii="Palatino Linotype" w:cs="Palatino Linotype" w:eastAsia="Palatino Linotype" w:hAnsi="Palatino Linotype"/>
        <w:b w:val="1"/>
        <w:sz w:val="20"/>
        <w:szCs w:val="20"/>
        <w:rtl w:val="0"/>
      </w:rPr>
      <w:t xml:space="preserve">5716</w:t>
    </w:r>
    <w:r w:rsidDel="00000000" w:rsidR="00000000" w:rsidRPr="00000000">
      <w:rPr>
        <w:rFonts w:ascii="Palatino Linotype" w:cs="Palatino Linotype" w:eastAsia="Palatino Linotype" w:hAnsi="Palatino Linotype"/>
        <w:b w:val="1"/>
        <w:color w:val="000000"/>
        <w:sz w:val="20"/>
        <w:szCs w:val="20"/>
        <w:rtl w:val="0"/>
      </w:rPr>
      <w:t xml:space="preserve">/INFOEM/IP/RR/2023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30143759" cy="30143759"/>
              <wp:effectExtent b="0" l="0" r="0" t="0"/>
              <wp:wrapNone/>
              <wp:docPr id="237313402" name=""/>
              <a:graphic>
                <a:graphicData uri="http://schemas.microsoft.com/office/word/2010/wordprocessingShape">
                  <wps:wsp>
                    <wps:cNvSpPr/>
                    <wps:cNvPr id="2" name="Shape 2"/>
                    <wps:spPr>
                      <a:xfrm rot="-2700000">
                        <a:off x="2440875" y="2945610"/>
                        <a:ext cx="5810250" cy="166878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d7d31"/>
                              <w:sz w:val="144"/>
                              <w:vertAlign w:val="baseline"/>
                            </w:rPr>
                            <w:t xml:space="preserve">VOTO DISIDENTE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30143759" cy="30143759"/>
              <wp:effectExtent b="0" l="0" r="0" t="0"/>
              <wp:wrapNone/>
              <wp:docPr id="23731340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0143759" cy="30143759"/>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607BA"/>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rPr>
  </w:style>
  <w:style w:type="character" w:styleId="EncabezadoCar" w:customStyle="1">
    <w:name w:val="Encabezado Car"/>
    <w:basedOn w:val="Fuentedeprrafopredeter"/>
    <w:link w:val="Encabezado"/>
    <w:uiPriority w:val="99"/>
    <w:rsid w:val="000607BA"/>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rPr>
  </w:style>
  <w:style w:type="character" w:styleId="PiedepginaCar" w:customStyle="1">
    <w:name w:val="Pie de página Car"/>
    <w:basedOn w:val="Fuentedeprrafopredeter"/>
    <w:link w:val="Piedepgina"/>
    <w:uiPriority w:val="99"/>
    <w:rsid w:val="000607BA"/>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607BA"/>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607BA"/>
    <w:pPr>
      <w:spacing w:after="0" w:line="240" w:lineRule="auto"/>
      <w:ind w:left="720"/>
      <w:contextualSpacing w:val="1"/>
    </w:pPr>
    <w:rPr>
      <w:rFonts w:ascii="Times New Roman" w:cs="Times New Roman" w:hAnsi="Times New Roman"/>
      <w:sz w:val="24"/>
      <w:szCs w:val="24"/>
      <w:lang w:eastAsia="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607BA"/>
    <w:rPr>
      <w:rFonts w:ascii="Times New Roman" w:cs="Times New Roman" w:eastAsia="Calibri" w:hAnsi="Times New Roman"/>
      <w:sz w:val="24"/>
      <w:szCs w:val="24"/>
      <w:lang w:eastAsia="es-ES" w:val="es-ES"/>
    </w:rPr>
  </w:style>
  <w:style w:type="paragraph" w:styleId="Textodeglobo">
    <w:name w:val="Balloon Text"/>
    <w:basedOn w:val="Normal"/>
    <w:link w:val="TextodegloboCar"/>
    <w:uiPriority w:val="99"/>
    <w:semiHidden w:val="1"/>
    <w:unhideWhenUsed w:val="1"/>
    <w:rsid w:val="0045646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56467"/>
    <w:rPr>
      <w:rFonts w:ascii="Segoe UI" w:cs="Segoe UI" w:hAnsi="Segoe UI"/>
      <w:sz w:val="18"/>
      <w:szCs w:val="18"/>
    </w:rPr>
  </w:style>
  <w:style w:type="character" w:styleId="apple-converted-space" w:customStyle="1">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921613"/>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921613"/>
    <w:rPr>
      <w:vertAlign w:val="superscript"/>
    </w:rPr>
  </w:style>
  <w:style w:type="character" w:styleId="Hipervnculo">
    <w:name w:val="Hyperlink"/>
    <w:basedOn w:val="Fuentedeprrafopredeter"/>
    <w:uiPriority w:val="99"/>
    <w:semiHidden w:val="1"/>
    <w:unhideWhenUsed w:val="1"/>
    <w:rsid w:val="00696A57"/>
    <w:rPr>
      <w:color w:val="0000ff"/>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Tablaconcuadrcula">
    <w:name w:val="Table Grid"/>
    <w:basedOn w:val="Tablanormal"/>
    <w:uiPriority w:val="59"/>
    <w:rsid w:val="00CF5F43"/>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aliases w:val="Francesa,INAI,fundamentos"/>
    <w:link w:val="SinespaciadoCar"/>
    <w:uiPriority w:val="1"/>
    <w:qFormat w:val="1"/>
    <w:rsid w:val="003B565F"/>
    <w:pPr>
      <w:spacing w:after="0" w:line="240" w:lineRule="auto"/>
    </w:pPr>
    <w:rPr>
      <w:rFonts w:ascii="Times New Roman" w:cs="Times New Roman" w:eastAsia="Times New Roman" w:hAnsi="Times New Roman"/>
      <w:sz w:val="24"/>
      <w:szCs w:val="24"/>
      <w:lang w:eastAsia="es-ES" w:val="es-MX"/>
    </w:rPr>
  </w:style>
  <w:style w:type="character" w:styleId="SinespaciadoCar" w:customStyle="1">
    <w:name w:val="Sin espaciado Car"/>
    <w:aliases w:val="Francesa Car,INAI Car,fundamentos Car"/>
    <w:link w:val="Sinespaciado"/>
    <w:uiPriority w:val="1"/>
    <w:qFormat w:val="1"/>
    <w:locked w:val="1"/>
    <w:rsid w:val="003B565F"/>
    <w:rPr>
      <w:rFonts w:ascii="Times New Roman" w:cs="Times New Roman" w:eastAsia="Times New Roman" w:hAnsi="Times New Roman"/>
      <w:sz w:val="24"/>
      <w:szCs w:val="24"/>
      <w:lang w:eastAsia="es-ES" w:val="es-MX"/>
    </w:rPr>
  </w:style>
  <w:style w:type="table" w:styleId="Tablaconcuadrcula1" w:customStyle="1">
    <w:name w:val="Tabla con cuadrícula1"/>
    <w:basedOn w:val="Tablanormal"/>
    <w:next w:val="Tablaconcuadrcula"/>
    <w:uiPriority w:val="39"/>
    <w:rsid w:val="001A1BDB"/>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2"/>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B4wtsDH2N/A055NRPDniOPYtg==">CgMxLjAyCGguZ2pkZ3hzMg5oLjNoZXN0YWNzZzRweDIJaC4zMGowemxsOAByITFHUHpTMVJvVlFCZXJPODR1R2R6dGZ6aTh1U1I1Uk1MWA==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2023-10-06T00:25:00Z</dcterms:created>
  <dc:creator>USUARIO</dc:creator>
</cp:coreProperties>
</file>