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FF296" w14:textId="0ECDC38E" w:rsidR="007B2260" w:rsidRDefault="007B2260" w:rsidP="007B226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w:t>
      </w:r>
      <w:r>
        <w:rPr>
          <w:rFonts w:ascii="Palatino Linotype" w:hAnsi="Palatino Linotype" w:cs="Tahoma"/>
          <w:b/>
        </w:rPr>
        <w:t>DISIDENTE</w:t>
      </w:r>
      <w:r w:rsidRPr="00807C88">
        <w:rPr>
          <w:rFonts w:ascii="Palatino Linotype" w:hAnsi="Palatino Linotype" w:cs="Tahoma"/>
          <w:b/>
        </w:rPr>
        <w:t xml:space="preserve"> QUE FORMULA EL COMISIONADO LUIS GUSTAVO PARRA NORIEGA</w:t>
      </w:r>
      <w:r>
        <w:rPr>
          <w:rFonts w:ascii="Palatino Linotype" w:hAnsi="Palatino Linotype" w:cs="Tahoma"/>
          <w:b/>
        </w:rPr>
        <w:t xml:space="preserve"> </w:t>
      </w:r>
      <w:r w:rsidRPr="00807C88">
        <w:rPr>
          <w:rFonts w:ascii="Palatino Linotype" w:hAnsi="Palatino Linotype" w:cs="Tahoma"/>
          <w:b/>
        </w:rPr>
        <w:t xml:space="preserve">A LA RESOLUCIÓN DEL RECURSO DE REVISIÓN </w:t>
      </w:r>
      <w:r>
        <w:rPr>
          <w:rFonts w:ascii="Palatino Linotype" w:hAnsi="Palatino Linotype" w:cs="Arial"/>
          <w:b/>
          <w:lang w:val="es-MX"/>
        </w:rPr>
        <w:t>17427/INFOEM/IP/RR/2022</w:t>
      </w:r>
      <w:r w:rsidRPr="00807C88">
        <w:rPr>
          <w:rFonts w:ascii="Palatino Linotype" w:hAnsi="Palatino Linotype" w:cs="Tahoma"/>
          <w:b/>
        </w:rPr>
        <w:t xml:space="preserve">, PROMOVIDO EN CONTRA DEL </w:t>
      </w:r>
      <w:r>
        <w:rPr>
          <w:rFonts w:ascii="Palatino Linotype" w:eastAsia="Times New Roman" w:hAnsi="Palatino Linotype" w:cs="Arial"/>
          <w:b/>
          <w:color w:val="000000" w:themeColor="text1"/>
        </w:rPr>
        <w:t>INSTITUTO ELECTORAL DEL ESTADO DE MÉXICO.</w:t>
      </w:r>
    </w:p>
    <w:p w14:paraId="208A1D24" w14:textId="77777777" w:rsidR="007B2260" w:rsidRDefault="007B2260" w:rsidP="007B2260">
      <w:pPr>
        <w:spacing w:after="0" w:line="360" w:lineRule="auto"/>
        <w:ind w:right="49"/>
        <w:jc w:val="both"/>
        <w:rPr>
          <w:rFonts w:ascii="Palatino Linotype" w:hAnsi="Palatino Linotype" w:cs="Tahoma"/>
        </w:rPr>
      </w:pPr>
    </w:p>
    <w:p w14:paraId="6D8CADD7" w14:textId="6B117013" w:rsidR="007B2260" w:rsidRPr="007B2260" w:rsidRDefault="007B2260" w:rsidP="007B2260">
      <w:pPr>
        <w:spacing w:after="0" w:line="360" w:lineRule="auto"/>
        <w:ind w:right="49"/>
        <w:jc w:val="both"/>
        <w:rPr>
          <w:rFonts w:ascii="Palatino Linotype" w:hAnsi="Palatino Linotype" w:cs="Tahoma"/>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Pr>
          <w:rFonts w:ascii="Palatino Linotype" w:hAnsi="Palatino Linotype" w:cs="Arial"/>
          <w:b/>
          <w:lang w:val="es-MX"/>
        </w:rPr>
        <w:t>17427/INFOEM/IP/RR/2022</w:t>
      </w:r>
      <w:r>
        <w:rPr>
          <w:rFonts w:ascii="Palatino Linotype" w:hAnsi="Palatino Linotype" w:cs="Tahoma"/>
          <w:b/>
          <w:lang w:val="es-ES_tradnl"/>
        </w:rPr>
        <w:t xml:space="preserve">, </w:t>
      </w:r>
      <w:r w:rsidRPr="007B2260">
        <w:rPr>
          <w:rFonts w:ascii="Palatino Linotype" w:hAnsi="Palatino Linotype" w:cs="Tahoma"/>
          <w:lang w:val="es-ES_tradnl"/>
        </w:rPr>
        <w:t>que presenté conforme al criterio mayoritario del Pleno de este Instituto.</w:t>
      </w:r>
    </w:p>
    <w:p w14:paraId="48F6010C" w14:textId="77777777" w:rsidR="007B2260" w:rsidRPr="00807C88" w:rsidRDefault="007B2260" w:rsidP="007B2260">
      <w:pPr>
        <w:spacing w:after="0" w:line="360" w:lineRule="auto"/>
        <w:ind w:right="49"/>
        <w:jc w:val="both"/>
        <w:rPr>
          <w:rFonts w:ascii="Palatino Linotype" w:hAnsi="Palatino Linotype" w:cs="Tahoma"/>
        </w:rPr>
      </w:pPr>
    </w:p>
    <w:p w14:paraId="207D39B0" w14:textId="0298A517" w:rsidR="00CA0BE9" w:rsidRDefault="007B2260" w:rsidP="008E53B0">
      <w:pPr>
        <w:spacing w:after="0" w:line="360" w:lineRule="auto"/>
        <w:ind w:right="49"/>
        <w:jc w:val="both"/>
        <w:rPr>
          <w:rFonts w:ascii="Palatino Linotype" w:hAnsi="Palatino Linotype" w:cs="Tahoma"/>
          <w:lang w:val="es-ES_tradnl"/>
        </w:rPr>
      </w:pPr>
      <w:r w:rsidRPr="00807C88">
        <w:rPr>
          <w:rFonts w:ascii="Palatino Linotype" w:hAnsi="Palatino Linotype" w:cs="Tahoma"/>
        </w:rPr>
        <w:t xml:space="preserve">Como se desprende de la Resolución en comento, el Particular solicitó </w:t>
      </w:r>
      <w:r>
        <w:rPr>
          <w:rFonts w:ascii="Palatino Linotype" w:hAnsi="Palatino Linotype" w:cs="Tahoma"/>
        </w:rPr>
        <w:t xml:space="preserve">al </w:t>
      </w:r>
      <w:r>
        <w:rPr>
          <w:rFonts w:ascii="Palatino Linotype" w:hAnsi="Palatino Linotype" w:cs="Tahoma"/>
          <w:lang w:val="es-ES_tradnl"/>
        </w:rPr>
        <w:t>Instituto Electoral del Estado de México</w:t>
      </w:r>
      <w:r w:rsidR="00DB27CB">
        <w:rPr>
          <w:rFonts w:ascii="Palatino Linotype" w:hAnsi="Palatino Linotype" w:cs="Tahoma"/>
          <w:lang w:val="es-ES_tradnl"/>
        </w:rPr>
        <w:t xml:space="preserve"> las cédulas con las calificaciones de cada entrevistador del proceso de vocales de dos mil veintitrés. En respuesta, el Sujeto Obligado clasificó la información en términos del artículo 140, fracción VII de la Ley de Transparencia y Acceso a la Información Pública del Estado de México y Municipios, circunstancia que fue aprobada por unanimidad del Comité de Transparencia del </w:t>
      </w:r>
      <w:r w:rsidR="00DB27CB" w:rsidRPr="00DB27CB">
        <w:rPr>
          <w:rFonts w:ascii="Palatino Linotype" w:hAnsi="Palatino Linotype" w:cs="Tahoma"/>
          <w:lang w:val="es-MX"/>
        </w:rPr>
        <w:t>Instituto Electoral del Estado de México</w:t>
      </w:r>
      <w:r w:rsidR="00DB27CB">
        <w:rPr>
          <w:rFonts w:ascii="Palatino Linotype" w:hAnsi="Palatino Linotype" w:cs="Tahoma"/>
          <w:lang w:val="es-MX"/>
        </w:rPr>
        <w:t xml:space="preserve">, el cual adjuntó el </w:t>
      </w:r>
      <w:r w:rsidR="00D66E4D" w:rsidRPr="00D66E4D">
        <w:rPr>
          <w:rFonts w:ascii="Palatino Linotype" w:hAnsi="Palatino Linotype" w:cs="Tahoma"/>
          <w:lang w:val="es-MX"/>
        </w:rPr>
        <w:t>Acuerdo de Clasificación</w:t>
      </w:r>
      <w:r w:rsidR="00DB27CB">
        <w:rPr>
          <w:rFonts w:ascii="Palatino Linotype" w:hAnsi="Palatino Linotype" w:cs="Tahoma"/>
          <w:lang w:val="es-MX"/>
        </w:rPr>
        <w:t xml:space="preserve"> “</w:t>
      </w:r>
      <w:r w:rsidR="00100F3C">
        <w:rPr>
          <w:rFonts w:ascii="Palatino Linotype" w:hAnsi="Palatino Linotype" w:cs="Tahoma"/>
          <w:lang w:val="es-MX"/>
        </w:rPr>
        <w:t>rubricado</w:t>
      </w:r>
      <w:r w:rsidR="00DB27CB">
        <w:rPr>
          <w:rFonts w:ascii="Palatino Linotype" w:hAnsi="Palatino Linotype" w:cs="Tahoma"/>
          <w:lang w:val="es-MX"/>
        </w:rPr>
        <w:t xml:space="preserve">” por sus integrantes. </w:t>
      </w:r>
      <w:r w:rsidR="00D66E4D">
        <w:rPr>
          <w:rFonts w:ascii="Palatino Linotype" w:hAnsi="Palatino Linotype" w:cs="Tahoma"/>
          <w:lang w:val="es-MX"/>
        </w:rPr>
        <w:t xml:space="preserve">En esos </w:t>
      </w:r>
      <w:r w:rsidR="00301853">
        <w:rPr>
          <w:rFonts w:ascii="Palatino Linotype" w:hAnsi="Palatino Linotype" w:cs="Tahoma"/>
          <w:lang w:val="es-MX"/>
        </w:rPr>
        <w:t>términos</w:t>
      </w:r>
      <w:r w:rsidR="002E7E35">
        <w:rPr>
          <w:rFonts w:ascii="Palatino Linotype" w:hAnsi="Palatino Linotype" w:cs="Tahoma"/>
          <w:lang w:val="es-MX"/>
        </w:rPr>
        <w:t>,</w:t>
      </w:r>
      <w:r w:rsidR="00D66E4D">
        <w:rPr>
          <w:rFonts w:ascii="Palatino Linotype" w:hAnsi="Palatino Linotype" w:cs="Tahoma"/>
          <w:lang w:val="es-MX"/>
        </w:rPr>
        <w:t xml:space="preserve"> </w:t>
      </w:r>
      <w:r w:rsidR="00D90C20">
        <w:rPr>
          <w:rFonts w:ascii="Palatino Linotype" w:hAnsi="Palatino Linotype" w:cs="Tahoma"/>
          <w:lang w:val="es-MX"/>
        </w:rPr>
        <w:t>este Organismo Garante</w:t>
      </w:r>
      <w:r w:rsidR="00D66E4D">
        <w:rPr>
          <w:rFonts w:ascii="Palatino Linotype" w:hAnsi="Palatino Linotype" w:cs="Tahoma"/>
          <w:lang w:val="es-MX"/>
        </w:rPr>
        <w:t xml:space="preserve"> determinó</w:t>
      </w:r>
      <w:r w:rsidR="00BC2B2B">
        <w:rPr>
          <w:rFonts w:ascii="Palatino Linotype" w:hAnsi="Palatino Linotype" w:cs="Tahoma"/>
          <w:lang w:val="es-MX"/>
        </w:rPr>
        <w:t xml:space="preserve"> que la reserva de la información fue acredita por el Ente Recurrido, sin embargo, consider</w:t>
      </w:r>
      <w:r w:rsidR="0059360F">
        <w:rPr>
          <w:rFonts w:ascii="Palatino Linotype" w:hAnsi="Palatino Linotype" w:cs="Tahoma"/>
          <w:lang w:val="es-MX"/>
        </w:rPr>
        <w:t xml:space="preserve">ó </w:t>
      </w:r>
      <w:r w:rsidR="00D66E4D">
        <w:rPr>
          <w:rFonts w:ascii="Palatino Linotype" w:hAnsi="Palatino Linotype" w:cs="Tahoma"/>
          <w:lang w:val="es-MX"/>
        </w:rPr>
        <w:t>modificar la respuesta del Sujeto Obligado a efectos de que</w:t>
      </w:r>
      <w:r w:rsidR="00BC2B2B">
        <w:rPr>
          <w:rFonts w:ascii="Palatino Linotype" w:hAnsi="Palatino Linotype" w:cs="Tahoma"/>
          <w:lang w:val="es-MX"/>
        </w:rPr>
        <w:t xml:space="preserve"> proporcionara de nueva cuenta el </w:t>
      </w:r>
      <w:r w:rsidR="00BC2B2B" w:rsidRPr="00D66E4D">
        <w:rPr>
          <w:rFonts w:ascii="Palatino Linotype" w:hAnsi="Palatino Linotype" w:cs="Tahoma"/>
          <w:lang w:val="es-MX"/>
        </w:rPr>
        <w:t>Acuerdo de Clasificación</w:t>
      </w:r>
      <w:r w:rsidR="00BC2B2B">
        <w:rPr>
          <w:rFonts w:ascii="Palatino Linotype" w:hAnsi="Palatino Linotype" w:cs="Tahoma"/>
          <w:lang w:val="es-MX"/>
        </w:rPr>
        <w:t xml:space="preserve"> “firmado” por los servidores públicos que integran el </w:t>
      </w:r>
      <w:r w:rsidR="00BC2B2B">
        <w:rPr>
          <w:rFonts w:ascii="Palatino Linotype" w:hAnsi="Palatino Linotype" w:cs="Tahoma"/>
          <w:lang w:val="es-ES_tradnl"/>
        </w:rPr>
        <w:t>Comité de Transparencia del Sujeto Obligado</w:t>
      </w:r>
      <w:r w:rsidR="008E53B0">
        <w:rPr>
          <w:rFonts w:ascii="Palatino Linotype" w:hAnsi="Palatino Linotype" w:cs="Tahoma"/>
          <w:lang w:val="es-ES_tradnl"/>
        </w:rPr>
        <w:t>.</w:t>
      </w:r>
    </w:p>
    <w:p w14:paraId="12861994" w14:textId="4A187C0B" w:rsidR="006A553B" w:rsidRPr="00207A05" w:rsidRDefault="007E22C5" w:rsidP="006A553B">
      <w:pPr>
        <w:spacing w:after="0" w:line="360" w:lineRule="auto"/>
        <w:ind w:right="49"/>
        <w:jc w:val="both"/>
        <w:rPr>
          <w:rFonts w:ascii="Palatino Linotype" w:hAnsi="Palatino Linotype" w:cs="Tahoma"/>
          <w:lang w:val="es-ES_tradnl"/>
        </w:rPr>
      </w:pPr>
      <w:r w:rsidRPr="00207A05">
        <w:rPr>
          <w:rFonts w:ascii="Palatino Linotype" w:hAnsi="Palatino Linotype" w:cs="Tahoma"/>
          <w:lang w:val="es-ES_tradnl"/>
        </w:rPr>
        <w:lastRenderedPageBreak/>
        <w:t xml:space="preserve">En consecuencia, </w:t>
      </w:r>
      <w:r w:rsidR="006A553B" w:rsidRPr="00207A05">
        <w:rPr>
          <w:rFonts w:ascii="Palatino Linotype" w:hAnsi="Palatino Linotype" w:cs="Tahoma"/>
        </w:rPr>
        <w:t xml:space="preserve">estimo necesario precisar que no comparto </w:t>
      </w:r>
      <w:r w:rsidR="00104014" w:rsidRPr="00207A05">
        <w:rPr>
          <w:rFonts w:ascii="Palatino Linotype" w:hAnsi="Palatino Linotype" w:cs="Tahoma"/>
          <w:lang w:val="es-ES_tradnl"/>
        </w:rPr>
        <w:t xml:space="preserve">la postura de que los documentos </w:t>
      </w:r>
      <w:r w:rsidR="004C5D22" w:rsidRPr="00207A05">
        <w:rPr>
          <w:rFonts w:ascii="Palatino Linotype" w:hAnsi="Palatino Linotype" w:cs="Tahoma"/>
          <w:lang w:val="es-ES_tradnl"/>
        </w:rPr>
        <w:t xml:space="preserve">electrónicos </w:t>
      </w:r>
      <w:r w:rsidR="00104014" w:rsidRPr="00207A05">
        <w:rPr>
          <w:rFonts w:ascii="Palatino Linotype" w:hAnsi="Palatino Linotype" w:cs="Tahoma"/>
          <w:lang w:val="es-ES_tradnl"/>
        </w:rPr>
        <w:t>que emitan los sujetos obligados en donde</w:t>
      </w:r>
      <w:r w:rsidR="00CB4187" w:rsidRPr="00207A05">
        <w:rPr>
          <w:rFonts w:ascii="Palatino Linotype" w:hAnsi="Palatino Linotype" w:cs="Tahoma"/>
          <w:lang w:val="es-ES_tradnl"/>
        </w:rPr>
        <w:t>, seguido del nombre y cargo del servidor público que emite</w:t>
      </w:r>
      <w:r w:rsidR="002C583C">
        <w:rPr>
          <w:rFonts w:ascii="Palatino Linotype" w:hAnsi="Palatino Linotype" w:cs="Tahoma"/>
          <w:lang w:val="es-ES_tradnl"/>
        </w:rPr>
        <w:t>,</w:t>
      </w:r>
      <w:r w:rsidR="00CB4187" w:rsidRPr="00207A05">
        <w:rPr>
          <w:rFonts w:ascii="Palatino Linotype" w:hAnsi="Palatino Linotype" w:cs="Tahoma"/>
          <w:lang w:val="es-ES_tradnl"/>
        </w:rPr>
        <w:t xml:space="preserve"> </w:t>
      </w:r>
      <w:r w:rsidR="00C403A0" w:rsidRPr="00207A05">
        <w:rPr>
          <w:rFonts w:ascii="Palatino Linotype" w:hAnsi="Palatino Linotype" w:cs="Tahoma"/>
          <w:lang w:val="es-ES_tradnl"/>
        </w:rPr>
        <w:t xml:space="preserve">se </w:t>
      </w:r>
      <w:r w:rsidR="00DB7D2F" w:rsidRPr="00207A05">
        <w:rPr>
          <w:rFonts w:ascii="Palatino Linotype" w:hAnsi="Palatino Linotype" w:cs="Tahoma"/>
          <w:lang w:val="es-ES_tradnl"/>
        </w:rPr>
        <w:t xml:space="preserve">asiente </w:t>
      </w:r>
      <w:r w:rsidR="00104014" w:rsidRPr="00207A05">
        <w:rPr>
          <w:rFonts w:ascii="Palatino Linotype" w:hAnsi="Palatino Linotype" w:cs="Tahoma"/>
          <w:lang w:val="es-ES_tradnl"/>
        </w:rPr>
        <w:t>la expresión “</w:t>
      </w:r>
      <w:r w:rsidR="00104014" w:rsidRPr="00207A05">
        <w:rPr>
          <w:rFonts w:ascii="Palatino Linotype" w:hAnsi="Palatino Linotype" w:cs="Tahoma"/>
          <w:i/>
          <w:iCs/>
          <w:lang w:val="es-ES_tradnl"/>
        </w:rPr>
        <w:t>rúbrica</w:t>
      </w:r>
      <w:r w:rsidR="00104014" w:rsidRPr="00207A05">
        <w:rPr>
          <w:rFonts w:ascii="Palatino Linotype" w:hAnsi="Palatino Linotype" w:cs="Tahoma"/>
          <w:lang w:val="es-ES_tradnl"/>
        </w:rPr>
        <w:t>”</w:t>
      </w:r>
      <w:r w:rsidR="00DB7D2F" w:rsidRPr="00207A05">
        <w:rPr>
          <w:rFonts w:ascii="Palatino Linotype" w:hAnsi="Palatino Linotype" w:cs="Tahoma"/>
          <w:lang w:val="es-ES_tradnl"/>
        </w:rPr>
        <w:t xml:space="preserve">, </w:t>
      </w:r>
      <w:r w:rsidR="00586F38" w:rsidRPr="00207A05">
        <w:rPr>
          <w:rFonts w:ascii="Palatino Linotype" w:hAnsi="Palatino Linotype" w:cs="Tahoma"/>
          <w:lang w:val="es-ES_tradnl"/>
        </w:rPr>
        <w:t>carezca</w:t>
      </w:r>
      <w:r w:rsidR="00574F07" w:rsidRPr="00207A05">
        <w:rPr>
          <w:rFonts w:ascii="Palatino Linotype" w:hAnsi="Palatino Linotype" w:cs="Tahoma"/>
          <w:lang w:val="es-ES_tradnl"/>
        </w:rPr>
        <w:t>n</w:t>
      </w:r>
      <w:r w:rsidR="00586F38" w:rsidRPr="00207A05">
        <w:rPr>
          <w:rFonts w:ascii="Palatino Linotype" w:hAnsi="Palatino Linotype" w:cs="Tahoma"/>
          <w:lang w:val="es-ES_tradnl"/>
        </w:rPr>
        <w:t xml:space="preserve"> de validez al no </w:t>
      </w:r>
      <w:r w:rsidR="00560089">
        <w:rPr>
          <w:rFonts w:ascii="Palatino Linotype" w:hAnsi="Palatino Linotype" w:cs="Tahoma"/>
          <w:lang w:val="es-ES_tradnl"/>
        </w:rPr>
        <w:t xml:space="preserve">tener </w:t>
      </w:r>
      <w:r w:rsidR="00A20CFE" w:rsidRPr="00207A05">
        <w:rPr>
          <w:rFonts w:ascii="Palatino Linotype" w:hAnsi="Palatino Linotype" w:cs="Tahoma"/>
          <w:lang w:val="es-ES_tradnl"/>
        </w:rPr>
        <w:t>fi</w:t>
      </w:r>
      <w:r w:rsidR="00E94EBD" w:rsidRPr="00207A05">
        <w:rPr>
          <w:rFonts w:ascii="Palatino Linotype" w:hAnsi="Palatino Linotype" w:cs="Tahoma"/>
          <w:lang w:val="es-ES_tradnl"/>
        </w:rPr>
        <w:t>rma autógrafa, e</w:t>
      </w:r>
      <w:r w:rsidR="006A553B" w:rsidRPr="00207A05">
        <w:rPr>
          <w:rFonts w:ascii="Palatino Linotype" w:hAnsi="Palatino Linotype" w:cs="Tahoma"/>
        </w:rPr>
        <w:t>n virtud de lo siguiente:</w:t>
      </w:r>
    </w:p>
    <w:p w14:paraId="07F84C0E" w14:textId="77777777" w:rsidR="00DF37F4" w:rsidRDefault="00DF37F4" w:rsidP="007B2260">
      <w:pPr>
        <w:spacing w:after="0" w:line="360" w:lineRule="auto"/>
        <w:ind w:right="49"/>
        <w:jc w:val="both"/>
        <w:rPr>
          <w:rFonts w:ascii="Palatino Linotype" w:hAnsi="Palatino Linotype" w:cs="Tahoma"/>
          <w:lang w:val="es-ES_tradnl"/>
        </w:rPr>
      </w:pPr>
    </w:p>
    <w:p w14:paraId="1390034F" w14:textId="03DF5141" w:rsidR="00EA6A57" w:rsidRDefault="001538BE" w:rsidP="007B2260">
      <w:pPr>
        <w:spacing w:after="0" w:line="360" w:lineRule="auto"/>
        <w:ind w:right="49"/>
        <w:jc w:val="both"/>
        <w:rPr>
          <w:rFonts w:ascii="Palatino Linotype" w:hAnsi="Palatino Linotype" w:cs="Tahoma"/>
          <w:lang w:val="es-ES_tradnl"/>
        </w:rPr>
      </w:pPr>
      <w:r>
        <w:rPr>
          <w:rFonts w:ascii="Palatino Linotype" w:hAnsi="Palatino Linotype" w:cs="Tahoma"/>
          <w:lang w:val="es-ES_tradnl"/>
        </w:rPr>
        <w:t>Doctrinalmente</w:t>
      </w:r>
      <w:r w:rsidR="00D70020">
        <w:rPr>
          <w:rFonts w:ascii="Palatino Linotype" w:hAnsi="Palatino Linotype" w:cs="Tahoma"/>
          <w:lang w:val="es-ES_tradnl"/>
        </w:rPr>
        <w:t>,</w:t>
      </w:r>
      <w:r>
        <w:rPr>
          <w:rFonts w:ascii="Palatino Linotype" w:hAnsi="Palatino Linotype" w:cs="Tahoma"/>
          <w:lang w:val="es-ES_tradnl"/>
        </w:rPr>
        <w:t xml:space="preserve"> se ha sostenido s</w:t>
      </w:r>
      <w:r w:rsidR="00123C57">
        <w:rPr>
          <w:rFonts w:ascii="Palatino Linotype" w:hAnsi="Palatino Linotype" w:cs="Tahoma"/>
          <w:lang w:val="es-ES_tradnl"/>
        </w:rPr>
        <w:t xml:space="preserve">obre los efectos del </w:t>
      </w:r>
      <w:r>
        <w:rPr>
          <w:rFonts w:ascii="Palatino Linotype" w:hAnsi="Palatino Linotype" w:cs="Tahoma"/>
          <w:lang w:val="es-ES_tradnl"/>
        </w:rPr>
        <w:t>acto administrativo que “</w:t>
      </w:r>
      <w:r w:rsidR="006124D4" w:rsidRPr="00540EAF">
        <w:rPr>
          <w:rFonts w:ascii="Palatino Linotype" w:hAnsi="Palatino Linotype" w:cs="Tahoma"/>
          <w:i/>
          <w:iCs/>
          <w:lang w:val="es-ES_tradnl"/>
        </w:rPr>
        <w:t xml:space="preserve">la naturaleza jurídica del acto administrativo consiste en </w:t>
      </w:r>
      <w:r w:rsidR="00703812">
        <w:rPr>
          <w:rFonts w:ascii="Palatino Linotype" w:hAnsi="Palatino Linotype" w:cs="Tahoma"/>
          <w:i/>
          <w:iCs/>
          <w:lang w:val="es-ES_tradnl"/>
        </w:rPr>
        <w:t>ser</w:t>
      </w:r>
      <w:r w:rsidR="006124D4" w:rsidRPr="00540EAF">
        <w:rPr>
          <w:rFonts w:ascii="Palatino Linotype" w:hAnsi="Palatino Linotype" w:cs="Tahoma"/>
          <w:i/>
          <w:iCs/>
          <w:lang w:val="es-ES_tradnl"/>
        </w:rPr>
        <w:t xml:space="preserve"> un acto</w:t>
      </w:r>
      <w:r w:rsidR="00726166" w:rsidRPr="00540EAF">
        <w:rPr>
          <w:rFonts w:ascii="Palatino Linotype" w:hAnsi="Palatino Linotype" w:cs="Tahoma"/>
          <w:i/>
          <w:iCs/>
          <w:lang w:val="es-ES_tradnl"/>
        </w:rPr>
        <w:t xml:space="preserve">, ejecutivo y unilateral, que determina situaciones </w:t>
      </w:r>
      <w:r w:rsidR="00853F14" w:rsidRPr="00540EAF">
        <w:rPr>
          <w:rFonts w:ascii="Palatino Linotype" w:hAnsi="Palatino Linotype" w:cs="Tahoma"/>
          <w:i/>
          <w:iCs/>
          <w:lang w:val="es-ES_tradnl"/>
        </w:rPr>
        <w:t xml:space="preserve">jurídicas (crea, reconoce, modifica, transfiere o extingue obligaciones y derechos) </w:t>
      </w:r>
      <w:r w:rsidR="00DC09CA" w:rsidRPr="00540EAF">
        <w:rPr>
          <w:rFonts w:ascii="Palatino Linotype" w:hAnsi="Palatino Linotype" w:cs="Tahoma"/>
          <w:i/>
          <w:iCs/>
          <w:lang w:val="es-ES_tradnl"/>
        </w:rPr>
        <w:t xml:space="preserve">para casos individuales, y que se </w:t>
      </w:r>
      <w:r w:rsidR="00A966CD" w:rsidRPr="00540EAF">
        <w:rPr>
          <w:rFonts w:ascii="Palatino Linotype" w:hAnsi="Palatino Linotype" w:cs="Tahoma"/>
          <w:i/>
          <w:iCs/>
          <w:lang w:val="es-ES_tradnl"/>
        </w:rPr>
        <w:t>efectúa</w:t>
      </w:r>
      <w:r w:rsidR="00DC09CA" w:rsidRPr="00540EAF">
        <w:rPr>
          <w:rFonts w:ascii="Palatino Linotype" w:hAnsi="Palatino Linotype" w:cs="Tahoma"/>
          <w:i/>
          <w:iCs/>
          <w:lang w:val="es-ES_tradnl"/>
        </w:rPr>
        <w:t xml:space="preserve"> en el cumplimiento de las atribuciones y facultades </w:t>
      </w:r>
      <w:r w:rsidR="00A966CD" w:rsidRPr="00540EAF">
        <w:rPr>
          <w:rFonts w:ascii="Palatino Linotype" w:hAnsi="Palatino Linotype" w:cs="Tahoma"/>
          <w:i/>
          <w:iCs/>
          <w:lang w:val="es-ES_tradnl"/>
        </w:rPr>
        <w:t>que las leyes determinan</w:t>
      </w:r>
      <w:r w:rsidR="00A966CD">
        <w:rPr>
          <w:rFonts w:ascii="Palatino Linotype" w:hAnsi="Palatino Linotype" w:cs="Tahoma"/>
          <w:lang w:val="es-ES_tradnl"/>
        </w:rPr>
        <w:t xml:space="preserve">” </w:t>
      </w:r>
      <w:sdt>
        <w:sdtPr>
          <w:rPr>
            <w:rFonts w:ascii="Palatino Linotype" w:hAnsi="Palatino Linotype" w:cs="Tahoma"/>
            <w:lang w:val="es-ES_tradnl"/>
          </w:rPr>
          <w:id w:val="-478842537"/>
          <w:citation/>
        </w:sdtPr>
        <w:sdtEndPr/>
        <w:sdtContent>
          <w:r w:rsidR="00EE23FA">
            <w:rPr>
              <w:rFonts w:ascii="Palatino Linotype" w:hAnsi="Palatino Linotype" w:cs="Tahoma"/>
              <w:lang w:val="es-ES_tradnl"/>
            </w:rPr>
            <w:fldChar w:fldCharType="begin"/>
          </w:r>
          <w:r w:rsidR="00540EAF">
            <w:rPr>
              <w:rFonts w:ascii="Palatino Linotype" w:hAnsi="Palatino Linotype" w:cs="Tahoma"/>
            </w:rPr>
            <w:instrText xml:space="preserve">CITATION Alb97 \p 59 \l 3082 </w:instrText>
          </w:r>
          <w:r w:rsidR="00EE23FA">
            <w:rPr>
              <w:rFonts w:ascii="Palatino Linotype" w:hAnsi="Palatino Linotype" w:cs="Tahoma"/>
              <w:lang w:val="es-ES_tradnl"/>
            </w:rPr>
            <w:fldChar w:fldCharType="separate"/>
          </w:r>
          <w:r w:rsidR="00540EAF" w:rsidRPr="00540EAF">
            <w:rPr>
              <w:rFonts w:ascii="Palatino Linotype" w:hAnsi="Palatino Linotype" w:cs="Tahoma"/>
              <w:noProof/>
            </w:rPr>
            <w:t>(Pichardo, 1997, pág. 59)</w:t>
          </w:r>
          <w:r w:rsidR="00EE23FA">
            <w:rPr>
              <w:rFonts w:ascii="Palatino Linotype" w:hAnsi="Palatino Linotype" w:cs="Tahoma"/>
              <w:lang w:val="es-ES_tradnl"/>
            </w:rPr>
            <w:fldChar w:fldCharType="end"/>
          </w:r>
        </w:sdtContent>
      </w:sdt>
      <w:r w:rsidR="0029545F">
        <w:rPr>
          <w:rFonts w:ascii="Palatino Linotype" w:hAnsi="Palatino Linotype" w:cs="Tahoma"/>
          <w:lang w:val="es-ES_tradnl"/>
        </w:rPr>
        <w:t xml:space="preserve">. </w:t>
      </w:r>
      <w:r w:rsidR="0039179C">
        <w:rPr>
          <w:rFonts w:ascii="Palatino Linotype" w:hAnsi="Palatino Linotype" w:cs="Tahoma"/>
          <w:lang w:val="es-ES_tradnl"/>
        </w:rPr>
        <w:t>Por lo tanto</w:t>
      </w:r>
      <w:r w:rsidR="00844A47">
        <w:rPr>
          <w:rFonts w:ascii="Palatino Linotype" w:hAnsi="Palatino Linotype" w:cs="Tahoma"/>
          <w:lang w:val="es-ES_tradnl"/>
        </w:rPr>
        <w:t xml:space="preserve">, </w:t>
      </w:r>
      <w:r w:rsidR="0036607A">
        <w:rPr>
          <w:rFonts w:ascii="Palatino Linotype" w:hAnsi="Palatino Linotype" w:cs="Tahoma"/>
          <w:lang w:val="es-ES_tradnl"/>
        </w:rPr>
        <w:t xml:space="preserve">debe señalarse que </w:t>
      </w:r>
      <w:r w:rsidR="00470197">
        <w:rPr>
          <w:rFonts w:ascii="Palatino Linotype" w:hAnsi="Palatino Linotype" w:cs="Tahoma"/>
          <w:lang w:val="es-ES_tradnl"/>
        </w:rPr>
        <w:t>dada la natura</w:t>
      </w:r>
      <w:r w:rsidR="002A380A">
        <w:rPr>
          <w:rFonts w:ascii="Palatino Linotype" w:hAnsi="Palatino Linotype" w:cs="Tahoma"/>
          <w:lang w:val="es-ES_tradnl"/>
        </w:rPr>
        <w:t xml:space="preserve">leza de los actos </w:t>
      </w:r>
      <w:r w:rsidR="00D9443C">
        <w:rPr>
          <w:rFonts w:ascii="Palatino Linotype" w:hAnsi="Palatino Linotype" w:cs="Tahoma"/>
          <w:lang w:val="es-ES_tradnl"/>
        </w:rPr>
        <w:t>administrativos</w:t>
      </w:r>
      <w:r w:rsidR="008473CD">
        <w:rPr>
          <w:rFonts w:ascii="Palatino Linotype" w:hAnsi="Palatino Linotype" w:cs="Tahoma"/>
          <w:lang w:val="es-ES_tradnl"/>
        </w:rPr>
        <w:t xml:space="preserve">, es preciso señalar que uno de los elementos que </w:t>
      </w:r>
      <w:r w:rsidR="008F68BC">
        <w:rPr>
          <w:rFonts w:ascii="Palatino Linotype" w:hAnsi="Palatino Linotype" w:cs="Tahoma"/>
          <w:lang w:val="es-ES_tradnl"/>
        </w:rPr>
        <w:t>tienen los actos es el de la forma, entiéndase por esta</w:t>
      </w:r>
      <w:r w:rsidR="009B65A6">
        <w:rPr>
          <w:rFonts w:ascii="Palatino Linotype" w:hAnsi="Palatino Linotype" w:cs="Tahoma"/>
          <w:lang w:val="es-ES_tradnl"/>
        </w:rPr>
        <w:t>,</w:t>
      </w:r>
      <w:r w:rsidR="008F68BC">
        <w:rPr>
          <w:rFonts w:ascii="Palatino Linotype" w:hAnsi="Palatino Linotype" w:cs="Tahoma"/>
          <w:lang w:val="es-ES_tradnl"/>
        </w:rPr>
        <w:t xml:space="preserve"> la manifestación material </w:t>
      </w:r>
      <w:r w:rsidR="00E73B8B">
        <w:rPr>
          <w:rFonts w:ascii="Palatino Linotype" w:hAnsi="Palatino Linotype" w:cs="Tahoma"/>
          <w:lang w:val="es-ES_tradnl"/>
        </w:rPr>
        <w:t>en donde se plasma objetivamente el acto administ</w:t>
      </w:r>
      <w:r w:rsidR="00DD0D6B">
        <w:rPr>
          <w:rFonts w:ascii="Palatino Linotype" w:hAnsi="Palatino Linotype" w:cs="Tahoma"/>
          <w:lang w:val="es-ES_tradnl"/>
        </w:rPr>
        <w:t xml:space="preserve">rativo. Entonces, sobre este punto, </w:t>
      </w:r>
      <w:r w:rsidR="00EB7C29">
        <w:rPr>
          <w:rFonts w:ascii="Palatino Linotype" w:hAnsi="Palatino Linotype" w:cs="Tahoma"/>
          <w:lang w:val="es-ES_tradnl"/>
        </w:rPr>
        <w:t xml:space="preserve">se ha realizado una revisión, por un lado en el Diario Oficial de la </w:t>
      </w:r>
      <w:r w:rsidR="007B5E09">
        <w:rPr>
          <w:rFonts w:ascii="Palatino Linotype" w:hAnsi="Palatino Linotype" w:cs="Tahoma"/>
          <w:lang w:val="es-ES_tradnl"/>
        </w:rPr>
        <w:t xml:space="preserve">Federación y en el </w:t>
      </w:r>
      <w:r w:rsidR="00024204">
        <w:rPr>
          <w:rFonts w:ascii="Palatino Linotype" w:hAnsi="Palatino Linotype" w:cs="Tahoma"/>
          <w:lang w:val="es-ES_tradnl"/>
        </w:rPr>
        <w:t>Periódico Oficial Gaceta del Gobierno del Estado de México</w:t>
      </w:r>
      <w:r w:rsidR="00CA01C9">
        <w:rPr>
          <w:rFonts w:ascii="Palatino Linotype" w:hAnsi="Palatino Linotype" w:cs="Tahoma"/>
          <w:lang w:val="es-ES_tradnl"/>
        </w:rPr>
        <w:t xml:space="preserve"> y </w:t>
      </w:r>
      <w:r w:rsidR="00024204">
        <w:rPr>
          <w:rFonts w:ascii="Palatino Linotype" w:hAnsi="Palatino Linotype" w:cs="Tahoma"/>
          <w:lang w:val="es-ES_tradnl"/>
        </w:rPr>
        <w:t xml:space="preserve">se </w:t>
      </w:r>
      <w:r w:rsidR="00A33CF1">
        <w:rPr>
          <w:rFonts w:ascii="Palatino Linotype" w:hAnsi="Palatino Linotype" w:cs="Tahoma"/>
          <w:lang w:val="es-ES_tradnl"/>
        </w:rPr>
        <w:t>advierte</w:t>
      </w:r>
      <w:r w:rsidR="00505499">
        <w:rPr>
          <w:rFonts w:ascii="Palatino Linotype" w:hAnsi="Palatino Linotype" w:cs="Tahoma"/>
          <w:lang w:val="es-ES_tradnl"/>
        </w:rPr>
        <w:t xml:space="preserve"> que una de las formas </w:t>
      </w:r>
      <w:r w:rsidR="00A33CF1">
        <w:rPr>
          <w:rFonts w:ascii="Palatino Linotype" w:hAnsi="Palatino Linotype" w:cs="Tahoma"/>
          <w:lang w:val="es-ES_tradnl"/>
        </w:rPr>
        <w:t xml:space="preserve">en la que el servidor público </w:t>
      </w:r>
      <w:r w:rsidR="004416AA">
        <w:rPr>
          <w:rFonts w:ascii="Palatino Linotype" w:hAnsi="Palatino Linotype" w:cs="Tahoma"/>
          <w:lang w:val="es-ES_tradnl"/>
        </w:rPr>
        <w:t>firma</w:t>
      </w:r>
      <w:r w:rsidR="00B70CAC">
        <w:rPr>
          <w:rFonts w:ascii="Palatino Linotype" w:hAnsi="Palatino Linotype" w:cs="Tahoma"/>
          <w:lang w:val="es-ES_tradnl"/>
        </w:rPr>
        <w:t xml:space="preserve"> un documento electrónico</w:t>
      </w:r>
      <w:r w:rsidR="004416AA">
        <w:rPr>
          <w:rFonts w:ascii="Palatino Linotype" w:hAnsi="Palatino Linotype" w:cs="Tahoma"/>
          <w:lang w:val="es-ES_tradnl"/>
        </w:rPr>
        <w:t xml:space="preserve">, es a través de la colocación de </w:t>
      </w:r>
      <w:r w:rsidR="00B70CAC">
        <w:rPr>
          <w:rFonts w:ascii="Palatino Linotype" w:hAnsi="Palatino Linotype" w:cs="Tahoma"/>
          <w:lang w:val="es-ES_tradnl"/>
        </w:rPr>
        <w:t xml:space="preserve">la </w:t>
      </w:r>
      <w:r w:rsidR="00A173CF">
        <w:rPr>
          <w:rFonts w:ascii="Palatino Linotype" w:hAnsi="Palatino Linotype" w:cs="Tahoma"/>
          <w:lang w:val="es-ES_tradnl"/>
        </w:rPr>
        <w:t>expresión de “</w:t>
      </w:r>
      <w:r w:rsidR="00A173CF">
        <w:rPr>
          <w:rFonts w:ascii="Palatino Linotype" w:hAnsi="Palatino Linotype" w:cs="Tahoma"/>
          <w:i/>
          <w:iCs/>
          <w:lang w:val="es-ES_tradnl"/>
        </w:rPr>
        <w:t xml:space="preserve">rubrica” </w:t>
      </w:r>
      <w:r w:rsidR="00C8149C">
        <w:rPr>
          <w:rFonts w:ascii="Palatino Linotype" w:hAnsi="Palatino Linotype" w:cs="Tahoma"/>
          <w:lang w:val="es-ES_tradnl"/>
        </w:rPr>
        <w:t xml:space="preserve">en documentos electrónicos </w:t>
      </w:r>
      <w:r w:rsidR="00A173CF">
        <w:rPr>
          <w:rFonts w:ascii="Palatino Linotype" w:hAnsi="Palatino Linotype" w:cs="Tahoma"/>
          <w:lang w:val="es-ES_tradnl"/>
        </w:rPr>
        <w:t>tal como se logra advertir</w:t>
      </w:r>
      <w:r w:rsidR="003A0D70">
        <w:rPr>
          <w:rFonts w:ascii="Palatino Linotype" w:hAnsi="Palatino Linotype" w:cs="Tahoma"/>
          <w:lang w:val="es-ES_tradnl"/>
        </w:rPr>
        <w:t>:</w:t>
      </w:r>
    </w:p>
    <w:p w14:paraId="1B792E52" w14:textId="77777777" w:rsidR="003A0D70" w:rsidRDefault="003A0D70" w:rsidP="007B2260">
      <w:pPr>
        <w:spacing w:after="0" w:line="360" w:lineRule="auto"/>
        <w:ind w:right="49"/>
        <w:jc w:val="both"/>
        <w:rPr>
          <w:rFonts w:ascii="Palatino Linotype" w:hAnsi="Palatino Linotype" w:cs="Tahoma"/>
          <w:lang w:val="es-ES_tradnl"/>
        </w:rPr>
      </w:pPr>
    </w:p>
    <w:p w14:paraId="1A61832F" w14:textId="6F64B681" w:rsidR="00DD0D6B" w:rsidRPr="00DF0725" w:rsidRDefault="00DF0725" w:rsidP="007B2260">
      <w:pPr>
        <w:spacing w:after="0" w:line="360" w:lineRule="auto"/>
        <w:ind w:right="49"/>
        <w:jc w:val="both"/>
        <w:rPr>
          <w:rFonts w:ascii="Palatino Linotype" w:hAnsi="Palatino Linotype" w:cs="Tahoma"/>
          <w:b/>
          <w:bCs/>
          <w:lang w:val="es-ES_tradnl"/>
        </w:rPr>
      </w:pPr>
      <w:r w:rsidRPr="00DF0725">
        <w:rPr>
          <w:rFonts w:ascii="Palatino Linotype" w:hAnsi="Palatino Linotype" w:cs="Tahoma"/>
          <w:b/>
          <w:bCs/>
          <w:lang w:val="es-ES_tradnl"/>
        </w:rPr>
        <w:t>Diario Oficial de la Federación</w:t>
      </w:r>
    </w:p>
    <w:p w14:paraId="621935D1" w14:textId="77777777" w:rsidR="00DF0725" w:rsidRDefault="00DF0725" w:rsidP="007B2260">
      <w:pPr>
        <w:spacing w:after="0" w:line="360" w:lineRule="auto"/>
        <w:ind w:right="49"/>
        <w:jc w:val="both"/>
        <w:rPr>
          <w:rFonts w:ascii="Palatino Linotype" w:hAnsi="Palatino Linotype" w:cs="Tahoma"/>
          <w:lang w:val="es-ES_tradnl"/>
        </w:rPr>
      </w:pPr>
    </w:p>
    <w:p w14:paraId="51332F1C" w14:textId="5C571B4C" w:rsidR="00DD0D6B" w:rsidRDefault="00170D69" w:rsidP="00626D95">
      <w:pPr>
        <w:spacing w:after="0" w:line="360" w:lineRule="auto"/>
        <w:ind w:right="49"/>
        <w:jc w:val="center"/>
        <w:rPr>
          <w:rFonts w:ascii="Palatino Linotype" w:hAnsi="Palatino Linotype" w:cs="Tahoma"/>
          <w:lang w:val="es-ES_tradnl"/>
        </w:rPr>
      </w:pPr>
      <w:r>
        <w:rPr>
          <w:rFonts w:ascii="Palatino Linotype" w:hAnsi="Palatino Linotype" w:cs="Tahoma"/>
          <w:noProof/>
          <w:lang w:val="es-MX" w:eastAsia="es-MX"/>
          <w14:ligatures w14:val="standardContextual"/>
        </w:rPr>
        <mc:AlternateContent>
          <mc:Choice Requires="wps">
            <w:drawing>
              <wp:anchor distT="0" distB="0" distL="114300" distR="114300" simplePos="0" relativeHeight="251660288" behindDoc="0" locked="0" layoutInCell="1" allowOverlap="1" wp14:anchorId="14BF1A2A" wp14:editId="3FE09DC5">
                <wp:simplePos x="0" y="0"/>
                <wp:positionH relativeFrom="column">
                  <wp:posOffset>3568053</wp:posOffset>
                </wp:positionH>
                <wp:positionV relativeFrom="paragraph">
                  <wp:posOffset>1926314</wp:posOffset>
                </wp:positionV>
                <wp:extent cx="1725283" cy="103517"/>
                <wp:effectExtent l="0" t="0" r="27940" b="10795"/>
                <wp:wrapNone/>
                <wp:docPr id="1136326295" name="Rectángulo 1"/>
                <wp:cNvGraphicFramePr/>
                <a:graphic xmlns:a="http://schemas.openxmlformats.org/drawingml/2006/main">
                  <a:graphicData uri="http://schemas.microsoft.com/office/word/2010/wordprocessingShape">
                    <wps:wsp>
                      <wps:cNvSpPr/>
                      <wps:spPr>
                        <a:xfrm>
                          <a:off x="0" y="0"/>
                          <a:ext cx="1725283" cy="103517"/>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2B9EB" id="Rectángulo 1" o:spid="_x0000_s1026" style="position:absolute;margin-left:280.95pt;margin-top:151.7pt;width:135.8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" filled="f" strokecolor="black [3213]" strokeweight="1.5pt"/>
            </w:pict>
          </mc:Fallback>
        </mc:AlternateContent>
      </w:r>
      <w:r w:rsidR="00D036BC">
        <w:rPr>
          <w:rFonts w:ascii="Palatino Linotype" w:hAnsi="Palatino Linotype" w:cs="Tahoma"/>
          <w:noProof/>
          <w:lang w:val="es-MX" w:eastAsia="es-MX"/>
          <w14:ligatures w14:val="standardContextual"/>
        </w:rPr>
        <mc:AlternateContent>
          <mc:Choice Requires="wps">
            <w:drawing>
              <wp:anchor distT="0" distB="0" distL="114300" distR="114300" simplePos="0" relativeHeight="251659264" behindDoc="0" locked="0" layoutInCell="1" allowOverlap="1" wp14:anchorId="4A2083C1" wp14:editId="2D9B04C2">
                <wp:simplePos x="0" y="0"/>
                <wp:positionH relativeFrom="column">
                  <wp:posOffset>3690620</wp:posOffset>
                </wp:positionH>
                <wp:positionV relativeFrom="paragraph">
                  <wp:posOffset>849630</wp:posOffset>
                </wp:positionV>
                <wp:extent cx="1943100" cy="114300"/>
                <wp:effectExtent l="0" t="0" r="19050" b="19050"/>
                <wp:wrapNone/>
                <wp:docPr id="289103493" name="Rectángulo 5"/>
                <wp:cNvGraphicFramePr/>
                <a:graphic xmlns:a="http://schemas.openxmlformats.org/drawingml/2006/main">
                  <a:graphicData uri="http://schemas.microsoft.com/office/word/2010/wordprocessingShape">
                    <wps:wsp>
                      <wps:cNvSpPr/>
                      <wps:spPr>
                        <a:xfrm>
                          <a:off x="0" y="0"/>
                          <a:ext cx="1943100" cy="1143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2525F4" id="Rectángulo 5" o:spid="_x0000_s1026" style="position:absolute;margin-left:290.6pt;margin-top:66.9pt;width:153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" filled="f" strokecolor="black [3213]" strokeweight="1.5pt"/>
            </w:pict>
          </mc:Fallback>
        </mc:AlternateContent>
      </w:r>
      <w:r w:rsidR="00593303">
        <w:rPr>
          <w:rFonts w:ascii="Palatino Linotype" w:hAnsi="Palatino Linotype" w:cs="Tahoma"/>
          <w:noProof/>
          <w:lang w:val="es-MX" w:eastAsia="es-MX"/>
          <w14:ligatures w14:val="standardContextual"/>
        </w:rPr>
        <w:drawing>
          <wp:inline distT="0" distB="0" distL="0" distR="0" wp14:anchorId="5E9E178A" wp14:editId="769E29DB">
            <wp:extent cx="5550011" cy="2075647"/>
            <wp:effectExtent l="0" t="0" r="0" b="1270"/>
            <wp:docPr id="637205159" name="Imagen 2" descr="Un periódico con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5159" name="Imagen 2" descr="Un periódico con texto&#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5563456" cy="2080675"/>
                    </a:xfrm>
                    <a:prstGeom prst="rect">
                      <a:avLst/>
                    </a:prstGeom>
                  </pic:spPr>
                </pic:pic>
              </a:graphicData>
            </a:graphic>
          </wp:inline>
        </w:drawing>
      </w:r>
    </w:p>
    <w:p w14:paraId="799E7816" w14:textId="2320582E" w:rsidR="002C0E1B" w:rsidRPr="002C0E1B" w:rsidRDefault="002C0E1B" w:rsidP="007B2260">
      <w:pPr>
        <w:spacing w:after="0" w:line="360" w:lineRule="auto"/>
        <w:ind w:right="49"/>
        <w:jc w:val="both"/>
        <w:rPr>
          <w:rFonts w:ascii="Palatino Linotype" w:hAnsi="Palatino Linotype" w:cs="Tahoma"/>
          <w:b/>
          <w:bCs/>
          <w:lang w:val="es-ES_tradnl"/>
        </w:rPr>
      </w:pPr>
      <w:r w:rsidRPr="002C0E1B">
        <w:rPr>
          <w:rFonts w:ascii="Palatino Linotype" w:hAnsi="Palatino Linotype" w:cs="Tahoma"/>
          <w:b/>
          <w:bCs/>
          <w:lang w:val="es-ES_tradnl"/>
        </w:rPr>
        <w:lastRenderedPageBreak/>
        <w:t>Periódico Oficial Gaceta del Gobierno del Estado de México</w:t>
      </w:r>
    </w:p>
    <w:p w14:paraId="5C32C79A" w14:textId="77777777" w:rsidR="002C0E1B" w:rsidRDefault="002C0E1B" w:rsidP="007B2260">
      <w:pPr>
        <w:spacing w:after="0" w:line="360" w:lineRule="auto"/>
        <w:ind w:right="49"/>
        <w:jc w:val="both"/>
        <w:rPr>
          <w:rFonts w:ascii="Palatino Linotype" w:hAnsi="Palatino Linotype" w:cs="Tahoma"/>
          <w:lang w:val="es-ES_tradnl"/>
        </w:rPr>
      </w:pPr>
    </w:p>
    <w:p w14:paraId="13266015" w14:textId="569B4D9C" w:rsidR="00DD0D6B" w:rsidRDefault="00DF0725" w:rsidP="00331195">
      <w:pPr>
        <w:spacing w:after="0" w:line="360" w:lineRule="auto"/>
        <w:ind w:right="49"/>
        <w:jc w:val="center"/>
        <w:rPr>
          <w:rFonts w:ascii="Palatino Linotype" w:hAnsi="Palatino Linotype" w:cs="Tahoma"/>
          <w:noProof/>
          <w:lang w:val="es-ES_tradnl"/>
          <w14:ligatures w14:val="standardContextual"/>
        </w:rPr>
      </w:pPr>
      <w:r>
        <w:rPr>
          <w:rFonts w:ascii="Palatino Linotype" w:hAnsi="Palatino Linotype" w:cs="Tahoma"/>
          <w:noProof/>
          <w:lang w:val="es-MX" w:eastAsia="es-MX"/>
          <w14:ligatures w14:val="standardContextual"/>
        </w:rPr>
        <w:drawing>
          <wp:inline distT="0" distB="0" distL="0" distR="0" wp14:anchorId="1EFD487E" wp14:editId="00FE979C">
            <wp:extent cx="4514850" cy="2993897"/>
            <wp:effectExtent l="0" t="0" r="0" b="0"/>
            <wp:docPr id="1554604347"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04347" name="Imagen 4" descr="Texto&#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524636" cy="3000386"/>
                    </a:xfrm>
                    <a:prstGeom prst="rect">
                      <a:avLst/>
                    </a:prstGeom>
                  </pic:spPr>
                </pic:pic>
              </a:graphicData>
            </a:graphic>
          </wp:inline>
        </w:drawing>
      </w:r>
    </w:p>
    <w:p w14:paraId="02E91E17" w14:textId="77777777" w:rsidR="00A77496" w:rsidRDefault="00A77496" w:rsidP="007B2260">
      <w:pPr>
        <w:spacing w:after="0" w:line="360" w:lineRule="auto"/>
        <w:ind w:right="49"/>
        <w:jc w:val="both"/>
        <w:rPr>
          <w:rFonts w:ascii="Palatino Linotype" w:hAnsi="Palatino Linotype" w:cs="Tahoma"/>
          <w:lang w:val="es-MX"/>
        </w:rPr>
      </w:pPr>
    </w:p>
    <w:p w14:paraId="6C307253" w14:textId="34B4D179" w:rsidR="00A77496" w:rsidRPr="00A77496" w:rsidRDefault="00AF0D59" w:rsidP="00A77496">
      <w:pPr>
        <w:spacing w:after="0" w:line="360" w:lineRule="auto"/>
        <w:ind w:right="49"/>
        <w:jc w:val="both"/>
        <w:rPr>
          <w:rFonts w:ascii="Palatino Linotype" w:hAnsi="Palatino Linotype" w:cs="Tahoma"/>
          <w:lang w:val="es-MX"/>
        </w:rPr>
      </w:pPr>
      <w:r>
        <w:rPr>
          <w:rFonts w:ascii="Palatino Linotype" w:hAnsi="Palatino Linotype" w:cs="Tahoma"/>
          <w:lang w:val="es-MX"/>
        </w:rPr>
        <w:t>Por esa razón</w:t>
      </w:r>
      <w:r w:rsidR="002554E1">
        <w:rPr>
          <w:rFonts w:ascii="Palatino Linotype" w:hAnsi="Palatino Linotype" w:cs="Tahoma"/>
          <w:lang w:val="es-MX"/>
        </w:rPr>
        <w:t>,</w:t>
      </w:r>
      <w:r w:rsidR="00A77496" w:rsidRPr="00A77496">
        <w:rPr>
          <w:rFonts w:ascii="Palatino Linotype" w:hAnsi="Palatino Linotype" w:cs="Tahoma"/>
          <w:lang w:val="es-MX"/>
        </w:rPr>
        <w:t xml:space="preserve"> </w:t>
      </w:r>
      <w:r>
        <w:rPr>
          <w:rFonts w:ascii="Palatino Linotype" w:hAnsi="Palatino Linotype" w:cs="Tahoma"/>
          <w:lang w:val="es-MX"/>
        </w:rPr>
        <w:t>es</w:t>
      </w:r>
      <w:r w:rsidR="00A77496" w:rsidRPr="00A77496">
        <w:rPr>
          <w:rFonts w:ascii="Palatino Linotype" w:hAnsi="Palatino Linotype" w:cs="Tahoma"/>
          <w:lang w:val="es-MX"/>
        </w:rPr>
        <w:t xml:space="preserve"> necesario precisar el concepto de “firma” </w:t>
      </w:r>
      <w:r w:rsidR="00804BAA">
        <w:rPr>
          <w:rFonts w:ascii="Palatino Linotype" w:hAnsi="Palatino Linotype" w:cs="Tahoma"/>
          <w:lang w:val="es-MX"/>
        </w:rPr>
        <w:t>a partir</w:t>
      </w:r>
      <w:r w:rsidR="00A77496" w:rsidRPr="00A77496">
        <w:rPr>
          <w:rFonts w:ascii="Palatino Linotype" w:hAnsi="Palatino Linotype" w:cs="Tahoma"/>
          <w:lang w:val="es-MX"/>
        </w:rPr>
        <w:t xml:space="preserve"> de una interpretación gramatical</w:t>
      </w:r>
      <w:r w:rsidR="00966864">
        <w:rPr>
          <w:rFonts w:ascii="Palatino Linotype" w:hAnsi="Palatino Linotype" w:cs="Tahoma"/>
          <w:lang w:val="es-MX"/>
        </w:rPr>
        <w:t xml:space="preserve">, así </w:t>
      </w:r>
      <w:r w:rsidR="00A77496" w:rsidRPr="00A77496">
        <w:rPr>
          <w:rFonts w:ascii="Palatino Linotype" w:hAnsi="Palatino Linotype" w:cs="Tahoma"/>
          <w:lang w:val="es-MX"/>
        </w:rPr>
        <w:t>el Diccionario Jurídico Mexicano lo define en los siguientes términos:</w:t>
      </w:r>
      <w:r w:rsidR="00A77496">
        <w:rPr>
          <w:rFonts w:ascii="Palatino Linotype" w:hAnsi="Palatino Linotype" w:cs="Tahoma"/>
          <w:lang w:val="es-MX"/>
        </w:rPr>
        <w:t xml:space="preserve"> </w:t>
      </w:r>
      <w:r w:rsidR="00A77496" w:rsidRPr="00A77496">
        <w:rPr>
          <w:rFonts w:ascii="Palatino Linotype" w:hAnsi="Palatino Linotype" w:cs="Tahoma"/>
          <w:lang w:val="es-MX"/>
        </w:rPr>
        <w:t>“</w:t>
      </w:r>
      <w:r w:rsidR="00A77496" w:rsidRPr="00A77496">
        <w:rPr>
          <w:rFonts w:ascii="Palatino Linotype" w:hAnsi="Palatino Linotype" w:cs="Tahoma"/>
          <w:i/>
          <w:iCs/>
          <w:lang w:val="es-MX"/>
        </w:rPr>
        <w:t>En la práctica no es más que ‘el conjunto de signos manuscritos por una persona que sabe leer y escribir, con los cuales habitualmente caracteriza los escritos cuyo contenido aprueba</w:t>
      </w:r>
      <w:r w:rsidR="00A77496" w:rsidRPr="00A77496">
        <w:rPr>
          <w:rFonts w:ascii="Palatino Linotype" w:hAnsi="Palatino Linotype" w:cs="Tahoma"/>
          <w:lang w:val="es-MX"/>
        </w:rPr>
        <w:t>”.</w:t>
      </w:r>
    </w:p>
    <w:p w14:paraId="199EB9C3" w14:textId="77777777" w:rsidR="00A77496" w:rsidRPr="00A77496" w:rsidRDefault="00A77496" w:rsidP="00A77496">
      <w:pPr>
        <w:spacing w:after="0" w:line="360" w:lineRule="auto"/>
        <w:ind w:right="49"/>
        <w:jc w:val="both"/>
        <w:rPr>
          <w:rFonts w:ascii="Palatino Linotype" w:hAnsi="Palatino Linotype" w:cs="Tahoma"/>
          <w:lang w:val="es-MX"/>
        </w:rPr>
      </w:pPr>
    </w:p>
    <w:p w14:paraId="13334F54" w14:textId="23DBE1D0" w:rsidR="00A77496" w:rsidRPr="00A77496" w:rsidRDefault="00A77496" w:rsidP="00A77496">
      <w:pPr>
        <w:spacing w:after="0" w:line="360" w:lineRule="auto"/>
        <w:ind w:right="49"/>
        <w:jc w:val="both"/>
        <w:rPr>
          <w:rFonts w:ascii="Palatino Linotype" w:hAnsi="Palatino Linotype" w:cs="Tahoma"/>
          <w:lang w:val="es-MX"/>
        </w:rPr>
      </w:pPr>
      <w:r w:rsidRPr="00A77496">
        <w:rPr>
          <w:rFonts w:ascii="Palatino Linotype" w:hAnsi="Palatino Linotype" w:cs="Tahoma"/>
          <w:lang w:val="es-MX"/>
        </w:rPr>
        <w:t>Por su parte, el Nuevo Diccionario Jurídico Mexicano define al mismo vocablo de la siguiente manera:</w:t>
      </w:r>
      <w:r>
        <w:rPr>
          <w:rFonts w:ascii="Palatino Linotype" w:hAnsi="Palatino Linotype" w:cs="Tahoma"/>
          <w:lang w:val="es-MX"/>
        </w:rPr>
        <w:t xml:space="preserve"> </w:t>
      </w:r>
      <w:r w:rsidRPr="00A77496">
        <w:rPr>
          <w:rFonts w:ascii="Palatino Linotype" w:hAnsi="Palatino Linotype" w:cs="Tahoma"/>
          <w:lang w:val="es-MX"/>
        </w:rPr>
        <w:t>“</w:t>
      </w:r>
      <w:r w:rsidRPr="00A77496">
        <w:rPr>
          <w:rFonts w:ascii="Palatino Linotype" w:hAnsi="Palatino Linotype" w:cs="Tahoma"/>
          <w:i/>
          <w:iCs/>
          <w:lang w:val="es-MX"/>
        </w:rPr>
        <w:t xml:space="preserve">Firma, según el Diccionario de sinónimos y antónimos, Océano Conciso, tiene como sinónimos los siguientes: marca, rúbrica, signatura, sello, refrendo. Firmar, por su parte, tiene signar, </w:t>
      </w:r>
      <w:r w:rsidR="0059731E" w:rsidRPr="007A667E">
        <w:rPr>
          <w:rFonts w:ascii="Palatino Linotype" w:hAnsi="Palatino Linotype" w:cs="Tahoma"/>
          <w:i/>
          <w:iCs/>
          <w:lang w:val="es-MX"/>
        </w:rPr>
        <w:t>rubrica</w:t>
      </w:r>
      <w:r w:rsidR="0059731E" w:rsidRPr="00A77496">
        <w:rPr>
          <w:rFonts w:ascii="Palatino Linotype" w:hAnsi="Palatino Linotype" w:cs="Tahoma"/>
          <w:i/>
          <w:iCs/>
          <w:lang w:val="es-MX"/>
        </w:rPr>
        <w:t>r</w:t>
      </w:r>
      <w:r w:rsidRPr="00A77496">
        <w:rPr>
          <w:rFonts w:ascii="Palatino Linotype" w:hAnsi="Palatino Linotype" w:cs="Tahoma"/>
          <w:i/>
          <w:iCs/>
          <w:lang w:val="es-MX"/>
        </w:rPr>
        <w:t>, señalar, suscribir. […] Naturaleza jurídica. La firma es afirmación de individualidad, pero sobre todo de voluntariedad. En el primer aspecto, significa que ha sido la persona firmante y no otra quien ha suscrito el documento. En el segundo, que se acepta lo que allí se manifiesta</w:t>
      </w:r>
      <w:r w:rsidRPr="00A77496">
        <w:rPr>
          <w:rFonts w:ascii="Palatino Linotype" w:hAnsi="Palatino Linotype" w:cs="Tahoma"/>
          <w:lang w:val="es-MX"/>
        </w:rPr>
        <w:t xml:space="preserve">” </w:t>
      </w:r>
    </w:p>
    <w:p w14:paraId="1B270286" w14:textId="77777777" w:rsidR="00A77496" w:rsidRDefault="00A77496" w:rsidP="007B2260">
      <w:pPr>
        <w:spacing w:after="0" w:line="360" w:lineRule="auto"/>
        <w:ind w:right="49"/>
        <w:jc w:val="both"/>
        <w:rPr>
          <w:rFonts w:ascii="Palatino Linotype" w:hAnsi="Palatino Linotype" w:cs="Tahoma"/>
          <w:lang w:val="es-MX"/>
        </w:rPr>
      </w:pPr>
    </w:p>
    <w:p w14:paraId="6F89ACEB" w14:textId="59F9D0E1" w:rsidR="00A77496" w:rsidRDefault="00592F69" w:rsidP="007B2260">
      <w:pPr>
        <w:spacing w:after="0" w:line="360" w:lineRule="auto"/>
        <w:ind w:right="49"/>
        <w:jc w:val="both"/>
        <w:rPr>
          <w:rFonts w:ascii="Palatino Linotype" w:hAnsi="Palatino Linotype" w:cs="Tahoma"/>
          <w:lang w:val="es-MX"/>
        </w:rPr>
      </w:pPr>
      <w:r w:rsidRPr="00592F69">
        <w:rPr>
          <w:rFonts w:ascii="Palatino Linotype" w:hAnsi="Palatino Linotype" w:cs="Tahoma"/>
          <w:lang w:val="es-MX"/>
        </w:rPr>
        <w:lastRenderedPageBreak/>
        <w:t>En este sentido, podemos distinguir que la “firma”</w:t>
      </w:r>
      <w:r w:rsidR="00462452">
        <w:rPr>
          <w:rFonts w:ascii="Palatino Linotype" w:hAnsi="Palatino Linotype" w:cs="Tahoma"/>
          <w:lang w:val="es-MX"/>
        </w:rPr>
        <w:t xml:space="preserve"> o </w:t>
      </w:r>
      <w:r w:rsidR="00524AF1">
        <w:rPr>
          <w:rFonts w:ascii="Palatino Linotype" w:hAnsi="Palatino Linotype" w:cs="Tahoma"/>
          <w:lang w:val="es-MX"/>
        </w:rPr>
        <w:t xml:space="preserve">la expresión </w:t>
      </w:r>
      <w:r w:rsidR="00462452">
        <w:rPr>
          <w:rFonts w:ascii="Palatino Linotype" w:hAnsi="Palatino Linotype" w:cs="Tahoma"/>
          <w:lang w:val="es-MX"/>
        </w:rPr>
        <w:t>“</w:t>
      </w:r>
      <w:r w:rsidR="007A667E" w:rsidRPr="007A667E">
        <w:rPr>
          <w:rFonts w:ascii="Palatino Linotype" w:hAnsi="Palatino Linotype" w:cs="Tahoma"/>
          <w:i/>
          <w:iCs/>
          <w:lang w:val="es-MX"/>
        </w:rPr>
        <w:t>rúbrica</w:t>
      </w:r>
      <w:r w:rsidR="00462452">
        <w:rPr>
          <w:rFonts w:ascii="Palatino Linotype" w:hAnsi="Palatino Linotype" w:cs="Tahoma"/>
          <w:lang w:val="es-MX"/>
        </w:rPr>
        <w:t>”</w:t>
      </w:r>
      <w:r w:rsidRPr="00592F69">
        <w:rPr>
          <w:rFonts w:ascii="Palatino Linotype" w:hAnsi="Palatino Linotype" w:cs="Tahoma"/>
          <w:lang w:val="es-MX"/>
        </w:rPr>
        <w:t xml:space="preserve"> </w:t>
      </w:r>
      <w:r w:rsidR="002E6E9D">
        <w:rPr>
          <w:rFonts w:ascii="Palatino Linotype" w:hAnsi="Palatino Linotype" w:cs="Tahoma"/>
          <w:lang w:val="es-MX"/>
        </w:rPr>
        <w:t xml:space="preserve">colocada en documentos electrónicos, </w:t>
      </w:r>
      <w:r w:rsidRPr="00592F69">
        <w:rPr>
          <w:rFonts w:ascii="Palatino Linotype" w:hAnsi="Palatino Linotype" w:cs="Tahoma"/>
          <w:lang w:val="es-MX"/>
        </w:rPr>
        <w:t>tiene una función identificadora, puesto que asegura la relación jurídica entre el acto firmado y la persona que lo ha firmado. La identidad de la persona nos determina su personalidad a efectos de atribución de los derechos y obligaciones. La firma manuscrita expresa la identidad, aceptación y autoría del firmante</w:t>
      </w:r>
      <w:r w:rsidR="00391835">
        <w:rPr>
          <w:rFonts w:ascii="Palatino Linotype" w:hAnsi="Palatino Linotype" w:cs="Tahoma"/>
          <w:lang w:val="es-MX"/>
        </w:rPr>
        <w:t xml:space="preserve">. </w:t>
      </w:r>
    </w:p>
    <w:p w14:paraId="2A8C7220" w14:textId="77777777" w:rsidR="00A77496" w:rsidRDefault="00A77496" w:rsidP="007B2260">
      <w:pPr>
        <w:spacing w:after="0" w:line="360" w:lineRule="auto"/>
        <w:ind w:right="49"/>
        <w:jc w:val="both"/>
        <w:rPr>
          <w:rFonts w:ascii="Palatino Linotype" w:hAnsi="Palatino Linotype" w:cs="Tahoma"/>
          <w:lang w:val="es-MX"/>
        </w:rPr>
      </w:pPr>
    </w:p>
    <w:p w14:paraId="3AA67F9D" w14:textId="7A4976A9" w:rsidR="00A77496" w:rsidRPr="008C023D" w:rsidRDefault="00896AB9" w:rsidP="007B2260">
      <w:pPr>
        <w:spacing w:after="0" w:line="360" w:lineRule="auto"/>
        <w:ind w:right="49"/>
        <w:jc w:val="both"/>
        <w:rPr>
          <w:rFonts w:ascii="Palatino Linotype" w:hAnsi="Palatino Linotype" w:cs="Tahoma"/>
          <w:lang w:val="es-MX"/>
        </w:rPr>
      </w:pPr>
      <w:r>
        <w:rPr>
          <w:rFonts w:ascii="Palatino Linotype" w:hAnsi="Palatino Linotype" w:cs="Tahoma"/>
          <w:lang w:val="es-MX"/>
        </w:rPr>
        <w:t xml:space="preserve">Conforme a lo anterior, </w:t>
      </w:r>
      <w:r w:rsidR="005334B5">
        <w:rPr>
          <w:rFonts w:ascii="Palatino Linotype" w:hAnsi="Palatino Linotype" w:cs="Tahoma"/>
          <w:lang w:val="es-MX"/>
        </w:rPr>
        <w:t xml:space="preserve">por analogía </w:t>
      </w:r>
      <w:r w:rsidR="002A7C37">
        <w:rPr>
          <w:rFonts w:ascii="Palatino Linotype" w:hAnsi="Palatino Linotype" w:cs="Tahoma"/>
          <w:lang w:val="es-MX"/>
        </w:rPr>
        <w:t xml:space="preserve">y dados los hechos del presente caso, </w:t>
      </w:r>
      <w:r w:rsidR="008C023D">
        <w:rPr>
          <w:rFonts w:ascii="Palatino Linotype" w:hAnsi="Palatino Linotype" w:cs="Tahoma"/>
          <w:lang w:val="es-MX"/>
        </w:rPr>
        <w:t xml:space="preserve">es oportuno </w:t>
      </w:r>
      <w:r w:rsidR="00932163">
        <w:rPr>
          <w:rFonts w:ascii="Palatino Linotype" w:hAnsi="Palatino Linotype" w:cs="Tahoma"/>
          <w:lang w:val="es-MX"/>
        </w:rPr>
        <w:t xml:space="preserve">citar lo que </w:t>
      </w:r>
      <w:r w:rsidR="003F4057">
        <w:rPr>
          <w:rFonts w:ascii="Palatino Linotype" w:hAnsi="Palatino Linotype" w:cs="Tahoma"/>
          <w:lang w:val="es-MX"/>
        </w:rPr>
        <w:t>en la eje</w:t>
      </w:r>
      <w:r w:rsidR="00CF5316">
        <w:rPr>
          <w:rFonts w:ascii="Palatino Linotype" w:hAnsi="Palatino Linotype" w:cs="Tahoma"/>
          <w:lang w:val="es-MX"/>
        </w:rPr>
        <w:t xml:space="preserve">cutoria de la Contradicción de Tesis </w:t>
      </w:r>
      <w:r w:rsidR="00F95918">
        <w:rPr>
          <w:rFonts w:ascii="Palatino Linotype" w:hAnsi="Palatino Linotype" w:cs="Tahoma"/>
          <w:lang w:val="es-MX"/>
        </w:rPr>
        <w:t xml:space="preserve">357/2014, </w:t>
      </w:r>
      <w:r w:rsidR="004D7A4C">
        <w:rPr>
          <w:rFonts w:ascii="Palatino Linotype" w:hAnsi="Palatino Linotype" w:cs="Tahoma"/>
          <w:lang w:val="es-MX"/>
        </w:rPr>
        <w:t xml:space="preserve">resulta por el </w:t>
      </w:r>
      <w:r w:rsidR="00764FD3" w:rsidRPr="00764FD3">
        <w:rPr>
          <w:rFonts w:ascii="Palatino Linotype" w:hAnsi="Palatino Linotype" w:cs="Tahoma"/>
          <w:lang w:val="es-MX"/>
        </w:rPr>
        <w:t>Pleno de la Suprema Corte de Justicia de la Nación</w:t>
      </w:r>
      <w:r w:rsidR="00ED6F9D">
        <w:rPr>
          <w:rFonts w:ascii="Palatino Linotype" w:hAnsi="Palatino Linotype" w:cs="Tahoma"/>
          <w:lang w:val="es-MX"/>
        </w:rPr>
        <w:t xml:space="preserve">, Ponente: </w:t>
      </w:r>
      <w:r w:rsidR="00ED6F9D" w:rsidRPr="00ED6F9D">
        <w:rPr>
          <w:rFonts w:ascii="Palatino Linotype" w:hAnsi="Palatino Linotype" w:cs="Tahoma"/>
          <w:bCs/>
        </w:rPr>
        <w:t>José Ramón Cossío Díaz</w:t>
      </w:r>
      <w:r w:rsidR="004D7A4C">
        <w:rPr>
          <w:rFonts w:ascii="Palatino Linotype" w:hAnsi="Palatino Linotype" w:cs="Tahoma"/>
          <w:bCs/>
        </w:rPr>
        <w:t>, en donde sobre el caso en cuestión se sostuvo lo siguiente:</w:t>
      </w:r>
    </w:p>
    <w:p w14:paraId="6B3765CD" w14:textId="77777777" w:rsidR="004D7A4C" w:rsidRDefault="004D7A4C" w:rsidP="007B2260">
      <w:pPr>
        <w:spacing w:after="0" w:line="360" w:lineRule="auto"/>
        <w:ind w:right="49"/>
        <w:jc w:val="both"/>
        <w:rPr>
          <w:rFonts w:ascii="Palatino Linotype" w:hAnsi="Palatino Linotype" w:cs="Tahoma"/>
          <w:bCs/>
        </w:rPr>
      </w:pPr>
    </w:p>
    <w:p w14:paraId="32B9BEDB" w14:textId="6C4B21E2" w:rsidR="00826B9C" w:rsidRPr="006B735C" w:rsidRDefault="00826B9C" w:rsidP="00051CE3">
      <w:pPr>
        <w:spacing w:after="0" w:line="360" w:lineRule="auto"/>
        <w:ind w:left="567" w:right="567"/>
        <w:jc w:val="both"/>
        <w:rPr>
          <w:rFonts w:ascii="Palatino Linotype" w:hAnsi="Palatino Linotype" w:cs="Tahoma"/>
          <w:bCs/>
          <w:i/>
          <w:iCs/>
          <w:sz w:val="20"/>
          <w:szCs w:val="20"/>
        </w:rPr>
      </w:pPr>
      <w:r w:rsidRPr="006B735C">
        <w:rPr>
          <w:rFonts w:ascii="Palatino Linotype" w:hAnsi="Palatino Linotype" w:cs="Tahoma"/>
          <w:bCs/>
          <w:i/>
          <w:iCs/>
          <w:sz w:val="20"/>
          <w:szCs w:val="20"/>
        </w:rPr>
        <w:t>“</w:t>
      </w:r>
      <w:r w:rsidR="00B82DDE" w:rsidRPr="006B735C">
        <w:rPr>
          <w:rFonts w:ascii="Palatino Linotype" w:hAnsi="Palatino Linotype" w:cs="Tahoma"/>
          <w:bCs/>
          <w:i/>
          <w:iCs/>
          <w:sz w:val="20"/>
          <w:szCs w:val="20"/>
        </w:rPr>
        <w:t>…</w:t>
      </w:r>
    </w:p>
    <w:p w14:paraId="5B98D3B2" w14:textId="09A45CBE" w:rsidR="00826B9C" w:rsidRPr="006B735C" w:rsidRDefault="00826B9C" w:rsidP="00051CE3">
      <w:pPr>
        <w:spacing w:after="0" w:line="360" w:lineRule="auto"/>
        <w:ind w:left="567" w:right="567"/>
        <w:jc w:val="both"/>
        <w:rPr>
          <w:rFonts w:ascii="Palatino Linotype" w:hAnsi="Palatino Linotype" w:cs="Tahoma"/>
          <w:bCs/>
          <w:i/>
          <w:iCs/>
          <w:sz w:val="20"/>
          <w:szCs w:val="20"/>
          <w:lang w:val="es-MX"/>
        </w:rPr>
      </w:pPr>
      <w:r w:rsidRPr="006B735C">
        <w:rPr>
          <w:rFonts w:ascii="Palatino Linotype" w:hAnsi="Palatino Linotype" w:cs="Tahoma"/>
          <w:bCs/>
          <w:i/>
          <w:iCs/>
          <w:sz w:val="20"/>
          <w:szCs w:val="20"/>
          <w:lang w:val="es-MX"/>
        </w:rPr>
        <w:t>47.</w:t>
      </w:r>
      <w:r w:rsidR="00B82DDE" w:rsidRPr="006B735C">
        <w:rPr>
          <w:rFonts w:ascii="Palatino Linotype" w:hAnsi="Palatino Linotype" w:cs="Tahoma"/>
          <w:bCs/>
          <w:i/>
          <w:iCs/>
          <w:sz w:val="20"/>
          <w:szCs w:val="20"/>
          <w:lang w:val="es-MX"/>
        </w:rPr>
        <w:t xml:space="preserve"> </w:t>
      </w:r>
      <w:r w:rsidRPr="006B735C">
        <w:rPr>
          <w:rFonts w:ascii="Palatino Linotype" w:hAnsi="Palatino Linotype" w:cs="Tahoma"/>
          <w:bCs/>
          <w:i/>
          <w:iCs/>
          <w:sz w:val="20"/>
          <w:szCs w:val="20"/>
          <w:lang w:val="es-MX"/>
        </w:rPr>
        <w:t xml:space="preserve">Así, no debe identificarse nombre con firma, sino persona firmante con acto. Estas últimas categorías se encuentran intrínsecamente relacionadas, ya que la “firma” se erige como un signo, rúbrica o carácter de autoría de alguien que lo vincula con el acto. Por tanto, bajo este contexto de función identificadora, a efecto de tener como autor de un documento a una persona determinada, la “firma” o rúbrica colocada generalmente al pie del escrito es idónea para identificar a la persona que suscribe el acto. </w:t>
      </w:r>
    </w:p>
    <w:p w14:paraId="10FE34B3" w14:textId="77777777" w:rsidR="00826B9C" w:rsidRPr="006B735C" w:rsidRDefault="00826B9C" w:rsidP="00051CE3">
      <w:pPr>
        <w:spacing w:after="0" w:line="360" w:lineRule="auto"/>
        <w:ind w:left="567" w:right="567"/>
        <w:jc w:val="both"/>
        <w:rPr>
          <w:rFonts w:ascii="Palatino Linotype" w:hAnsi="Palatino Linotype" w:cs="Tahoma"/>
          <w:bCs/>
          <w:i/>
          <w:iCs/>
          <w:sz w:val="20"/>
          <w:szCs w:val="20"/>
          <w:lang w:val="es-MX"/>
        </w:rPr>
      </w:pPr>
    </w:p>
    <w:p w14:paraId="6542C7B6" w14:textId="26C2B393" w:rsidR="004D7A4C" w:rsidRPr="006B735C" w:rsidRDefault="00826B9C" w:rsidP="00051CE3">
      <w:pPr>
        <w:spacing w:after="0" w:line="360" w:lineRule="auto"/>
        <w:ind w:left="567" w:right="567"/>
        <w:jc w:val="both"/>
        <w:rPr>
          <w:rFonts w:ascii="Palatino Linotype" w:hAnsi="Palatino Linotype" w:cs="Tahoma"/>
          <w:bCs/>
          <w:i/>
          <w:iCs/>
          <w:sz w:val="20"/>
          <w:szCs w:val="20"/>
          <w:lang w:val="es-MX"/>
        </w:rPr>
      </w:pPr>
      <w:r w:rsidRPr="006B735C">
        <w:rPr>
          <w:rFonts w:ascii="Palatino Linotype" w:hAnsi="Palatino Linotype" w:cs="Tahoma"/>
          <w:bCs/>
          <w:i/>
          <w:iCs/>
          <w:sz w:val="20"/>
          <w:szCs w:val="20"/>
          <w:lang w:val="es-MX"/>
        </w:rPr>
        <w:t>48.</w:t>
      </w:r>
      <w:r w:rsidR="00B82DDE" w:rsidRPr="006B735C">
        <w:rPr>
          <w:rFonts w:ascii="Palatino Linotype" w:hAnsi="Palatino Linotype" w:cs="Tahoma"/>
          <w:bCs/>
          <w:i/>
          <w:iCs/>
          <w:sz w:val="20"/>
          <w:szCs w:val="20"/>
          <w:lang w:val="es-MX"/>
        </w:rPr>
        <w:t xml:space="preserve"> </w:t>
      </w:r>
      <w:r w:rsidRPr="006B735C">
        <w:rPr>
          <w:rFonts w:ascii="Palatino Linotype" w:hAnsi="Palatino Linotype" w:cs="Tahoma"/>
          <w:bCs/>
          <w:i/>
          <w:iCs/>
          <w:sz w:val="20"/>
          <w:szCs w:val="20"/>
          <w:lang w:val="es-MX"/>
        </w:rPr>
        <w:t>En este orden de ideas, se entiende que “firma” y rúbrica son la misma cosa, por tener un contenido equivalente.</w:t>
      </w:r>
    </w:p>
    <w:p w14:paraId="6FE7A3EB" w14:textId="77777777" w:rsidR="00644A52" w:rsidRPr="006B735C" w:rsidRDefault="00644A52" w:rsidP="00051CE3">
      <w:pPr>
        <w:spacing w:after="0" w:line="360" w:lineRule="auto"/>
        <w:ind w:left="567" w:right="567"/>
        <w:jc w:val="both"/>
        <w:rPr>
          <w:rFonts w:ascii="Palatino Linotype" w:hAnsi="Palatino Linotype" w:cs="Tahoma"/>
          <w:i/>
          <w:iCs/>
          <w:sz w:val="20"/>
          <w:szCs w:val="20"/>
          <w:lang w:val="es-MX"/>
        </w:rPr>
      </w:pPr>
    </w:p>
    <w:p w14:paraId="13CF2055" w14:textId="7EADE2ED" w:rsidR="00A77496" w:rsidRPr="006B735C" w:rsidRDefault="00762F88" w:rsidP="00051CE3">
      <w:pPr>
        <w:spacing w:after="0" w:line="360" w:lineRule="auto"/>
        <w:ind w:left="567" w:right="567"/>
        <w:jc w:val="both"/>
        <w:rPr>
          <w:rFonts w:ascii="Palatino Linotype" w:hAnsi="Palatino Linotype" w:cs="Tahoma"/>
          <w:i/>
          <w:iCs/>
          <w:sz w:val="20"/>
          <w:szCs w:val="20"/>
          <w:lang w:val="es-ES_tradnl"/>
        </w:rPr>
      </w:pPr>
      <w:r w:rsidRPr="006B735C">
        <w:rPr>
          <w:rFonts w:ascii="Palatino Linotype" w:hAnsi="Palatino Linotype" w:cs="Tahoma"/>
          <w:i/>
          <w:iCs/>
          <w:sz w:val="20"/>
          <w:szCs w:val="20"/>
          <w:lang w:val="es-ES_tradnl"/>
        </w:rPr>
        <w:t xml:space="preserve">50. </w:t>
      </w:r>
      <w:r w:rsidR="00C327AD" w:rsidRPr="006B735C">
        <w:rPr>
          <w:rFonts w:ascii="Palatino Linotype" w:hAnsi="Palatino Linotype" w:cs="Tahoma"/>
          <w:i/>
          <w:iCs/>
          <w:sz w:val="20"/>
          <w:szCs w:val="20"/>
          <w:lang w:val="es-ES_tradnl"/>
        </w:rPr>
        <w:t>En otras palabras, cuando una persona asienta su “firma” o rúbrica en un documento o acto (usualmente al pie del mismo o en la parte final), se entiende vinculado con sus efectos jurídicos inherentes</w:t>
      </w:r>
      <w:r w:rsidR="003308D9" w:rsidRPr="006B735C">
        <w:rPr>
          <w:rFonts w:ascii="Palatino Linotype" w:hAnsi="Palatino Linotype" w:cs="Tahoma"/>
          <w:i/>
          <w:iCs/>
          <w:sz w:val="20"/>
          <w:szCs w:val="20"/>
          <w:lang w:val="es-ES_tradnl"/>
        </w:rPr>
        <w:t>.</w:t>
      </w:r>
    </w:p>
    <w:p w14:paraId="339F298F" w14:textId="77777777" w:rsidR="000200E0" w:rsidRPr="006B735C" w:rsidRDefault="000200E0" w:rsidP="00051CE3">
      <w:pPr>
        <w:spacing w:after="0" w:line="360" w:lineRule="auto"/>
        <w:ind w:left="567" w:right="567"/>
        <w:jc w:val="both"/>
        <w:rPr>
          <w:rFonts w:ascii="Palatino Linotype" w:hAnsi="Palatino Linotype" w:cs="Tahoma"/>
          <w:i/>
          <w:iCs/>
          <w:sz w:val="20"/>
          <w:szCs w:val="20"/>
          <w:lang w:val="es-ES_tradnl"/>
        </w:rPr>
      </w:pPr>
    </w:p>
    <w:p w14:paraId="33A32F13" w14:textId="59013D1D" w:rsidR="00A77496" w:rsidRPr="006B735C" w:rsidRDefault="00B254CD" w:rsidP="00051CE3">
      <w:pPr>
        <w:spacing w:after="0" w:line="360" w:lineRule="auto"/>
        <w:ind w:left="567" w:right="567"/>
        <w:jc w:val="both"/>
        <w:rPr>
          <w:rFonts w:ascii="Palatino Linotype" w:hAnsi="Palatino Linotype" w:cs="Tahoma"/>
          <w:i/>
          <w:iCs/>
          <w:sz w:val="20"/>
          <w:szCs w:val="20"/>
          <w:lang w:val="es-MX"/>
        </w:rPr>
      </w:pPr>
      <w:r w:rsidRPr="006B735C">
        <w:rPr>
          <w:rFonts w:ascii="Palatino Linotype" w:hAnsi="Palatino Linotype" w:cs="Tahoma"/>
          <w:i/>
          <w:iCs/>
          <w:sz w:val="20"/>
          <w:szCs w:val="20"/>
          <w:lang w:val="es-MX"/>
        </w:rPr>
        <w:t xml:space="preserve">56. Esto es, para efectos de establecer la identificación y vinculación del funcionario con el acto jurídico que emite, basta que éste plasme su firma o rúbrica. Por lo que, para que las actuaciones judiciales </w:t>
      </w:r>
      <w:r w:rsidRPr="006B735C">
        <w:rPr>
          <w:rFonts w:ascii="Palatino Linotype" w:hAnsi="Palatino Linotype" w:cs="Tahoma"/>
          <w:i/>
          <w:iCs/>
          <w:sz w:val="20"/>
          <w:szCs w:val="20"/>
          <w:lang w:val="es-MX"/>
        </w:rPr>
        <w:lastRenderedPageBreak/>
        <w:t>emitidas por los funcionarios públicos correspondientes sean legales y válidas —y, por lo tanto, brinden certeza del acto procesal— es necesario que sólo contengan su firma autógrafa o rúbrica.</w:t>
      </w:r>
    </w:p>
    <w:p w14:paraId="12662D72" w14:textId="77777777" w:rsidR="007B2260" w:rsidRPr="006B735C" w:rsidRDefault="007B2260" w:rsidP="00051CE3">
      <w:pPr>
        <w:spacing w:after="0" w:line="360" w:lineRule="auto"/>
        <w:ind w:left="567" w:right="567"/>
        <w:jc w:val="both"/>
        <w:rPr>
          <w:rFonts w:ascii="Palatino Linotype" w:hAnsi="Palatino Linotype" w:cs="Tahoma"/>
          <w:i/>
          <w:iCs/>
          <w:sz w:val="20"/>
          <w:szCs w:val="20"/>
          <w:lang w:val="es-MX"/>
        </w:rPr>
      </w:pPr>
    </w:p>
    <w:p w14:paraId="0CCDB23F" w14:textId="670B8500" w:rsidR="00673506" w:rsidRPr="006B735C" w:rsidRDefault="009D6B10" w:rsidP="00051CE3">
      <w:pPr>
        <w:spacing w:after="0" w:line="360" w:lineRule="auto"/>
        <w:ind w:left="567" w:right="567"/>
        <w:jc w:val="both"/>
        <w:rPr>
          <w:rFonts w:ascii="Palatino Linotype" w:hAnsi="Palatino Linotype" w:cs="Tahoma"/>
          <w:i/>
          <w:iCs/>
          <w:sz w:val="20"/>
          <w:szCs w:val="20"/>
          <w:lang w:val="es-MX"/>
        </w:rPr>
      </w:pPr>
      <w:r w:rsidRPr="006B735C">
        <w:rPr>
          <w:rFonts w:ascii="Palatino Linotype" w:hAnsi="Palatino Linotype" w:cs="Tahoma"/>
          <w:i/>
          <w:iCs/>
          <w:sz w:val="20"/>
          <w:szCs w:val="20"/>
          <w:lang w:val="es-MX"/>
        </w:rPr>
        <w:t>67. El criterio anterior encuentra sustento en las consideraciones del Tribunal en Pleno de esta Suprema Corte de Justicia de la Nación, al resolver la contradicción de tesis 42/2004-PL, en la que textualmente se estableció lo siguiente: “todo funcionario judicial cuenta con un nombramiento por medio del cual se le confiere el cargo correspondiente, en el que obra su firma, la cual puede ser considerada, en caso necesario, como firma indubitable para cotejo, a fin de cerciorase de la identidad del suscriptor de determinada actuación”</w:t>
      </w:r>
    </w:p>
    <w:p w14:paraId="272FE4AE" w14:textId="38BD923D" w:rsidR="00051CE3" w:rsidRPr="006B735C" w:rsidRDefault="00051CE3" w:rsidP="00051CE3">
      <w:pPr>
        <w:spacing w:after="0" w:line="360" w:lineRule="auto"/>
        <w:ind w:left="567" w:right="567"/>
        <w:jc w:val="both"/>
        <w:rPr>
          <w:rFonts w:ascii="Palatino Linotype" w:hAnsi="Palatino Linotype" w:cs="Tahoma"/>
          <w:i/>
          <w:iCs/>
          <w:sz w:val="20"/>
          <w:szCs w:val="20"/>
          <w:lang w:val="es-MX"/>
        </w:rPr>
      </w:pPr>
      <w:r w:rsidRPr="006B735C">
        <w:rPr>
          <w:rFonts w:ascii="Palatino Linotype" w:hAnsi="Palatino Linotype" w:cs="Tahoma"/>
          <w:i/>
          <w:iCs/>
          <w:sz w:val="20"/>
          <w:szCs w:val="20"/>
          <w:lang w:val="es-MX"/>
        </w:rPr>
        <w:t xml:space="preserve">…” (Sic) </w:t>
      </w:r>
    </w:p>
    <w:p w14:paraId="76037973" w14:textId="77777777" w:rsidR="00673506" w:rsidRDefault="00673506" w:rsidP="007B2260">
      <w:pPr>
        <w:spacing w:after="0" w:line="360" w:lineRule="auto"/>
        <w:ind w:right="49"/>
        <w:jc w:val="both"/>
        <w:rPr>
          <w:rFonts w:ascii="Palatino Linotype" w:hAnsi="Palatino Linotype" w:cs="Tahoma"/>
          <w:lang w:val="es-MX"/>
        </w:rPr>
      </w:pPr>
    </w:p>
    <w:p w14:paraId="786D76F5" w14:textId="68AD8294" w:rsidR="004A7C1B" w:rsidRDefault="00804BAA" w:rsidP="007B2260">
      <w:pPr>
        <w:spacing w:after="0" w:line="360" w:lineRule="auto"/>
        <w:ind w:right="49"/>
        <w:jc w:val="both"/>
        <w:rPr>
          <w:rFonts w:ascii="Palatino Linotype" w:hAnsi="Palatino Linotype" w:cs="Tahoma"/>
          <w:lang w:val="es-MX"/>
        </w:rPr>
      </w:pPr>
      <w:r>
        <w:rPr>
          <w:rFonts w:ascii="Palatino Linotype" w:hAnsi="Palatino Linotype" w:cs="Tahoma"/>
          <w:lang w:val="es-MX"/>
        </w:rPr>
        <w:t>De lo anterior</w:t>
      </w:r>
      <w:r w:rsidR="0012654B">
        <w:rPr>
          <w:rFonts w:ascii="Palatino Linotype" w:hAnsi="Palatino Linotype" w:cs="Tahoma"/>
          <w:lang w:val="es-MX"/>
        </w:rPr>
        <w:t xml:space="preserve">, </w:t>
      </w:r>
      <w:r w:rsidR="00B03984">
        <w:rPr>
          <w:rFonts w:ascii="Palatino Linotype" w:hAnsi="Palatino Linotype" w:cs="Tahoma"/>
          <w:lang w:val="es-MX"/>
        </w:rPr>
        <w:t xml:space="preserve">puede decirse que al insertar la expresión </w:t>
      </w:r>
      <w:r w:rsidR="00CD4113">
        <w:rPr>
          <w:rFonts w:ascii="Palatino Linotype" w:hAnsi="Palatino Linotype" w:cs="Tahoma"/>
          <w:lang w:val="es-MX"/>
        </w:rPr>
        <w:t>“</w:t>
      </w:r>
      <w:r w:rsidR="007A667E" w:rsidRPr="007A667E">
        <w:rPr>
          <w:rFonts w:ascii="Palatino Linotype" w:hAnsi="Palatino Linotype" w:cs="Tahoma"/>
          <w:i/>
          <w:iCs/>
          <w:lang w:val="es-MX"/>
        </w:rPr>
        <w:t>rúbrica</w:t>
      </w:r>
      <w:r w:rsidR="00CD4113">
        <w:rPr>
          <w:rFonts w:ascii="Palatino Linotype" w:hAnsi="Palatino Linotype" w:cs="Tahoma"/>
          <w:lang w:val="es-MX"/>
        </w:rPr>
        <w:t xml:space="preserve">” </w:t>
      </w:r>
      <w:r w:rsidR="00266595">
        <w:rPr>
          <w:rFonts w:ascii="Palatino Linotype" w:hAnsi="Palatino Linotype" w:cs="Tahoma"/>
          <w:lang w:val="es-MX"/>
        </w:rPr>
        <w:t xml:space="preserve">en documentos electrónicos </w:t>
      </w:r>
      <w:r w:rsidR="00CD4113">
        <w:rPr>
          <w:rFonts w:ascii="Palatino Linotype" w:hAnsi="Palatino Linotype" w:cs="Tahoma"/>
          <w:lang w:val="es-MX"/>
        </w:rPr>
        <w:t>por debajo del nombre y cargo de un servidor público</w:t>
      </w:r>
      <w:r w:rsidR="00A027A3">
        <w:rPr>
          <w:rFonts w:ascii="Palatino Linotype" w:hAnsi="Palatino Linotype" w:cs="Tahoma"/>
          <w:lang w:val="es-MX"/>
        </w:rPr>
        <w:t xml:space="preserve"> </w:t>
      </w:r>
      <w:r w:rsidR="00E27FDE">
        <w:rPr>
          <w:rFonts w:ascii="Palatino Linotype" w:hAnsi="Palatino Linotype" w:cs="Tahoma"/>
          <w:lang w:val="es-MX"/>
        </w:rPr>
        <w:t xml:space="preserve">que los emite, </w:t>
      </w:r>
      <w:r w:rsidR="00A027A3">
        <w:rPr>
          <w:rFonts w:ascii="Palatino Linotype" w:hAnsi="Palatino Linotype" w:cs="Tahoma"/>
          <w:lang w:val="es-MX"/>
        </w:rPr>
        <w:t>no pierde su eficacia jurídica</w:t>
      </w:r>
      <w:r w:rsidR="00F27770">
        <w:rPr>
          <w:rFonts w:ascii="Palatino Linotype" w:hAnsi="Palatino Linotype" w:cs="Tahoma"/>
          <w:lang w:val="es-MX"/>
        </w:rPr>
        <w:t xml:space="preserve"> puesto que hace las veces de la firma </w:t>
      </w:r>
      <w:r w:rsidR="00B86D26">
        <w:rPr>
          <w:rFonts w:ascii="Palatino Linotype" w:hAnsi="Palatino Linotype" w:cs="Tahoma"/>
          <w:lang w:val="es-MX"/>
        </w:rPr>
        <w:t xml:space="preserve">del servidor público que emite el acto, lo cual implica que el acto emitido </w:t>
      </w:r>
      <w:r w:rsidR="00A96849">
        <w:rPr>
          <w:rFonts w:ascii="Palatino Linotype" w:hAnsi="Palatino Linotype" w:cs="Tahoma"/>
          <w:lang w:val="es-MX"/>
        </w:rPr>
        <w:t>tiene validez</w:t>
      </w:r>
      <w:r w:rsidR="00CE3652">
        <w:rPr>
          <w:rFonts w:ascii="Palatino Linotype" w:hAnsi="Palatino Linotype" w:cs="Tahoma"/>
          <w:lang w:val="es-MX"/>
        </w:rPr>
        <w:t xml:space="preserve">, de tal suerte que, </w:t>
      </w:r>
      <w:r w:rsidR="008B214D">
        <w:rPr>
          <w:rFonts w:ascii="Palatino Linotype" w:hAnsi="Palatino Linotype" w:cs="Tahoma"/>
          <w:lang w:val="es-MX"/>
        </w:rPr>
        <w:t xml:space="preserve">el servidor público que </w:t>
      </w:r>
      <w:r w:rsidR="00CE3652">
        <w:rPr>
          <w:rFonts w:ascii="Palatino Linotype" w:hAnsi="Palatino Linotype" w:cs="Tahoma"/>
          <w:lang w:val="es-MX"/>
        </w:rPr>
        <w:t>emite el acto cuenta con atribuciones para hacerlo</w:t>
      </w:r>
      <w:r w:rsidR="009124F3">
        <w:rPr>
          <w:rFonts w:ascii="Palatino Linotype" w:hAnsi="Palatino Linotype" w:cs="Tahoma"/>
          <w:lang w:val="es-MX"/>
        </w:rPr>
        <w:t>.</w:t>
      </w:r>
      <w:r w:rsidR="004A7C1B">
        <w:rPr>
          <w:rFonts w:ascii="Palatino Linotype" w:hAnsi="Palatino Linotype" w:cs="Tahoma"/>
          <w:lang w:val="es-MX"/>
        </w:rPr>
        <w:t xml:space="preserve"> </w:t>
      </w:r>
    </w:p>
    <w:p w14:paraId="416451C8" w14:textId="77777777" w:rsidR="004A7C1B" w:rsidRDefault="004A7C1B" w:rsidP="007B2260">
      <w:pPr>
        <w:spacing w:after="0" w:line="360" w:lineRule="auto"/>
        <w:ind w:right="49"/>
        <w:jc w:val="both"/>
        <w:rPr>
          <w:rFonts w:ascii="Palatino Linotype" w:hAnsi="Palatino Linotype" w:cs="Tahoma"/>
          <w:lang w:val="es-MX"/>
        </w:rPr>
      </w:pPr>
    </w:p>
    <w:p w14:paraId="03DF8A8B" w14:textId="47ADE238" w:rsidR="007B2260" w:rsidRDefault="00C4423F" w:rsidP="007B2260">
      <w:pPr>
        <w:spacing w:after="0" w:line="360" w:lineRule="auto"/>
        <w:ind w:right="49"/>
        <w:jc w:val="both"/>
        <w:rPr>
          <w:rFonts w:ascii="Palatino Linotype" w:hAnsi="Palatino Linotype" w:cs="Tahoma"/>
          <w:lang w:val="es-MX"/>
        </w:rPr>
      </w:pPr>
      <w:r>
        <w:rPr>
          <w:rFonts w:ascii="Palatino Linotype" w:hAnsi="Palatino Linotype" w:cs="Tahoma"/>
          <w:lang w:val="es-MX"/>
        </w:rPr>
        <w:t>Por consiguiente</w:t>
      </w:r>
      <w:r w:rsidR="004A7C1B" w:rsidRPr="004A7C1B">
        <w:rPr>
          <w:rFonts w:ascii="Palatino Linotype" w:hAnsi="Palatino Linotype" w:cs="Tahoma"/>
          <w:lang w:val="es-MX"/>
        </w:rPr>
        <w:t>, desde mi punto de</w:t>
      </w:r>
      <w:bookmarkStart w:id="0" w:name="_GoBack"/>
      <w:r w:rsidR="004A7C1B" w:rsidRPr="004A7C1B">
        <w:rPr>
          <w:rFonts w:ascii="Palatino Linotype" w:hAnsi="Palatino Linotype" w:cs="Tahoma"/>
          <w:lang w:val="es-MX"/>
        </w:rPr>
        <w:t xml:space="preserve"> </w:t>
      </w:r>
      <w:bookmarkEnd w:id="0"/>
      <w:r w:rsidR="004A7C1B" w:rsidRPr="004A7C1B">
        <w:rPr>
          <w:rFonts w:ascii="Palatino Linotype" w:hAnsi="Palatino Linotype" w:cs="Tahoma"/>
          <w:lang w:val="es-MX"/>
        </w:rPr>
        <w:t>vista, asentar “</w:t>
      </w:r>
      <w:r w:rsidR="0068183C">
        <w:rPr>
          <w:rFonts w:ascii="Palatino Linotype" w:hAnsi="Palatino Linotype" w:cs="Tahoma"/>
          <w:i/>
          <w:iCs/>
          <w:lang w:val="es-MX"/>
        </w:rPr>
        <w:t>r</w:t>
      </w:r>
      <w:r w:rsidR="004A7C1B" w:rsidRPr="004A7C1B">
        <w:rPr>
          <w:rFonts w:ascii="Palatino Linotype" w:hAnsi="Palatino Linotype" w:cs="Tahoma"/>
          <w:i/>
          <w:iCs/>
          <w:lang w:val="es-MX"/>
        </w:rPr>
        <w:t>úbrica</w:t>
      </w:r>
      <w:r w:rsidR="004A7C1B" w:rsidRPr="004A7C1B">
        <w:rPr>
          <w:rFonts w:ascii="Palatino Linotype" w:hAnsi="Palatino Linotype" w:cs="Tahoma"/>
          <w:lang w:val="es-MX"/>
        </w:rPr>
        <w:t xml:space="preserve">" en un documento electrónico, tiene por objeto hacer las veces de la firma, sin perjuicio de que, </w:t>
      </w:r>
      <w:r w:rsidR="004A7C1B">
        <w:rPr>
          <w:rFonts w:ascii="Palatino Linotype" w:hAnsi="Palatino Linotype" w:cs="Tahoma"/>
          <w:lang w:val="es-MX"/>
        </w:rPr>
        <w:t>para</w:t>
      </w:r>
      <w:r w:rsidR="004A7C1B" w:rsidRPr="004A7C1B">
        <w:rPr>
          <w:rFonts w:ascii="Palatino Linotype" w:hAnsi="Palatino Linotype" w:cs="Tahoma"/>
          <w:lang w:val="es-MX"/>
        </w:rPr>
        <w:t xml:space="preserve"> dar cumplimiento a la </w:t>
      </w:r>
      <w:r w:rsidR="00317A0D" w:rsidRPr="00317A0D">
        <w:rPr>
          <w:rFonts w:ascii="Palatino Linotype" w:hAnsi="Palatino Linotype" w:cs="Tahoma"/>
          <w:lang w:val="es-MX"/>
        </w:rPr>
        <w:t>Ley de Archivos y Administración de Documentos del Estado de México y Municipios</w:t>
      </w:r>
      <w:r w:rsidR="00317A0D">
        <w:rPr>
          <w:rFonts w:ascii="Palatino Linotype" w:hAnsi="Palatino Linotype" w:cs="Tahoma"/>
          <w:lang w:val="es-MX"/>
        </w:rPr>
        <w:t xml:space="preserve"> </w:t>
      </w:r>
      <w:r w:rsidR="004A7C1B" w:rsidRPr="004A7C1B">
        <w:rPr>
          <w:rFonts w:ascii="Palatino Linotype" w:hAnsi="Palatino Linotype" w:cs="Tahoma"/>
          <w:lang w:val="es-MX"/>
        </w:rPr>
        <w:t>se deba tener el documento físico con firma</w:t>
      </w:r>
      <w:r w:rsidR="004A7C1B">
        <w:rPr>
          <w:rFonts w:ascii="Palatino Linotype" w:hAnsi="Palatino Linotype" w:cs="Tahoma"/>
          <w:lang w:val="es-MX"/>
        </w:rPr>
        <w:t xml:space="preserve"> </w:t>
      </w:r>
      <w:r w:rsidR="004A7C1B" w:rsidRPr="004A7C1B">
        <w:rPr>
          <w:rFonts w:ascii="Palatino Linotype" w:hAnsi="Palatino Linotype" w:cs="Tahoma"/>
          <w:lang w:val="es-MX"/>
        </w:rPr>
        <w:t>autógrafa.</w:t>
      </w:r>
    </w:p>
    <w:p w14:paraId="2AE6545D" w14:textId="77777777" w:rsidR="004A7C1B" w:rsidRDefault="004A7C1B" w:rsidP="007B2260">
      <w:pPr>
        <w:spacing w:after="0" w:line="360" w:lineRule="auto"/>
        <w:ind w:right="49"/>
        <w:jc w:val="both"/>
        <w:rPr>
          <w:rFonts w:ascii="Palatino Linotype" w:hAnsi="Palatino Linotype" w:cs="Tahoma"/>
          <w:lang w:val="es-MX"/>
        </w:rPr>
      </w:pPr>
    </w:p>
    <w:p w14:paraId="01FBE46A" w14:textId="4039616C" w:rsidR="00576FCC" w:rsidRDefault="007B2260" w:rsidP="007B2260">
      <w:r w:rsidRPr="00255AA8">
        <w:rPr>
          <w:rFonts w:ascii="Palatino Linotype" w:hAnsi="Palatino Linotype" w:cs="Tahoma"/>
          <w:lang w:val="es-MX"/>
        </w:rPr>
        <w:t>Así, con base en los razonamientos expuestos,</w:t>
      </w:r>
      <w:r w:rsidR="00317A0D">
        <w:rPr>
          <w:rFonts w:ascii="Palatino Linotype" w:hAnsi="Palatino Linotype" w:cs="Tahoma"/>
          <w:lang w:val="es-MX"/>
        </w:rPr>
        <w:t xml:space="preserve"> </w:t>
      </w:r>
      <w:r w:rsidRPr="00255AA8">
        <w:rPr>
          <w:rFonts w:ascii="Palatino Linotype" w:hAnsi="Palatino Linotype" w:cs="Tahoma"/>
          <w:lang w:val="es-MX"/>
        </w:rPr>
        <w:t xml:space="preserve">se emite el Presente Voto </w:t>
      </w:r>
      <w:r>
        <w:rPr>
          <w:rFonts w:ascii="Palatino Linotype" w:hAnsi="Palatino Linotype" w:cs="Tahoma"/>
          <w:lang w:val="es-MX"/>
        </w:rPr>
        <w:t>Disidente</w:t>
      </w:r>
      <w:r w:rsidR="002D4285">
        <w:rPr>
          <w:rFonts w:ascii="Palatino Linotype" w:hAnsi="Palatino Linotype" w:cs="Tahoma"/>
          <w:lang w:val="es-MX"/>
        </w:rPr>
        <w:t>. --------------------------------------------------------------------------------------------------------------------------------------------------</w:t>
      </w:r>
    </w:p>
    <w:sectPr w:rsidR="00576FCC" w:rsidSect="007B2260">
      <w:headerReference w:type="default" r:id="rId10"/>
      <w:footerReference w:type="default" r:id="rId11"/>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C2F0D" w14:textId="77777777" w:rsidR="0059329F" w:rsidRDefault="0059329F" w:rsidP="007B2260">
      <w:pPr>
        <w:spacing w:after="0" w:line="240" w:lineRule="auto"/>
      </w:pPr>
      <w:r>
        <w:separator/>
      </w:r>
    </w:p>
  </w:endnote>
  <w:endnote w:type="continuationSeparator" w:id="0">
    <w:p w14:paraId="17824604" w14:textId="77777777" w:rsidR="0059329F" w:rsidRDefault="0059329F" w:rsidP="007B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321105"/>
      <w:docPartObj>
        <w:docPartGallery w:val="Page Numbers (Bottom of Page)"/>
        <w:docPartUnique/>
      </w:docPartObj>
    </w:sdtPr>
    <w:sdtEndPr/>
    <w:sdtContent>
      <w:sdt>
        <w:sdtPr>
          <w:id w:val="-1769616900"/>
          <w:docPartObj>
            <w:docPartGallery w:val="Page Numbers (Top of Page)"/>
            <w:docPartUnique/>
          </w:docPartObj>
        </w:sdtPr>
        <w:sdtEndPr/>
        <w:sdtContent>
          <w:p w14:paraId="122B130E" w14:textId="5E6A1B14" w:rsidR="007B2260" w:rsidRDefault="007B22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04BAA">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04BAA">
              <w:rPr>
                <w:b/>
                <w:bCs/>
                <w:noProof/>
              </w:rPr>
              <w:t>5</w:t>
            </w:r>
            <w:r>
              <w:rPr>
                <w:b/>
                <w:bCs/>
                <w:sz w:val="24"/>
                <w:szCs w:val="24"/>
              </w:rPr>
              <w:fldChar w:fldCharType="end"/>
            </w:r>
          </w:p>
        </w:sdtContent>
      </w:sdt>
    </w:sdtContent>
  </w:sdt>
  <w:p w14:paraId="0BD749DA" w14:textId="77777777" w:rsidR="007B2260" w:rsidRDefault="007B22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2D9FB" w14:textId="77777777" w:rsidR="0059329F" w:rsidRDefault="0059329F" w:rsidP="007B2260">
      <w:pPr>
        <w:spacing w:after="0" w:line="240" w:lineRule="auto"/>
      </w:pPr>
      <w:r>
        <w:separator/>
      </w:r>
    </w:p>
  </w:footnote>
  <w:footnote w:type="continuationSeparator" w:id="0">
    <w:p w14:paraId="78EFA3A0" w14:textId="77777777" w:rsidR="0059329F" w:rsidRDefault="0059329F" w:rsidP="007B2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4"/>
    </w:tblGrid>
    <w:tr w:rsidR="007B2260" w:rsidRPr="007B2260" w14:paraId="5DE86808" w14:textId="77777777" w:rsidTr="007B2260">
      <w:trPr>
        <w:trHeight w:val="132"/>
      </w:trPr>
      <w:tc>
        <w:tcPr>
          <w:tcW w:w="2551" w:type="dxa"/>
        </w:tcPr>
        <w:p w14:paraId="01B38DB0" w14:textId="36DA0A60" w:rsidR="007B2260" w:rsidRPr="007B2260" w:rsidRDefault="007B2260"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Voto Disidente</w:t>
          </w:r>
        </w:p>
      </w:tc>
      <w:tc>
        <w:tcPr>
          <w:tcW w:w="3544" w:type="dxa"/>
        </w:tcPr>
        <w:p w14:paraId="604F5122" w14:textId="77777777" w:rsidR="007B2260" w:rsidRPr="007B2260" w:rsidRDefault="007B2260" w:rsidP="007B2260">
          <w:pPr>
            <w:tabs>
              <w:tab w:val="right" w:pos="8838"/>
            </w:tabs>
            <w:ind w:left="-111" w:right="-32"/>
            <w:rPr>
              <w:rFonts w:ascii="Palatino Linotype" w:eastAsia="Calibri" w:hAnsi="Palatino Linotype" w:cs="Tahoma"/>
              <w:lang w:val="es-MX"/>
            </w:rPr>
          </w:pPr>
        </w:p>
      </w:tc>
    </w:tr>
    <w:tr w:rsidR="007B2260" w:rsidRPr="007B2260" w14:paraId="7CB317E1" w14:textId="77777777" w:rsidTr="007B2260">
      <w:trPr>
        <w:trHeight w:val="132"/>
      </w:trPr>
      <w:tc>
        <w:tcPr>
          <w:tcW w:w="2551" w:type="dxa"/>
        </w:tcPr>
        <w:p w14:paraId="26980D12" w14:textId="77777777" w:rsidR="007B2260" w:rsidRPr="007B2260" w:rsidRDefault="007B2260"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Recurso de Revisión:</w:t>
          </w:r>
        </w:p>
      </w:tc>
      <w:tc>
        <w:tcPr>
          <w:tcW w:w="3544" w:type="dxa"/>
        </w:tcPr>
        <w:p w14:paraId="323A2BE7" w14:textId="1A5C4092" w:rsidR="007B2260" w:rsidRPr="007B2260" w:rsidRDefault="007B2260" w:rsidP="007B2260">
          <w:pPr>
            <w:tabs>
              <w:tab w:val="right" w:pos="8838"/>
            </w:tabs>
            <w:ind w:left="-111" w:right="-32"/>
            <w:rPr>
              <w:rFonts w:ascii="Palatino Linotype" w:eastAsia="Calibri" w:hAnsi="Palatino Linotype" w:cs="Tahoma"/>
            </w:rPr>
          </w:pPr>
          <w:r w:rsidRPr="007B2260">
            <w:rPr>
              <w:rFonts w:ascii="Palatino Linotype" w:eastAsia="Calibri" w:hAnsi="Palatino Linotype" w:cs="Tahoma"/>
              <w:lang w:val="es-MX"/>
            </w:rPr>
            <w:t>17427/INFOEM/IP/RR/2022</w:t>
          </w:r>
        </w:p>
      </w:tc>
    </w:tr>
    <w:tr w:rsidR="007B2260" w:rsidRPr="007B2260" w14:paraId="06BC4B15" w14:textId="77777777" w:rsidTr="007B2260">
      <w:trPr>
        <w:trHeight w:val="261"/>
      </w:trPr>
      <w:tc>
        <w:tcPr>
          <w:tcW w:w="2551" w:type="dxa"/>
        </w:tcPr>
        <w:p w14:paraId="37A7D961" w14:textId="77777777" w:rsidR="007B2260" w:rsidRPr="007B2260" w:rsidRDefault="007B2260"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Sujeto Obligado:</w:t>
          </w:r>
        </w:p>
      </w:tc>
      <w:tc>
        <w:tcPr>
          <w:tcW w:w="3544" w:type="dxa"/>
        </w:tcPr>
        <w:p w14:paraId="3D4B244C" w14:textId="3D2D388F" w:rsidR="007B2260" w:rsidRPr="007B2260" w:rsidRDefault="007B2260" w:rsidP="007B2260">
          <w:pPr>
            <w:tabs>
              <w:tab w:val="right" w:pos="8838"/>
            </w:tabs>
            <w:ind w:left="-111" w:right="-32"/>
            <w:rPr>
              <w:rFonts w:ascii="Palatino Linotype" w:eastAsia="Calibri" w:hAnsi="Palatino Linotype" w:cs="Tahoma"/>
              <w:lang w:val="es-MX"/>
            </w:rPr>
          </w:pPr>
          <w:r w:rsidRPr="007B2260">
            <w:rPr>
              <w:rFonts w:ascii="Palatino Linotype" w:eastAsia="Calibri" w:hAnsi="Palatino Linotype" w:cs="Tahoma"/>
              <w:lang w:val="es-MX"/>
            </w:rPr>
            <w:t>Instituto Electoral del Estado de México</w:t>
          </w:r>
        </w:p>
      </w:tc>
    </w:tr>
    <w:tr w:rsidR="007B2260" w:rsidRPr="007B2260" w14:paraId="04EF099E" w14:textId="77777777" w:rsidTr="007B2260">
      <w:trPr>
        <w:trHeight w:val="261"/>
      </w:trPr>
      <w:tc>
        <w:tcPr>
          <w:tcW w:w="2551" w:type="dxa"/>
        </w:tcPr>
        <w:p w14:paraId="00992572" w14:textId="77777777" w:rsidR="007B2260" w:rsidRPr="007B2260" w:rsidRDefault="007B2260"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Comisionado Ponente:</w:t>
          </w:r>
        </w:p>
      </w:tc>
      <w:tc>
        <w:tcPr>
          <w:tcW w:w="3544" w:type="dxa"/>
        </w:tcPr>
        <w:p w14:paraId="0E3E3E77" w14:textId="486A117E" w:rsidR="007B2260" w:rsidRPr="007B2260" w:rsidRDefault="007B2260" w:rsidP="007B2260">
          <w:pPr>
            <w:tabs>
              <w:tab w:val="right" w:pos="8838"/>
            </w:tabs>
            <w:ind w:left="-111" w:right="-32"/>
            <w:rPr>
              <w:rFonts w:ascii="Palatino Linotype" w:eastAsia="Calibri" w:hAnsi="Palatino Linotype" w:cs="Tahoma"/>
              <w:bCs/>
              <w:lang w:val="es-MX"/>
            </w:rPr>
          </w:pPr>
          <w:r w:rsidRPr="007B2260">
            <w:rPr>
              <w:rFonts w:ascii="Palatino Linotype" w:eastAsia="Calibri" w:hAnsi="Palatino Linotype" w:cs="Tahoma"/>
              <w:bCs/>
              <w:lang w:val="es-ES_tradnl"/>
            </w:rPr>
            <w:t>Sharon Cristina Morales Martínez</w:t>
          </w:r>
        </w:p>
      </w:tc>
    </w:tr>
    <w:tr w:rsidR="007B2260" w:rsidRPr="007B2260" w14:paraId="3CED5F30" w14:textId="77777777" w:rsidTr="007B2260">
      <w:trPr>
        <w:trHeight w:val="261"/>
      </w:trPr>
      <w:tc>
        <w:tcPr>
          <w:tcW w:w="2551" w:type="dxa"/>
        </w:tcPr>
        <w:p w14:paraId="11AE6FF2" w14:textId="77777777" w:rsidR="007B2260" w:rsidRPr="007B2260" w:rsidRDefault="007B2260" w:rsidP="007B2260">
          <w:pPr>
            <w:tabs>
              <w:tab w:val="right" w:pos="8838"/>
            </w:tabs>
            <w:ind w:right="-105"/>
            <w:rPr>
              <w:rFonts w:ascii="Palatino Linotype" w:eastAsia="Calibri" w:hAnsi="Palatino Linotype" w:cs="Tahoma"/>
              <w:b/>
              <w:lang w:val="es-MX"/>
            </w:rPr>
          </w:pPr>
        </w:p>
      </w:tc>
      <w:tc>
        <w:tcPr>
          <w:tcW w:w="3544" w:type="dxa"/>
        </w:tcPr>
        <w:p w14:paraId="6C095421" w14:textId="77777777" w:rsidR="007B2260" w:rsidRPr="007B2260" w:rsidRDefault="007B2260" w:rsidP="007B2260">
          <w:pPr>
            <w:tabs>
              <w:tab w:val="right" w:pos="8838"/>
            </w:tabs>
            <w:ind w:left="-111" w:right="-32"/>
            <w:rPr>
              <w:rFonts w:ascii="Palatino Linotype" w:eastAsia="Calibri" w:hAnsi="Palatino Linotype" w:cs="Tahoma"/>
              <w:bCs/>
              <w:lang w:val="es-ES_tradnl"/>
            </w:rPr>
          </w:pPr>
        </w:p>
      </w:tc>
    </w:tr>
  </w:tbl>
  <w:p w14:paraId="4E1B722B" w14:textId="65CCC9BB" w:rsidR="007B2260" w:rsidRDefault="007B2260">
    <w:pPr>
      <w:pStyle w:val="Encabezado"/>
    </w:pPr>
    <w:r>
      <w:rPr>
        <w:noProof/>
        <w:sz w:val="10"/>
        <w:szCs w:val="10"/>
        <w:lang w:val="es-MX" w:eastAsia="es-MX"/>
      </w:rPr>
      <w:drawing>
        <wp:anchor distT="0" distB="0" distL="114300" distR="114300" simplePos="0" relativeHeight="251659264" behindDoc="0" locked="0" layoutInCell="1" allowOverlap="1" wp14:anchorId="4C3F1BE5" wp14:editId="2F7E5560">
          <wp:simplePos x="0" y="0"/>
          <wp:positionH relativeFrom="column">
            <wp:posOffset>11430</wp:posOffset>
          </wp:positionH>
          <wp:positionV relativeFrom="paragraph">
            <wp:posOffset>-1219200</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2550E2"/>
    <w:multiLevelType w:val="hybridMultilevel"/>
    <w:tmpl w:val="440A8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295B12"/>
    <w:multiLevelType w:val="hybridMultilevel"/>
    <w:tmpl w:val="0D98E78C"/>
    <w:lvl w:ilvl="0" w:tplc="77B0183A">
      <w:start w:val="1"/>
      <w:numFmt w:val="upperRoman"/>
      <w:lvlText w:val="%1."/>
      <w:lvlJc w:val="left"/>
      <w:pPr>
        <w:ind w:left="522" w:hanging="174"/>
      </w:pPr>
      <w:rPr>
        <w:rFonts w:ascii="Bookman Old Style" w:eastAsia="Arial" w:hAnsi="Bookman Old Style" w:cs="Arial" w:hint="default"/>
        <w:b/>
        <w:bCs/>
        <w:w w:val="100"/>
        <w:sz w:val="20"/>
        <w:szCs w:val="20"/>
      </w:rPr>
    </w:lvl>
    <w:lvl w:ilvl="1" w:tplc="4E822586">
      <w:numFmt w:val="bullet"/>
      <w:lvlText w:val="•"/>
      <w:lvlJc w:val="left"/>
      <w:pPr>
        <w:ind w:left="1538" w:hanging="174"/>
      </w:pPr>
      <w:rPr>
        <w:rFonts w:hint="default"/>
      </w:rPr>
    </w:lvl>
    <w:lvl w:ilvl="2" w:tplc="0F301534">
      <w:numFmt w:val="bullet"/>
      <w:lvlText w:val="•"/>
      <w:lvlJc w:val="left"/>
      <w:pPr>
        <w:ind w:left="2546" w:hanging="174"/>
      </w:pPr>
      <w:rPr>
        <w:rFonts w:hint="default"/>
      </w:rPr>
    </w:lvl>
    <w:lvl w:ilvl="3" w:tplc="B0BA7B3C">
      <w:numFmt w:val="bullet"/>
      <w:lvlText w:val="•"/>
      <w:lvlJc w:val="left"/>
      <w:pPr>
        <w:ind w:left="3554" w:hanging="174"/>
      </w:pPr>
      <w:rPr>
        <w:rFonts w:hint="default"/>
      </w:rPr>
    </w:lvl>
    <w:lvl w:ilvl="4" w:tplc="38847574">
      <w:numFmt w:val="bullet"/>
      <w:lvlText w:val="•"/>
      <w:lvlJc w:val="left"/>
      <w:pPr>
        <w:ind w:left="4562" w:hanging="174"/>
      </w:pPr>
      <w:rPr>
        <w:rFonts w:hint="default"/>
      </w:rPr>
    </w:lvl>
    <w:lvl w:ilvl="5" w:tplc="5A5CE14C">
      <w:numFmt w:val="bullet"/>
      <w:lvlText w:val="•"/>
      <w:lvlJc w:val="left"/>
      <w:pPr>
        <w:ind w:left="5571" w:hanging="174"/>
      </w:pPr>
      <w:rPr>
        <w:rFonts w:hint="default"/>
      </w:rPr>
    </w:lvl>
    <w:lvl w:ilvl="6" w:tplc="B600A16A">
      <w:numFmt w:val="bullet"/>
      <w:lvlText w:val="•"/>
      <w:lvlJc w:val="left"/>
      <w:pPr>
        <w:ind w:left="6579" w:hanging="174"/>
      </w:pPr>
      <w:rPr>
        <w:rFonts w:hint="default"/>
      </w:rPr>
    </w:lvl>
    <w:lvl w:ilvl="7" w:tplc="0B50800E">
      <w:numFmt w:val="bullet"/>
      <w:lvlText w:val="•"/>
      <w:lvlJc w:val="left"/>
      <w:pPr>
        <w:ind w:left="7587" w:hanging="174"/>
      </w:pPr>
      <w:rPr>
        <w:rFonts w:hint="default"/>
      </w:rPr>
    </w:lvl>
    <w:lvl w:ilvl="8" w:tplc="26A86882">
      <w:numFmt w:val="bullet"/>
      <w:lvlText w:val="•"/>
      <w:lvlJc w:val="left"/>
      <w:pPr>
        <w:ind w:left="8595" w:hanging="174"/>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260"/>
    <w:rsid w:val="00011978"/>
    <w:rsid w:val="000200E0"/>
    <w:rsid w:val="00024204"/>
    <w:rsid w:val="00051CE3"/>
    <w:rsid w:val="00084298"/>
    <w:rsid w:val="000E1DE2"/>
    <w:rsid w:val="00100F3C"/>
    <w:rsid w:val="00104014"/>
    <w:rsid w:val="00123C57"/>
    <w:rsid w:val="0012654B"/>
    <w:rsid w:val="001538BE"/>
    <w:rsid w:val="0016511B"/>
    <w:rsid w:val="00170D69"/>
    <w:rsid w:val="001E54C7"/>
    <w:rsid w:val="001F7063"/>
    <w:rsid w:val="00207A05"/>
    <w:rsid w:val="00216FFA"/>
    <w:rsid w:val="00226081"/>
    <w:rsid w:val="002554E1"/>
    <w:rsid w:val="00266595"/>
    <w:rsid w:val="002947FF"/>
    <w:rsid w:val="0029545F"/>
    <w:rsid w:val="002A380A"/>
    <w:rsid w:val="002A7C37"/>
    <w:rsid w:val="002C0E1B"/>
    <w:rsid w:val="002C583C"/>
    <w:rsid w:val="002D4285"/>
    <w:rsid w:val="002E6E9D"/>
    <w:rsid w:val="002E7E35"/>
    <w:rsid w:val="00301853"/>
    <w:rsid w:val="00317A0D"/>
    <w:rsid w:val="003308D9"/>
    <w:rsid w:val="00331195"/>
    <w:rsid w:val="0036607A"/>
    <w:rsid w:val="0039179C"/>
    <w:rsid w:val="00391835"/>
    <w:rsid w:val="003A0D70"/>
    <w:rsid w:val="003E7921"/>
    <w:rsid w:val="003F4057"/>
    <w:rsid w:val="00422C75"/>
    <w:rsid w:val="004416AA"/>
    <w:rsid w:val="00462452"/>
    <w:rsid w:val="00470197"/>
    <w:rsid w:val="004A1C49"/>
    <w:rsid w:val="004A7C1B"/>
    <w:rsid w:val="004C5D22"/>
    <w:rsid w:val="004D2A3F"/>
    <w:rsid w:val="004D7660"/>
    <w:rsid w:val="004D7A4C"/>
    <w:rsid w:val="004E31AC"/>
    <w:rsid w:val="00505499"/>
    <w:rsid w:val="00524AF1"/>
    <w:rsid w:val="005334B5"/>
    <w:rsid w:val="00540EAF"/>
    <w:rsid w:val="005510BD"/>
    <w:rsid w:val="00560089"/>
    <w:rsid w:val="00574F07"/>
    <w:rsid w:val="00576FCC"/>
    <w:rsid w:val="00586F38"/>
    <w:rsid w:val="00592F69"/>
    <w:rsid w:val="0059329F"/>
    <w:rsid w:val="00593303"/>
    <w:rsid w:val="0059360F"/>
    <w:rsid w:val="0059731E"/>
    <w:rsid w:val="006124D4"/>
    <w:rsid w:val="00626D95"/>
    <w:rsid w:val="006437FC"/>
    <w:rsid w:val="00644A52"/>
    <w:rsid w:val="00651D3A"/>
    <w:rsid w:val="00652855"/>
    <w:rsid w:val="0065587E"/>
    <w:rsid w:val="00673506"/>
    <w:rsid w:val="006772F5"/>
    <w:rsid w:val="0068183C"/>
    <w:rsid w:val="006A553B"/>
    <w:rsid w:val="006B735C"/>
    <w:rsid w:val="006C3CD1"/>
    <w:rsid w:val="00703812"/>
    <w:rsid w:val="00721AAF"/>
    <w:rsid w:val="00726166"/>
    <w:rsid w:val="00762F88"/>
    <w:rsid w:val="00764FD3"/>
    <w:rsid w:val="00777A90"/>
    <w:rsid w:val="007840EA"/>
    <w:rsid w:val="007A667E"/>
    <w:rsid w:val="007B2260"/>
    <w:rsid w:val="007B5E09"/>
    <w:rsid w:val="007E22C5"/>
    <w:rsid w:val="007E5AC6"/>
    <w:rsid w:val="00804BAA"/>
    <w:rsid w:val="00826B9C"/>
    <w:rsid w:val="00837886"/>
    <w:rsid w:val="00844A47"/>
    <w:rsid w:val="008473CD"/>
    <w:rsid w:val="00853F14"/>
    <w:rsid w:val="00867181"/>
    <w:rsid w:val="00882ED1"/>
    <w:rsid w:val="00896AB9"/>
    <w:rsid w:val="008B214D"/>
    <w:rsid w:val="008C023D"/>
    <w:rsid w:val="008E53B0"/>
    <w:rsid w:val="008E7FCB"/>
    <w:rsid w:val="008F68BC"/>
    <w:rsid w:val="00900EF0"/>
    <w:rsid w:val="009124F3"/>
    <w:rsid w:val="00932163"/>
    <w:rsid w:val="00966864"/>
    <w:rsid w:val="009B65A6"/>
    <w:rsid w:val="009C41A8"/>
    <w:rsid w:val="009D543B"/>
    <w:rsid w:val="009D6B10"/>
    <w:rsid w:val="00A027A3"/>
    <w:rsid w:val="00A064C8"/>
    <w:rsid w:val="00A173CF"/>
    <w:rsid w:val="00A20CFE"/>
    <w:rsid w:val="00A235F0"/>
    <w:rsid w:val="00A33CF1"/>
    <w:rsid w:val="00A6216B"/>
    <w:rsid w:val="00A7597A"/>
    <w:rsid w:val="00A77496"/>
    <w:rsid w:val="00A9091F"/>
    <w:rsid w:val="00A966CD"/>
    <w:rsid w:val="00A96849"/>
    <w:rsid w:val="00AB3301"/>
    <w:rsid w:val="00AF0D59"/>
    <w:rsid w:val="00B03984"/>
    <w:rsid w:val="00B21C25"/>
    <w:rsid w:val="00B254CD"/>
    <w:rsid w:val="00B47D57"/>
    <w:rsid w:val="00B70CAC"/>
    <w:rsid w:val="00B8160B"/>
    <w:rsid w:val="00B82DDE"/>
    <w:rsid w:val="00B86D26"/>
    <w:rsid w:val="00B9369F"/>
    <w:rsid w:val="00BC2B2B"/>
    <w:rsid w:val="00BF5CA6"/>
    <w:rsid w:val="00C173EC"/>
    <w:rsid w:val="00C210C8"/>
    <w:rsid w:val="00C327AD"/>
    <w:rsid w:val="00C403A0"/>
    <w:rsid w:val="00C4423F"/>
    <w:rsid w:val="00C642FC"/>
    <w:rsid w:val="00C731EB"/>
    <w:rsid w:val="00C7464D"/>
    <w:rsid w:val="00C8149C"/>
    <w:rsid w:val="00C9161F"/>
    <w:rsid w:val="00CA01C9"/>
    <w:rsid w:val="00CA0905"/>
    <w:rsid w:val="00CA0BE9"/>
    <w:rsid w:val="00CB4187"/>
    <w:rsid w:val="00CD4113"/>
    <w:rsid w:val="00CE3652"/>
    <w:rsid w:val="00CF5316"/>
    <w:rsid w:val="00D036BC"/>
    <w:rsid w:val="00D15599"/>
    <w:rsid w:val="00D3603A"/>
    <w:rsid w:val="00D66E4D"/>
    <w:rsid w:val="00D70020"/>
    <w:rsid w:val="00D85ABE"/>
    <w:rsid w:val="00D90C20"/>
    <w:rsid w:val="00D9443C"/>
    <w:rsid w:val="00DB27CB"/>
    <w:rsid w:val="00DB2D34"/>
    <w:rsid w:val="00DB7D2F"/>
    <w:rsid w:val="00DC09CA"/>
    <w:rsid w:val="00DC66EE"/>
    <w:rsid w:val="00DD0D6B"/>
    <w:rsid w:val="00DF0725"/>
    <w:rsid w:val="00DF37F4"/>
    <w:rsid w:val="00E012A3"/>
    <w:rsid w:val="00E2569E"/>
    <w:rsid w:val="00E27FDE"/>
    <w:rsid w:val="00E73B8B"/>
    <w:rsid w:val="00E832AE"/>
    <w:rsid w:val="00E92134"/>
    <w:rsid w:val="00E94EBD"/>
    <w:rsid w:val="00EA6A57"/>
    <w:rsid w:val="00EB7C29"/>
    <w:rsid w:val="00EC44D5"/>
    <w:rsid w:val="00ED6F9D"/>
    <w:rsid w:val="00EE23FA"/>
    <w:rsid w:val="00F27770"/>
    <w:rsid w:val="00F95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F8456"/>
  <w15:chartTrackingRefBased/>
  <w15:docId w15:val="{EC5348B9-D8A1-48EC-9183-365D493F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260"/>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22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260"/>
  </w:style>
  <w:style w:type="paragraph" w:styleId="Piedepgina">
    <w:name w:val="footer"/>
    <w:basedOn w:val="Normal"/>
    <w:link w:val="PiedepginaCar"/>
    <w:uiPriority w:val="99"/>
    <w:unhideWhenUsed/>
    <w:rsid w:val="007B22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260"/>
  </w:style>
  <w:style w:type="table" w:styleId="Tablaconcuadrcula">
    <w:name w:val="Table Grid"/>
    <w:basedOn w:val="Tablanormal"/>
    <w:uiPriority w:val="59"/>
    <w:qFormat/>
    <w:rsid w:val="007B2260"/>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170170">
      <w:bodyDiv w:val="1"/>
      <w:marLeft w:val="0"/>
      <w:marRight w:val="0"/>
      <w:marTop w:val="0"/>
      <w:marBottom w:val="0"/>
      <w:divBdr>
        <w:top w:val="none" w:sz="0" w:space="0" w:color="auto"/>
        <w:left w:val="none" w:sz="0" w:space="0" w:color="auto"/>
        <w:bottom w:val="none" w:sz="0" w:space="0" w:color="auto"/>
        <w:right w:val="none" w:sz="0" w:space="0" w:color="auto"/>
      </w:divBdr>
    </w:div>
    <w:div w:id="1169710105">
      <w:bodyDiv w:val="1"/>
      <w:marLeft w:val="0"/>
      <w:marRight w:val="0"/>
      <w:marTop w:val="0"/>
      <w:marBottom w:val="0"/>
      <w:divBdr>
        <w:top w:val="none" w:sz="0" w:space="0" w:color="auto"/>
        <w:left w:val="none" w:sz="0" w:space="0" w:color="auto"/>
        <w:bottom w:val="none" w:sz="0" w:space="0" w:color="auto"/>
        <w:right w:val="none" w:sz="0" w:space="0" w:color="auto"/>
      </w:divBdr>
    </w:div>
    <w:div w:id="19579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Alb97</b:Tag>
    <b:SourceType>Book</b:SourceType>
    <b:Guid>{4B726B1B-24D7-4555-B968-BCDC6CF082CA}</b:Guid>
    <b:Author>
      <b:Author>
        <b:NameList>
          <b:Person>
            <b:Last>Pichardo</b:Last>
            <b:First>Alberto</b:First>
            <b:Middle>C. Sánchez</b:Middle>
          </b:Person>
        </b:NameList>
      </b:Author>
    </b:Author>
    <b:Title>Los Medios de Impugnación en Materia Administrativa</b:Title>
    <b:Year>1997</b:Year>
    <b:City>Ciudad de México</b:City>
    <b:Publisher>Porrúa</b:Publisher>
    <b:RefOrder>1</b:RefOrder>
  </b:Source>
</b:Sources>
</file>

<file path=customXml/itemProps1.xml><?xml version="1.0" encoding="utf-8"?>
<ds:datastoreItem xmlns:ds="http://schemas.openxmlformats.org/officeDocument/2006/customXml" ds:itemID="{A2D4B5EE-A231-4714-9DAF-3A8F0B9C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1225</Words>
  <Characters>6742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4</cp:revision>
  <dcterms:created xsi:type="dcterms:W3CDTF">2023-06-19T17:34:00Z</dcterms:created>
  <dcterms:modified xsi:type="dcterms:W3CDTF">2023-06-19T17:36:00Z</dcterms:modified>
</cp:coreProperties>
</file>