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DEF18" w14:textId="12136826" w:rsidR="004E5EAD" w:rsidRDefault="00F84B95" w:rsidP="0005610F">
      <w:pPr>
        <w:pStyle w:val="Encabezado"/>
        <w:spacing w:line="360" w:lineRule="auto"/>
        <w:ind w:right="49"/>
        <w:jc w:val="both"/>
        <w:rPr>
          <w:rFonts w:ascii="Palatino Linotype" w:eastAsia="Palatino Linotype" w:hAnsi="Palatino Linotype" w:cs="Palatino Linotype"/>
          <w:b/>
        </w:rPr>
      </w:pPr>
      <w:r w:rsidRPr="006A7606">
        <w:rPr>
          <w:rFonts w:ascii="Palatino Linotype" w:hAnsi="Palatino Linotype" w:cs="Tahoma"/>
          <w:b/>
        </w:rPr>
        <w:t xml:space="preserve">VOTO </w:t>
      </w:r>
      <w:r w:rsidR="00D3346E">
        <w:rPr>
          <w:rFonts w:ascii="Palatino Linotype" w:hAnsi="Palatino Linotype" w:cs="Tahoma"/>
          <w:b/>
        </w:rPr>
        <w:t>DISIDENTE</w:t>
      </w:r>
      <w:r w:rsidRPr="006A7606">
        <w:rPr>
          <w:rFonts w:ascii="Palatino Linotype" w:hAnsi="Palatino Linotype" w:cs="Tahoma"/>
          <w:b/>
        </w:rPr>
        <w:t xml:space="preserve"> QUE FORMULA EL </w:t>
      </w:r>
      <w:r w:rsidR="00D3346E">
        <w:rPr>
          <w:rFonts w:ascii="Palatino Linotype" w:hAnsi="Palatino Linotype" w:cs="Tahoma"/>
          <w:b/>
        </w:rPr>
        <w:t>|</w:t>
      </w:r>
      <w:r w:rsidRPr="006A7606">
        <w:rPr>
          <w:rFonts w:ascii="Palatino Linotype" w:hAnsi="Palatino Linotype" w:cs="Tahoma"/>
          <w:b/>
        </w:rPr>
        <w:t>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8B0A25" w:rsidRPr="008B0A25">
        <w:rPr>
          <w:rFonts w:ascii="Palatino Linotype" w:eastAsia="Palatino Linotype" w:hAnsi="Palatino Linotype" w:cs="Palatino Linotype"/>
          <w:b/>
        </w:rPr>
        <w:t>15177/INFOEM/IP/RR/2022</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8B0A25" w:rsidRPr="008B0A25">
        <w:rPr>
          <w:rFonts w:ascii="Palatino Linotype" w:eastAsia="Palatino Linotype" w:hAnsi="Palatino Linotype" w:cs="Palatino Linotype"/>
          <w:b/>
        </w:rPr>
        <w:t>TRIBUNAL DE JUSTICIA ADMINISTRATIVA DEL ESTADO DE MÉXICO</w:t>
      </w:r>
      <w:r w:rsidR="008B0A25">
        <w:rPr>
          <w:rFonts w:ascii="Palatino Linotype" w:eastAsia="Palatino Linotype" w:hAnsi="Palatino Linotype" w:cs="Palatino Linotype"/>
          <w:b/>
        </w:rPr>
        <w:t>.</w:t>
      </w:r>
      <w:r w:rsidR="008B0A25">
        <w:rPr>
          <w:rFonts w:ascii="Palatino Linotype" w:eastAsia="Palatino Linotype" w:hAnsi="Palatino Linotype" w:cs="Palatino Linotype"/>
          <w:b/>
        </w:rPr>
        <w:tab/>
      </w:r>
    </w:p>
    <w:p w14:paraId="60A1F08C" w14:textId="4FE397EA" w:rsidR="00CB337A" w:rsidRDefault="00CB337A" w:rsidP="0005610F">
      <w:pPr>
        <w:pStyle w:val="Encabezado"/>
        <w:spacing w:line="360" w:lineRule="auto"/>
        <w:ind w:right="49"/>
        <w:jc w:val="both"/>
        <w:rPr>
          <w:rFonts w:ascii="Palatino Linotype" w:hAnsi="Palatino Linotype" w:cs="Tahoma"/>
        </w:rPr>
      </w:pPr>
    </w:p>
    <w:p w14:paraId="6947BB34" w14:textId="3DFDE8BC" w:rsidR="00D3346E" w:rsidRDefault="00D3346E" w:rsidP="0005610F">
      <w:pPr>
        <w:pStyle w:val="Encabezado"/>
        <w:spacing w:line="360" w:lineRule="auto"/>
        <w:ind w:right="49"/>
        <w:jc w:val="both"/>
        <w:rPr>
          <w:rFonts w:ascii="Palatino Linotype" w:hAnsi="Palatino Linotype" w:cs="Tahoma"/>
        </w:rPr>
      </w:pPr>
      <w:r w:rsidRPr="00D3346E">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D3346E">
        <w:rPr>
          <w:rFonts w:ascii="Palatino Linotype" w:hAnsi="Palatino Linotype" w:cs="Tahoma"/>
          <w:b/>
          <w:bCs/>
        </w:rPr>
        <w:t>Voto Disidente</w:t>
      </w:r>
      <w:r w:rsidRPr="00D3346E">
        <w:rPr>
          <w:rFonts w:ascii="Palatino Linotype" w:hAnsi="Palatino Linotype" w:cs="Tahoma"/>
        </w:rPr>
        <w:t xml:space="preserve"> por no compartir en su totalidad las consideraciones que sustentan la Resolución del Recurso de Revisión </w:t>
      </w:r>
      <w:r w:rsidR="008B0A25" w:rsidRPr="008B0A25">
        <w:rPr>
          <w:rFonts w:ascii="Palatino Linotype" w:hAnsi="Palatino Linotype" w:cs="Tahoma"/>
          <w:b/>
          <w:bCs/>
        </w:rPr>
        <w:t>15177/INFOEM/IP/RR/2022</w:t>
      </w:r>
      <w:r w:rsidRPr="00D3346E">
        <w:rPr>
          <w:rFonts w:ascii="Palatino Linotype" w:hAnsi="Palatino Linotype" w:cs="Tahoma"/>
        </w:rPr>
        <w:t>.</w:t>
      </w:r>
    </w:p>
    <w:p w14:paraId="2B185CC8" w14:textId="77777777" w:rsidR="00D3346E" w:rsidRPr="006A7606" w:rsidRDefault="00D3346E" w:rsidP="0005610F">
      <w:pPr>
        <w:pStyle w:val="Encabezado"/>
        <w:spacing w:line="360" w:lineRule="auto"/>
        <w:ind w:right="49"/>
        <w:jc w:val="both"/>
        <w:rPr>
          <w:rFonts w:ascii="Palatino Linotype" w:hAnsi="Palatino Linotype" w:cs="Tahoma"/>
        </w:rPr>
      </w:pPr>
    </w:p>
    <w:p w14:paraId="05072FBA" w14:textId="39CA2757" w:rsidR="00D3346E" w:rsidRDefault="002F4CEB" w:rsidP="00D3346E">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w:t>
      </w:r>
      <w:r w:rsidR="007E10C9">
        <w:rPr>
          <w:rFonts w:ascii="Palatino Linotype" w:hAnsi="Palatino Linotype" w:cs="Tahoma"/>
        </w:rPr>
        <w:t>diversa información estadística sobre las notificaciones realizadas por un servidor público a través de la plataforma electrónica Tribunal Electrónico para la Justicia Administrativa</w:t>
      </w:r>
      <w:r w:rsidR="006C3F4B">
        <w:rPr>
          <w:rFonts w:ascii="Palatino Linotype" w:hAnsi="Palatino Linotype" w:cs="Tahoma"/>
        </w:rPr>
        <w:t xml:space="preserve"> (TEJA)</w:t>
      </w:r>
      <w:r w:rsidR="007E10C9">
        <w:rPr>
          <w:rFonts w:ascii="Palatino Linotype" w:hAnsi="Palatino Linotype" w:cs="Tahoma"/>
        </w:rPr>
        <w:t>,</w:t>
      </w:r>
      <w:r w:rsidR="00D3346E">
        <w:rPr>
          <w:rFonts w:ascii="Palatino Linotype" w:hAnsi="Palatino Linotype" w:cs="Tahoma"/>
        </w:rPr>
        <w:t xml:space="preserve"> </w:t>
      </w:r>
      <w:r w:rsidR="007E10C9">
        <w:rPr>
          <w:rFonts w:ascii="Palatino Linotype" w:hAnsi="Palatino Linotype" w:cs="Tahoma"/>
        </w:rPr>
        <w:t>en consecuencia,</w:t>
      </w:r>
      <w:r w:rsidR="00D3346E">
        <w:rPr>
          <w:rFonts w:ascii="Palatino Linotype" w:hAnsi="Palatino Linotype" w:cs="Tahoma"/>
        </w:rPr>
        <w:t xml:space="preserve"> el Sujeto Obligado </w:t>
      </w:r>
      <w:r w:rsidR="007E10C9">
        <w:rPr>
          <w:rFonts w:ascii="Palatino Linotype" w:hAnsi="Palatino Linotype" w:cs="Tahoma"/>
        </w:rPr>
        <w:t>proporcionó una liga electrónica</w:t>
      </w:r>
      <w:r w:rsidR="006C3F4B">
        <w:rPr>
          <w:rFonts w:ascii="Palatino Linotype" w:hAnsi="Palatino Linotype" w:cs="Tahoma"/>
        </w:rPr>
        <w:t xml:space="preserve"> para consultar la información estadística generada por salas, tal como se muestra a continuación: </w:t>
      </w:r>
    </w:p>
    <w:p w14:paraId="07F5595D" w14:textId="00CF41BB" w:rsidR="00F837D7" w:rsidRDefault="00A43E77" w:rsidP="006C3F4B">
      <w:pPr>
        <w:spacing w:after="0" w:line="360" w:lineRule="auto"/>
        <w:rPr>
          <w:rFonts w:ascii="Palatino Linotype" w:hAnsi="Palatino Linotype" w:cs="Tahoma"/>
        </w:rPr>
      </w:pPr>
      <w:r>
        <w:rPr>
          <w:rFonts w:ascii="Palatino Linotype" w:hAnsi="Palatino Linotype" w:cs="Tahoma"/>
          <w:noProof/>
          <w:lang w:val="es-MX" w:eastAsia="es-MX"/>
        </w:rPr>
        <mc:AlternateContent>
          <mc:Choice Requires="wps">
            <w:drawing>
              <wp:anchor distT="0" distB="0" distL="114300" distR="114300" simplePos="0" relativeHeight="251659264" behindDoc="0" locked="0" layoutInCell="1" allowOverlap="1" wp14:anchorId="2A195630" wp14:editId="15BE1192">
                <wp:simplePos x="0" y="0"/>
                <wp:positionH relativeFrom="column">
                  <wp:posOffset>297402</wp:posOffset>
                </wp:positionH>
                <wp:positionV relativeFrom="paragraph">
                  <wp:posOffset>172101</wp:posOffset>
                </wp:positionV>
                <wp:extent cx="5225143" cy="1229097"/>
                <wp:effectExtent l="0" t="0" r="33020" b="28575"/>
                <wp:wrapNone/>
                <wp:docPr id="1" name="Conector recto 1"/>
                <wp:cNvGraphicFramePr/>
                <a:graphic xmlns:a="http://schemas.openxmlformats.org/drawingml/2006/main">
                  <a:graphicData uri="http://schemas.microsoft.com/office/word/2010/wordprocessingShape">
                    <wps:wsp>
                      <wps:cNvCnPr/>
                      <wps:spPr>
                        <a:xfrm flipV="1">
                          <a:off x="0" y="0"/>
                          <a:ext cx="5225143" cy="12290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FB719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4pt,13.55pt" to="434.85pt,1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" strokecolor="#4472c4 [3204]" strokeweight=".5pt">
                <v:stroke joinstyle="miter"/>
              </v:line>
            </w:pict>
          </mc:Fallback>
        </mc:AlternateContent>
      </w:r>
    </w:p>
    <w:p w14:paraId="0108C737" w14:textId="5FF08AD0" w:rsidR="006C3F4B" w:rsidRDefault="006C3F4B" w:rsidP="006C3F4B">
      <w:pPr>
        <w:spacing w:after="0" w:line="360" w:lineRule="auto"/>
        <w:jc w:val="center"/>
        <w:rPr>
          <w:rFonts w:ascii="Palatino Linotype" w:hAnsi="Palatino Linotype" w:cs="Tahoma"/>
        </w:rPr>
      </w:pPr>
      <w:r>
        <w:rPr>
          <w:rFonts w:ascii="Palatino Linotype" w:hAnsi="Palatino Linotype" w:cs="Tahoma"/>
          <w:noProof/>
          <w:lang w:val="es-MX" w:eastAsia="es-MX"/>
        </w:rPr>
        <w:lastRenderedPageBreak/>
        <w:drawing>
          <wp:inline distT="0" distB="0" distL="0" distR="0" wp14:anchorId="28DD6E71" wp14:editId="109AE76A">
            <wp:extent cx="5467350" cy="35055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7424" cy="3518375"/>
                    </a:xfrm>
                    <a:prstGeom prst="rect">
                      <a:avLst/>
                    </a:prstGeom>
                    <a:noFill/>
                  </pic:spPr>
                </pic:pic>
              </a:graphicData>
            </a:graphic>
          </wp:inline>
        </w:drawing>
      </w:r>
    </w:p>
    <w:p w14:paraId="2A0A2D66" w14:textId="77777777" w:rsidR="006C3F4B" w:rsidRDefault="006C3F4B" w:rsidP="006C3F4B">
      <w:pPr>
        <w:spacing w:after="0" w:line="360" w:lineRule="auto"/>
        <w:jc w:val="center"/>
        <w:rPr>
          <w:rFonts w:ascii="Palatino Linotype" w:hAnsi="Palatino Linotype" w:cs="Tahoma"/>
        </w:rPr>
      </w:pPr>
    </w:p>
    <w:p w14:paraId="76A6AB04" w14:textId="50350170" w:rsidR="006C3F4B" w:rsidRDefault="006C3F4B" w:rsidP="00D3346E">
      <w:pPr>
        <w:spacing w:after="0" w:line="360" w:lineRule="auto"/>
        <w:jc w:val="both"/>
        <w:rPr>
          <w:rFonts w:ascii="Palatino Linotype" w:hAnsi="Palatino Linotype" w:cs="Tahoma"/>
        </w:rPr>
      </w:pPr>
      <w:r>
        <w:rPr>
          <w:rFonts w:ascii="Palatino Linotype" w:hAnsi="Palatino Linotype" w:cs="Tahoma"/>
        </w:rPr>
        <w:t xml:space="preserve">Conforme a lo anterior, se determinó modificar la respuesta del Tribunal de Justicia Administrativa del Estado de México y ordenar </w:t>
      </w:r>
      <w:r w:rsidR="00B17658">
        <w:rPr>
          <w:rFonts w:ascii="Palatino Linotype" w:hAnsi="Palatino Linotype" w:cs="Tahoma"/>
        </w:rPr>
        <w:t>la información estadística y los documentos que den cuenta de las funciones del actuario referido</w:t>
      </w:r>
      <w:r w:rsidR="00A43E77">
        <w:rPr>
          <w:rFonts w:ascii="Palatino Linotype" w:hAnsi="Palatino Linotype" w:cs="Tahoma"/>
        </w:rPr>
        <w:t xml:space="preserve"> (un servidor público en específico del que se proporcionó el nombre)</w:t>
      </w:r>
      <w:r w:rsidR="00B17658">
        <w:rPr>
          <w:rFonts w:ascii="Palatino Linotype" w:hAnsi="Palatino Linotype" w:cs="Tahoma"/>
        </w:rPr>
        <w:t xml:space="preserve">, motivo por el cual emito el presente voto disidente, ya que desde mi  perspectiva, </w:t>
      </w:r>
      <w:r w:rsidR="007E3F90">
        <w:rPr>
          <w:rFonts w:ascii="Palatino Linotype" w:hAnsi="Palatino Linotype" w:cs="Tahoma"/>
        </w:rPr>
        <w:t xml:space="preserve">se debió CONFIRMAR la respuesta, toda vez que del estudio de las competencias y atribuciones del Sujeto Obligado, no se advirtió fuente obligacional </w:t>
      </w:r>
      <w:r w:rsidR="00737BC9">
        <w:rPr>
          <w:rFonts w:ascii="Palatino Linotype" w:hAnsi="Palatino Linotype" w:cs="Tahoma"/>
        </w:rPr>
        <w:t xml:space="preserve">para generar la información estadística por servidor público. </w:t>
      </w:r>
    </w:p>
    <w:p w14:paraId="3C86469C" w14:textId="77777777" w:rsidR="006C3F4B" w:rsidRDefault="006C3F4B" w:rsidP="00D3346E">
      <w:pPr>
        <w:spacing w:after="0" w:line="360" w:lineRule="auto"/>
        <w:jc w:val="both"/>
        <w:rPr>
          <w:rFonts w:ascii="Palatino Linotype" w:hAnsi="Palatino Linotype" w:cs="Tahoma"/>
        </w:rPr>
      </w:pPr>
    </w:p>
    <w:p w14:paraId="056D93DF" w14:textId="5B081574" w:rsidR="00315199" w:rsidRPr="00315199" w:rsidRDefault="00315199" w:rsidP="00315199">
      <w:pPr>
        <w:spacing w:after="0" w:line="360" w:lineRule="auto"/>
        <w:jc w:val="both"/>
        <w:rPr>
          <w:rFonts w:ascii="Palatino Linotype" w:eastAsia="Calibri" w:hAnsi="Palatino Linotype" w:cs="Tahoma"/>
          <w:iCs/>
          <w:lang w:eastAsia="es-ES_tradnl"/>
        </w:rPr>
      </w:pPr>
      <w:r>
        <w:rPr>
          <w:rFonts w:ascii="Palatino Linotype" w:hAnsi="Palatino Linotype" w:cs="Tahoma"/>
        </w:rPr>
        <w:t xml:space="preserve">En principio,  se logra vislumbrar </w:t>
      </w:r>
      <w:r w:rsidRPr="00315199">
        <w:rPr>
          <w:rFonts w:ascii="Palatino Linotype" w:eastAsia="Times New Roman" w:hAnsi="Palatino Linotype" w:cs="Tahoma"/>
          <w:bCs/>
          <w:iCs/>
          <w:lang w:val="es-MX" w:eastAsia="es-ES"/>
        </w:rPr>
        <w:t xml:space="preserve">que la pretensión del ahora Recurrente es conocer información estadística de </w:t>
      </w:r>
      <w:r>
        <w:rPr>
          <w:rFonts w:ascii="Palatino Linotype" w:eastAsia="Times New Roman" w:hAnsi="Palatino Linotype" w:cs="Tahoma"/>
          <w:bCs/>
          <w:iCs/>
          <w:lang w:val="es-MX" w:eastAsia="es-ES"/>
        </w:rPr>
        <w:t>las notificaciones llevadas a cabo por un actuario; s</w:t>
      </w:r>
      <w:r w:rsidRPr="00315199">
        <w:rPr>
          <w:rFonts w:ascii="Palatino Linotype" w:eastAsia="Times New Roman" w:hAnsi="Palatino Linotype" w:cs="Tahoma"/>
          <w:bCs/>
          <w:iCs/>
          <w:lang w:val="es-MX" w:eastAsia="es-ES"/>
        </w:rPr>
        <w:t xml:space="preserve">obre esta situación el Criterio </w:t>
      </w:r>
      <w:r w:rsidRPr="00315199">
        <w:rPr>
          <w:rFonts w:ascii="Palatino Linotype" w:eastAsia="Calibri" w:hAnsi="Palatino Linotype" w:cs="Tahoma"/>
          <w:iCs/>
          <w:lang w:eastAsia="es-ES_tradnl"/>
        </w:rPr>
        <w:t>11/09, emitido por el Pleno del entonces Instituto Federal de Acceso a la Información y Protección de Datos, traído por analogía, establece lo siguiente:</w:t>
      </w:r>
    </w:p>
    <w:p w14:paraId="57CE7B39" w14:textId="77777777" w:rsidR="00315199" w:rsidRPr="00315199" w:rsidRDefault="00315199" w:rsidP="00315199">
      <w:pPr>
        <w:spacing w:after="0" w:line="360" w:lineRule="auto"/>
        <w:jc w:val="both"/>
        <w:rPr>
          <w:rFonts w:ascii="Palatino Linotype" w:eastAsia="Calibri" w:hAnsi="Palatino Linotype" w:cs="Tahoma"/>
          <w:iCs/>
          <w:lang w:eastAsia="es-ES_tradnl"/>
        </w:rPr>
      </w:pPr>
    </w:p>
    <w:p w14:paraId="275A0FCD" w14:textId="77777777" w:rsidR="00315199" w:rsidRPr="00315199" w:rsidRDefault="00315199" w:rsidP="00315199">
      <w:pPr>
        <w:spacing w:after="0" w:line="360" w:lineRule="auto"/>
        <w:ind w:left="567" w:right="567"/>
        <w:jc w:val="both"/>
        <w:rPr>
          <w:rFonts w:ascii="Palatino Linotype" w:eastAsia="Calibri" w:hAnsi="Palatino Linotype" w:cs="Tahoma"/>
          <w:bCs/>
          <w:i/>
          <w:sz w:val="20"/>
          <w:szCs w:val="20"/>
          <w:lang w:val="es-MX"/>
        </w:rPr>
      </w:pPr>
      <w:r w:rsidRPr="00315199">
        <w:rPr>
          <w:rFonts w:ascii="Palatino Linotype" w:eastAsia="Calibri" w:hAnsi="Palatino Linotype" w:cs="Tahoma"/>
          <w:b/>
          <w:bCs/>
          <w:i/>
          <w:sz w:val="20"/>
          <w:szCs w:val="20"/>
          <w:lang w:val="es-MX"/>
        </w:rPr>
        <w:t xml:space="preserve">“La información estadística es de naturaleza pública, independientemente de la materia con la que se encuentre vinculada. </w:t>
      </w:r>
      <w:r w:rsidRPr="00315199">
        <w:rPr>
          <w:rFonts w:ascii="Palatino Linotype" w:eastAsia="Calibri" w:hAnsi="Palatino Linotype" w:cs="Tahoma"/>
          <w:bCs/>
          <w:i/>
          <w:sz w:val="20"/>
          <w:szCs w:val="20"/>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451CF9FF" w14:textId="77777777" w:rsidR="00315199" w:rsidRPr="00315199" w:rsidRDefault="00315199" w:rsidP="00315199">
      <w:pPr>
        <w:spacing w:after="0" w:line="360" w:lineRule="auto"/>
        <w:ind w:right="-28"/>
        <w:contextualSpacing/>
        <w:jc w:val="both"/>
        <w:rPr>
          <w:rFonts w:ascii="Palatino Linotype" w:eastAsia="Times New Roman" w:hAnsi="Palatino Linotype" w:cs="Tahoma"/>
          <w:bCs/>
          <w:shd w:val="clear" w:color="auto" w:fill="FFFFFF"/>
          <w:lang w:val="es-MX" w:eastAsia="es-ES"/>
        </w:rPr>
      </w:pPr>
    </w:p>
    <w:p w14:paraId="03AF9344" w14:textId="77777777" w:rsidR="00315199" w:rsidRPr="00315199" w:rsidRDefault="00315199" w:rsidP="00315199">
      <w:pPr>
        <w:spacing w:after="0" w:line="360" w:lineRule="auto"/>
        <w:jc w:val="both"/>
        <w:rPr>
          <w:rFonts w:ascii="Palatino Linotype" w:eastAsia="Times New Roman" w:hAnsi="Palatino Linotype" w:cs="Tahoma"/>
          <w:lang w:val="es-MX" w:eastAsia="es-ES"/>
        </w:rPr>
      </w:pPr>
      <w:r w:rsidRPr="00315199">
        <w:rPr>
          <w:rFonts w:ascii="Palatino Linotype" w:eastAsia="Times New Roman" w:hAnsi="Palatino Linotype" w:cs="Tahoma"/>
          <w:lang w:val="es-MX" w:eastAsia="es-ES"/>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278C770F" w14:textId="2A776A27" w:rsidR="00315199" w:rsidRDefault="00315199" w:rsidP="00D3346E">
      <w:pPr>
        <w:spacing w:after="0" w:line="360" w:lineRule="auto"/>
        <w:jc w:val="both"/>
        <w:rPr>
          <w:rFonts w:ascii="Palatino Linotype" w:hAnsi="Palatino Linotype" w:cs="Tahoma"/>
        </w:rPr>
      </w:pPr>
    </w:p>
    <w:p w14:paraId="364659E0" w14:textId="70477C5B" w:rsidR="00315199" w:rsidRDefault="002C5FE4" w:rsidP="00D3346E">
      <w:pPr>
        <w:spacing w:after="0" w:line="360" w:lineRule="auto"/>
        <w:jc w:val="both"/>
        <w:rPr>
          <w:rFonts w:ascii="Palatino Linotype" w:hAnsi="Palatino Linotype" w:cs="Tahoma"/>
        </w:rPr>
      </w:pPr>
      <w:r>
        <w:rPr>
          <w:rFonts w:ascii="Palatino Linotype" w:hAnsi="Palatino Linotype" w:cs="Tahoma"/>
        </w:rPr>
        <w:t xml:space="preserve">Así mismo, el artículo 79 de la Ley Orgánica y 71 del Reglamento Interior, ambos del Tribunal de </w:t>
      </w:r>
      <w:r w:rsidRPr="002C5FE4">
        <w:rPr>
          <w:rFonts w:ascii="Palatino Linotype" w:hAnsi="Palatino Linotype" w:cs="Tahoma"/>
        </w:rPr>
        <w:t>Justicia Administrativa del Estado de México</w:t>
      </w:r>
      <w:r>
        <w:rPr>
          <w:rFonts w:ascii="Palatino Linotype" w:hAnsi="Palatino Linotype" w:cs="Tahoma"/>
        </w:rPr>
        <w:t xml:space="preserve">, precisan lo siguiente: </w:t>
      </w:r>
    </w:p>
    <w:p w14:paraId="017AB3B0" w14:textId="77777777" w:rsidR="002C5FE4" w:rsidRDefault="002C5FE4" w:rsidP="00D3346E">
      <w:pPr>
        <w:spacing w:after="0" w:line="360" w:lineRule="auto"/>
        <w:jc w:val="both"/>
        <w:rPr>
          <w:rFonts w:ascii="Palatino Linotype" w:hAnsi="Palatino Linotype" w:cs="Tahoma"/>
        </w:rPr>
      </w:pPr>
    </w:p>
    <w:p w14:paraId="6D0F2067" w14:textId="77777777" w:rsidR="002C5FE4" w:rsidRPr="002C5FE4" w:rsidRDefault="002C5FE4" w:rsidP="002C5FE4">
      <w:pPr>
        <w:pStyle w:val="paragraph"/>
        <w:spacing w:before="0" w:beforeAutospacing="0" w:after="0" w:afterAutospacing="0"/>
        <w:ind w:left="567" w:right="567"/>
        <w:jc w:val="both"/>
        <w:textAlignment w:val="baseline"/>
        <w:rPr>
          <w:rFonts w:ascii="Segoe UI" w:hAnsi="Segoe UI" w:cs="Segoe UI"/>
          <w:sz w:val="20"/>
          <w:szCs w:val="20"/>
        </w:rPr>
      </w:pPr>
      <w:r>
        <w:rPr>
          <w:rStyle w:val="eop"/>
          <w:rFonts w:ascii="Palatino Linotype" w:hAnsi="Palatino Linotype" w:cs="Segoe UI"/>
        </w:rPr>
        <w:t> </w:t>
      </w:r>
    </w:p>
    <w:p w14:paraId="785AF6BE"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normaltextrun"/>
          <w:rFonts w:ascii="Palatino Linotype" w:hAnsi="Palatino Linotype" w:cs="Segoe UI"/>
          <w:b/>
          <w:bCs/>
          <w:i/>
          <w:iCs/>
          <w:sz w:val="20"/>
          <w:szCs w:val="20"/>
        </w:rPr>
        <w:t>“LEY ORGÁNICA DEL TRIBUNAL DE JUSTICIA ADMINISTRATIVA DEL ESTADO DE MÉXICO</w:t>
      </w:r>
      <w:r w:rsidRPr="002C5FE4">
        <w:rPr>
          <w:rStyle w:val="eop"/>
          <w:rFonts w:ascii="Palatino Linotype" w:hAnsi="Palatino Linotype" w:cs="Segoe UI"/>
          <w:sz w:val="20"/>
          <w:szCs w:val="20"/>
        </w:rPr>
        <w:t> </w:t>
      </w:r>
    </w:p>
    <w:p w14:paraId="54B8C372"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eop"/>
          <w:rFonts w:ascii="Palatino Linotype" w:hAnsi="Palatino Linotype" w:cs="Segoe UI"/>
          <w:sz w:val="20"/>
          <w:szCs w:val="20"/>
        </w:rPr>
        <w:t> </w:t>
      </w:r>
    </w:p>
    <w:p w14:paraId="4F2EBFF5"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normaltextrun"/>
          <w:rFonts w:ascii="Palatino Linotype" w:hAnsi="Palatino Linotype" w:cs="Segoe UI"/>
          <w:b/>
          <w:bCs/>
          <w:i/>
          <w:iCs/>
          <w:sz w:val="20"/>
          <w:szCs w:val="20"/>
        </w:rPr>
        <w:t>Artículo 79</w:t>
      </w:r>
      <w:r w:rsidRPr="002C5FE4">
        <w:rPr>
          <w:rStyle w:val="normaltextrun"/>
          <w:rFonts w:ascii="Palatino Linotype" w:hAnsi="Palatino Linotype" w:cs="Segoe UI"/>
          <w:i/>
          <w:iCs/>
          <w:sz w:val="20"/>
          <w:szCs w:val="20"/>
        </w:rPr>
        <w:t xml:space="preserve">. La o el Jefe de la </w:t>
      </w:r>
      <w:r w:rsidRPr="002C5FE4">
        <w:rPr>
          <w:rStyle w:val="normaltextrun"/>
          <w:rFonts w:ascii="Palatino Linotype" w:hAnsi="Palatino Linotype" w:cs="Segoe UI"/>
          <w:i/>
          <w:iCs/>
          <w:sz w:val="20"/>
          <w:szCs w:val="20"/>
          <w:u w:val="single"/>
        </w:rPr>
        <w:t>Unidad de Informática</w:t>
      </w:r>
      <w:r w:rsidRPr="002C5FE4">
        <w:rPr>
          <w:rStyle w:val="normaltextrun"/>
          <w:rFonts w:ascii="Palatino Linotype" w:hAnsi="Palatino Linotype" w:cs="Segoe UI"/>
          <w:i/>
          <w:iCs/>
          <w:sz w:val="20"/>
          <w:szCs w:val="20"/>
        </w:rPr>
        <w:t xml:space="preserve"> tendrá las atribuciones y deberes siguientes:</w:t>
      </w:r>
      <w:r w:rsidRPr="002C5FE4">
        <w:rPr>
          <w:rStyle w:val="eop"/>
          <w:rFonts w:ascii="Palatino Linotype" w:hAnsi="Palatino Linotype" w:cs="Segoe UI"/>
          <w:sz w:val="20"/>
          <w:szCs w:val="20"/>
        </w:rPr>
        <w:t> </w:t>
      </w:r>
    </w:p>
    <w:p w14:paraId="4F870826"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normaltextrun"/>
          <w:rFonts w:ascii="Palatino Linotype" w:hAnsi="Palatino Linotype" w:cs="Segoe UI"/>
          <w:i/>
          <w:iCs/>
          <w:sz w:val="20"/>
          <w:szCs w:val="20"/>
        </w:rPr>
        <w:t>(…)</w:t>
      </w:r>
      <w:r w:rsidRPr="002C5FE4">
        <w:rPr>
          <w:rStyle w:val="eop"/>
          <w:rFonts w:ascii="Palatino Linotype" w:hAnsi="Palatino Linotype" w:cs="Segoe UI"/>
          <w:sz w:val="20"/>
          <w:szCs w:val="20"/>
        </w:rPr>
        <w:t> </w:t>
      </w:r>
    </w:p>
    <w:p w14:paraId="0A507419"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normaltextrun"/>
          <w:rFonts w:ascii="Palatino Linotype" w:hAnsi="Palatino Linotype" w:cs="Segoe UI"/>
          <w:b/>
          <w:bCs/>
          <w:i/>
          <w:iCs/>
          <w:sz w:val="20"/>
          <w:szCs w:val="20"/>
        </w:rPr>
        <w:lastRenderedPageBreak/>
        <w:t>II</w:t>
      </w:r>
      <w:r w:rsidRPr="002C5FE4">
        <w:rPr>
          <w:rStyle w:val="normaltextrun"/>
          <w:rFonts w:ascii="Palatino Linotype" w:hAnsi="Palatino Linotype" w:cs="Segoe UI"/>
          <w:i/>
          <w:iCs/>
          <w:sz w:val="20"/>
          <w:szCs w:val="20"/>
        </w:rPr>
        <w:t xml:space="preserve">. </w:t>
      </w:r>
      <w:r w:rsidRPr="002C5FE4">
        <w:rPr>
          <w:rStyle w:val="normaltextrun"/>
          <w:rFonts w:ascii="Palatino Linotype" w:hAnsi="Palatino Linotype" w:cs="Segoe UI"/>
          <w:b/>
          <w:i/>
          <w:iCs/>
          <w:sz w:val="20"/>
          <w:szCs w:val="20"/>
        </w:rPr>
        <w:t>Formular la estadística</w:t>
      </w:r>
      <w:r w:rsidRPr="002C5FE4">
        <w:rPr>
          <w:rStyle w:val="normaltextrun"/>
          <w:rFonts w:ascii="Palatino Linotype" w:hAnsi="Palatino Linotype" w:cs="Segoe UI"/>
          <w:i/>
          <w:iCs/>
          <w:sz w:val="20"/>
          <w:szCs w:val="20"/>
        </w:rPr>
        <w:t xml:space="preserve"> de los juicios, así como de los recursos de revisión tramitados y </w:t>
      </w:r>
      <w:r w:rsidRPr="002C5FE4">
        <w:rPr>
          <w:rStyle w:val="normaltextrun"/>
          <w:rFonts w:ascii="Palatino Linotype" w:hAnsi="Palatino Linotype" w:cs="Segoe UI"/>
          <w:b/>
          <w:i/>
          <w:iCs/>
          <w:sz w:val="20"/>
          <w:szCs w:val="20"/>
          <w:u w:val="single"/>
        </w:rPr>
        <w:t>resueltos por las Salas y Secciones del Tribunal</w:t>
      </w:r>
      <w:r w:rsidRPr="002C5FE4">
        <w:rPr>
          <w:rStyle w:val="normaltextrun"/>
          <w:rFonts w:ascii="Palatino Linotype" w:hAnsi="Palatino Linotype" w:cs="Segoe UI"/>
          <w:i/>
          <w:iCs/>
          <w:sz w:val="20"/>
          <w:szCs w:val="20"/>
        </w:rPr>
        <w:t>;</w:t>
      </w:r>
      <w:r w:rsidRPr="002C5FE4">
        <w:rPr>
          <w:rStyle w:val="eop"/>
          <w:rFonts w:ascii="Palatino Linotype" w:hAnsi="Palatino Linotype" w:cs="Segoe UI"/>
          <w:sz w:val="20"/>
          <w:szCs w:val="20"/>
        </w:rPr>
        <w:t> </w:t>
      </w:r>
    </w:p>
    <w:p w14:paraId="4B8291D6"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normaltextrun"/>
          <w:rFonts w:ascii="Palatino Linotype" w:hAnsi="Palatino Linotype" w:cs="Segoe UI"/>
          <w:i/>
          <w:iCs/>
          <w:sz w:val="20"/>
          <w:szCs w:val="20"/>
        </w:rPr>
        <w:t>(…)</w:t>
      </w:r>
      <w:r w:rsidRPr="002C5FE4">
        <w:rPr>
          <w:rStyle w:val="eop"/>
          <w:rFonts w:ascii="Palatino Linotype" w:hAnsi="Palatino Linotype" w:cs="Segoe UI"/>
          <w:sz w:val="20"/>
          <w:szCs w:val="20"/>
        </w:rPr>
        <w:t> </w:t>
      </w:r>
    </w:p>
    <w:p w14:paraId="6B21A5C4"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normaltextrun"/>
          <w:rFonts w:ascii="Palatino Linotype" w:hAnsi="Palatino Linotype" w:cs="Segoe UI"/>
          <w:b/>
          <w:bCs/>
          <w:i/>
          <w:iCs/>
          <w:sz w:val="20"/>
          <w:szCs w:val="20"/>
        </w:rPr>
        <w:t>IX</w:t>
      </w:r>
      <w:r w:rsidRPr="002C5FE4">
        <w:rPr>
          <w:rStyle w:val="normaltextrun"/>
          <w:rFonts w:ascii="Palatino Linotype" w:hAnsi="Palatino Linotype" w:cs="Segoe UI"/>
          <w:i/>
          <w:iCs/>
          <w:sz w:val="20"/>
          <w:szCs w:val="20"/>
        </w:rPr>
        <w:t>. Realizar la actualización bimestral de la información estadística, gráfica y documental del portal informativo del Tribunal;</w:t>
      </w:r>
      <w:r w:rsidRPr="002C5FE4">
        <w:rPr>
          <w:rStyle w:val="eop"/>
          <w:rFonts w:ascii="Palatino Linotype" w:hAnsi="Palatino Linotype" w:cs="Segoe UI"/>
          <w:sz w:val="20"/>
          <w:szCs w:val="20"/>
        </w:rPr>
        <w:t> </w:t>
      </w:r>
    </w:p>
    <w:p w14:paraId="04E1470B"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normaltextrun"/>
          <w:rFonts w:ascii="Palatino Linotype" w:hAnsi="Palatino Linotype" w:cs="Segoe UI"/>
          <w:i/>
          <w:iCs/>
          <w:sz w:val="20"/>
          <w:szCs w:val="20"/>
        </w:rPr>
        <w:t>(…)</w:t>
      </w:r>
      <w:r w:rsidRPr="002C5FE4">
        <w:rPr>
          <w:rStyle w:val="eop"/>
          <w:rFonts w:ascii="Palatino Linotype" w:hAnsi="Palatino Linotype" w:cs="Segoe UI"/>
          <w:sz w:val="20"/>
          <w:szCs w:val="20"/>
        </w:rPr>
        <w:t> </w:t>
      </w:r>
    </w:p>
    <w:p w14:paraId="516F27C5"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normaltextrun"/>
          <w:rFonts w:ascii="Palatino Linotype" w:hAnsi="Palatino Linotype" w:cs="Segoe UI"/>
          <w:b/>
          <w:bCs/>
          <w:i/>
          <w:iCs/>
          <w:sz w:val="20"/>
          <w:szCs w:val="20"/>
        </w:rPr>
        <w:t>XIII</w:t>
      </w:r>
      <w:r w:rsidRPr="002C5FE4">
        <w:rPr>
          <w:rStyle w:val="normaltextrun"/>
          <w:rFonts w:ascii="Palatino Linotype" w:hAnsi="Palatino Linotype" w:cs="Segoe UI"/>
          <w:i/>
          <w:iCs/>
          <w:sz w:val="20"/>
          <w:szCs w:val="20"/>
        </w:rPr>
        <w:t>. Coordinar con los Actuarios del Tribunal, las notificaciones electrónicas en los términos de la Ley de Gobierno Digital del Estado de México y Municipios; y”</w:t>
      </w:r>
      <w:r w:rsidRPr="002C5FE4">
        <w:rPr>
          <w:rStyle w:val="eop"/>
          <w:rFonts w:ascii="Palatino Linotype" w:hAnsi="Palatino Linotype" w:cs="Segoe UI"/>
          <w:sz w:val="20"/>
          <w:szCs w:val="20"/>
        </w:rPr>
        <w:t> </w:t>
      </w:r>
    </w:p>
    <w:p w14:paraId="305581F1"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eop"/>
          <w:rFonts w:ascii="Palatino Linotype" w:hAnsi="Palatino Linotype" w:cs="Segoe UI"/>
          <w:sz w:val="20"/>
          <w:szCs w:val="20"/>
        </w:rPr>
        <w:t> </w:t>
      </w:r>
    </w:p>
    <w:p w14:paraId="5B66B811" w14:textId="77777777"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normaltextrun"/>
          <w:rFonts w:ascii="Palatino Linotype" w:hAnsi="Palatino Linotype" w:cs="Segoe UI"/>
          <w:b/>
          <w:bCs/>
          <w:i/>
          <w:iCs/>
          <w:sz w:val="20"/>
          <w:szCs w:val="20"/>
        </w:rPr>
        <w:t>REGLAMENTO INTERIOR DEL TRIBUNAL DE JUSTICIA ADMINISTRATIVA DEL ESTADO DE MÉXICO</w:t>
      </w:r>
      <w:r w:rsidRPr="002C5FE4">
        <w:rPr>
          <w:rStyle w:val="eop"/>
          <w:rFonts w:ascii="Palatino Linotype" w:hAnsi="Palatino Linotype" w:cs="Segoe UI"/>
          <w:sz w:val="20"/>
          <w:szCs w:val="20"/>
        </w:rPr>
        <w:t> </w:t>
      </w:r>
    </w:p>
    <w:p w14:paraId="1B02C8B9" w14:textId="5960E2CD" w:rsidR="002C5FE4" w:rsidRPr="002C5FE4" w:rsidRDefault="002C5FE4" w:rsidP="002C5FE4">
      <w:pPr>
        <w:pStyle w:val="paragraph"/>
        <w:spacing w:before="0" w:beforeAutospacing="0" w:after="0" w:afterAutospacing="0" w:line="360" w:lineRule="auto"/>
        <w:ind w:left="567" w:right="567"/>
        <w:jc w:val="both"/>
        <w:textAlignment w:val="baseline"/>
        <w:rPr>
          <w:rFonts w:ascii="Segoe UI" w:hAnsi="Segoe UI" w:cs="Segoe UI"/>
          <w:sz w:val="20"/>
          <w:szCs w:val="20"/>
        </w:rPr>
      </w:pPr>
      <w:r w:rsidRPr="002C5FE4">
        <w:rPr>
          <w:rStyle w:val="normaltextrun"/>
          <w:rFonts w:ascii="Palatino Linotype" w:hAnsi="Palatino Linotype" w:cs="Segoe UI"/>
          <w:b/>
          <w:bCs/>
          <w:i/>
          <w:iCs/>
          <w:sz w:val="20"/>
          <w:szCs w:val="20"/>
        </w:rPr>
        <w:t>Artículo 37</w:t>
      </w:r>
      <w:r w:rsidRPr="002C5FE4">
        <w:rPr>
          <w:rStyle w:val="normaltextrun"/>
          <w:rFonts w:ascii="Palatino Linotype" w:hAnsi="Palatino Linotype" w:cs="Segoe UI"/>
          <w:i/>
          <w:iCs/>
          <w:sz w:val="20"/>
          <w:szCs w:val="20"/>
        </w:rPr>
        <w:t xml:space="preserve">. La </w:t>
      </w:r>
      <w:r w:rsidRPr="002C5FE4">
        <w:rPr>
          <w:rStyle w:val="normaltextrun"/>
          <w:rFonts w:ascii="Palatino Linotype" w:hAnsi="Palatino Linotype" w:cs="Segoe UI"/>
          <w:i/>
          <w:iCs/>
          <w:sz w:val="20"/>
          <w:szCs w:val="20"/>
          <w:u w:val="single"/>
        </w:rPr>
        <w:t>Presidencia del Tribunal</w:t>
      </w:r>
      <w:r w:rsidRPr="002C5FE4">
        <w:rPr>
          <w:rStyle w:val="normaltextrun"/>
          <w:rFonts w:ascii="Palatino Linotype" w:hAnsi="Palatino Linotype" w:cs="Segoe UI"/>
          <w:i/>
          <w:iCs/>
          <w:sz w:val="20"/>
          <w:szCs w:val="20"/>
        </w:rPr>
        <w:t xml:space="preserve"> recibirá semanalmente de las Secciones, </w:t>
      </w:r>
      <w:r w:rsidRPr="002C5FE4">
        <w:rPr>
          <w:rStyle w:val="normaltextrun"/>
          <w:rFonts w:ascii="Palatino Linotype" w:hAnsi="Palatino Linotype" w:cs="Segoe UI"/>
          <w:b/>
          <w:i/>
          <w:iCs/>
          <w:sz w:val="20"/>
          <w:szCs w:val="20"/>
          <w:u w:val="single"/>
        </w:rPr>
        <w:t>Salas Regionales o Salas Especializadas, Magistraturas Supernumerarias, Unidad de Asesoría</w:t>
      </w:r>
      <w:r w:rsidRPr="002C5FE4">
        <w:rPr>
          <w:rStyle w:val="eop"/>
          <w:rFonts w:ascii="Palatino Linotype" w:hAnsi="Palatino Linotype" w:cs="Segoe UI"/>
          <w:b/>
          <w:sz w:val="20"/>
          <w:szCs w:val="20"/>
          <w:u w:val="single"/>
        </w:rPr>
        <w:t xml:space="preserve"> </w:t>
      </w:r>
      <w:r w:rsidRPr="002C5FE4">
        <w:rPr>
          <w:rStyle w:val="normaltextrun"/>
          <w:rFonts w:ascii="Palatino Linotype" w:hAnsi="Palatino Linotype" w:cs="Segoe UI"/>
          <w:b/>
          <w:i/>
          <w:iCs/>
          <w:sz w:val="20"/>
          <w:szCs w:val="20"/>
          <w:u w:val="single"/>
        </w:rPr>
        <w:t>Comisionada y de la Unidad de Estudios y Proyectos Especiales,</w:t>
      </w:r>
      <w:r w:rsidRPr="002C5FE4">
        <w:rPr>
          <w:rStyle w:val="normaltextrun"/>
          <w:rFonts w:ascii="Palatino Linotype" w:hAnsi="Palatino Linotype" w:cs="Segoe UI"/>
          <w:i/>
          <w:iCs/>
          <w:sz w:val="20"/>
          <w:szCs w:val="20"/>
        </w:rPr>
        <w:t xml:space="preserve"> los datos </w:t>
      </w:r>
      <w:r w:rsidRPr="002C5FE4">
        <w:rPr>
          <w:rStyle w:val="normaltextrun"/>
          <w:rFonts w:ascii="Palatino Linotype" w:hAnsi="Palatino Linotype" w:cs="Segoe UI"/>
          <w:i/>
          <w:iCs/>
          <w:sz w:val="20"/>
          <w:szCs w:val="20"/>
          <w:u w:val="single"/>
        </w:rPr>
        <w:t>estadísticos</w:t>
      </w:r>
      <w:r w:rsidRPr="002C5FE4">
        <w:rPr>
          <w:rStyle w:val="normaltextrun"/>
          <w:rFonts w:ascii="Palatino Linotype" w:hAnsi="Palatino Linotype" w:cs="Segoe UI"/>
          <w:i/>
          <w:iCs/>
          <w:sz w:val="20"/>
          <w:szCs w:val="20"/>
        </w:rPr>
        <w:t xml:space="preserve"> de los asuntos de su competencia.</w:t>
      </w:r>
      <w:r w:rsidRPr="002C5FE4">
        <w:rPr>
          <w:rStyle w:val="eop"/>
          <w:rFonts w:ascii="Palatino Linotype" w:hAnsi="Palatino Linotype" w:cs="Segoe UI"/>
          <w:sz w:val="20"/>
          <w:szCs w:val="20"/>
        </w:rPr>
        <w:t> </w:t>
      </w:r>
    </w:p>
    <w:p w14:paraId="6F109F65" w14:textId="77777777" w:rsidR="002C5FE4" w:rsidRDefault="002C5FE4" w:rsidP="00D3346E">
      <w:pPr>
        <w:spacing w:after="0" w:line="360" w:lineRule="auto"/>
        <w:jc w:val="both"/>
        <w:rPr>
          <w:rFonts w:ascii="Palatino Linotype" w:hAnsi="Palatino Linotype" w:cs="Tahoma"/>
        </w:rPr>
      </w:pPr>
    </w:p>
    <w:p w14:paraId="612AAFA4" w14:textId="1710EB54" w:rsidR="00737BC9" w:rsidRPr="00737BC9" w:rsidRDefault="00737BC9" w:rsidP="00737BC9">
      <w:pPr>
        <w:widowControl w:val="0"/>
        <w:spacing w:after="0" w:line="360" w:lineRule="auto"/>
        <w:jc w:val="both"/>
        <w:rPr>
          <w:rFonts w:ascii="Palatino Linotype" w:eastAsia="Times New Roman" w:hAnsi="Palatino Linotype" w:cs="Tahoma"/>
          <w:b/>
          <w:u w:val="single"/>
          <w:lang w:val="es-MX" w:eastAsia="es-ES"/>
        </w:rPr>
      </w:pPr>
      <w:r w:rsidRPr="00737BC9">
        <w:rPr>
          <w:rFonts w:ascii="Palatino Linotype" w:eastAsia="Times New Roman" w:hAnsi="Palatino Linotype" w:cs="Times New Roman"/>
          <w:iCs/>
          <w:szCs w:val="20"/>
          <w:lang w:eastAsia="es-ES"/>
        </w:rPr>
        <w:t xml:space="preserve">Conforme a lo anterior, se </w:t>
      </w:r>
      <w:r w:rsidR="002C5FE4">
        <w:rPr>
          <w:rFonts w:ascii="Palatino Linotype" w:eastAsia="Times New Roman" w:hAnsi="Palatino Linotype" w:cs="Times New Roman"/>
          <w:iCs/>
          <w:szCs w:val="20"/>
          <w:lang w:eastAsia="es-ES"/>
        </w:rPr>
        <w:t xml:space="preserve">logra vislumbrar que el Sujeto Obligado  </w:t>
      </w:r>
      <w:r w:rsidR="00230157" w:rsidRPr="00230157">
        <w:rPr>
          <w:rFonts w:ascii="Palatino Linotype" w:eastAsia="Times New Roman" w:hAnsi="Palatino Linotype" w:cs="Times New Roman"/>
          <w:b/>
          <w:iCs/>
          <w:szCs w:val="20"/>
          <w:lang w:eastAsia="es-ES"/>
        </w:rPr>
        <w:t>no genera información estadística por servidor público, si no, más bien por Salas y Secciones del Tribunal</w:t>
      </w:r>
      <w:r w:rsidR="00230157">
        <w:rPr>
          <w:rFonts w:ascii="Palatino Linotype" w:eastAsia="Times New Roman" w:hAnsi="Palatino Linotype" w:cs="Times New Roman"/>
          <w:b/>
          <w:iCs/>
          <w:szCs w:val="20"/>
          <w:lang w:eastAsia="es-ES"/>
        </w:rPr>
        <w:t xml:space="preserve">, </w:t>
      </w:r>
      <w:r w:rsidR="00230157" w:rsidRPr="00230157">
        <w:rPr>
          <w:rFonts w:ascii="Palatino Linotype" w:eastAsia="Times New Roman" w:hAnsi="Palatino Linotype" w:cs="Times New Roman"/>
          <w:iCs/>
          <w:szCs w:val="20"/>
          <w:lang w:eastAsia="es-ES"/>
        </w:rPr>
        <w:t>en este sentido se colige</w:t>
      </w:r>
      <w:r w:rsidR="00230157">
        <w:rPr>
          <w:rFonts w:ascii="Palatino Linotype" w:eastAsia="Times New Roman" w:hAnsi="Palatino Linotype" w:cs="Times New Roman"/>
          <w:iCs/>
          <w:szCs w:val="20"/>
          <w:lang w:eastAsia="es-ES"/>
        </w:rPr>
        <w:t xml:space="preserve"> </w:t>
      </w:r>
      <w:r w:rsidRPr="00737BC9">
        <w:rPr>
          <w:rFonts w:ascii="Palatino Linotype" w:eastAsia="Times New Roman" w:hAnsi="Palatino Linotype" w:cs="Times New Roman"/>
          <w:iCs/>
          <w:szCs w:val="20"/>
          <w:lang w:eastAsia="es-ES"/>
        </w:rPr>
        <w:t xml:space="preserve">que el Sujeto Obligado, desde respuesta, </w:t>
      </w:r>
      <w:r w:rsidRPr="00737BC9">
        <w:rPr>
          <w:rFonts w:ascii="Palatino Linotype" w:eastAsia="Times New Roman" w:hAnsi="Palatino Linotype" w:cs="Times New Roman"/>
          <w:b/>
          <w:iCs/>
          <w:szCs w:val="20"/>
          <w:lang w:eastAsia="es-ES"/>
        </w:rPr>
        <w:t xml:space="preserve">proporcionó la información que obraba en sus archivos y da cuenta de la información peticionada, a saber, </w:t>
      </w:r>
      <w:r w:rsidRPr="00230157">
        <w:rPr>
          <w:rFonts w:ascii="Palatino Linotype" w:eastAsia="Times New Roman" w:hAnsi="Palatino Linotype" w:cs="Times New Roman"/>
          <w:b/>
          <w:iCs/>
          <w:szCs w:val="20"/>
          <w:lang w:eastAsia="es-ES"/>
        </w:rPr>
        <w:t xml:space="preserve">la información estadística </w:t>
      </w:r>
      <w:r w:rsidR="00230157" w:rsidRPr="00230157">
        <w:rPr>
          <w:rFonts w:ascii="Palatino Linotype" w:eastAsia="Times New Roman" w:hAnsi="Palatino Linotype" w:cs="Times New Roman"/>
          <w:b/>
          <w:iCs/>
          <w:szCs w:val="20"/>
          <w:lang w:eastAsia="es-ES"/>
        </w:rPr>
        <w:t>de las</w:t>
      </w:r>
      <w:r w:rsidR="00230157">
        <w:rPr>
          <w:rFonts w:ascii="Palatino Linotype" w:eastAsia="Times New Roman" w:hAnsi="Palatino Linotype" w:cs="Times New Roman"/>
          <w:b/>
          <w:iCs/>
          <w:szCs w:val="20"/>
          <w:lang w:eastAsia="es-ES"/>
        </w:rPr>
        <w:t xml:space="preserve"> notificaciones realizadas por S</w:t>
      </w:r>
      <w:r w:rsidR="00230157" w:rsidRPr="00230157">
        <w:rPr>
          <w:rFonts w:ascii="Palatino Linotype" w:eastAsia="Times New Roman" w:hAnsi="Palatino Linotype" w:cs="Times New Roman"/>
          <w:b/>
          <w:iCs/>
          <w:szCs w:val="20"/>
          <w:lang w:eastAsia="es-ES"/>
        </w:rPr>
        <w:t>alas y las dem</w:t>
      </w:r>
      <w:r w:rsidR="00230157">
        <w:rPr>
          <w:rFonts w:ascii="Palatino Linotype" w:eastAsia="Times New Roman" w:hAnsi="Palatino Linotype" w:cs="Times New Roman"/>
          <w:b/>
          <w:iCs/>
          <w:szCs w:val="20"/>
          <w:lang w:eastAsia="es-ES"/>
        </w:rPr>
        <w:t>ás Secciones del T</w:t>
      </w:r>
      <w:r w:rsidR="00230157" w:rsidRPr="00230157">
        <w:rPr>
          <w:rFonts w:ascii="Palatino Linotype" w:eastAsia="Times New Roman" w:hAnsi="Palatino Linotype" w:cs="Times New Roman"/>
          <w:b/>
          <w:iCs/>
          <w:szCs w:val="20"/>
          <w:lang w:eastAsia="es-ES"/>
        </w:rPr>
        <w:t>ribunal</w:t>
      </w:r>
      <w:r w:rsidRPr="00737BC9">
        <w:rPr>
          <w:rFonts w:ascii="Palatino Linotype" w:eastAsia="Times New Roman" w:hAnsi="Palatino Linotype" w:cs="Times New Roman"/>
          <w:iCs/>
          <w:szCs w:val="20"/>
          <w:lang w:eastAsia="es-ES"/>
        </w:rPr>
        <w:t xml:space="preserve">; sobre el tema, </w:t>
      </w:r>
      <w:r w:rsidRPr="00737BC9">
        <w:rPr>
          <w:rFonts w:ascii="Palatino Linotype" w:eastAsia="Calibri" w:hAnsi="Palatino Linotype" w:cs="Tahoma"/>
          <w:bCs/>
          <w:lang w:val="es-MX"/>
        </w:rPr>
        <w:t>el</w:t>
      </w:r>
      <w:r w:rsidRPr="00737BC9">
        <w:rPr>
          <w:rFonts w:ascii="Palatino Linotype" w:eastAsia="Times New Roman" w:hAnsi="Palatino Linotype" w:cs="Tahoma"/>
          <w:lang w:val="es-MX" w:eastAsia="es-ES"/>
        </w:rPr>
        <w:t xml:space="preserve"> artículo 12 de la Ley de Transparencia y Acceso a la Información Pública del Estado de México y Municipios, que establece que </w:t>
      </w:r>
      <w:r w:rsidRPr="00737BC9">
        <w:rPr>
          <w:rFonts w:ascii="Palatino Linotype" w:eastAsia="Times New Roman" w:hAnsi="Palatino Linotype" w:cs="Tahoma"/>
          <w:u w:val="single"/>
          <w:lang w:val="es-MX" w:eastAsia="es-ES"/>
        </w:rPr>
        <w:t xml:space="preserve">los sujetos obligados sólo están constreñidos a proporcionar la información pública que obre en sus archivos, en el estado en que esta se encuentre; por lo que, </w:t>
      </w:r>
      <w:r w:rsidRPr="00737BC9">
        <w:rPr>
          <w:rFonts w:ascii="Palatino Linotype" w:eastAsia="Times New Roman" w:hAnsi="Palatino Linotype" w:cs="Tahoma"/>
          <w:b/>
          <w:u w:val="single"/>
          <w:lang w:val="es-MX" w:eastAsia="es-ES"/>
        </w:rPr>
        <w:t>la entrega no comprende el procesamiento de la misma, ni presentarla conforme al interés del Solicitante.</w:t>
      </w:r>
    </w:p>
    <w:p w14:paraId="3DA1073C" w14:textId="77777777" w:rsidR="00737BC9" w:rsidRPr="00737BC9" w:rsidRDefault="00737BC9" w:rsidP="00737BC9">
      <w:pPr>
        <w:spacing w:after="0" w:line="360" w:lineRule="auto"/>
        <w:jc w:val="both"/>
        <w:rPr>
          <w:rFonts w:ascii="Palatino Linotype" w:eastAsia="Times New Roman" w:hAnsi="Palatino Linotype" w:cs="Tahoma"/>
          <w:bCs/>
          <w:iCs/>
          <w:lang w:val="es-ES_tradnl" w:eastAsia="es-ES"/>
        </w:rPr>
      </w:pPr>
    </w:p>
    <w:p w14:paraId="659F6EC6" w14:textId="77777777" w:rsidR="00737BC9" w:rsidRDefault="00737BC9" w:rsidP="00737BC9">
      <w:pPr>
        <w:tabs>
          <w:tab w:val="left" w:pos="4962"/>
        </w:tabs>
        <w:spacing w:after="0" w:line="360" w:lineRule="auto"/>
        <w:jc w:val="both"/>
        <w:rPr>
          <w:rFonts w:ascii="Palatino Linotype" w:eastAsia="Times New Roman" w:hAnsi="Palatino Linotype" w:cs="Tahoma"/>
          <w:lang w:val="es-MX" w:eastAsia="es-ES"/>
        </w:rPr>
      </w:pPr>
      <w:r w:rsidRPr="00737BC9">
        <w:rPr>
          <w:rFonts w:ascii="Palatino Linotype" w:eastAsia="Times New Roman" w:hAnsi="Palatino Linotype" w:cs="Tahoma"/>
          <w:lang w:val="es-MX" w:eastAsia="es-ES"/>
        </w:rPr>
        <w:lastRenderedPageBreak/>
        <w:t xml:space="preserve">De esta manera, </w:t>
      </w:r>
      <w:r w:rsidRPr="00737BC9">
        <w:rPr>
          <w:rFonts w:ascii="Palatino Linotype" w:eastAsia="Times New Roman" w:hAnsi="Palatino Linotype" w:cs="Tahoma"/>
          <w:szCs w:val="24"/>
          <w:lang w:eastAsia="es-ES"/>
        </w:rPr>
        <w:t xml:space="preserve">el derecho de acceso a la información pública se satisface en aquellos casos en que se entregue el soporte documental en el que conste la información solicitada, sin necesidad de elaborar documentos </w:t>
      </w:r>
      <w:r w:rsidRPr="00737BC9">
        <w:rPr>
          <w:rFonts w:ascii="Palatino Linotype" w:eastAsia="Times New Roman" w:hAnsi="Palatino Linotype" w:cs="Tahoma"/>
          <w:i/>
          <w:lang w:val="es-MX" w:eastAsia="es-ES"/>
        </w:rPr>
        <w:t>ad hoc</w:t>
      </w:r>
      <w:r w:rsidRPr="00737BC9">
        <w:rPr>
          <w:rFonts w:ascii="Palatino Linotype" w:eastAsia="Times New Roman" w:hAnsi="Palatino Linotype" w:cs="Tahoma"/>
          <w:lang w:val="es-MX"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4FF24D7" w14:textId="77777777" w:rsidR="00BD6AEE" w:rsidRPr="00737BC9" w:rsidRDefault="00BD6AEE" w:rsidP="00737BC9">
      <w:pPr>
        <w:tabs>
          <w:tab w:val="left" w:pos="4962"/>
        </w:tabs>
        <w:spacing w:after="0" w:line="360" w:lineRule="auto"/>
        <w:jc w:val="both"/>
        <w:rPr>
          <w:rFonts w:ascii="Palatino Linotype" w:eastAsia="Times New Roman" w:hAnsi="Palatino Linotype" w:cs="Tahoma"/>
          <w:lang w:val="es-MX" w:eastAsia="es-ES"/>
        </w:rPr>
      </w:pPr>
    </w:p>
    <w:p w14:paraId="3EB96BC1" w14:textId="152875E6" w:rsidR="002F4CEB" w:rsidRPr="00666305" w:rsidRDefault="00BD6AEE" w:rsidP="0005610F">
      <w:pPr>
        <w:spacing w:after="0" w:line="360" w:lineRule="auto"/>
        <w:jc w:val="both"/>
        <w:rPr>
          <w:rFonts w:ascii="Palatino Linotype" w:eastAsia="Calibri" w:hAnsi="Palatino Linotype" w:cs="Times New Roman"/>
        </w:rPr>
      </w:pPr>
      <w:r w:rsidRPr="00BD6AEE">
        <w:rPr>
          <w:rFonts w:ascii="Palatino Linotype" w:eastAsia="Calibri" w:hAnsi="Palatino Linotype" w:cs="Times New Roman"/>
        </w:rPr>
        <w:t xml:space="preserve">Con base en lo expuesto, </w:t>
      </w:r>
      <w:r w:rsidR="00666305">
        <w:rPr>
          <w:rFonts w:ascii="Palatino Linotype" w:eastAsia="Calibri" w:hAnsi="Palatino Linotype" w:cs="Times New Roman"/>
        </w:rPr>
        <w:t>considero que al haber proporcionado la estadística de las notificaciones que se generan por las Salas y las</w:t>
      </w:r>
      <w:r w:rsidRPr="00BD6AEE">
        <w:rPr>
          <w:rFonts w:ascii="Palatino Linotype" w:eastAsia="Calibri" w:hAnsi="Palatino Linotype" w:cs="Times New Roman"/>
        </w:rPr>
        <w:t xml:space="preserve"> </w:t>
      </w:r>
      <w:r w:rsidR="00666305" w:rsidRPr="00666305">
        <w:rPr>
          <w:rFonts w:ascii="Palatino Linotype" w:eastAsia="Calibri" w:hAnsi="Palatino Linotype" w:cs="Times New Roman"/>
        </w:rPr>
        <w:t>demás Secciones del Tribunal</w:t>
      </w:r>
      <w:r w:rsidR="00666305">
        <w:rPr>
          <w:rFonts w:ascii="Palatino Linotype" w:eastAsia="Calibri" w:hAnsi="Palatino Linotype" w:cs="Times New Roman"/>
        </w:rPr>
        <w:t xml:space="preserve">, se </w:t>
      </w:r>
      <w:r w:rsidR="00A43E77">
        <w:rPr>
          <w:rFonts w:ascii="Palatino Linotype" w:eastAsia="Calibri" w:hAnsi="Palatino Linotype" w:cs="Times New Roman"/>
        </w:rPr>
        <w:t>atendió</w:t>
      </w:r>
      <w:r w:rsidR="00666305">
        <w:rPr>
          <w:rFonts w:ascii="Palatino Linotype" w:eastAsia="Calibri" w:hAnsi="Palatino Linotype" w:cs="Times New Roman"/>
        </w:rPr>
        <w:t xml:space="preserve"> desde respuesta </w:t>
      </w:r>
      <w:r w:rsidRPr="00BD6AEE">
        <w:rPr>
          <w:rFonts w:ascii="Palatino Linotype" w:eastAsia="Calibri" w:hAnsi="Palatino Linotype" w:cs="Times New Roman"/>
        </w:rPr>
        <w:t xml:space="preserve">el </w:t>
      </w:r>
      <w:r>
        <w:rPr>
          <w:rFonts w:ascii="Palatino Linotype" w:eastAsia="Calibri" w:hAnsi="Palatino Linotype" w:cs="Times New Roman"/>
        </w:rPr>
        <w:t xml:space="preserve">requerimiento de información </w:t>
      </w:r>
      <w:r w:rsidR="00A43E77">
        <w:rPr>
          <w:rFonts w:ascii="Palatino Linotype" w:eastAsia="Calibri" w:hAnsi="Palatino Linotype" w:cs="Times New Roman"/>
        </w:rPr>
        <w:t>por lo que</w:t>
      </w:r>
      <w:r w:rsidR="007B5958">
        <w:rPr>
          <w:rFonts w:ascii="Palatino Linotype" w:eastAsia="Calibri" w:hAnsi="Palatino Linotype" w:cs="Times New Roman"/>
        </w:rPr>
        <w:t xml:space="preserve"> el sentido de la resolución debe ser </w:t>
      </w:r>
      <w:r w:rsidR="00A43E77">
        <w:rPr>
          <w:rFonts w:ascii="Palatino Linotype" w:eastAsia="Calibri" w:hAnsi="Palatino Linotype" w:cs="Times New Roman"/>
        </w:rPr>
        <w:t>confirma</w:t>
      </w:r>
      <w:bookmarkStart w:id="0" w:name="_GoBack"/>
      <w:bookmarkEnd w:id="0"/>
      <w:r w:rsidR="00666305">
        <w:rPr>
          <w:rFonts w:ascii="Palatino Linotype" w:eastAsia="Calibri" w:hAnsi="Palatino Linotype" w:cs="Times New Roman"/>
        </w:rPr>
        <w:t>.</w:t>
      </w:r>
      <w:r w:rsidR="00666305" w:rsidRPr="00DF675F">
        <w:rPr>
          <w:rFonts w:ascii="Palatino Linotype" w:hAnsi="Palatino Linotype" w:cs="Tahoma"/>
        </w:rPr>
        <w:t xml:space="preserve"> Así</w:t>
      </w:r>
      <w:r w:rsidR="002F4CEB" w:rsidRPr="00DF675F">
        <w:rPr>
          <w:rFonts w:ascii="Palatino Linotype" w:hAnsi="Palatino Linotype" w:cs="Tahoma"/>
        </w:rPr>
        <w:t xml:space="preserve">, con base en los razonamientos expuestos, se emite el Presente </w:t>
      </w:r>
      <w:r w:rsidR="002F4CEB" w:rsidRPr="00FD7C7A">
        <w:rPr>
          <w:rFonts w:ascii="Palatino Linotype" w:hAnsi="Palatino Linotype" w:cs="Tahoma"/>
          <w:b/>
          <w:bCs/>
        </w:rPr>
        <w:t xml:space="preserve">Voto </w:t>
      </w:r>
      <w:r w:rsidR="00A43E77">
        <w:rPr>
          <w:rFonts w:ascii="Palatino Linotype" w:hAnsi="Palatino Linotype" w:cs="Tahoma"/>
          <w:b/>
          <w:bCs/>
        </w:rPr>
        <w:t>Disidente</w:t>
      </w:r>
      <w:r w:rsidR="002F4CEB" w:rsidRPr="00FD7C7A">
        <w:rPr>
          <w:rFonts w:ascii="Palatino Linotype" w:hAnsi="Palatino Linotype" w:cs="Tahoma"/>
          <w:b/>
          <w:bCs/>
        </w:rPr>
        <w:t>.</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sidR="002F4CEB">
        <w:rPr>
          <w:rFonts w:ascii="Palatino Linotype" w:hAnsi="Palatino Linotype" w:cs="Tahoma"/>
          <w:lang w:val="es-MX"/>
        </w:rPr>
        <w:t>----</w:t>
      </w:r>
      <w:r w:rsidR="00666305">
        <w:rPr>
          <w:rFonts w:ascii="Palatino Linotype" w:hAnsi="Palatino Linotype" w:cs="Tahoma"/>
          <w:lang w:val="es-MX"/>
        </w:rPr>
        <w:t>-----------------------------------------------------------------------------------------------------------------------------</w:t>
      </w:r>
      <w:r w:rsidR="007B5958">
        <w:rPr>
          <w:rFonts w:ascii="Palatino Linotype" w:hAnsi="Palatino Linotype" w:cs="Tahoma"/>
          <w:lang w:val="es-MX"/>
        </w:rPr>
        <w:t>--------------------------------------------------------------------</w:t>
      </w:r>
      <w:r w:rsidR="00666305">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666305">
      <w:headerReference w:type="even" r:id="rId7"/>
      <w:headerReference w:type="default" r:id="rId8"/>
      <w:footerReference w:type="default" r:id="rId9"/>
      <w:headerReference w:type="first" r:id="rId10"/>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1D5D4" w14:textId="77777777" w:rsidR="00B3686F" w:rsidRDefault="00B3686F" w:rsidP="00A80C30">
      <w:pPr>
        <w:spacing w:after="0" w:line="240" w:lineRule="auto"/>
      </w:pPr>
      <w:r>
        <w:separator/>
      </w:r>
    </w:p>
  </w:endnote>
  <w:endnote w:type="continuationSeparator" w:id="0">
    <w:p w14:paraId="4814D347" w14:textId="77777777" w:rsidR="00B3686F" w:rsidRDefault="00B3686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B5958">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B5958">
              <w:rPr>
                <w:b/>
                <w:bCs/>
                <w:noProof/>
              </w:rPr>
              <w:t>6</w:t>
            </w:r>
            <w:r>
              <w:rPr>
                <w:b/>
                <w:bCs/>
                <w:sz w:val="24"/>
                <w:szCs w:val="24"/>
              </w:rPr>
              <w:fldChar w:fldCharType="end"/>
            </w:r>
          </w:p>
        </w:sdtContent>
      </w:sdt>
    </w:sdtContent>
  </w:sdt>
  <w:p w14:paraId="2AC9CFE9" w14:textId="77777777" w:rsidR="00AC333A" w:rsidRDefault="00B368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00CF9" w14:textId="77777777" w:rsidR="00B3686F" w:rsidRDefault="00B3686F" w:rsidP="00A80C30">
      <w:pPr>
        <w:spacing w:after="0" w:line="240" w:lineRule="auto"/>
      </w:pPr>
      <w:r>
        <w:separator/>
      </w:r>
    </w:p>
  </w:footnote>
  <w:footnote w:type="continuationSeparator" w:id="0">
    <w:p w14:paraId="11AB3C6E" w14:textId="77777777" w:rsidR="00B3686F" w:rsidRDefault="00B3686F"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1406" w14:textId="77777777" w:rsidR="00A80C30" w:rsidRDefault="00B3686F">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77694E" w:rsidRPr="001106EA" w14:paraId="1D801363" w14:textId="77777777" w:rsidTr="006C3F4B">
      <w:trPr>
        <w:trHeight w:val="2127"/>
      </w:trPr>
      <w:tc>
        <w:tcPr>
          <w:tcW w:w="3402"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387" w:type="dxa"/>
          <w:vAlign w:val="center"/>
        </w:tcPr>
        <w:p w14:paraId="636797BD" w14:textId="76879298"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D3346E">
            <w:rPr>
              <w:rFonts w:ascii="Palatino Linotype" w:hAnsi="Palatino Linotype" w:cs="Tahoma"/>
              <w:b/>
            </w:rPr>
            <w:t>Disidente</w:t>
          </w:r>
        </w:p>
        <w:p w14:paraId="18351A16" w14:textId="1E97C281"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8B0A25" w:rsidRPr="008B0A25">
            <w:rPr>
              <w:rFonts w:ascii="Palatino Linotype" w:hAnsi="Palatino Linotype"/>
              <w:lang w:val="es-MX"/>
            </w:rPr>
            <w:t>15177/INFOEM/IP/RR/2022</w:t>
          </w:r>
        </w:p>
        <w:p w14:paraId="797A179D" w14:textId="77777777" w:rsidR="008B0A25" w:rsidRDefault="001F75E5" w:rsidP="00D652C7">
          <w:pPr>
            <w:pStyle w:val="Encabezado"/>
            <w:ind w:left="-108" w:right="38"/>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8B0A25" w:rsidRPr="008B0A25">
            <w:rPr>
              <w:rFonts w:ascii="Palatino Linotype" w:hAnsi="Palatino Linotype"/>
              <w:bCs/>
              <w:lang w:val="es-MX"/>
            </w:rPr>
            <w:t>Tribunal de Justicia Administrativa del Estado de México</w:t>
          </w:r>
        </w:p>
        <w:p w14:paraId="6AB78542" w14:textId="5BE8D127" w:rsidR="00285C7B" w:rsidRPr="00285C7B" w:rsidRDefault="001F75E5" w:rsidP="00D652C7">
          <w:pPr>
            <w:pStyle w:val="Encabezado"/>
            <w:ind w:left="-108" w:right="38"/>
            <w:jc w:val="both"/>
            <w:rPr>
              <w:rFonts w:ascii="Palatino Linotype" w:hAnsi="Palatino Linotype"/>
              <w:bCs/>
              <w:lang w:val="es-ES_tradnl"/>
            </w:rPr>
          </w:pPr>
          <w:r w:rsidRPr="00B9745A">
            <w:rPr>
              <w:rFonts w:ascii="Palatino Linotype" w:hAnsi="Palatino Linotype" w:cs="Tahoma"/>
              <w:b/>
            </w:rPr>
            <w:t xml:space="preserve">Comisionado Ponente: </w:t>
          </w:r>
          <w:r w:rsidR="00D3346E">
            <w:rPr>
              <w:rFonts w:ascii="Palatino Linotype" w:hAnsi="Palatino Linotype" w:cs="Arial"/>
              <w:szCs w:val="20"/>
            </w:rPr>
            <w:t>Sharon Cristina Morales Martínez</w:t>
          </w:r>
        </w:p>
      </w:tc>
    </w:tr>
  </w:tbl>
  <w:p w14:paraId="557491B5" w14:textId="77777777" w:rsidR="00D55429" w:rsidRPr="001106EA" w:rsidRDefault="00B3686F">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7DF9" w14:textId="77777777" w:rsidR="00A80C30" w:rsidRDefault="00B3686F">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5610F"/>
    <w:rsid w:val="00066E61"/>
    <w:rsid w:val="00082310"/>
    <w:rsid w:val="000F4555"/>
    <w:rsid w:val="000F7782"/>
    <w:rsid w:val="00100065"/>
    <w:rsid w:val="0012120C"/>
    <w:rsid w:val="00127BC5"/>
    <w:rsid w:val="00156481"/>
    <w:rsid w:val="001713E8"/>
    <w:rsid w:val="00185727"/>
    <w:rsid w:val="001971A0"/>
    <w:rsid w:val="001D3441"/>
    <w:rsid w:val="001F75E5"/>
    <w:rsid w:val="00224A73"/>
    <w:rsid w:val="00230157"/>
    <w:rsid w:val="00285C7B"/>
    <w:rsid w:val="002B51EF"/>
    <w:rsid w:val="002C5FE4"/>
    <w:rsid w:val="002C6231"/>
    <w:rsid w:val="002D6AB3"/>
    <w:rsid w:val="002F4CEB"/>
    <w:rsid w:val="002F65CC"/>
    <w:rsid w:val="00300630"/>
    <w:rsid w:val="00304A0F"/>
    <w:rsid w:val="00314859"/>
    <w:rsid w:val="00315199"/>
    <w:rsid w:val="00323750"/>
    <w:rsid w:val="00373D4A"/>
    <w:rsid w:val="003D4273"/>
    <w:rsid w:val="003E1155"/>
    <w:rsid w:val="003E56C5"/>
    <w:rsid w:val="00427F85"/>
    <w:rsid w:val="004412C6"/>
    <w:rsid w:val="004474C6"/>
    <w:rsid w:val="004738C3"/>
    <w:rsid w:val="00486BD3"/>
    <w:rsid w:val="00494387"/>
    <w:rsid w:val="004A7A76"/>
    <w:rsid w:val="004C0D87"/>
    <w:rsid w:val="004C7D91"/>
    <w:rsid w:val="004D26F6"/>
    <w:rsid w:val="004E2AF5"/>
    <w:rsid w:val="004E5EAD"/>
    <w:rsid w:val="004E7EC7"/>
    <w:rsid w:val="004F0923"/>
    <w:rsid w:val="00506560"/>
    <w:rsid w:val="00506AB5"/>
    <w:rsid w:val="00533E57"/>
    <w:rsid w:val="00541BAC"/>
    <w:rsid w:val="00543C9A"/>
    <w:rsid w:val="00570A8A"/>
    <w:rsid w:val="00580294"/>
    <w:rsid w:val="005974CA"/>
    <w:rsid w:val="005A21F7"/>
    <w:rsid w:val="005E30A0"/>
    <w:rsid w:val="005F5396"/>
    <w:rsid w:val="00601591"/>
    <w:rsid w:val="006053B7"/>
    <w:rsid w:val="00611B4C"/>
    <w:rsid w:val="006408E2"/>
    <w:rsid w:val="006456BC"/>
    <w:rsid w:val="00661A19"/>
    <w:rsid w:val="00666305"/>
    <w:rsid w:val="0068245C"/>
    <w:rsid w:val="00684986"/>
    <w:rsid w:val="00686864"/>
    <w:rsid w:val="00687F26"/>
    <w:rsid w:val="00690441"/>
    <w:rsid w:val="006A393D"/>
    <w:rsid w:val="006C2B09"/>
    <w:rsid w:val="006C3F4B"/>
    <w:rsid w:val="00716333"/>
    <w:rsid w:val="00737BC9"/>
    <w:rsid w:val="00756729"/>
    <w:rsid w:val="00795123"/>
    <w:rsid w:val="007A0E46"/>
    <w:rsid w:val="007B5958"/>
    <w:rsid w:val="007E10C9"/>
    <w:rsid w:val="007E3F90"/>
    <w:rsid w:val="007F32AC"/>
    <w:rsid w:val="00823E1B"/>
    <w:rsid w:val="0083177F"/>
    <w:rsid w:val="00833C20"/>
    <w:rsid w:val="00842979"/>
    <w:rsid w:val="00861469"/>
    <w:rsid w:val="008635BA"/>
    <w:rsid w:val="00864A25"/>
    <w:rsid w:val="008B0A25"/>
    <w:rsid w:val="008E1028"/>
    <w:rsid w:val="008E2746"/>
    <w:rsid w:val="008F78B8"/>
    <w:rsid w:val="00913F1E"/>
    <w:rsid w:val="00914963"/>
    <w:rsid w:val="00922026"/>
    <w:rsid w:val="00926BCA"/>
    <w:rsid w:val="00940F06"/>
    <w:rsid w:val="00960C5A"/>
    <w:rsid w:val="00961702"/>
    <w:rsid w:val="0097361B"/>
    <w:rsid w:val="009C6B45"/>
    <w:rsid w:val="009C6E28"/>
    <w:rsid w:val="009F23B2"/>
    <w:rsid w:val="00A17F80"/>
    <w:rsid w:val="00A21473"/>
    <w:rsid w:val="00A344E5"/>
    <w:rsid w:val="00A43E77"/>
    <w:rsid w:val="00A54CCC"/>
    <w:rsid w:val="00A72226"/>
    <w:rsid w:val="00A80C30"/>
    <w:rsid w:val="00A96A4C"/>
    <w:rsid w:val="00A9782A"/>
    <w:rsid w:val="00AD2F2A"/>
    <w:rsid w:val="00AF77D3"/>
    <w:rsid w:val="00B17658"/>
    <w:rsid w:val="00B3686F"/>
    <w:rsid w:val="00B43526"/>
    <w:rsid w:val="00B463E2"/>
    <w:rsid w:val="00B47EBA"/>
    <w:rsid w:val="00B55282"/>
    <w:rsid w:val="00B80272"/>
    <w:rsid w:val="00BA54EE"/>
    <w:rsid w:val="00BD6AEE"/>
    <w:rsid w:val="00BF5F8E"/>
    <w:rsid w:val="00C00E77"/>
    <w:rsid w:val="00C223E5"/>
    <w:rsid w:val="00C25292"/>
    <w:rsid w:val="00C27042"/>
    <w:rsid w:val="00C60C1A"/>
    <w:rsid w:val="00C75F6B"/>
    <w:rsid w:val="00CB337A"/>
    <w:rsid w:val="00CB36F3"/>
    <w:rsid w:val="00CC3620"/>
    <w:rsid w:val="00CD7937"/>
    <w:rsid w:val="00D02F47"/>
    <w:rsid w:val="00D03AAF"/>
    <w:rsid w:val="00D25841"/>
    <w:rsid w:val="00D3346E"/>
    <w:rsid w:val="00D51BFD"/>
    <w:rsid w:val="00D6254E"/>
    <w:rsid w:val="00D652C7"/>
    <w:rsid w:val="00D75045"/>
    <w:rsid w:val="00D97370"/>
    <w:rsid w:val="00DB121C"/>
    <w:rsid w:val="00DD5D61"/>
    <w:rsid w:val="00DD6B1B"/>
    <w:rsid w:val="00E07CDD"/>
    <w:rsid w:val="00E35186"/>
    <w:rsid w:val="00E417A4"/>
    <w:rsid w:val="00E43FEA"/>
    <w:rsid w:val="00E67710"/>
    <w:rsid w:val="00E678EF"/>
    <w:rsid w:val="00E7322A"/>
    <w:rsid w:val="00E805E7"/>
    <w:rsid w:val="00E878DE"/>
    <w:rsid w:val="00E901F3"/>
    <w:rsid w:val="00EA5096"/>
    <w:rsid w:val="00EB135A"/>
    <w:rsid w:val="00EE192F"/>
    <w:rsid w:val="00EE7B51"/>
    <w:rsid w:val="00EF470A"/>
    <w:rsid w:val="00F04F7C"/>
    <w:rsid w:val="00F1426D"/>
    <w:rsid w:val="00F142F4"/>
    <w:rsid w:val="00F17B52"/>
    <w:rsid w:val="00F319BA"/>
    <w:rsid w:val="00F34C61"/>
    <w:rsid w:val="00F35BFB"/>
    <w:rsid w:val="00F4717E"/>
    <w:rsid w:val="00F837D7"/>
    <w:rsid w:val="00F84B95"/>
    <w:rsid w:val="00FB0274"/>
    <w:rsid w:val="00FC3DE6"/>
    <w:rsid w:val="00FD2937"/>
    <w:rsid w:val="00FD7C7A"/>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customStyle="1" w:styleId="paragraph">
    <w:name w:val="paragraph"/>
    <w:basedOn w:val="Normal"/>
    <w:rsid w:val="002C5FE4"/>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6789">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779497056">
      <w:bodyDiv w:val="1"/>
      <w:marLeft w:val="0"/>
      <w:marRight w:val="0"/>
      <w:marTop w:val="0"/>
      <w:marBottom w:val="0"/>
      <w:divBdr>
        <w:top w:val="none" w:sz="0" w:space="0" w:color="auto"/>
        <w:left w:val="none" w:sz="0" w:space="0" w:color="auto"/>
        <w:bottom w:val="none" w:sz="0" w:space="0" w:color="auto"/>
        <w:right w:val="none" w:sz="0" w:space="0" w:color="auto"/>
      </w:divBdr>
      <w:divsChild>
        <w:div w:id="323165208">
          <w:marLeft w:val="0"/>
          <w:marRight w:val="0"/>
          <w:marTop w:val="0"/>
          <w:marBottom w:val="0"/>
          <w:divBdr>
            <w:top w:val="none" w:sz="0" w:space="0" w:color="auto"/>
            <w:left w:val="none" w:sz="0" w:space="0" w:color="auto"/>
            <w:bottom w:val="none" w:sz="0" w:space="0" w:color="auto"/>
            <w:right w:val="none" w:sz="0" w:space="0" w:color="auto"/>
          </w:divBdr>
        </w:div>
        <w:div w:id="1479956676">
          <w:marLeft w:val="0"/>
          <w:marRight w:val="0"/>
          <w:marTop w:val="0"/>
          <w:marBottom w:val="0"/>
          <w:divBdr>
            <w:top w:val="none" w:sz="0" w:space="0" w:color="auto"/>
            <w:left w:val="none" w:sz="0" w:space="0" w:color="auto"/>
            <w:bottom w:val="none" w:sz="0" w:space="0" w:color="auto"/>
            <w:right w:val="none" w:sz="0" w:space="0" w:color="auto"/>
          </w:divBdr>
        </w:div>
        <w:div w:id="1733308064">
          <w:marLeft w:val="0"/>
          <w:marRight w:val="0"/>
          <w:marTop w:val="0"/>
          <w:marBottom w:val="0"/>
          <w:divBdr>
            <w:top w:val="none" w:sz="0" w:space="0" w:color="auto"/>
            <w:left w:val="none" w:sz="0" w:space="0" w:color="auto"/>
            <w:bottom w:val="none" w:sz="0" w:space="0" w:color="auto"/>
            <w:right w:val="none" w:sz="0" w:space="0" w:color="auto"/>
          </w:divBdr>
        </w:div>
        <w:div w:id="1449817323">
          <w:marLeft w:val="0"/>
          <w:marRight w:val="0"/>
          <w:marTop w:val="0"/>
          <w:marBottom w:val="0"/>
          <w:divBdr>
            <w:top w:val="none" w:sz="0" w:space="0" w:color="auto"/>
            <w:left w:val="none" w:sz="0" w:space="0" w:color="auto"/>
            <w:bottom w:val="none" w:sz="0" w:space="0" w:color="auto"/>
            <w:right w:val="none" w:sz="0" w:space="0" w:color="auto"/>
          </w:divBdr>
        </w:div>
        <w:div w:id="2127430114">
          <w:marLeft w:val="0"/>
          <w:marRight w:val="0"/>
          <w:marTop w:val="0"/>
          <w:marBottom w:val="0"/>
          <w:divBdr>
            <w:top w:val="none" w:sz="0" w:space="0" w:color="auto"/>
            <w:left w:val="none" w:sz="0" w:space="0" w:color="auto"/>
            <w:bottom w:val="none" w:sz="0" w:space="0" w:color="auto"/>
            <w:right w:val="none" w:sz="0" w:space="0" w:color="auto"/>
          </w:divBdr>
        </w:div>
        <w:div w:id="984160699">
          <w:marLeft w:val="0"/>
          <w:marRight w:val="0"/>
          <w:marTop w:val="0"/>
          <w:marBottom w:val="0"/>
          <w:divBdr>
            <w:top w:val="none" w:sz="0" w:space="0" w:color="auto"/>
            <w:left w:val="none" w:sz="0" w:space="0" w:color="auto"/>
            <w:bottom w:val="none" w:sz="0" w:space="0" w:color="auto"/>
            <w:right w:val="none" w:sz="0" w:space="0" w:color="auto"/>
          </w:divBdr>
        </w:div>
        <w:div w:id="925189201">
          <w:marLeft w:val="0"/>
          <w:marRight w:val="0"/>
          <w:marTop w:val="0"/>
          <w:marBottom w:val="0"/>
          <w:divBdr>
            <w:top w:val="none" w:sz="0" w:space="0" w:color="auto"/>
            <w:left w:val="none" w:sz="0" w:space="0" w:color="auto"/>
            <w:bottom w:val="none" w:sz="0" w:space="0" w:color="auto"/>
            <w:right w:val="none" w:sz="0" w:space="0" w:color="auto"/>
          </w:divBdr>
        </w:div>
        <w:div w:id="1792164792">
          <w:marLeft w:val="0"/>
          <w:marRight w:val="0"/>
          <w:marTop w:val="0"/>
          <w:marBottom w:val="0"/>
          <w:divBdr>
            <w:top w:val="none" w:sz="0" w:space="0" w:color="auto"/>
            <w:left w:val="none" w:sz="0" w:space="0" w:color="auto"/>
            <w:bottom w:val="none" w:sz="0" w:space="0" w:color="auto"/>
            <w:right w:val="none" w:sz="0" w:space="0" w:color="auto"/>
          </w:divBdr>
        </w:div>
        <w:div w:id="1973443460">
          <w:marLeft w:val="0"/>
          <w:marRight w:val="0"/>
          <w:marTop w:val="0"/>
          <w:marBottom w:val="0"/>
          <w:divBdr>
            <w:top w:val="none" w:sz="0" w:space="0" w:color="auto"/>
            <w:left w:val="none" w:sz="0" w:space="0" w:color="auto"/>
            <w:bottom w:val="none" w:sz="0" w:space="0" w:color="auto"/>
            <w:right w:val="none" w:sz="0" w:space="0" w:color="auto"/>
          </w:divBdr>
        </w:div>
        <w:div w:id="2014840840">
          <w:marLeft w:val="0"/>
          <w:marRight w:val="0"/>
          <w:marTop w:val="0"/>
          <w:marBottom w:val="0"/>
          <w:divBdr>
            <w:top w:val="none" w:sz="0" w:space="0" w:color="auto"/>
            <w:left w:val="none" w:sz="0" w:space="0" w:color="auto"/>
            <w:bottom w:val="none" w:sz="0" w:space="0" w:color="auto"/>
            <w:right w:val="none" w:sz="0" w:space="0" w:color="auto"/>
          </w:divBdr>
        </w:div>
        <w:div w:id="631711621">
          <w:marLeft w:val="0"/>
          <w:marRight w:val="0"/>
          <w:marTop w:val="0"/>
          <w:marBottom w:val="0"/>
          <w:divBdr>
            <w:top w:val="none" w:sz="0" w:space="0" w:color="auto"/>
            <w:left w:val="none" w:sz="0" w:space="0" w:color="auto"/>
            <w:bottom w:val="none" w:sz="0" w:space="0" w:color="auto"/>
            <w:right w:val="none" w:sz="0" w:space="0" w:color="auto"/>
          </w:divBdr>
        </w:div>
        <w:div w:id="866606159">
          <w:marLeft w:val="0"/>
          <w:marRight w:val="0"/>
          <w:marTop w:val="0"/>
          <w:marBottom w:val="0"/>
          <w:divBdr>
            <w:top w:val="none" w:sz="0" w:space="0" w:color="auto"/>
            <w:left w:val="none" w:sz="0" w:space="0" w:color="auto"/>
            <w:bottom w:val="none" w:sz="0" w:space="0" w:color="auto"/>
            <w:right w:val="none" w:sz="0" w:space="0" w:color="auto"/>
          </w:divBdr>
        </w:div>
        <w:div w:id="1507819316">
          <w:marLeft w:val="0"/>
          <w:marRight w:val="0"/>
          <w:marTop w:val="0"/>
          <w:marBottom w:val="0"/>
          <w:divBdr>
            <w:top w:val="none" w:sz="0" w:space="0" w:color="auto"/>
            <w:left w:val="none" w:sz="0" w:space="0" w:color="auto"/>
            <w:bottom w:val="none" w:sz="0" w:space="0" w:color="auto"/>
            <w:right w:val="none" w:sz="0" w:space="0" w:color="auto"/>
          </w:divBdr>
        </w:div>
        <w:div w:id="407508381">
          <w:marLeft w:val="0"/>
          <w:marRight w:val="0"/>
          <w:marTop w:val="0"/>
          <w:marBottom w:val="0"/>
          <w:divBdr>
            <w:top w:val="none" w:sz="0" w:space="0" w:color="auto"/>
            <w:left w:val="none" w:sz="0" w:space="0" w:color="auto"/>
            <w:bottom w:val="none" w:sz="0" w:space="0" w:color="auto"/>
            <w:right w:val="none" w:sz="0" w:space="0" w:color="auto"/>
          </w:divBdr>
        </w:div>
      </w:divsChild>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1083</Words>
  <Characters>5960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2023-01-31T01:53:00Z</cp:lastPrinted>
  <dcterms:created xsi:type="dcterms:W3CDTF">2023-05-22T19:52:00Z</dcterms:created>
  <dcterms:modified xsi:type="dcterms:W3CDTF">2023-05-22T20:47:00Z</dcterms:modified>
</cp:coreProperties>
</file>