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3A" w:rsidRDefault="00966BB4">
      <w:pPr>
        <w:spacing w:before="240" w:after="240" w:line="360" w:lineRule="auto"/>
        <w:ind w:right="139"/>
        <w:jc w:val="both"/>
        <w:rPr>
          <w:rFonts w:ascii="Palatino Linotype" w:eastAsia="Palatino Linotype" w:hAnsi="Palatino Linotype" w:cs="Palatino Linotype"/>
          <w:b/>
          <w:sz w:val="24"/>
          <w:szCs w:val="24"/>
        </w:rPr>
      </w:pPr>
      <w:bookmarkStart w:id="0" w:name="_heading=h.3znysh7"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D</w:t>
      </w:r>
      <w:r>
        <w:rPr>
          <w:rFonts w:ascii="Palatino Linotype" w:eastAsia="Palatino Linotype" w:hAnsi="Palatino Linotype" w:cs="Palatino Linotype"/>
          <w:b/>
          <w:sz w:val="24"/>
          <w:szCs w:val="24"/>
        </w:rPr>
        <w:t>ÉCIMA QUINTA SESIÓN</w:t>
      </w:r>
      <w:r>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sz w:val="24"/>
          <w:szCs w:val="24"/>
        </w:rPr>
        <w:t>ORDINARIA CELEBRADA EL VEINTISÉIS DE ABRIL DE DOS MIL VEINTITRÉS, EN EL RECURSO DE REVISIÓN 17396/INFOEM/IP/RR/2022.</w:t>
      </w:r>
    </w:p>
    <w:p w:rsidR="002C093A" w:rsidRDefault="00966BB4">
      <w:pPr>
        <w:spacing w:before="240" w:after="24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w:t>
      </w:r>
      <w:r>
        <w:rPr>
          <w:rFonts w:ascii="Palatino Linotype" w:eastAsia="Palatino Linotype" w:hAnsi="Palatino Linotype" w:cs="Palatino Linotype"/>
          <w:sz w:val="24"/>
          <w:szCs w:val="24"/>
        </w:rPr>
        <w:t xml:space="preserve">ceso a la Información Pública y Protección de Datos Personales del Estado de México y Municipios, la que suscribe, Guadalupe Ramírez Peña, emite </w:t>
      </w:r>
      <w:r>
        <w:rPr>
          <w:rFonts w:ascii="Palatino Linotype" w:eastAsia="Palatino Linotype" w:hAnsi="Palatino Linotype" w:cs="Palatino Linotype"/>
          <w:b/>
          <w:sz w:val="24"/>
          <w:szCs w:val="24"/>
        </w:rPr>
        <w:t>VOTO DISIDENTE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17396/INFOEM/IP/RR/2022</w:t>
      </w:r>
      <w:r>
        <w:rPr>
          <w:rFonts w:ascii="Palatino Linotype" w:eastAsia="Palatino Linotype" w:hAnsi="Palatino Linotype" w:cs="Palatino Linotype"/>
          <w:sz w:val="24"/>
          <w:szCs w:val="24"/>
        </w:rPr>
        <w:t>, pronu</w:t>
      </w:r>
      <w:r>
        <w:rPr>
          <w:rFonts w:ascii="Palatino Linotype" w:eastAsia="Palatino Linotype" w:hAnsi="Palatino Linotype" w:cs="Palatino Linotype"/>
          <w:sz w:val="24"/>
          <w:szCs w:val="24"/>
        </w:rPr>
        <w:t xml:space="preserve">nciada por el Pleno de este Instituto, ante el proyecto presentado por el Comisionado Luis Gustavo Parra Noriega, al tenor siguiente: </w:t>
      </w:r>
    </w:p>
    <w:p w:rsidR="002C093A" w:rsidRDefault="00966B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I. Antecedentes.</w:t>
      </w:r>
    </w:p>
    <w:p w:rsidR="002C093A" w:rsidRDefault="00966B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quedó debidamente asentado en la resolución, materia del presente voto disidente, la persona solici</w:t>
      </w:r>
      <w:r>
        <w:rPr>
          <w:rFonts w:ascii="Palatino Linotype" w:eastAsia="Palatino Linotype" w:hAnsi="Palatino Linotype" w:cs="Palatino Linotype"/>
          <w:sz w:val="24"/>
          <w:szCs w:val="24"/>
        </w:rPr>
        <w:t xml:space="preserve">tante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conocer la siguiente información:</w:t>
      </w:r>
    </w:p>
    <w:p w:rsidR="002C093A" w:rsidRDefault="00966BB4">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se informe el listado oficial y vigente de las concesiones emitidas a personas físicas </w:t>
      </w:r>
      <w:proofErr w:type="spellStart"/>
      <w:r>
        <w:rPr>
          <w:rFonts w:ascii="Palatino Linotype" w:eastAsia="Palatino Linotype" w:hAnsi="Palatino Linotype" w:cs="Palatino Linotype"/>
          <w:i/>
        </w:rPr>
        <w:t>ó</w:t>
      </w:r>
      <w:proofErr w:type="spellEnd"/>
      <w:r>
        <w:rPr>
          <w:rFonts w:ascii="Palatino Linotype" w:eastAsia="Palatino Linotype" w:hAnsi="Palatino Linotype" w:cs="Palatino Linotype"/>
          <w:i/>
        </w:rPr>
        <w:t xml:space="preserve"> morales de prestadores de servicio de transporte público. - Se muestre las rutas que cub</w:t>
      </w:r>
      <w:r>
        <w:rPr>
          <w:rFonts w:ascii="Palatino Linotype" w:eastAsia="Palatino Linotype" w:hAnsi="Palatino Linotype" w:cs="Palatino Linotype"/>
          <w:i/>
        </w:rPr>
        <w:t xml:space="preserve">ren el servicio de combis en el municipio de Amecameca. - Se informe </w:t>
      </w:r>
      <w:r>
        <w:rPr>
          <w:rFonts w:ascii="Palatino Linotype" w:eastAsia="Palatino Linotype" w:hAnsi="Palatino Linotype" w:cs="Palatino Linotype"/>
          <w:i/>
        </w:rPr>
        <w:lastRenderedPageBreak/>
        <w:t>sobre las concesiones y/</w:t>
      </w:r>
      <w:proofErr w:type="spellStart"/>
      <w:r>
        <w:rPr>
          <w:rFonts w:ascii="Palatino Linotype" w:eastAsia="Palatino Linotype" w:hAnsi="Palatino Linotype" w:cs="Palatino Linotype"/>
          <w:i/>
        </w:rPr>
        <w:t>ó</w:t>
      </w:r>
      <w:proofErr w:type="spellEnd"/>
      <w:r>
        <w:rPr>
          <w:rFonts w:ascii="Palatino Linotype" w:eastAsia="Palatino Linotype" w:hAnsi="Palatino Linotype" w:cs="Palatino Linotype"/>
          <w:i/>
        </w:rPr>
        <w:t xml:space="preserve"> rutas asignadas que tengan como punto, parada o base en AV. 20 DE NOVIEMBRE #33 COLONIA CENTRO ENTRE NUEVO MEXICO Y JUAREZ, MUNICIPIO DE AMECAMECA, ESTADO DE MEX</w:t>
      </w:r>
      <w:r>
        <w:rPr>
          <w:rFonts w:ascii="Palatino Linotype" w:eastAsia="Palatino Linotype" w:hAnsi="Palatino Linotype" w:cs="Palatino Linotype"/>
          <w:i/>
        </w:rPr>
        <w:t>ICO. Me informe el proceso de denuncia en caso de que se preste el servicio sin concesión otorgada por el Estado. De no ser sujeto obligado poseedor de esta información, me señale a que institución requerirla.” (Sic)</w:t>
      </w:r>
    </w:p>
    <w:p w:rsidR="002C093A" w:rsidRDefault="002C093A">
      <w:pPr>
        <w:spacing w:after="0" w:line="276" w:lineRule="auto"/>
        <w:ind w:left="567" w:right="900"/>
        <w:jc w:val="both"/>
        <w:rPr>
          <w:rFonts w:ascii="Palatino Linotype" w:eastAsia="Palatino Linotype" w:hAnsi="Palatino Linotype" w:cs="Palatino Linotype"/>
        </w:rPr>
      </w:pPr>
    </w:p>
    <w:p w:rsidR="002C093A" w:rsidRDefault="00966BB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por conducto del Co</w:t>
      </w:r>
      <w:r>
        <w:rPr>
          <w:rFonts w:ascii="Palatino Linotype" w:eastAsia="Palatino Linotype" w:hAnsi="Palatino Linotype" w:cs="Palatino Linotype"/>
          <w:color w:val="000000"/>
          <w:sz w:val="24"/>
          <w:szCs w:val="24"/>
        </w:rPr>
        <w:t xml:space="preserve">ordinador de Movilidad, manifestó lo siguiente: </w:t>
      </w:r>
    </w:p>
    <w:p w:rsidR="002C093A" w:rsidRDefault="00966BB4">
      <w:pPr>
        <w:spacing w:after="0" w:line="276"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me dirijo a usted en atención al oficio con Folio AME/UTAIP/644/2022 en donde se me solicita información sobre concesiones de las rutas de transporte público, dentro del territorio del municipio, a través de la presente se informa que no soy el sujeto</w:t>
      </w:r>
      <w:r>
        <w:rPr>
          <w:rFonts w:ascii="Palatino Linotype" w:eastAsia="Palatino Linotype" w:hAnsi="Palatino Linotype" w:cs="Palatino Linotype"/>
          <w:i/>
          <w:color w:val="000000"/>
        </w:rPr>
        <w:t xml:space="preserve"> obligado poseedor de dicha información, </w:t>
      </w:r>
      <w:r>
        <w:rPr>
          <w:rFonts w:ascii="Palatino Linotype" w:eastAsia="Palatino Linotype" w:hAnsi="Palatino Linotype" w:cs="Palatino Linotype"/>
          <w:b/>
          <w:i/>
          <w:color w:val="000000"/>
          <w:u w:val="single"/>
        </w:rPr>
        <w:t xml:space="preserve">la institución que cuenta con esta información es la Secretaría de Movilidad del Estado de México, conforme a lo dispuesto en los Artículos 17.38 y 17.40 del Código Administrativo del Estado de México y el Artículo </w:t>
      </w:r>
      <w:r>
        <w:rPr>
          <w:rFonts w:ascii="Palatino Linotype" w:eastAsia="Palatino Linotype" w:hAnsi="Palatino Linotype" w:cs="Palatino Linotype"/>
          <w:b/>
          <w:i/>
          <w:color w:val="000000"/>
          <w:u w:val="single"/>
        </w:rPr>
        <w:t>2 del Reglamento de Transporte público y Servicios Conexos del Estado de México</w:t>
      </w:r>
      <w:r>
        <w:rPr>
          <w:rFonts w:ascii="Palatino Linotype" w:eastAsia="Palatino Linotype" w:hAnsi="Palatino Linotype" w:cs="Palatino Linotype"/>
          <w:i/>
          <w:color w:val="000000"/>
        </w:rPr>
        <w:t>.”</w:t>
      </w:r>
    </w:p>
    <w:p w:rsidR="002C093A" w:rsidRDefault="00966BB4">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lo siguiente: </w:t>
      </w:r>
    </w:p>
    <w:p w:rsidR="002C093A" w:rsidRDefault="00966BB4">
      <w:pPr>
        <w:tabs>
          <w:tab w:val="left" w:pos="4667"/>
        </w:tabs>
        <w:spacing w:after="0" w:line="360" w:lineRule="auto"/>
        <w:ind w:left="567" w:right="567"/>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p w:rsidR="002C093A" w:rsidRDefault="00966BB4">
      <w:pPr>
        <w:tabs>
          <w:tab w:val="left" w:pos="567"/>
        </w:tabs>
        <w:spacing w:after="0" w:line="276"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OMISIÓN DE L</w:t>
      </w:r>
      <w:r>
        <w:rPr>
          <w:rFonts w:ascii="Palatino Linotype" w:eastAsia="Palatino Linotype" w:hAnsi="Palatino Linotype" w:cs="Palatino Linotype"/>
          <w:i/>
          <w:sz w:val="20"/>
          <w:szCs w:val="20"/>
        </w:rPr>
        <w:t>A RESPUESTA DE SOLICITUD DADO QUE NO SE ANEXA OFICIO DE CONTESTACIÓN A LA SOLICITUD 02017/AMECAMEC/IP/2022 VIOLENTANDO EL DERECHO HUMANO DE ACCESO A LA INFORMACIÓN PUBLICA TUTELADO EN EL ARTICULO 4 DE LA LEY DE TRANSPARENCIA Y ACCESO A LA INFORMACIÓN PUBLI</w:t>
      </w:r>
      <w:r>
        <w:rPr>
          <w:rFonts w:ascii="Palatino Linotype" w:eastAsia="Palatino Linotype" w:hAnsi="Palatino Linotype" w:cs="Palatino Linotype"/>
          <w:i/>
          <w:sz w:val="20"/>
          <w:szCs w:val="20"/>
        </w:rPr>
        <w:t>CA DEL ESTADO DE MÉXICO Y FALTANDO A LOS PRINCIPIOS DEL ARTICULO 9 SOLICITANDO SE EJERZA LA GARANTIA QUE HACE MECION ARTICULO 7 DE ESTA LEY.</w:t>
      </w:r>
    </w:p>
    <w:p w:rsidR="002C093A" w:rsidRDefault="002C093A">
      <w:pPr>
        <w:spacing w:after="0" w:line="360" w:lineRule="auto"/>
        <w:ind w:right="567" w:firstLine="567"/>
        <w:jc w:val="both"/>
        <w:rPr>
          <w:rFonts w:ascii="Palatino Linotype" w:eastAsia="Palatino Linotype" w:hAnsi="Palatino Linotype" w:cs="Palatino Linotype"/>
          <w:i/>
          <w:sz w:val="20"/>
          <w:szCs w:val="20"/>
        </w:rPr>
      </w:pPr>
    </w:p>
    <w:p w:rsidR="002C093A" w:rsidRDefault="002C093A">
      <w:pPr>
        <w:spacing w:after="0" w:line="360" w:lineRule="auto"/>
        <w:ind w:left="567" w:right="567"/>
        <w:jc w:val="both"/>
        <w:rPr>
          <w:rFonts w:ascii="Palatino Linotype" w:eastAsia="Palatino Linotype" w:hAnsi="Palatino Linotype" w:cs="Palatino Linotype"/>
          <w:b/>
          <w:sz w:val="20"/>
          <w:szCs w:val="20"/>
        </w:rPr>
      </w:pPr>
    </w:p>
    <w:p w:rsidR="002C093A" w:rsidRDefault="00966BB4">
      <w:pPr>
        <w:spacing w:after="0" w:line="360" w:lineRule="auto"/>
        <w:ind w:left="567" w:right="567"/>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Razones o motivos de la inconformidad:</w:t>
      </w:r>
    </w:p>
    <w:p w:rsidR="002C093A" w:rsidRDefault="00966BB4">
      <w:pPr>
        <w:spacing w:after="0" w:line="276"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LAS RAZONES DE INCONFORMIDAD EN BASE ARTÍCULO 179. EL RECURSO DE REVISIÓN ES UN MEDIO DE PROTECCIÓN QUE LA LEY OTORGA A LOS PARTICULARES, PARA HACER VALER SU DERECHO DE ACCESO A LA INFORMACIÓN PÚBLICA, Y PROCEDERÁ EN CONTRA DE LAS SIGUIENTES CAUSAS: DE LA </w:t>
      </w:r>
      <w:r>
        <w:rPr>
          <w:rFonts w:ascii="Palatino Linotype" w:eastAsia="Palatino Linotype" w:hAnsi="Palatino Linotype" w:cs="Palatino Linotype"/>
          <w:i/>
          <w:sz w:val="20"/>
          <w:szCs w:val="20"/>
        </w:rPr>
        <w:t xml:space="preserve">LEY DE TRANSPARENCIA Y ACCESO A LA INFORMACIÓN </w:t>
      </w:r>
      <w:proofErr w:type="gramStart"/>
      <w:r>
        <w:rPr>
          <w:rFonts w:ascii="Palatino Linotype" w:eastAsia="Palatino Linotype" w:hAnsi="Palatino Linotype" w:cs="Palatino Linotype"/>
          <w:i/>
          <w:sz w:val="20"/>
          <w:szCs w:val="20"/>
        </w:rPr>
        <w:t>PUBLICA</w:t>
      </w:r>
      <w:proofErr w:type="gramEnd"/>
      <w:r>
        <w:rPr>
          <w:rFonts w:ascii="Palatino Linotype" w:eastAsia="Palatino Linotype" w:hAnsi="Palatino Linotype" w:cs="Palatino Linotype"/>
          <w:i/>
          <w:sz w:val="20"/>
          <w:szCs w:val="20"/>
        </w:rPr>
        <w:t xml:space="preserve"> DEL ESTADO DE MÉXICO</w:t>
      </w:r>
    </w:p>
    <w:p w:rsidR="003E0C32" w:rsidRDefault="003E0C32" w:rsidP="003E0C32">
      <w:pPr>
        <w:spacing w:line="360" w:lineRule="auto"/>
        <w:jc w:val="both"/>
        <w:rPr>
          <w:rFonts w:ascii="Palatino Linotype" w:eastAsia="Palatino Linotype" w:hAnsi="Palatino Linotype" w:cs="Palatino Linotype"/>
          <w:sz w:val="24"/>
          <w:szCs w:val="24"/>
        </w:rPr>
      </w:pPr>
    </w:p>
    <w:p w:rsidR="003E0C32" w:rsidRPr="003E0C32" w:rsidRDefault="003E0C32" w:rsidP="003E0C32">
      <w:pPr>
        <w:spacing w:line="360" w:lineRule="auto"/>
        <w:jc w:val="both"/>
        <w:rPr>
          <w:rFonts w:ascii="Palatino Linotype" w:eastAsia="Times New Roman" w:hAnsi="Palatino Linotype" w:cs="Tahoma"/>
          <w:bCs/>
          <w:sz w:val="24"/>
          <w:szCs w:val="24"/>
          <w:lang w:val="es-ES" w:eastAsia="es-ES"/>
        </w:rPr>
      </w:pPr>
      <w:r w:rsidRPr="003E0C32">
        <w:rPr>
          <w:rFonts w:ascii="Palatino Linotype" w:eastAsia="Palatino Linotype" w:hAnsi="Palatino Linotype" w:cs="Palatino Linotype"/>
          <w:sz w:val="24"/>
          <w:szCs w:val="24"/>
        </w:rPr>
        <w:t xml:space="preserve">Posteriormente en informe justificado, </w:t>
      </w:r>
      <w:r w:rsidRPr="003E0C32">
        <w:rPr>
          <w:rFonts w:ascii="Palatino Linotype" w:eastAsia="Times New Roman" w:hAnsi="Palatino Linotype" w:cs="Tahoma"/>
          <w:bCs/>
          <w:sz w:val="24"/>
          <w:szCs w:val="24"/>
          <w:lang w:val="es-ES" w:eastAsia="es-ES"/>
        </w:rPr>
        <w:t xml:space="preserve">el Titular de la Unidad de Transparencia del Sujeto Obligado, </w:t>
      </w:r>
      <w:r w:rsidRPr="003E0C32">
        <w:rPr>
          <w:rFonts w:ascii="Palatino Linotype" w:eastAsia="Times New Roman" w:hAnsi="Palatino Linotype" w:cs="Tahoma"/>
          <w:bCs/>
          <w:sz w:val="24"/>
          <w:szCs w:val="24"/>
          <w:lang w:val="es-ES" w:eastAsia="es-ES"/>
        </w:rPr>
        <w:t xml:space="preserve">remitió el siguiente archivo en informe justificado, el cual se encuentra </w:t>
      </w:r>
      <w:r w:rsidRPr="003E0C32">
        <w:rPr>
          <w:rFonts w:ascii="Palatino Linotype" w:eastAsia="Times New Roman" w:hAnsi="Palatino Linotype" w:cs="Tahoma"/>
          <w:bCs/>
          <w:sz w:val="24"/>
          <w:szCs w:val="24"/>
          <w:lang w:val="es-ES" w:eastAsia="es-ES"/>
        </w:rPr>
        <w:t xml:space="preserve">en los términos siguientes: </w:t>
      </w:r>
    </w:p>
    <w:p w:rsidR="003E0C32" w:rsidRPr="003E0C32" w:rsidRDefault="003E0C32" w:rsidP="003E0C32">
      <w:pPr>
        <w:pStyle w:val="Prrafodelista"/>
        <w:numPr>
          <w:ilvl w:val="0"/>
          <w:numId w:val="3"/>
        </w:numPr>
        <w:tabs>
          <w:tab w:val="left" w:pos="1134"/>
        </w:tabs>
        <w:spacing w:line="360" w:lineRule="auto"/>
        <w:ind w:left="567" w:hanging="141"/>
        <w:jc w:val="both"/>
        <w:rPr>
          <w:rFonts w:ascii="Palatino Linotype" w:eastAsia="Times New Roman" w:hAnsi="Palatino Linotype" w:cs="Tahoma"/>
          <w:b/>
        </w:rPr>
      </w:pPr>
      <w:r w:rsidRPr="003E0C32">
        <w:rPr>
          <w:rFonts w:ascii="Palatino Linotype" w:eastAsia="Times New Roman" w:hAnsi="Palatino Linotype" w:cs="Tahoma"/>
          <w:b/>
          <w:i/>
        </w:rPr>
        <w:t>“</w:t>
      </w:r>
      <w:r w:rsidRPr="003E0C32">
        <w:rPr>
          <w:rFonts w:ascii="Palatino Linotype" w:eastAsia="Times New Roman" w:hAnsi="Palatino Linotype" w:cs="Tahoma"/>
          <w:b/>
          <w:i/>
        </w:rPr>
        <w:t>2017.pdf</w:t>
      </w:r>
      <w:r w:rsidRPr="003E0C32">
        <w:rPr>
          <w:rFonts w:ascii="Palatino Linotype" w:eastAsia="Times New Roman" w:hAnsi="Palatino Linotype" w:cs="Tahoma"/>
          <w:b/>
          <w:i/>
        </w:rPr>
        <w:t>”</w:t>
      </w:r>
      <w:r w:rsidRPr="003E0C32">
        <w:rPr>
          <w:rFonts w:ascii="Palatino Linotype" w:eastAsia="Times New Roman" w:hAnsi="Palatino Linotype" w:cs="Tahoma"/>
          <w:b/>
        </w:rPr>
        <w:t xml:space="preserve">: </w:t>
      </w:r>
      <w:r w:rsidRPr="003E0C32">
        <w:rPr>
          <w:rFonts w:ascii="Palatino Linotype" w:eastAsia="Times New Roman" w:hAnsi="Palatino Linotype" w:cs="Tahoma"/>
          <w:b/>
        </w:rPr>
        <w:t xml:space="preserve"> </w:t>
      </w:r>
      <w:r w:rsidRPr="003E0C32">
        <w:rPr>
          <w:rFonts w:ascii="Palatino Linotype" w:eastAsia="Times New Roman" w:hAnsi="Palatino Linotype" w:cs="Tahoma"/>
          <w:bCs/>
        </w:rPr>
        <w:t xml:space="preserve">Documento en formato PDF, mismo que, a le letra, dispone lo siguiente: </w:t>
      </w:r>
    </w:p>
    <w:p w:rsidR="003E0C32" w:rsidRPr="003E0C32" w:rsidRDefault="003E0C32" w:rsidP="003E0C32">
      <w:pPr>
        <w:pStyle w:val="Prrafodelista"/>
        <w:tabs>
          <w:tab w:val="left" w:pos="1134"/>
        </w:tabs>
        <w:spacing w:line="276" w:lineRule="auto"/>
        <w:ind w:left="567" w:right="990"/>
        <w:jc w:val="both"/>
        <w:rPr>
          <w:rFonts w:ascii="Palatino Linotype" w:eastAsia="Times New Roman" w:hAnsi="Palatino Linotype" w:cs="Tahoma"/>
          <w:i/>
          <w:sz w:val="22"/>
        </w:rPr>
      </w:pPr>
      <w:r>
        <w:rPr>
          <w:rFonts w:ascii="Palatino Linotype" w:eastAsia="Times New Roman" w:hAnsi="Palatino Linotype" w:cs="Tahoma"/>
          <w:i/>
          <w:sz w:val="22"/>
          <w:lang w:val="es-MX"/>
        </w:rPr>
        <w:t>“</w:t>
      </w:r>
      <w:r w:rsidRPr="003E0C32">
        <w:rPr>
          <w:rFonts w:ascii="Palatino Linotype" w:eastAsia="Times New Roman" w:hAnsi="Palatino Linotype" w:cs="Tahoma"/>
          <w:i/>
          <w:sz w:val="22"/>
          <w:lang w:val="es-MX"/>
        </w:rPr>
        <w:t xml:space="preserve">En respuesta a su inconformidad se le hace de conocimiento que la información solicitada es información correspondiente a otra dependencia, que es a la secretaria de Movilidad del Estado de México, por lo que le sugerimos realizar el trámite o solicitud de información a la misma, puesto que ella otorga las concesiones de transporte público. Lo anterior, de acuerdo al artículo 12, párrafo segundo </w:t>
      </w:r>
      <w:proofErr w:type="spellStart"/>
      <w:r w:rsidRPr="003E0C32">
        <w:rPr>
          <w:rFonts w:ascii="Palatino Linotype" w:eastAsia="Times New Roman" w:hAnsi="Palatino Linotype" w:cs="Tahoma"/>
          <w:i/>
          <w:sz w:val="22"/>
          <w:lang w:val="es-MX"/>
        </w:rPr>
        <w:t>del</w:t>
      </w:r>
      <w:proofErr w:type="spellEnd"/>
      <w:r w:rsidRPr="003E0C32">
        <w:rPr>
          <w:rFonts w:ascii="Palatino Linotype" w:eastAsia="Times New Roman" w:hAnsi="Palatino Linotype" w:cs="Tahoma"/>
          <w:i/>
          <w:sz w:val="22"/>
          <w:lang w:val="es-MX"/>
        </w:rPr>
        <w:t xml:space="preserv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Times New Roman" w:hAnsi="Palatino Linotype" w:cs="Tahoma"/>
          <w:i/>
          <w:sz w:val="22"/>
          <w:lang w:val="es-MX"/>
        </w:rPr>
        <w:t>”</w:t>
      </w:r>
    </w:p>
    <w:p w:rsidR="003E0C32" w:rsidRDefault="003E0C32">
      <w:pPr>
        <w:spacing w:before="240" w:after="240" w:line="360" w:lineRule="auto"/>
        <w:ind w:right="-6"/>
        <w:jc w:val="both"/>
        <w:rPr>
          <w:rFonts w:ascii="Palatino Linotype" w:eastAsia="Palatino Linotype" w:hAnsi="Palatino Linotype" w:cs="Palatino Linotype"/>
          <w:sz w:val="24"/>
          <w:szCs w:val="24"/>
          <w:highlight w:val="yellow"/>
        </w:rPr>
      </w:pPr>
    </w:p>
    <w:p w:rsidR="002C093A" w:rsidRDefault="00966BB4">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derivado del análisis efectuado, el Pleno de este Instituto consideró que los motivos de inconformidad aducidos por el </w:t>
      </w:r>
      <w:r>
        <w:rPr>
          <w:rFonts w:ascii="Palatino Linotype" w:eastAsia="Palatino Linotype" w:hAnsi="Palatino Linotype" w:cs="Palatino Linotype"/>
          <w:b/>
          <w:sz w:val="24"/>
          <w:szCs w:val="24"/>
        </w:rPr>
        <w:t>Recur</w:t>
      </w:r>
      <w:r>
        <w:rPr>
          <w:rFonts w:ascii="Palatino Linotype" w:eastAsia="Palatino Linotype" w:hAnsi="Palatino Linotype" w:cs="Palatino Linotype"/>
          <w:b/>
          <w:sz w:val="24"/>
          <w:szCs w:val="24"/>
        </w:rPr>
        <w:t xml:space="preserve">rente </w:t>
      </w:r>
      <w:r>
        <w:rPr>
          <w:rFonts w:ascii="Palatino Linotype" w:eastAsia="Palatino Linotype" w:hAnsi="Palatino Linotype" w:cs="Palatino Linotype"/>
          <w:sz w:val="24"/>
          <w:szCs w:val="24"/>
        </w:rPr>
        <w:t xml:space="preserve">eran parcialmente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2C093A" w:rsidRDefault="00966BB4">
      <w:pPr>
        <w:tabs>
          <w:tab w:val="left" w:pos="1134"/>
        </w:tabs>
        <w:spacing w:before="120" w:after="120" w:line="240" w:lineRule="auto"/>
        <w:ind w:left="567" w:right="992"/>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“PRIMERO. Se MODIFCA la respuesta entregada por el Ayuntamiento de Amecameca, a la solicitud de información 02017/AMECAMEC/IP/2022, por resultar PARCIALMENTE FUNDADA la razón o motivo de inconformidad hecha valer por el Recurrente en el Recurso de Revisión</w:t>
      </w:r>
      <w:r>
        <w:rPr>
          <w:rFonts w:ascii="Palatino Linotype" w:eastAsia="Palatino Linotype" w:hAnsi="Palatino Linotype" w:cs="Palatino Linotype"/>
          <w:i/>
        </w:rPr>
        <w:t xml:space="preserve"> 17396/INFOEM/IP/RR/2022 en términos de los Considerandos QUINTO y SEXTO de la presente Resolución.</w:t>
      </w:r>
    </w:p>
    <w:p w:rsidR="002C093A" w:rsidRDefault="002C093A">
      <w:pPr>
        <w:tabs>
          <w:tab w:val="left" w:pos="1134"/>
        </w:tabs>
        <w:spacing w:before="120" w:after="120" w:line="240" w:lineRule="auto"/>
        <w:ind w:left="567" w:right="992"/>
        <w:jc w:val="both"/>
        <w:rPr>
          <w:rFonts w:ascii="Palatino Linotype" w:eastAsia="Palatino Linotype" w:hAnsi="Palatino Linotype" w:cs="Palatino Linotype"/>
          <w:i/>
        </w:rPr>
      </w:pPr>
    </w:p>
    <w:p w:rsidR="002C093A" w:rsidRDefault="00966BB4">
      <w:pPr>
        <w:tabs>
          <w:tab w:val="left" w:pos="1134"/>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Ayuntamiento de Amecameca, a efecto de que, entregue a través del Sistema de Acceso a la Información Mexiquense (SAIMEX), el </w:t>
      </w:r>
      <w:r>
        <w:rPr>
          <w:rFonts w:ascii="Palatino Linotype" w:eastAsia="Palatino Linotype" w:hAnsi="Palatino Linotype" w:cs="Palatino Linotype"/>
          <w:b/>
          <w:i/>
          <w:u w:val="single"/>
        </w:rPr>
        <w:t xml:space="preserve">Acuerdo </w:t>
      </w:r>
      <w:r>
        <w:rPr>
          <w:rFonts w:ascii="Palatino Linotype" w:eastAsia="Palatino Linotype" w:hAnsi="Palatino Linotype" w:cs="Palatino Linotype"/>
          <w:b/>
          <w:i/>
          <w:u w:val="single"/>
        </w:rPr>
        <w:t>del Comité de Transparencia por el cual se confirme la incompetencia para atender la solicitud 02017/AMECAMEC/IP/2022.</w:t>
      </w:r>
      <w:r>
        <w:rPr>
          <w:rFonts w:ascii="Palatino Linotype" w:eastAsia="Palatino Linotype" w:hAnsi="Palatino Linotype" w:cs="Palatino Linotype"/>
          <w:i/>
        </w:rPr>
        <w:t>” (Énfasis añadido)</w:t>
      </w:r>
    </w:p>
    <w:p w:rsidR="002C093A" w:rsidRDefault="002C093A">
      <w:pPr>
        <w:tabs>
          <w:tab w:val="left" w:pos="1134"/>
        </w:tabs>
        <w:spacing w:before="120" w:after="120" w:line="240" w:lineRule="auto"/>
        <w:ind w:left="567" w:right="992"/>
        <w:jc w:val="both"/>
        <w:rPr>
          <w:rFonts w:ascii="Palatino Linotype" w:eastAsia="Palatino Linotype" w:hAnsi="Palatino Linotype" w:cs="Palatino Linotype"/>
          <w:b/>
          <w:i/>
        </w:rPr>
      </w:pPr>
    </w:p>
    <w:p w:rsidR="002C093A" w:rsidRDefault="00966BB4">
      <w:pPr>
        <w:numPr>
          <w:ilvl w:val="0"/>
          <w:numId w:val="1"/>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2C093A" w:rsidRDefault="00966B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términos generales es de señalar que no comparto el sentido de la resolución, por los </w:t>
      </w:r>
      <w:r>
        <w:rPr>
          <w:rFonts w:ascii="Palatino Linotype" w:eastAsia="Palatino Linotype" w:hAnsi="Palatino Linotype" w:cs="Palatino Linotype"/>
          <w:sz w:val="24"/>
          <w:szCs w:val="24"/>
        </w:rPr>
        <w:t>argumentos que se exponen a continuación:</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primer lugar del análisis realizado a la fijación de la </w:t>
      </w:r>
      <w:proofErr w:type="spellStart"/>
      <w:r>
        <w:rPr>
          <w:rFonts w:ascii="Palatino Linotype" w:eastAsia="Palatino Linotype" w:hAnsi="Palatino Linotype" w:cs="Palatino Linotype"/>
          <w:sz w:val="24"/>
          <w:szCs w:val="24"/>
        </w:rPr>
        <w:t>litis</w:t>
      </w:r>
      <w:proofErr w:type="spellEnd"/>
      <w:r>
        <w:rPr>
          <w:rFonts w:ascii="Palatino Linotype" w:eastAsia="Palatino Linotype" w:hAnsi="Palatino Linotype" w:cs="Palatino Linotype"/>
          <w:sz w:val="24"/>
          <w:szCs w:val="24"/>
        </w:rPr>
        <w:t xml:space="preserve"> se obtiene que el motivo de inconformidad del recurrente se centra principalmente en que no le fue proporcionado el oficio de contestación a la solicitud, tal como se advierte a continuación:</w:t>
      </w:r>
      <w:r>
        <w:rPr>
          <w:rFonts w:ascii="Palatino Linotype" w:eastAsia="Palatino Linotype" w:hAnsi="Palatino Linotype" w:cs="Palatino Linotype"/>
          <w:sz w:val="24"/>
          <w:szCs w:val="24"/>
        </w:rPr>
        <w:t xml:space="preserve"> </w:t>
      </w:r>
    </w:p>
    <w:p w:rsidR="003E0C32" w:rsidRDefault="003E0C32">
      <w:pPr>
        <w:tabs>
          <w:tab w:val="left" w:pos="142"/>
          <w:tab w:val="left" w:pos="284"/>
        </w:tabs>
        <w:spacing w:after="0" w:line="360" w:lineRule="auto"/>
        <w:ind w:left="560" w:right="560"/>
        <w:jc w:val="both"/>
        <w:rPr>
          <w:rFonts w:ascii="Palatino Linotype" w:eastAsia="Palatino Linotype" w:hAnsi="Palatino Linotype" w:cs="Palatino Linotype"/>
          <w:b/>
          <w:sz w:val="24"/>
          <w:szCs w:val="24"/>
        </w:rPr>
      </w:pPr>
    </w:p>
    <w:p w:rsidR="002C093A" w:rsidRDefault="00966BB4">
      <w:pPr>
        <w:tabs>
          <w:tab w:val="left" w:pos="142"/>
          <w:tab w:val="left" w:pos="284"/>
        </w:tabs>
        <w:spacing w:after="0" w:line="360" w:lineRule="auto"/>
        <w:ind w:left="560" w:right="56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ACTO IMPUGNADO</w:t>
      </w:r>
    </w:p>
    <w:p w:rsidR="002C093A" w:rsidRDefault="002C093A">
      <w:pPr>
        <w:tabs>
          <w:tab w:val="left" w:pos="142"/>
          <w:tab w:val="left" w:pos="284"/>
        </w:tabs>
        <w:spacing w:after="0" w:line="360" w:lineRule="auto"/>
        <w:ind w:left="560" w:right="560"/>
        <w:jc w:val="both"/>
        <w:rPr>
          <w:rFonts w:ascii="Palatino Linotype" w:eastAsia="Palatino Linotype" w:hAnsi="Palatino Linotype" w:cs="Palatino Linotype"/>
          <w:b/>
          <w:sz w:val="24"/>
          <w:szCs w:val="24"/>
        </w:rPr>
      </w:pPr>
    </w:p>
    <w:p w:rsidR="002C093A" w:rsidRDefault="00966BB4" w:rsidP="003E0C32">
      <w:pPr>
        <w:tabs>
          <w:tab w:val="left" w:pos="142"/>
          <w:tab w:val="left" w:pos="284"/>
        </w:tabs>
        <w:spacing w:after="0" w:line="360" w:lineRule="auto"/>
        <w:ind w:left="560"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LA OMISIÓN DE LA RESPUESTA DE SOLICITUD DADO QUE </w:t>
      </w:r>
      <w:r>
        <w:rPr>
          <w:rFonts w:ascii="Palatino Linotype" w:eastAsia="Palatino Linotype" w:hAnsi="Palatino Linotype" w:cs="Palatino Linotype"/>
          <w:b/>
          <w:i/>
          <w:u w:val="single"/>
        </w:rPr>
        <w:t xml:space="preserve">NO SE ANEXA OFICIO DE CONTESTACIÓN A LA SOLICITUD 02017/AMECAMEC/IP/2022 </w:t>
      </w:r>
      <w:r>
        <w:rPr>
          <w:rFonts w:ascii="Palatino Linotype" w:eastAsia="Palatino Linotype" w:hAnsi="Palatino Linotype" w:cs="Palatino Linotype"/>
          <w:i/>
        </w:rPr>
        <w:t>VIOLENTANDO EL DERECHO HUMANO DE ACCESO A LA INFORMACIÓN PUBLICA TUTELADO EN EL ARTICULO 4 DE LA LEY DE TRANSPARENCI</w:t>
      </w:r>
      <w:r>
        <w:rPr>
          <w:rFonts w:ascii="Palatino Linotype" w:eastAsia="Palatino Linotype" w:hAnsi="Palatino Linotype" w:cs="Palatino Linotype"/>
          <w:i/>
        </w:rPr>
        <w:t>A Y ACCESO A LA INFORMACIÓN PUBLICA DEL ESTADO DE MÉXICO Y FALTANDO A LOS PRINCIPIOS DEL ARTICULO 9 SOLICITANDO SE EJERZA LA GARANTIA QUE HACE MECION ARTICULO 7 DE ESTA LEY.</w:t>
      </w:r>
    </w:p>
    <w:p w:rsidR="003E0C32" w:rsidRDefault="003E0C32" w:rsidP="003E0C32">
      <w:pPr>
        <w:tabs>
          <w:tab w:val="left" w:pos="142"/>
          <w:tab w:val="left" w:pos="284"/>
        </w:tabs>
        <w:spacing w:after="0" w:line="360" w:lineRule="auto"/>
        <w:ind w:left="560" w:right="560"/>
        <w:jc w:val="both"/>
        <w:rPr>
          <w:rFonts w:ascii="Palatino Linotype" w:eastAsia="Palatino Linotype" w:hAnsi="Palatino Linotype" w:cs="Palatino Linotype"/>
          <w:i/>
        </w:rPr>
      </w:pPr>
    </w:p>
    <w:p w:rsidR="002C093A" w:rsidRDefault="00966BB4">
      <w:pPr>
        <w:tabs>
          <w:tab w:val="left" w:pos="142"/>
          <w:tab w:val="left" w:pos="284"/>
        </w:tabs>
        <w:spacing w:after="0" w:line="360" w:lineRule="auto"/>
        <w:ind w:left="560" w:right="56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O MOTIVOS DE LA INCONFORMIDAD</w:t>
      </w:r>
    </w:p>
    <w:p w:rsidR="002C093A" w:rsidRPr="003E0C32" w:rsidRDefault="00966BB4" w:rsidP="003E0C32">
      <w:pPr>
        <w:tabs>
          <w:tab w:val="left" w:pos="142"/>
          <w:tab w:val="left" w:pos="284"/>
        </w:tabs>
        <w:spacing w:after="0" w:line="360" w:lineRule="auto"/>
        <w:ind w:left="560" w:right="540"/>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LAS RAZONES DE INCONFORMIDAD EN BASE ARTÍC</w:t>
      </w:r>
      <w:r>
        <w:rPr>
          <w:rFonts w:ascii="Palatino Linotype" w:eastAsia="Palatino Linotype" w:hAnsi="Palatino Linotype" w:cs="Palatino Linotype"/>
          <w:i/>
          <w:sz w:val="24"/>
          <w:szCs w:val="24"/>
        </w:rPr>
        <w:t>ULO 179. EL RECURSO DE REVISIÓN ES UN MEDIO DE PROTECCIÓN QUE LA LEY OTORGA A LOS PARTICULARES, PARA HACER VALER SU DERECHO DE ACCESO A LA INFORMACIÓN PÚBLICA, Y PROCEDERÁ EN CONTRA DE LAS SIGUIENTES CAUSAS: DE LA LEY DE TRANSPARENCIA Y ACCESO A LA INFORMA</w:t>
      </w:r>
      <w:r>
        <w:rPr>
          <w:rFonts w:ascii="Palatino Linotype" w:eastAsia="Palatino Linotype" w:hAnsi="Palatino Linotype" w:cs="Palatino Linotype"/>
          <w:i/>
          <w:sz w:val="24"/>
          <w:szCs w:val="24"/>
        </w:rPr>
        <w:t xml:space="preserve">CIÓN </w:t>
      </w:r>
      <w:proofErr w:type="gramStart"/>
      <w:r>
        <w:rPr>
          <w:rFonts w:ascii="Palatino Linotype" w:eastAsia="Palatino Linotype" w:hAnsi="Palatino Linotype" w:cs="Palatino Linotype"/>
          <w:i/>
          <w:sz w:val="24"/>
          <w:szCs w:val="24"/>
        </w:rPr>
        <w:t>PUBLICA</w:t>
      </w:r>
      <w:proofErr w:type="gramEnd"/>
      <w:r>
        <w:rPr>
          <w:rFonts w:ascii="Palatino Linotype" w:eastAsia="Palatino Linotype" w:hAnsi="Palatino Linotype" w:cs="Palatino Linotype"/>
          <w:i/>
          <w:sz w:val="24"/>
          <w:szCs w:val="24"/>
        </w:rPr>
        <w:t xml:space="preserve"> DEL ESTADO DE MÉXICO</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dentro de la misma resolución se advierte que el oficio al que hace referencia el recurrente si fue remitido vía SAIMEX, tan es así que la Ponencia resolutora señala: </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i/>
          <w:sz w:val="24"/>
          <w:szCs w:val="24"/>
        </w:rPr>
        <w:t xml:space="preserve">contrario a lo establecido por el </w:t>
      </w:r>
      <w:r>
        <w:rPr>
          <w:rFonts w:ascii="Palatino Linotype" w:eastAsia="Palatino Linotype" w:hAnsi="Palatino Linotype" w:cs="Palatino Linotype"/>
          <w:i/>
          <w:sz w:val="24"/>
          <w:szCs w:val="24"/>
        </w:rPr>
        <w:t>Recurrente en su medio de defensa, el Sujeto Obligado sí hizo entrega del documento por el cual se da atención a su requerimiento de información, mismo que fue suscrito por el Coordinador de Movilidad de la Secretaría de Movilidad, por el que precisó que l</w:t>
      </w:r>
      <w:r>
        <w:rPr>
          <w:rFonts w:ascii="Palatino Linotype" w:eastAsia="Palatino Linotype" w:hAnsi="Palatino Linotype" w:cs="Palatino Linotype"/>
          <w:i/>
          <w:sz w:val="24"/>
          <w:szCs w:val="24"/>
        </w:rPr>
        <w:t>a dependencia competente para atender su solicitud es la Secretaría de Movilidad, en virtud de lo dispuesto en los artículos 17.38 y 17.40 del Código Administrativo del Estado de México.”</w:t>
      </w:r>
    </w:p>
    <w:p w:rsidR="003E0C32" w:rsidRPr="003E0C32" w:rsidRDefault="00966BB4" w:rsidP="003E0C32">
      <w:pPr>
        <w:tabs>
          <w:tab w:val="left" w:pos="142"/>
          <w:tab w:val="left" w:pos="284"/>
        </w:tabs>
        <w:spacing w:before="240" w:after="240" w:line="360" w:lineRule="auto"/>
        <w:jc w:val="both"/>
        <w:rPr>
          <w:rFonts w:ascii="Palatino Linotype" w:eastAsia="Palatino Linotype" w:hAnsi="Palatino Linotype" w:cs="Palatino Linotype"/>
          <w:color w:val="000000" w:themeColor="text1"/>
          <w:lang w:val="es-ES"/>
        </w:rPr>
      </w:pPr>
      <w:r>
        <w:rPr>
          <w:rFonts w:ascii="Palatino Linotype" w:eastAsia="Palatino Linotype" w:hAnsi="Palatino Linotype" w:cs="Palatino Linotype"/>
          <w:sz w:val="24"/>
          <w:szCs w:val="24"/>
        </w:rPr>
        <w:t xml:space="preserve">Hasta este punto la que suscribe considera que en virtud de que el motivo de inconformidad se centra </w:t>
      </w:r>
      <w:r w:rsidR="003E0C32">
        <w:rPr>
          <w:rFonts w:ascii="Palatino Linotype" w:eastAsia="Palatino Linotype" w:hAnsi="Palatino Linotype" w:cs="Palatino Linotype"/>
          <w:sz w:val="24"/>
          <w:szCs w:val="24"/>
        </w:rPr>
        <w:t xml:space="preserve">en la falta de entrega de un </w:t>
      </w:r>
      <w:r>
        <w:rPr>
          <w:rFonts w:ascii="Palatino Linotype" w:eastAsia="Palatino Linotype" w:hAnsi="Palatino Linotype" w:cs="Palatino Linotype"/>
          <w:sz w:val="24"/>
          <w:szCs w:val="24"/>
        </w:rPr>
        <w:t>oficio que sí fue remitido por el Sujeto Obligado, es que desde mi punto de vista se debió confirmar la respuesta del Sujet</w:t>
      </w:r>
      <w:r>
        <w:rPr>
          <w:rFonts w:ascii="Palatino Linotype" w:eastAsia="Palatino Linotype" w:hAnsi="Palatino Linotype" w:cs="Palatino Linotype"/>
          <w:sz w:val="24"/>
          <w:szCs w:val="24"/>
        </w:rPr>
        <w:t xml:space="preserve">o Obligado o bien sobreseer el asunto </w:t>
      </w:r>
      <w:r w:rsidRPr="003E0C32">
        <w:rPr>
          <w:rFonts w:ascii="Palatino Linotype" w:eastAsia="Palatino Linotype" w:hAnsi="Palatino Linotype" w:cs="Palatino Linotype"/>
          <w:color w:val="000000" w:themeColor="text1"/>
          <w:sz w:val="24"/>
          <w:szCs w:val="24"/>
        </w:rPr>
        <w:t>a</w:t>
      </w:r>
      <w:r w:rsidRPr="003E0C32">
        <w:rPr>
          <w:rFonts w:ascii="Palatino Linotype" w:eastAsia="Palatino Linotype" w:hAnsi="Palatino Linotype" w:cs="Palatino Linotype"/>
          <w:color w:val="000000" w:themeColor="text1"/>
          <w:sz w:val="24"/>
          <w:szCs w:val="24"/>
        </w:rPr>
        <w:t>l a</w:t>
      </w:r>
      <w:r w:rsidRPr="003E0C32">
        <w:rPr>
          <w:rFonts w:ascii="Palatino Linotype" w:eastAsia="Palatino Linotype" w:hAnsi="Palatino Linotype" w:cs="Palatino Linotype"/>
          <w:color w:val="000000" w:themeColor="text1"/>
          <w:sz w:val="24"/>
          <w:szCs w:val="24"/>
        </w:rPr>
        <w:t xml:space="preserve">ctualizar </w:t>
      </w:r>
      <w:r w:rsidR="003E0C32" w:rsidRPr="003E0C32">
        <w:rPr>
          <w:rFonts w:ascii="Palatino Linotype" w:eastAsia="Palatino Linotype" w:hAnsi="Palatino Linotype" w:cs="Palatino Linotype"/>
          <w:color w:val="000000" w:themeColor="text1"/>
          <w:sz w:val="24"/>
          <w:szCs w:val="24"/>
        </w:rPr>
        <w:t xml:space="preserve">un agravio inoperante, toda vez que </w:t>
      </w:r>
      <w:r w:rsidR="003E0C32" w:rsidRPr="003E0C32">
        <w:rPr>
          <w:rFonts w:ascii="Palatino Linotype" w:eastAsia="Palatino Linotype" w:hAnsi="Palatino Linotype" w:cs="Palatino Linotype"/>
          <w:color w:val="000000" w:themeColor="text1"/>
          <w:sz w:val="24"/>
          <w:szCs w:val="24"/>
          <w:lang w:val="es-ES"/>
        </w:rPr>
        <w:t>no se advierte que la materia de la solicitud sea</w:t>
      </w:r>
      <w:r w:rsidR="003E0C32">
        <w:rPr>
          <w:rFonts w:ascii="Palatino Linotype" w:eastAsia="Palatino Linotype" w:hAnsi="Palatino Linotype" w:cs="Palatino Linotype"/>
          <w:color w:val="000000" w:themeColor="text1"/>
          <w:sz w:val="24"/>
          <w:szCs w:val="24"/>
          <w:lang w:val="es-ES"/>
        </w:rPr>
        <w:t xml:space="preserve"> obtener un oficio de contestación</w:t>
      </w:r>
      <w:r w:rsidR="003E0C32" w:rsidRPr="003E0C32">
        <w:rPr>
          <w:rFonts w:ascii="Palatino Linotype" w:eastAsia="Palatino Linotype" w:hAnsi="Palatino Linotype" w:cs="Palatino Linotype"/>
          <w:color w:val="000000" w:themeColor="text1"/>
          <w:sz w:val="24"/>
          <w:szCs w:val="24"/>
          <w:lang w:val="es-ES"/>
        </w:rPr>
        <w:t>, toda vez que como quedó asentado en las constancias que conforman el expediente electrónico del SAIMEX, el particular requirió lo siguiente:</w:t>
      </w:r>
      <w:r w:rsidR="003E0C32" w:rsidRPr="003E0C32">
        <w:rPr>
          <w:rFonts w:ascii="Palatino Linotype" w:eastAsia="Palatino Linotype" w:hAnsi="Palatino Linotype" w:cs="Palatino Linotype"/>
          <w:color w:val="000000" w:themeColor="text1"/>
          <w:lang w:val="es-ES"/>
        </w:rPr>
        <w:t> </w:t>
      </w:r>
    </w:p>
    <w:p w:rsidR="003E0C32" w:rsidRDefault="003E0C32" w:rsidP="003E0C32">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se informe el listado oficial y vigente de las concesiones emitidas a personas físicas </w:t>
      </w:r>
      <w:proofErr w:type="spellStart"/>
      <w:r>
        <w:rPr>
          <w:rFonts w:ascii="Palatino Linotype" w:eastAsia="Palatino Linotype" w:hAnsi="Palatino Linotype" w:cs="Palatino Linotype"/>
          <w:i/>
        </w:rPr>
        <w:t>ó</w:t>
      </w:r>
      <w:proofErr w:type="spellEnd"/>
      <w:r>
        <w:rPr>
          <w:rFonts w:ascii="Palatino Linotype" w:eastAsia="Palatino Linotype" w:hAnsi="Palatino Linotype" w:cs="Palatino Linotype"/>
          <w:i/>
        </w:rPr>
        <w:t xml:space="preserve"> morales de prestadores de servicio de transporte público. - Se muestre las rutas que cubren el servicio de combis en el municipio de Amecameca. - Se informe sobre las concesiones y/</w:t>
      </w:r>
      <w:proofErr w:type="spellStart"/>
      <w:r>
        <w:rPr>
          <w:rFonts w:ascii="Palatino Linotype" w:eastAsia="Palatino Linotype" w:hAnsi="Palatino Linotype" w:cs="Palatino Linotype"/>
          <w:i/>
        </w:rPr>
        <w:t>ó</w:t>
      </w:r>
      <w:proofErr w:type="spellEnd"/>
      <w:r>
        <w:rPr>
          <w:rFonts w:ascii="Palatino Linotype" w:eastAsia="Palatino Linotype" w:hAnsi="Palatino Linotype" w:cs="Palatino Linotype"/>
          <w:i/>
        </w:rPr>
        <w:t xml:space="preserve"> rutas asignadas que tengan como punto, parada o base en AV. 20 DE NOVIEMBRE #33 COLONIA CENTRO ENTRE NUEVO MEXICO Y JUAREZ, MUNICIPIO DE AMECAMECA, ESTADO DE MEXICO. Me informe el proceso de denuncia en caso de que se preste el servicio sin concesión otorgada por el Estado. De no ser sujeto obligado poseedor de esta información, me señale a que institución requerirla.” (Sic)</w:t>
      </w:r>
    </w:p>
    <w:p w:rsidR="003E0C32" w:rsidRPr="003E0C32" w:rsidRDefault="003E0C32">
      <w:pPr>
        <w:tabs>
          <w:tab w:val="left" w:pos="142"/>
          <w:tab w:val="left" w:pos="284"/>
        </w:tabs>
        <w:spacing w:before="240" w:after="240" w:line="360" w:lineRule="auto"/>
        <w:jc w:val="both"/>
        <w:rPr>
          <w:rFonts w:ascii="Palatino Linotype" w:eastAsia="Palatino Linotype" w:hAnsi="Palatino Linotype" w:cs="Palatino Linotype"/>
          <w:color w:val="000000" w:themeColor="text1"/>
          <w:sz w:val="24"/>
          <w:szCs w:val="24"/>
        </w:rPr>
      </w:pPr>
    </w:p>
    <w:p w:rsidR="003E0C32" w:rsidRPr="003E0C32" w:rsidRDefault="003E0C32" w:rsidP="003E0C32">
      <w:pPr>
        <w:spacing w:line="360" w:lineRule="auto"/>
        <w:jc w:val="both"/>
        <w:rPr>
          <w:rFonts w:ascii="Times New Roman" w:eastAsia="Times New Roman" w:hAnsi="Times New Roman" w:cs="Times New Roman"/>
          <w:sz w:val="24"/>
          <w:szCs w:val="24"/>
        </w:rPr>
      </w:pPr>
      <w:r w:rsidRPr="003E0C32">
        <w:rPr>
          <w:rFonts w:ascii="Palatino Linotype" w:eastAsia="Times New Roman" w:hAnsi="Palatino Linotype" w:cs="Times New Roman"/>
          <w:color w:val="000000"/>
          <w:sz w:val="24"/>
          <w:szCs w:val="24"/>
        </w:rPr>
        <w:t xml:space="preserve">En efecto, atentos a la inconformidad planteada resulta necesario señalar que la misma no versa ni sobre la materia de la solicitud de información inicial, ni sobre el contenido de la respuesta emitida por el </w:t>
      </w:r>
      <w:r w:rsidRPr="003E0C32">
        <w:rPr>
          <w:rFonts w:ascii="Palatino Linotype" w:eastAsia="Times New Roman" w:hAnsi="Palatino Linotype" w:cs="Times New Roman"/>
          <w:b/>
          <w:bCs/>
          <w:color w:val="000000"/>
          <w:sz w:val="24"/>
          <w:szCs w:val="24"/>
        </w:rPr>
        <w:t>Sujeto Obligado</w:t>
      </w:r>
      <w:r w:rsidRPr="003E0C32">
        <w:rPr>
          <w:rFonts w:ascii="Palatino Linotype" w:eastAsia="Times New Roman" w:hAnsi="Palatino Linotype" w:cs="Times New Roman"/>
          <w:color w:val="000000"/>
          <w:sz w:val="24"/>
          <w:szCs w:val="24"/>
        </w:rPr>
        <w:t>,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rsidR="003E0C32" w:rsidRPr="003E0C32" w:rsidRDefault="003E0C32" w:rsidP="003E0C32">
      <w:pPr>
        <w:spacing w:line="240" w:lineRule="auto"/>
        <w:ind w:left="560" w:right="620"/>
        <w:jc w:val="both"/>
        <w:rPr>
          <w:rFonts w:ascii="Times New Roman" w:eastAsia="Times New Roman" w:hAnsi="Times New Roman" w:cs="Times New Roman"/>
          <w:sz w:val="24"/>
          <w:szCs w:val="24"/>
        </w:rPr>
      </w:pPr>
      <w:r w:rsidRPr="003E0C32">
        <w:rPr>
          <w:rFonts w:ascii="Palatino Linotype" w:eastAsia="Times New Roman" w:hAnsi="Palatino Linotype" w:cs="Times New Roman"/>
          <w:b/>
          <w:bCs/>
          <w:i/>
          <w:iCs/>
          <w:color w:val="000000"/>
        </w:rPr>
        <w:t>“Artículo 191. El recurso será desechado por improcedente cuando: </w:t>
      </w:r>
    </w:p>
    <w:p w:rsidR="003E0C32" w:rsidRPr="003E0C32" w:rsidRDefault="003E0C32" w:rsidP="003E0C32">
      <w:pPr>
        <w:spacing w:line="240" w:lineRule="auto"/>
        <w:ind w:left="560" w:right="620"/>
        <w:jc w:val="both"/>
        <w:rPr>
          <w:rFonts w:ascii="Times New Roman" w:eastAsia="Times New Roman" w:hAnsi="Times New Roman" w:cs="Times New Roman"/>
          <w:sz w:val="24"/>
          <w:szCs w:val="24"/>
        </w:rPr>
      </w:pPr>
      <w:r w:rsidRPr="003E0C32">
        <w:rPr>
          <w:rFonts w:ascii="Palatino Linotype" w:eastAsia="Times New Roman" w:hAnsi="Palatino Linotype" w:cs="Times New Roman"/>
          <w:b/>
          <w:bCs/>
          <w:i/>
          <w:iCs/>
          <w:color w:val="000000"/>
        </w:rPr>
        <w:t>III. No se actualice alguno de los supuestos previstos en la Ley.</w:t>
      </w:r>
    </w:p>
    <w:p w:rsidR="003E0C32" w:rsidRPr="003E0C32" w:rsidRDefault="003E0C32" w:rsidP="003E0C32">
      <w:pPr>
        <w:spacing w:line="240" w:lineRule="auto"/>
        <w:ind w:left="560" w:right="620"/>
        <w:jc w:val="both"/>
        <w:rPr>
          <w:rFonts w:ascii="Times New Roman" w:eastAsia="Times New Roman" w:hAnsi="Times New Roman" w:cs="Times New Roman"/>
          <w:sz w:val="24"/>
          <w:szCs w:val="24"/>
        </w:rPr>
      </w:pPr>
      <w:r w:rsidRPr="003E0C32">
        <w:rPr>
          <w:rFonts w:ascii="Palatino Linotype" w:eastAsia="Times New Roman" w:hAnsi="Palatino Linotype" w:cs="Times New Roman"/>
          <w:b/>
          <w:bCs/>
          <w:i/>
          <w:iCs/>
          <w:color w:val="000000"/>
        </w:rPr>
        <w:t>…</w:t>
      </w:r>
    </w:p>
    <w:p w:rsidR="003E0C32" w:rsidRPr="003E0C32" w:rsidRDefault="003E0C32" w:rsidP="003E0C32">
      <w:pPr>
        <w:spacing w:line="240" w:lineRule="auto"/>
        <w:ind w:left="560" w:right="620"/>
        <w:jc w:val="both"/>
        <w:rPr>
          <w:rFonts w:ascii="Times New Roman" w:eastAsia="Times New Roman" w:hAnsi="Times New Roman" w:cs="Times New Roman"/>
          <w:sz w:val="24"/>
          <w:szCs w:val="24"/>
        </w:rPr>
      </w:pPr>
      <w:r w:rsidRPr="003E0C32">
        <w:rPr>
          <w:rFonts w:ascii="Palatino Linotype" w:eastAsia="Times New Roman" w:hAnsi="Palatino Linotype" w:cs="Times New Roman"/>
          <w:b/>
          <w:bCs/>
          <w:i/>
          <w:iCs/>
          <w:color w:val="000000"/>
        </w:rPr>
        <w:t xml:space="preserve">Artículo 192. El recurso será </w:t>
      </w:r>
      <w:r w:rsidRPr="003E0C32">
        <w:rPr>
          <w:rFonts w:ascii="Palatino Linotype" w:eastAsia="Times New Roman" w:hAnsi="Palatino Linotype" w:cs="Times New Roman"/>
          <w:b/>
          <w:bCs/>
          <w:i/>
          <w:iCs/>
          <w:color w:val="000000"/>
          <w:u w:val="single"/>
        </w:rPr>
        <w:t>sobreseído, en todo o en parte</w:t>
      </w:r>
      <w:r w:rsidRPr="003E0C32">
        <w:rPr>
          <w:rFonts w:ascii="Palatino Linotype" w:eastAsia="Times New Roman" w:hAnsi="Palatino Linotype" w:cs="Times New Roman"/>
          <w:b/>
          <w:bCs/>
          <w:i/>
          <w:iCs/>
          <w:color w:val="000000"/>
        </w:rPr>
        <w:t>, cuando una vez admitido, se actualicen alguno de los siguientes supuestos:</w:t>
      </w:r>
    </w:p>
    <w:p w:rsidR="003E0C32" w:rsidRPr="003E0C32" w:rsidRDefault="003E0C32" w:rsidP="003E0C32">
      <w:pPr>
        <w:spacing w:line="240" w:lineRule="auto"/>
        <w:ind w:left="560" w:right="620"/>
        <w:jc w:val="both"/>
        <w:rPr>
          <w:rFonts w:ascii="Times New Roman" w:eastAsia="Times New Roman" w:hAnsi="Times New Roman" w:cs="Times New Roman"/>
          <w:sz w:val="24"/>
          <w:szCs w:val="24"/>
        </w:rPr>
      </w:pPr>
      <w:r w:rsidRPr="003E0C32">
        <w:rPr>
          <w:rFonts w:ascii="Palatino Linotype" w:eastAsia="Times New Roman" w:hAnsi="Palatino Linotype" w:cs="Times New Roman"/>
          <w:b/>
          <w:bCs/>
          <w:i/>
          <w:iCs/>
          <w:color w:val="000000"/>
        </w:rPr>
        <w:t>(…)</w:t>
      </w:r>
    </w:p>
    <w:p w:rsidR="003E0C32" w:rsidRPr="003E0C32" w:rsidRDefault="003E0C32" w:rsidP="003E0C32">
      <w:pPr>
        <w:spacing w:line="240" w:lineRule="auto"/>
        <w:ind w:left="560" w:right="620"/>
        <w:jc w:val="both"/>
        <w:rPr>
          <w:rFonts w:ascii="Times New Roman" w:eastAsia="Times New Roman" w:hAnsi="Times New Roman" w:cs="Times New Roman"/>
          <w:sz w:val="24"/>
          <w:szCs w:val="24"/>
        </w:rPr>
      </w:pPr>
      <w:r w:rsidRPr="003E0C32">
        <w:rPr>
          <w:rFonts w:ascii="Palatino Linotype" w:eastAsia="Times New Roman" w:hAnsi="Palatino Linotype" w:cs="Times New Roman"/>
          <w:b/>
          <w:bCs/>
          <w:i/>
          <w:iCs/>
          <w:color w:val="000000"/>
        </w:rPr>
        <w:t>IV. Admitido el recurso de revisión aparezca alguna causal de improcedencia en términos de la presente Ley… (Sic)”</w:t>
      </w:r>
    </w:p>
    <w:p w:rsidR="003E0C32" w:rsidRPr="003E0C32" w:rsidRDefault="003E0C32" w:rsidP="003E0C32">
      <w:pPr>
        <w:spacing w:after="0" w:line="240" w:lineRule="auto"/>
        <w:rPr>
          <w:rFonts w:ascii="Times New Roman" w:eastAsia="Times New Roman" w:hAnsi="Times New Roman" w:cs="Times New Roman"/>
          <w:sz w:val="24"/>
          <w:szCs w:val="24"/>
        </w:rPr>
      </w:pPr>
    </w:p>
    <w:p w:rsidR="003E0C32" w:rsidRPr="003E0C32" w:rsidRDefault="003E0C32" w:rsidP="009D2F9C">
      <w:pPr>
        <w:spacing w:after="0" w:line="360" w:lineRule="auto"/>
        <w:jc w:val="both"/>
        <w:rPr>
          <w:rFonts w:ascii="Times New Roman" w:eastAsia="Times New Roman" w:hAnsi="Times New Roman" w:cs="Times New Roman"/>
          <w:sz w:val="24"/>
          <w:szCs w:val="24"/>
        </w:rPr>
      </w:pPr>
      <w:r w:rsidRPr="003E0C32">
        <w:rPr>
          <w:rFonts w:ascii="Palatino Linotype" w:eastAsia="Times New Roman" w:hAnsi="Palatino Linotype" w:cs="Times New Roman"/>
          <w:color w:val="000000"/>
          <w:sz w:val="24"/>
          <w:szCs w:val="24"/>
        </w:rPr>
        <w:t xml:space="preserve">Por consiguiente, en estricto derecho la alegación de la parte </w:t>
      </w:r>
      <w:r w:rsidRPr="003E0C32">
        <w:rPr>
          <w:rFonts w:ascii="Palatino Linotype" w:eastAsia="Times New Roman" w:hAnsi="Palatino Linotype" w:cs="Times New Roman"/>
          <w:b/>
          <w:bCs/>
          <w:color w:val="000000"/>
          <w:sz w:val="24"/>
          <w:szCs w:val="24"/>
        </w:rPr>
        <w:t>Recurrente</w:t>
      </w:r>
      <w:r w:rsidRPr="003E0C32">
        <w:rPr>
          <w:rFonts w:ascii="Palatino Linotype" w:eastAsia="Times New Roman" w:hAnsi="Palatino Linotype" w:cs="Times New Roman"/>
          <w:color w:val="000000"/>
          <w:sz w:val="24"/>
          <w:szCs w:val="24"/>
        </w:rPr>
        <w:t xml:space="preserve"> se califican de inoperantes; mot</w:t>
      </w:r>
      <w:r w:rsidR="009D2F9C" w:rsidRPr="009D2F9C">
        <w:rPr>
          <w:rFonts w:ascii="Palatino Linotype" w:eastAsia="Times New Roman" w:hAnsi="Palatino Linotype" w:cs="Times New Roman"/>
          <w:color w:val="000000"/>
          <w:sz w:val="24"/>
          <w:szCs w:val="24"/>
        </w:rPr>
        <w:t>ivo por el cual lo procedente era confirmar la respuesta del Sujeto Obligado o</w:t>
      </w:r>
      <w:r w:rsidRPr="003E0C32">
        <w:rPr>
          <w:rFonts w:ascii="Palatino Linotype" w:eastAsia="Times New Roman" w:hAnsi="Palatino Linotype" w:cs="Times New Roman"/>
          <w:color w:val="000000"/>
          <w:sz w:val="24"/>
          <w:szCs w:val="24"/>
        </w:rPr>
        <w:t xml:space="preserve"> </w:t>
      </w:r>
      <w:r w:rsidR="009D2F9C">
        <w:rPr>
          <w:rFonts w:ascii="Palatino Linotype" w:eastAsia="Times New Roman" w:hAnsi="Palatino Linotype" w:cs="Times New Roman"/>
          <w:color w:val="000000"/>
          <w:sz w:val="24"/>
          <w:szCs w:val="24"/>
        </w:rPr>
        <w:t xml:space="preserve"> bien, </w:t>
      </w:r>
      <w:r w:rsidRPr="003E0C32">
        <w:rPr>
          <w:rFonts w:ascii="Palatino Linotype" w:eastAsia="Times New Roman" w:hAnsi="Palatino Linotype" w:cs="Times New Roman"/>
          <w:color w:val="000000"/>
          <w:sz w:val="24"/>
          <w:szCs w:val="24"/>
        </w:rPr>
        <w:t>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w:t>
      </w:r>
      <w:r w:rsidR="009D2F9C">
        <w:rPr>
          <w:rFonts w:ascii="Palatino Linotype" w:eastAsia="Times New Roman" w:hAnsi="Palatino Linotype" w:cs="Times New Roman"/>
          <w:color w:val="000000"/>
          <w:sz w:val="24"/>
          <w:szCs w:val="24"/>
        </w:rPr>
        <w:t>l presente recurso de revisión para el caso en el que se tenga</w:t>
      </w:r>
      <w:r w:rsidRPr="003E0C32">
        <w:rPr>
          <w:rFonts w:ascii="Palatino Linotype" w:eastAsia="Times New Roman" w:hAnsi="Palatino Linotype" w:cs="Times New Roman"/>
          <w:color w:val="000000"/>
          <w:sz w:val="24"/>
          <w:szCs w:val="24"/>
        </w:rPr>
        <w:t xml:space="preserve"> por acreditada la inexistencia del acto reclamado, quedando sin materia el presente asunto</w:t>
      </w:r>
      <w:r w:rsidR="009D2F9C">
        <w:rPr>
          <w:rFonts w:ascii="Palatino Linotype" w:eastAsia="Times New Roman" w:hAnsi="Palatino Linotype" w:cs="Times New Roman"/>
          <w:color w:val="000000"/>
          <w:sz w:val="24"/>
          <w:szCs w:val="24"/>
        </w:rPr>
        <w:t xml:space="preserve"> como acontece en el caso particular</w:t>
      </w:r>
      <w:r w:rsidRPr="003E0C32">
        <w:rPr>
          <w:rFonts w:ascii="Palatino Linotype" w:eastAsia="Times New Roman" w:hAnsi="Palatino Linotype" w:cs="Times New Roman"/>
          <w:color w:val="000000"/>
          <w:sz w:val="24"/>
          <w:szCs w:val="24"/>
        </w:rPr>
        <w:t>.</w:t>
      </w:r>
    </w:p>
    <w:p w:rsidR="002C093A" w:rsidRDefault="009D2F9C">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w:t>
      </w:r>
      <w:r w:rsidR="00966BB4">
        <w:rPr>
          <w:rFonts w:ascii="Palatino Linotype" w:eastAsia="Palatino Linotype" w:hAnsi="Palatino Linotype" w:cs="Palatino Linotype"/>
          <w:sz w:val="24"/>
          <w:szCs w:val="24"/>
        </w:rPr>
        <w:t>respecto a la Declaración de Incompetencia, que se ordena, la Ley de Transparencia y Acceso a la Información Pública del Estado de M</w:t>
      </w:r>
      <w:r w:rsidR="00966BB4">
        <w:rPr>
          <w:rFonts w:ascii="Palatino Linotype" w:eastAsia="Palatino Linotype" w:hAnsi="Palatino Linotype" w:cs="Palatino Linotype"/>
          <w:sz w:val="24"/>
          <w:szCs w:val="24"/>
        </w:rPr>
        <w:t xml:space="preserve">éxico, establece, en los artículos 49, fracción II y 167, lo siguiente: </w:t>
      </w:r>
    </w:p>
    <w:p w:rsidR="002C093A" w:rsidRDefault="00966BB4">
      <w:pPr>
        <w:tabs>
          <w:tab w:val="left" w:pos="142"/>
          <w:tab w:val="left" w:pos="284"/>
        </w:tabs>
        <w:spacing w:before="120" w:after="12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2C093A" w:rsidRDefault="00966BB4">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2C093A" w:rsidRDefault="00966BB4">
      <w:pPr>
        <w:tabs>
          <w:tab w:val="left" w:pos="142"/>
          <w:tab w:val="left" w:pos="284"/>
        </w:tabs>
        <w:spacing w:before="120" w:after="120" w:line="240" w:lineRule="auto"/>
        <w:ind w:left="567"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lastRenderedPageBreak/>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w:t>
      </w:r>
      <w:r>
        <w:rPr>
          <w:rFonts w:ascii="Palatino Linotype" w:eastAsia="Palatino Linotype" w:hAnsi="Palatino Linotype" w:cs="Palatino Linotype"/>
          <w:i/>
        </w:rPr>
        <w:t xml:space="preserv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2C093A" w:rsidRDefault="00966BB4">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2C093A" w:rsidRDefault="00966BB4">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2C093A" w:rsidRDefault="00966BB4">
      <w:pPr>
        <w:tabs>
          <w:tab w:val="left" w:pos="142"/>
          <w:tab w:val="left" w:pos="284"/>
        </w:tabs>
        <w:spacing w:line="360" w:lineRule="auto"/>
        <w:jc w:val="both"/>
        <w:rPr>
          <w:rFonts w:ascii="Palatino Linotype" w:eastAsia="Palatino Linotype" w:hAnsi="Palatino Linotype" w:cs="Palatino Linotype"/>
          <w:b/>
          <w:sz w:val="24"/>
          <w:szCs w:val="24"/>
        </w:rPr>
      </w:pPr>
      <w:bookmarkStart w:id="2" w:name="_heading=h.m4l2q68hsybx" w:colFirst="0" w:colLast="0"/>
      <w:bookmarkStart w:id="3" w:name="_heading=h.1fob9te" w:colFirst="0" w:colLast="0"/>
      <w:bookmarkEnd w:id="2"/>
      <w:bookmarkEnd w:id="3"/>
      <w:r>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sz w:val="24"/>
          <w:szCs w:val="24"/>
        </w:rPr>
        <w:t xml:space="preserve"> en aquellos casos </w:t>
      </w:r>
      <w:r>
        <w:rPr>
          <w:rFonts w:ascii="Palatino Linotype" w:eastAsia="Palatino Linotype" w:hAnsi="Palatino Linotype" w:cs="Palatino Linotype"/>
          <w:b/>
          <w:sz w:val="24"/>
          <w:szCs w:val="24"/>
        </w:rPr>
        <w:t xml:space="preserve">en los que no se trate de una notoria incompetencia. </w:t>
      </w:r>
    </w:p>
    <w:p w:rsidR="002C093A" w:rsidRDefault="00966BB4">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Puesto que la Ley también prevé que dicho acuerdo no es necesario cuando la Unidad de Transparencia determine que la incompetencia es notoria dando un plazo de tres días hábiles para hacerlo del conocim</w:t>
      </w:r>
      <w:r>
        <w:rPr>
          <w:rFonts w:ascii="Palatino Linotype" w:eastAsia="Palatino Linotype" w:hAnsi="Palatino Linotype" w:cs="Palatino Linotype"/>
          <w:sz w:val="24"/>
          <w:szCs w:val="24"/>
        </w:rPr>
        <w:t xml:space="preserve">iento del particular, por lo que si bien, en el caso particular, no fue respetado dicho plazo, ello no cambia la circunstancia de que la incompetencia de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w:t>
      </w:r>
    </w:p>
    <w:p w:rsidR="002C093A" w:rsidRDefault="00966BB4">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En otras palabras</w:t>
      </w:r>
      <w:r>
        <w:rPr>
          <w:rFonts w:ascii="Palatino Linotype" w:eastAsia="Palatino Linotype" w:hAnsi="Palatino Linotype" w:cs="Palatino Linotype"/>
          <w:sz w:val="24"/>
          <w:szCs w:val="24"/>
        </w:rPr>
        <w:t xml:space="preserve">,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par</w:t>
      </w:r>
      <w:r>
        <w:rPr>
          <w:rFonts w:ascii="Palatino Linotype" w:eastAsia="Palatino Linotype" w:hAnsi="Palatino Linotype" w:cs="Palatino Linotype"/>
          <w:sz w:val="24"/>
          <w:szCs w:val="24"/>
          <w:u w:val="single"/>
        </w:rPr>
        <w:t xml:space="preserve">a su aprobación. </w:t>
      </w:r>
    </w:p>
    <w:p w:rsidR="002C093A" w:rsidRDefault="00966BB4">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2C093A" w:rsidRDefault="00966BB4">
      <w:pPr>
        <w:pBdr>
          <w:top w:val="nil"/>
          <w:left w:val="nil"/>
          <w:bottom w:val="nil"/>
          <w:right w:val="nil"/>
          <w:between w:val="nil"/>
        </w:pBdr>
        <w:tabs>
          <w:tab w:val="left" w:pos="7938"/>
        </w:tabs>
        <w:spacing w:before="240" w:after="24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“Declara</w:t>
      </w:r>
      <w:r>
        <w:rPr>
          <w:rFonts w:ascii="Palatino Linotype" w:eastAsia="Palatino Linotype" w:hAnsi="Palatino Linotype" w:cs="Palatino Linotype"/>
          <w:b/>
          <w:i/>
        </w:rPr>
        <w:t>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w:t>
      </w:r>
      <w:r>
        <w:rPr>
          <w:rFonts w:ascii="Palatino Linotype" w:eastAsia="Palatino Linotype" w:hAnsi="Palatino Linotype" w:cs="Palatino Linotype"/>
          <w:i/>
        </w:rPr>
        <w:t>sario efectuar un análisis mayor para determinar la incompetencia, ésta debe ser declarada por el Comité de Transparencia.”</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manera, el Pleno de este Instituto, a través del Criterio 02/04 emitido en la Segunda Época, precisa los alcances del artíc</w:t>
      </w:r>
      <w:r>
        <w:rPr>
          <w:rFonts w:ascii="Palatino Linotype" w:eastAsia="Palatino Linotype" w:hAnsi="Palatino Linotype" w:cs="Palatino Linotype"/>
          <w:sz w:val="24"/>
          <w:szCs w:val="24"/>
        </w:rPr>
        <w:t>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w:t>
      </w:r>
      <w:r>
        <w:rPr>
          <w:rFonts w:ascii="Palatino Linotype" w:eastAsia="Palatino Linotype" w:hAnsi="Palatino Linotype" w:cs="Palatino Linotype"/>
          <w:b/>
          <w:sz w:val="24"/>
          <w:szCs w:val="24"/>
          <w:u w:val="single"/>
        </w:rPr>
        <w:t>ministración del documento materia de la solicitud de información</w:t>
      </w:r>
      <w:r>
        <w:rPr>
          <w:rFonts w:ascii="Palatino Linotype" w:eastAsia="Palatino Linotype" w:hAnsi="Palatino Linotype" w:cs="Palatino Linotype"/>
          <w:sz w:val="24"/>
          <w:szCs w:val="24"/>
        </w:rPr>
        <w:t>, como se lee enseguida:</w:t>
      </w:r>
    </w:p>
    <w:p w:rsidR="002C093A" w:rsidRDefault="00966BB4">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De conformidad con el artículo 167 de la Ley de</w:t>
      </w:r>
      <w:r>
        <w:rPr>
          <w:rFonts w:ascii="Palatino Linotype" w:eastAsia="Palatino Linotype" w:hAnsi="Palatino Linotype" w:cs="Palatino Linotype"/>
          <w:i/>
        </w:rPr>
        <w:t xml:space="preserve"> Transparencia vigente en la entidad, las Unidades de Transparencia tienen la facultad de determinar la notoria incompetencia para atender las solicitudes de acceso a la información y comunicarla al solicitante dentro de los tres días hábiles posteriores a</w:t>
      </w:r>
      <w:r>
        <w:rPr>
          <w:rFonts w:ascii="Palatino Linotype" w:eastAsia="Palatino Linotype" w:hAnsi="Palatino Linotype" w:cs="Palatino Linotype"/>
          <w:i/>
        </w:rPr>
        <w:t xml:space="preserve">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al ejercer el derecho de acceso a la información pública cabe la posibilidad de qu</w:t>
      </w:r>
      <w:r>
        <w:rPr>
          <w:rFonts w:ascii="Palatino Linotype" w:eastAsia="Palatino Linotype" w:hAnsi="Palatino Linotype" w:cs="Palatino Linotype"/>
          <w:b/>
          <w:i/>
        </w:rPr>
        <w:t xml:space="preserve">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w:t>
      </w:r>
      <w:r>
        <w:rPr>
          <w:rFonts w:ascii="Palatino Linotype" w:eastAsia="Palatino Linotype" w:hAnsi="Palatino Linotype" w:cs="Palatino Linotype"/>
          <w:i/>
        </w:rPr>
        <w:t>is minucioso de las facultades, competencias o funciones de cada una de las Unidades Administrativas que lo integran y, si posterior a ello, se corrobora la incompetencia para la atención del requerimiento, en razón de que es otro el Sujeto Obligado poseed</w:t>
      </w:r>
      <w:r>
        <w:rPr>
          <w:rFonts w:ascii="Palatino Linotype" w:eastAsia="Palatino Linotype" w:hAnsi="Palatino Linotype" w:cs="Palatino Linotype"/>
          <w:i/>
        </w:rPr>
        <w:t>or de la documentación, corresponde a su Comité de Transparencia confirmar la declaratoria de incompetencia y notificarle dicha determinación al particular, en términos de lo dispuesto en el artículo 49, fracción II de la Ley de Transparencia Local, al ser</w:t>
      </w:r>
      <w:r>
        <w:rPr>
          <w:rFonts w:ascii="Palatino Linotype" w:eastAsia="Palatino Linotype" w:hAnsi="Palatino Linotype" w:cs="Palatino Linotype"/>
          <w:i/>
        </w:rPr>
        <w:t xml:space="preserve"> este el acto jurídico idóneo que genera seguridad jurídica de que el Ente ante quien se presentó la solicitud, carece de facultades, competencias o funciones para poseer o generar la información requerida; lo anterior, sin perjuicio de que pueda gestionar</w:t>
      </w:r>
      <w:r>
        <w:rPr>
          <w:rFonts w:ascii="Palatino Linotype" w:eastAsia="Palatino Linotype" w:hAnsi="Palatino Linotype" w:cs="Palatino Linotype"/>
          <w:i/>
        </w:rPr>
        <w:t xml:space="preserve"> la colaboración de otro Sujeto Obligado competente para atender la solicitud.”</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la Ponencia que resolvió, en el proyecto señaló de manera textual lo siguiente: </w:t>
      </w:r>
    </w:p>
    <w:p w:rsidR="002C093A" w:rsidRPr="009D2F9C" w:rsidRDefault="009D2F9C" w:rsidP="009D2F9C">
      <w:pPr>
        <w:tabs>
          <w:tab w:val="left" w:pos="142"/>
          <w:tab w:val="left" w:pos="284"/>
        </w:tabs>
        <w:spacing w:before="240" w:after="24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w:t>
      </w:r>
      <w:r w:rsidR="00966BB4" w:rsidRPr="009D2F9C">
        <w:rPr>
          <w:rFonts w:ascii="Palatino Linotype" w:eastAsia="Palatino Linotype" w:hAnsi="Palatino Linotype" w:cs="Palatino Linotype"/>
          <w:i/>
        </w:rPr>
        <w:t>En este orden de ideas, conviene traer a colación lo dispuesto en la normatividad antes referida, misma que se encuentra disponible para su consulta en</w:t>
      </w:r>
      <w:hyperlink r:id="rId8">
        <w:r w:rsidR="00966BB4" w:rsidRPr="009D2F9C">
          <w:rPr>
            <w:rFonts w:ascii="Palatino Linotype" w:eastAsia="Palatino Linotype" w:hAnsi="Palatino Linotype" w:cs="Palatino Linotype"/>
            <w:i/>
          </w:rPr>
          <w:t xml:space="preserve"> </w:t>
        </w:r>
      </w:hyperlink>
      <w:hyperlink r:id="rId9">
        <w:r w:rsidR="00966BB4" w:rsidRPr="009D2F9C">
          <w:rPr>
            <w:rFonts w:ascii="Palatino Linotype" w:eastAsia="Palatino Linotype" w:hAnsi="Palatino Linotype" w:cs="Palatino Linotype"/>
            <w:i/>
            <w:color w:val="1155CC"/>
            <w:u w:val="single"/>
          </w:rPr>
          <w:t>https://legislacion.edomex.gob.mx/sites/legislacion.edomex.gob.mx/files/files/pdf/cod/vig/codvig008.pdf</w:t>
        </w:r>
      </w:hyperlink>
      <w:r w:rsidR="00966BB4" w:rsidRPr="009D2F9C">
        <w:rPr>
          <w:rFonts w:ascii="Palatino Linotype" w:eastAsia="Palatino Linotype" w:hAnsi="Palatino Linotype" w:cs="Palatino Linotype"/>
          <w:i/>
        </w:rPr>
        <w:t xml:space="preserve"> y que, en </w:t>
      </w:r>
      <w:r w:rsidR="00966BB4" w:rsidRPr="009D2F9C">
        <w:rPr>
          <w:rFonts w:ascii="Palatino Linotype" w:eastAsia="Palatino Linotype" w:hAnsi="Palatino Linotype" w:cs="Palatino Linotype"/>
          <w:i/>
        </w:rPr>
        <w:t>los artículos en comento, dispone lo siguiente:</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Artículo 17.38.- El otorgamiento de una concesión sobre las comunicaciones de jurisdicción local es facultad del Ejecutivo del Estado, sujeta siempre a las necesidades públicas.  Las disposiciones reglament</w:t>
      </w:r>
      <w:r w:rsidRPr="009D2F9C">
        <w:rPr>
          <w:rFonts w:ascii="Palatino Linotype" w:eastAsia="Palatino Linotype" w:hAnsi="Palatino Linotype" w:cs="Palatino Linotype"/>
          <w:i/>
        </w:rPr>
        <w:t>arias aplicables y la Secretaría, mediante disposiciones de carácter general, fijarán los requisitos que se deben satisfacer para el otorgamiento de las concesiones a que se refiere el párrafo anterior.</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Artículo 17.40.- El otorgamiento de las concesiones</w:t>
      </w:r>
      <w:r w:rsidRPr="009D2F9C">
        <w:rPr>
          <w:rFonts w:ascii="Palatino Linotype" w:eastAsia="Palatino Linotype" w:hAnsi="Palatino Linotype" w:cs="Palatino Linotype"/>
          <w:i/>
        </w:rPr>
        <w:t xml:space="preserve"> es facultad exclusiva e indelegable de la Secretaría y su titular es el único facultado para firmar el título de concesión. El Secretario de Movilidad podrá encomendar a los Organismos Auxiliares del sector la tramitación del concurso, de conformidad con </w:t>
      </w:r>
      <w:r w:rsidRPr="009D2F9C">
        <w:rPr>
          <w:rFonts w:ascii="Palatino Linotype" w:eastAsia="Palatino Linotype" w:hAnsi="Palatino Linotype" w:cs="Palatino Linotype"/>
          <w:i/>
        </w:rPr>
        <w:t>el procedimiento siguiente:</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I. La Secretaría, de oficio o a petición de parte interesada, previo estudio, podrá expedir convocatoria pública para que, en el plazo que se establezca en la reglamentación de este Libro, se presenten propuestas;</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II. La convoca</w:t>
      </w:r>
      <w:r w:rsidRPr="009D2F9C">
        <w:rPr>
          <w:rFonts w:ascii="Palatino Linotype" w:eastAsia="Palatino Linotype" w:hAnsi="Palatino Linotype" w:cs="Palatino Linotype"/>
          <w:i/>
        </w:rPr>
        <w:t>toria se publicará simultáneamente en la Gaceta del Gobierno, en un periódico de amplia circulación nacional y en otro de amplia circulación estatal, así como en los medios electrónicos de difusión;</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III. Las bases del concurso incluirán como mínimo: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a) La</w:t>
      </w:r>
      <w:r w:rsidRPr="009D2F9C">
        <w:rPr>
          <w:rFonts w:ascii="Palatino Linotype" w:eastAsia="Palatino Linotype" w:hAnsi="Palatino Linotype" w:cs="Palatino Linotype"/>
          <w:i/>
        </w:rPr>
        <w:t xml:space="preserve">s características técnicas de la construcción de la infraestructura vial, de la estación de transferencia modal o del sistema de transporte masivo;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b) El anteproyecto técnico;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c) El plazo máximo de la concesión;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d) Los aforos estimados;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e) Las condici</w:t>
      </w:r>
      <w:r w:rsidRPr="009D2F9C">
        <w:rPr>
          <w:rFonts w:ascii="Palatino Linotype" w:eastAsia="Palatino Linotype" w:hAnsi="Palatino Linotype" w:cs="Palatino Linotype"/>
          <w:i/>
        </w:rPr>
        <w:t>ones financieras básicas;</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f) Las características de la operación de servicios y tarifas iniciales; y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g) La indicación de que las propuestas deberán incluir medidas o acciones para mejorar el medio ambiente en la zona de influencia de la infraestructura que se licita, como aportación del proyecto.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IV. Podrán participar uno o varios interesados que demuest</w:t>
      </w:r>
      <w:r w:rsidRPr="009D2F9C">
        <w:rPr>
          <w:rFonts w:ascii="Palatino Linotype" w:eastAsia="Palatino Linotype" w:hAnsi="Palatino Linotype" w:cs="Palatino Linotype"/>
          <w:i/>
        </w:rPr>
        <w:t xml:space="preserve">ren: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a) Solvencia económica;</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b) Capacidad legal;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c) Capacidad técnica;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d) Capacidad administrativa y financiera; y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e) Cumplir con los demás requisitos que establezcan las bases que expida la Secretaría.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V. La Secretaría, con base en el análisis compar</w:t>
      </w:r>
      <w:r w:rsidRPr="009D2F9C">
        <w:rPr>
          <w:rFonts w:ascii="Palatino Linotype" w:eastAsia="Palatino Linotype" w:hAnsi="Palatino Linotype" w:cs="Palatino Linotype"/>
          <w:i/>
        </w:rPr>
        <w:t>ativo de las propuestas admitidas, emitirá el dictamen que servirá de base para el fallo; éste último será dado a conocer a todos los participantes y contendrá, además, la información relativa a las propuestas que se desechen y las causas que la motivaren;</w:t>
      </w:r>
      <w:r w:rsidRPr="009D2F9C">
        <w:rPr>
          <w:rFonts w:ascii="Palatino Linotype" w:eastAsia="Palatino Linotype" w:hAnsi="Palatino Linotype" w:cs="Palatino Linotype"/>
          <w:i/>
        </w:rPr>
        <w:t xml:space="preserve"> </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VI. La propuesta ganadora estará a disposición de los interesados durante diez días hábiles a partir de que se haya dado a conocer el fallo correspondiente, para que manifiesten lo que a su derecho convenga; </w:t>
      </w:r>
    </w:p>
    <w:p w:rsid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VII. No se otorgará la concesión cuando ningu</w:t>
      </w:r>
      <w:r w:rsidRPr="009D2F9C">
        <w:rPr>
          <w:rFonts w:ascii="Palatino Linotype" w:eastAsia="Palatino Linotype" w:hAnsi="Palatino Linotype" w:cs="Palatino Linotype"/>
          <w:i/>
        </w:rPr>
        <w:t>na de las propuestas presentadas cumpla con las bases del concurso o por caso fortuito o fuerza mayor. En este caso, se declarará desierto el concurso.  Declarada desierta una licitación pública, se podrá adjudicar la concesión a través del procedimiento d</w:t>
      </w:r>
      <w:r w:rsidRPr="009D2F9C">
        <w:rPr>
          <w:rFonts w:ascii="Palatino Linotype" w:eastAsia="Palatino Linotype" w:hAnsi="Palatino Linotype" w:cs="Palatino Linotype"/>
          <w:i/>
        </w:rPr>
        <w:t>e invitación restringida a cuando menos tres personas.</w:t>
      </w:r>
    </w:p>
    <w:p w:rsidR="009D2F9C" w:rsidRDefault="009D2F9C" w:rsidP="009D2F9C">
      <w:pPr>
        <w:tabs>
          <w:tab w:val="left" w:pos="142"/>
          <w:tab w:val="left" w:pos="284"/>
        </w:tabs>
        <w:spacing w:after="0" w:line="276" w:lineRule="auto"/>
        <w:ind w:left="567" w:right="990"/>
        <w:jc w:val="both"/>
        <w:rPr>
          <w:rFonts w:ascii="Palatino Linotype" w:eastAsia="Palatino Linotype" w:hAnsi="Palatino Linotype" w:cs="Palatino Linotype"/>
          <w:i/>
        </w:rPr>
      </w:pP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 xml:space="preserve">Es así que, del estudio realizado por este Organismo Garante, se colige que tal como lo precisó el servidor público habilitado de la Coordinación de Movilidad del Ayuntamiento de Amecameca, </w:t>
      </w:r>
      <w:r w:rsidRPr="009D2F9C">
        <w:rPr>
          <w:rFonts w:ascii="Palatino Linotype" w:eastAsia="Palatino Linotype" w:hAnsi="Palatino Linotype" w:cs="Palatino Linotype"/>
          <w:b/>
          <w:i/>
        </w:rPr>
        <w:t xml:space="preserve">la Secretaría de Movilidad es la encargada de otorgar concesiones sobre las comunicaciones de jurisdicción local mediante concurso público, lo anterior, toda vez que es facultad exclusiva del Ejecutivo Estatal; </w:t>
      </w:r>
      <w:r w:rsidRPr="009D2F9C">
        <w:rPr>
          <w:rFonts w:ascii="Palatino Linotype" w:eastAsia="Palatino Linotype" w:hAnsi="Palatino Linotype" w:cs="Palatino Linotype"/>
          <w:i/>
        </w:rPr>
        <w:t>en consecuencia, la solicitud de acceso antec</w:t>
      </w:r>
      <w:r w:rsidRPr="009D2F9C">
        <w:rPr>
          <w:rFonts w:ascii="Palatino Linotype" w:eastAsia="Palatino Linotype" w:hAnsi="Palatino Linotype" w:cs="Palatino Linotype"/>
          <w:i/>
        </w:rPr>
        <w:t xml:space="preserve">edente del Recurso de Revisión que nos ocupa, </w:t>
      </w:r>
      <w:r w:rsidRPr="009D2F9C">
        <w:rPr>
          <w:rFonts w:ascii="Palatino Linotype" w:eastAsia="Palatino Linotype" w:hAnsi="Palatino Linotype" w:cs="Palatino Linotype"/>
          <w:b/>
          <w:i/>
        </w:rPr>
        <w:t xml:space="preserve">deviene inatendible por el Sujeto Obligado en términos del artículo 12 y 24, penúltimo párrafo, de la Ley de Transparencia y Acceso a la Información Pública del Estado de México y Municipios, </w:t>
      </w:r>
      <w:r w:rsidRPr="009D2F9C">
        <w:rPr>
          <w:rFonts w:ascii="Palatino Linotype" w:eastAsia="Palatino Linotype" w:hAnsi="Palatino Linotype" w:cs="Palatino Linotype"/>
          <w:i/>
        </w:rPr>
        <w:t xml:space="preserve">pues dentro de su </w:t>
      </w:r>
      <w:r w:rsidRPr="009D2F9C">
        <w:rPr>
          <w:rFonts w:ascii="Palatino Linotype" w:eastAsia="Palatino Linotype" w:hAnsi="Palatino Linotype" w:cs="Palatino Linotype"/>
          <w:i/>
        </w:rPr>
        <w:t>esfera jurídica no cuenta con atribuciones que lo faculten a generar, poseer y/o administrar información alguna relacionada con el interés del Particular.</w:t>
      </w:r>
    </w:p>
    <w:p w:rsidR="002C093A" w:rsidRPr="009D2F9C" w:rsidRDefault="00966BB4" w:rsidP="009D2F9C">
      <w:pPr>
        <w:tabs>
          <w:tab w:val="left" w:pos="142"/>
          <w:tab w:val="left" w:pos="284"/>
        </w:tabs>
        <w:spacing w:before="240" w:after="240" w:line="276" w:lineRule="auto"/>
        <w:ind w:left="567" w:right="990"/>
        <w:jc w:val="both"/>
        <w:rPr>
          <w:rFonts w:ascii="Palatino Linotype" w:eastAsia="Palatino Linotype" w:hAnsi="Palatino Linotype" w:cs="Palatino Linotype"/>
          <w:b/>
          <w:i/>
        </w:rPr>
      </w:pPr>
      <w:r w:rsidRPr="009D2F9C">
        <w:rPr>
          <w:rFonts w:ascii="Palatino Linotype" w:eastAsia="Palatino Linotype" w:hAnsi="Palatino Linotype" w:cs="Palatino Linotype"/>
          <w:b/>
          <w:i/>
        </w:rPr>
        <w:t xml:space="preserve"> </w:t>
      </w:r>
    </w:p>
    <w:p w:rsidR="002C093A" w:rsidRPr="009D2F9C" w:rsidRDefault="00966BB4" w:rsidP="009D2F9C">
      <w:pPr>
        <w:tabs>
          <w:tab w:val="left" w:pos="142"/>
          <w:tab w:val="left" w:pos="284"/>
        </w:tabs>
        <w:spacing w:before="240" w:after="24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i/>
        </w:rPr>
        <w:t>Lo anterior, se ve robustecido con lo dispuesto en el Criterio de interpretación para Sujetos Oblig</w:t>
      </w:r>
      <w:r w:rsidRPr="009D2F9C">
        <w:rPr>
          <w:rFonts w:ascii="Palatino Linotype" w:eastAsia="Palatino Linotype" w:hAnsi="Palatino Linotype" w:cs="Palatino Linotype"/>
          <w:i/>
        </w:rPr>
        <w:t>ados con clave de control SO/013/2017, emitido por el Pleno del Órgano Garante Nacional, mismo que, por rubro y texto, dispone lo siguiente:</w:t>
      </w:r>
    </w:p>
    <w:p w:rsidR="002C093A" w:rsidRPr="009D2F9C" w:rsidRDefault="00966BB4" w:rsidP="009D2F9C">
      <w:pPr>
        <w:tabs>
          <w:tab w:val="left" w:pos="142"/>
          <w:tab w:val="left" w:pos="284"/>
        </w:tabs>
        <w:spacing w:after="0" w:line="276" w:lineRule="auto"/>
        <w:ind w:left="567" w:right="990"/>
        <w:jc w:val="both"/>
        <w:rPr>
          <w:rFonts w:ascii="Palatino Linotype" w:eastAsia="Palatino Linotype" w:hAnsi="Palatino Linotype" w:cs="Palatino Linotype"/>
          <w:i/>
        </w:rPr>
      </w:pPr>
      <w:r w:rsidRPr="009D2F9C">
        <w:rPr>
          <w:rFonts w:ascii="Palatino Linotype" w:eastAsia="Palatino Linotype" w:hAnsi="Palatino Linotype" w:cs="Palatino Linotype"/>
          <w:b/>
          <w:i/>
        </w:rPr>
        <w:t>Incompetencia.</w:t>
      </w:r>
      <w:r w:rsidRPr="009D2F9C">
        <w:rPr>
          <w:rFonts w:ascii="Palatino Linotype" w:eastAsia="Palatino Linotype" w:hAnsi="Palatino Linotype" w:cs="Palatino Linotype"/>
          <w:i/>
        </w:rPr>
        <w:t xml:space="preserve"> La incompetencia implica la ausencia de atribuciones del sujeto obligado para poseer la informació</w:t>
      </w:r>
      <w:r w:rsidRPr="009D2F9C">
        <w:rPr>
          <w:rFonts w:ascii="Palatino Linotype" w:eastAsia="Palatino Linotype" w:hAnsi="Palatino Linotype" w:cs="Palatino Linotype"/>
          <w:i/>
        </w:rPr>
        <w:t>n solicitada; es decir, se trata de una cuestión de derecho, en tanto que no existan facultades para contar con lo requerido; por lo que la incompetencia es una cualidad atribuida al sujeto obligado que la declara.</w:t>
      </w:r>
      <w:r w:rsidR="009D2F9C">
        <w:rPr>
          <w:rFonts w:ascii="Palatino Linotype" w:eastAsia="Palatino Linotype" w:hAnsi="Palatino Linotype" w:cs="Palatino Linotype"/>
          <w:i/>
        </w:rPr>
        <w:t xml:space="preserve">” </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Advirtiéndose que el Ayuntamiento de Amecameca, carece de atribuciones para proporcionar la información solicitada, por ende es notoriamente incompetente para atender la solicitud planteada por el particular, por ello la Suscrita estima que no resultaba pr</w:t>
      </w:r>
      <w:r>
        <w:rPr>
          <w:rFonts w:ascii="Palatino Linotype" w:eastAsia="Palatino Linotype" w:hAnsi="Palatino Linotype" w:cs="Palatino Linotype"/>
          <w:color w:val="000000"/>
          <w:sz w:val="24"/>
          <w:szCs w:val="24"/>
        </w:rPr>
        <w:t>ocedente ordenar la emisión del acuerdo de incompetencia</w:t>
      </w:r>
      <w:r>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24"/>
          <w:szCs w:val="24"/>
        </w:rPr>
        <w:t xml:space="preserve"> aun cuando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refirió la incompetencia e hizo del conocimiento del particular que la Secretaría de Movilidad es la competente para conocer de su solicitud, de manera posterior a los </w:t>
      </w:r>
      <w:r>
        <w:rPr>
          <w:rFonts w:ascii="Palatino Linotype" w:eastAsia="Palatino Linotype" w:hAnsi="Palatino Linotype" w:cs="Palatino Linotype"/>
          <w:color w:val="000000"/>
          <w:sz w:val="24"/>
          <w:szCs w:val="24"/>
        </w:rPr>
        <w:t xml:space="preserve">tres días de haberse recibido. </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sz w:val="24"/>
          <w:szCs w:val="24"/>
        </w:rPr>
        <w:t xml:space="preserve">Lo anterior se estima así, en virtud de que, desde mi perspectiva, ordenar al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que sesione para que emita un acuerdo en el que confirme la declaratoria de incompetencia para garanti</w:t>
      </w:r>
      <w:r>
        <w:rPr>
          <w:rFonts w:ascii="Palatino Linotype" w:eastAsia="Palatino Linotype" w:hAnsi="Palatino Linotype" w:cs="Palatino Linotype"/>
          <w:sz w:val="24"/>
          <w:szCs w:val="24"/>
        </w:rPr>
        <w:t xml:space="preserve">zar el derecho de la parte Recurrente dilata los plazos del procedimiento, genera una carga adicional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w:t>
      </w:r>
      <w:r>
        <w:rPr>
          <w:rFonts w:ascii="Palatino Linotype" w:eastAsia="Palatino Linotype" w:hAnsi="Palatino Linotype" w:cs="Palatino Linotype"/>
          <w:sz w:val="24"/>
          <w:szCs w:val="24"/>
        </w:rPr>
        <w:t>el propio organismo garante ha determinado que “</w:t>
      </w:r>
      <w:r>
        <w:rPr>
          <w:rFonts w:ascii="Palatino Linotype" w:eastAsia="Palatino Linotype" w:hAnsi="Palatino Linotype" w:cs="Palatino Linotype"/>
          <w:b/>
          <w:i/>
          <w:sz w:val="24"/>
          <w:szCs w:val="24"/>
        </w:rPr>
        <w:t>…</w:t>
      </w:r>
      <w:r>
        <w:rPr>
          <w:rFonts w:ascii="Palatino Linotype" w:eastAsia="Palatino Linotype" w:hAnsi="Palatino Linotype" w:cs="Palatino Linotype"/>
          <w:i/>
          <w:sz w:val="24"/>
          <w:szCs w:val="24"/>
        </w:rPr>
        <w:t xml:space="preserve">en consecuencia, </w:t>
      </w:r>
      <w:r>
        <w:rPr>
          <w:rFonts w:ascii="Palatino Linotype" w:eastAsia="Palatino Linotype" w:hAnsi="Palatino Linotype" w:cs="Palatino Linotype"/>
          <w:b/>
          <w:i/>
          <w:sz w:val="24"/>
          <w:szCs w:val="24"/>
          <w:u w:val="single"/>
        </w:rPr>
        <w:t xml:space="preserve">la solicitud de acceso antecedente del Recurso de Revisión que nos ocupa, deviene inatendible por el Sujeto Obligado </w:t>
      </w:r>
      <w:r>
        <w:rPr>
          <w:rFonts w:ascii="Palatino Linotype" w:eastAsia="Palatino Linotype" w:hAnsi="Palatino Linotype" w:cs="Palatino Linotype"/>
          <w:i/>
          <w:sz w:val="24"/>
          <w:szCs w:val="24"/>
        </w:rPr>
        <w:t>en términos del artículo 12 y 24, penúltimo párrafo, de la Ley de Transpa</w:t>
      </w:r>
      <w:r>
        <w:rPr>
          <w:rFonts w:ascii="Palatino Linotype" w:eastAsia="Palatino Linotype" w:hAnsi="Palatino Linotype" w:cs="Palatino Linotype"/>
          <w:i/>
          <w:sz w:val="24"/>
          <w:szCs w:val="24"/>
        </w:rPr>
        <w:t>rencia y Acceso a la Información Pública del Estado de México y Municipios,</w:t>
      </w:r>
      <w:r>
        <w:rPr>
          <w:rFonts w:ascii="Palatino Linotype" w:eastAsia="Palatino Linotype" w:hAnsi="Palatino Linotype" w:cs="Palatino Linotype"/>
          <w:b/>
          <w:i/>
          <w:sz w:val="24"/>
          <w:szCs w:val="24"/>
          <w:u w:val="single"/>
        </w:rPr>
        <w:t xml:space="preserve"> pues dentro de su esfera jurídica no cuenta con atribuciones que lo faculten a generar, poseer y/o administrar información alguna relacionada con el interés del Particular.”</w:t>
      </w:r>
      <w:r>
        <w:rPr>
          <w:rFonts w:ascii="Palatino Linotype" w:eastAsia="Palatino Linotype" w:hAnsi="Palatino Linotype" w:cs="Palatino Linotype"/>
          <w:i/>
          <w:sz w:val="24"/>
          <w:szCs w:val="24"/>
        </w:rPr>
        <w:t xml:space="preserve"> (Sic) </w:t>
      </w:r>
      <w:r>
        <w:rPr>
          <w:rFonts w:ascii="Palatino Linotype" w:eastAsia="Palatino Linotype" w:hAnsi="Palatino Linotype" w:cs="Palatino Linotype"/>
          <w:i/>
          <w:sz w:val="24"/>
          <w:szCs w:val="24"/>
        </w:rPr>
        <w:t>(Énfasis añadido)</w:t>
      </w:r>
    </w:p>
    <w:p w:rsidR="002C093A" w:rsidRDefault="00966BB4">
      <w:pPr>
        <w:tabs>
          <w:tab w:val="left" w:pos="142"/>
          <w:tab w:val="left" w:pos="284"/>
        </w:tabs>
        <w:spacing w:before="240" w:after="240" w:line="360" w:lineRule="auto"/>
        <w:jc w:val="both"/>
        <w:rPr>
          <w:rFonts w:ascii="Palatino Linotype" w:eastAsia="Palatino Linotype" w:hAnsi="Palatino Linotype" w:cs="Palatino Linotype"/>
          <w:sz w:val="24"/>
          <w:szCs w:val="24"/>
        </w:rPr>
      </w:pPr>
      <w:bookmarkStart w:id="4" w:name="_heading=h.2et92p0" w:colFirst="0" w:colLast="0"/>
      <w:bookmarkEnd w:id="4"/>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analizada por este Organismo Garante, se aparta de los principios de sencillez y rapidez establecidos por la Ley de Transparencia y Acceso a la Información Pública del Estado de México y Municipios, en sus artículos 2, fracciones II y III, 21 y 150. </w:t>
      </w:r>
    </w:p>
    <w:p w:rsidR="002C093A" w:rsidRDefault="00966B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579754</wp:posOffset>
                </wp:positionV>
                <wp:extent cx="5505450" cy="4391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05450" cy="439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8CA8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45.65pt" to="435.5pt,3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" strokecolor="black [3200]" strokeweight=".5pt">
                <v:stroke joinstyle="miter"/>
              </v:line>
            </w:pict>
          </mc:Fallback>
        </mc:AlternateContent>
      </w:r>
      <w:r>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por todo lo vertido en líneas anteriores que la Suscrita no comparte el sentido de la resolución, y formula el presente voto disidente.</w:t>
      </w:r>
      <w:bookmarkStart w:id="5" w:name="_GoBack"/>
      <w:bookmarkEnd w:id="5"/>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40" w:after="240" w:line="360" w:lineRule="auto"/>
        <w:ind w:right="139"/>
        <w:jc w:val="both"/>
        <w:rPr>
          <w:rFonts w:ascii="Palatino Linotype" w:eastAsia="Palatino Linotype" w:hAnsi="Palatino Linotype" w:cs="Palatino Linotype"/>
          <w:sz w:val="24"/>
          <w:szCs w:val="24"/>
        </w:rPr>
      </w:pPr>
    </w:p>
    <w:p w:rsidR="002C093A" w:rsidRDefault="002C093A">
      <w:pPr>
        <w:spacing w:before="280" w:after="280" w:line="360" w:lineRule="auto"/>
        <w:ind w:right="51"/>
        <w:jc w:val="both"/>
        <w:rPr>
          <w:rFonts w:ascii="Palatino Linotype" w:eastAsia="Palatino Linotype" w:hAnsi="Palatino Linotype" w:cs="Palatino Linotype"/>
          <w:sz w:val="24"/>
          <w:szCs w:val="24"/>
        </w:rPr>
      </w:pPr>
    </w:p>
    <w:p w:rsidR="002C093A" w:rsidRDefault="002C093A">
      <w:pPr>
        <w:spacing w:before="280" w:after="280" w:line="360" w:lineRule="auto"/>
        <w:ind w:right="51"/>
        <w:jc w:val="both"/>
        <w:rPr>
          <w:rFonts w:ascii="Palatino Linotype" w:eastAsia="Palatino Linotype" w:hAnsi="Palatino Linotype" w:cs="Palatino Linotype"/>
          <w:sz w:val="24"/>
          <w:szCs w:val="24"/>
        </w:rPr>
      </w:pPr>
    </w:p>
    <w:p w:rsidR="002C093A" w:rsidRDefault="002C093A">
      <w:pPr>
        <w:spacing w:before="280" w:after="280" w:line="360" w:lineRule="auto"/>
        <w:ind w:right="51"/>
        <w:jc w:val="both"/>
        <w:rPr>
          <w:rFonts w:ascii="Palatino Linotype" w:eastAsia="Palatino Linotype" w:hAnsi="Palatino Linotype" w:cs="Palatino Linotype"/>
          <w:sz w:val="24"/>
          <w:szCs w:val="24"/>
        </w:rPr>
      </w:pPr>
    </w:p>
    <w:p w:rsidR="002C093A" w:rsidRDefault="002C093A">
      <w:pPr>
        <w:pBdr>
          <w:top w:val="nil"/>
          <w:left w:val="nil"/>
          <w:bottom w:val="nil"/>
          <w:right w:val="nil"/>
          <w:between w:val="nil"/>
        </w:pBdr>
        <w:spacing w:before="240" w:after="240" w:line="360" w:lineRule="auto"/>
        <w:ind w:right="-6"/>
        <w:jc w:val="both"/>
        <w:rPr>
          <w:rFonts w:ascii="Palatino Linotype" w:eastAsia="Palatino Linotype" w:hAnsi="Palatino Linotype" w:cs="Palatino Linotype"/>
          <w:sz w:val="24"/>
          <w:szCs w:val="24"/>
        </w:rPr>
      </w:pPr>
    </w:p>
    <w:sectPr w:rsidR="002C093A">
      <w:headerReference w:type="default" r:id="rId10"/>
      <w:footerReference w:type="default" r:id="rId11"/>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6BB4">
      <w:pPr>
        <w:spacing w:after="0" w:line="240" w:lineRule="auto"/>
      </w:pPr>
      <w:r>
        <w:separator/>
      </w:r>
    </w:p>
  </w:endnote>
  <w:endnote w:type="continuationSeparator" w:id="0">
    <w:p w:rsidR="00000000" w:rsidRDefault="0096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3A" w:rsidRDefault="00966BB4">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3E0C32">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15</w:t>
    </w:r>
    <w:r>
      <w:rPr>
        <w:rFonts w:ascii="Times New Roman" w:eastAsia="Times New Roman" w:hAnsi="Times New Roman" w:cs="Times New Roman"/>
        <w:color w:val="000000"/>
        <w:sz w:val="24"/>
        <w:szCs w:val="24"/>
      </w:rPr>
      <w:fldChar w:fldCharType="end"/>
    </w:r>
    <w:r w:rsidR="009D2F9C">
      <w:rPr>
        <w:rFonts w:ascii="Times New Roman" w:eastAsia="Times New Roman" w:hAnsi="Times New Roman" w:cs="Times New Roman"/>
        <w:color w:val="000000"/>
        <w:sz w:val="24"/>
        <w:szCs w:val="24"/>
      </w:rPr>
      <w:t xml:space="preserve"> de 15</w:t>
    </w:r>
  </w:p>
  <w:p w:rsidR="002C093A" w:rsidRDefault="002C093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6BB4">
      <w:pPr>
        <w:spacing w:after="0" w:line="240" w:lineRule="auto"/>
      </w:pPr>
      <w:r>
        <w:separator/>
      </w:r>
    </w:p>
  </w:footnote>
  <w:footnote w:type="continuationSeparator" w:id="0">
    <w:p w:rsidR="00000000" w:rsidRDefault="00966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3A" w:rsidRDefault="00966BB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2C093A" w:rsidRDefault="00966BB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2C093A" w:rsidRDefault="00966BB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17396/INFOEM/IP/RR/2022</w:t>
    </w:r>
  </w:p>
  <w:p w:rsidR="002C093A" w:rsidRDefault="002C093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4230D"/>
    <w:multiLevelType w:val="hybridMultilevel"/>
    <w:tmpl w:val="C0224F70"/>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abstractNum w:abstractNumId="1" w15:restartNumberingAfterBreak="0">
    <w:nsid w:val="5D3D33AC"/>
    <w:multiLevelType w:val="hybridMultilevel"/>
    <w:tmpl w:val="06D0A14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7CC8552D"/>
    <w:multiLevelType w:val="multilevel"/>
    <w:tmpl w:val="B48605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3A"/>
    <w:rsid w:val="002C093A"/>
    <w:rsid w:val="003E0C32"/>
    <w:rsid w:val="00966BB4"/>
    <w:rsid w:val="009D2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27B65-7171-4F0C-8FA9-3AA7DA96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rsid w:val="0060067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87699">
      <w:bodyDiv w:val="1"/>
      <w:marLeft w:val="0"/>
      <w:marRight w:val="0"/>
      <w:marTop w:val="0"/>
      <w:marBottom w:val="0"/>
      <w:divBdr>
        <w:top w:val="none" w:sz="0" w:space="0" w:color="auto"/>
        <w:left w:val="none" w:sz="0" w:space="0" w:color="auto"/>
        <w:bottom w:val="none" w:sz="0" w:space="0" w:color="auto"/>
        <w:right w:val="none" w:sz="0" w:space="0" w:color="auto"/>
      </w:divBdr>
    </w:div>
    <w:div w:id="168089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cod/vig/codvig00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cod/vig/codvig0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IY9UhFMVIgPyDY6jcEevKtgfvA==">AMUW2mWY1X+SQAIKm0CgjGY6/0qHVlggzWiDwNoVrTXj5/NcQqfFJrPcnvNSn7agm87kbrasB/WMsty7Ae5F0AIlq+fOPuBMxc8MHsg0AvdHjcQyP0XlmJIUiqNDOvlx415LCv4njtuMQPwJsO0QNlSjUzS9c0WlggXJ1fAi0TyblvYL9/jCADgvMwHtabaJwWWKfaRWr/UX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3486</Words>
  <Characters>19179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2023-05-02T17:40:00Z</dcterms:created>
  <dcterms:modified xsi:type="dcterms:W3CDTF">2023-05-02T17:43:00Z</dcterms:modified>
</cp:coreProperties>
</file>