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456A9" w14:textId="23ABA382" w:rsidR="005359CF" w:rsidRPr="005359CF" w:rsidRDefault="005359CF" w:rsidP="00141383">
      <w:pPr>
        <w:pStyle w:val="Encabezado"/>
        <w:spacing w:line="360" w:lineRule="auto"/>
        <w:jc w:val="both"/>
        <w:rPr>
          <w:rFonts w:ascii="Palatino Linotype" w:hAnsi="Palatino Linotype" w:cs="Tahoma"/>
          <w:b/>
        </w:rPr>
      </w:pPr>
      <w:r w:rsidRPr="005359CF">
        <w:rPr>
          <w:rFonts w:ascii="Palatino Linotype" w:hAnsi="Palatino Linotype" w:cs="Tahoma"/>
          <w:b/>
        </w:rPr>
        <w:t xml:space="preserve">VOTO DISIDENTE QUE FORMULA EL COMISIONADO LUIS GUSTAVO PARRA NORIEGA, A LA RESOLUCIÓN DEL RECURSO DE REVISIÓN </w:t>
      </w:r>
      <w:r w:rsidR="0096594D">
        <w:rPr>
          <w:rFonts w:ascii="Palatino Linotype" w:hAnsi="Palatino Linotype" w:cs="Arial"/>
          <w:b/>
          <w:bCs/>
          <w:lang w:val="es-ES_tradnl" w:eastAsia="es-MX"/>
        </w:rPr>
        <w:t>01180</w:t>
      </w:r>
      <w:r w:rsidR="005867BE" w:rsidRPr="005867BE">
        <w:rPr>
          <w:rFonts w:ascii="Palatino Linotype" w:hAnsi="Palatino Linotype" w:cs="Arial"/>
          <w:b/>
          <w:bCs/>
          <w:lang w:val="es-ES_tradnl" w:eastAsia="es-MX"/>
        </w:rPr>
        <w:t>/INFOEM/IP/RR/202</w:t>
      </w:r>
      <w:r w:rsidR="0096594D">
        <w:rPr>
          <w:rFonts w:ascii="Palatino Linotype" w:hAnsi="Palatino Linotype" w:cs="Arial"/>
          <w:b/>
          <w:bCs/>
          <w:lang w:val="es-ES_tradnl" w:eastAsia="es-MX"/>
        </w:rPr>
        <w:t>3</w:t>
      </w:r>
      <w:r w:rsidRPr="005359CF">
        <w:rPr>
          <w:rFonts w:ascii="Palatino Linotype" w:hAnsi="Palatino Linotype" w:cs="Tahoma"/>
          <w:b/>
        </w:rPr>
        <w:t xml:space="preserve">, PROMOVIDO EN CONTRA DEL </w:t>
      </w:r>
      <w:r w:rsidR="0071155A" w:rsidRPr="0071155A">
        <w:rPr>
          <w:rFonts w:ascii="Palatino Linotype" w:hAnsi="Palatino Linotype" w:cs="Arial"/>
          <w:b/>
          <w:bCs/>
        </w:rPr>
        <w:t xml:space="preserve">AYUNTAMIENTO DE </w:t>
      </w:r>
      <w:r w:rsidR="0096594D">
        <w:rPr>
          <w:rFonts w:ascii="Palatino Linotype" w:hAnsi="Palatino Linotype" w:cs="Arial"/>
          <w:b/>
          <w:bCs/>
        </w:rPr>
        <w:t>ECATEPEC DE MORELOS</w:t>
      </w:r>
      <w:r w:rsidRPr="005359CF">
        <w:rPr>
          <w:rFonts w:ascii="Palatino Linotype" w:hAnsi="Palatino Linotype" w:cs="Tahoma"/>
          <w:b/>
        </w:rPr>
        <w:t xml:space="preserve">. </w:t>
      </w:r>
    </w:p>
    <w:p w14:paraId="024D5DD3" w14:textId="77777777" w:rsidR="005359CF" w:rsidRPr="005359CF" w:rsidRDefault="005359CF" w:rsidP="00141383">
      <w:pPr>
        <w:spacing w:after="0" w:line="360" w:lineRule="auto"/>
        <w:jc w:val="both"/>
        <w:rPr>
          <w:rFonts w:ascii="Palatino Linotype" w:hAnsi="Palatino Linotype" w:cs="Tahoma"/>
        </w:rPr>
      </w:pPr>
    </w:p>
    <w:p w14:paraId="6D15259E" w14:textId="23184998" w:rsidR="005359CF" w:rsidRPr="005359CF" w:rsidRDefault="005359CF" w:rsidP="00141383">
      <w:pPr>
        <w:spacing w:after="0" w:line="360" w:lineRule="auto"/>
        <w:jc w:val="both"/>
        <w:rPr>
          <w:rFonts w:ascii="Palatino Linotype" w:hAnsi="Palatino Linotype" w:cs="Tahoma"/>
        </w:rPr>
      </w:pPr>
      <w:r w:rsidRPr="005359CF">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XIX, 45 y 48, fracción II, de los Lineamientos para el funcionamiento del Pleno y las Comisiones del Instituto de Transparencia, Acceso a la </w:t>
      </w:r>
      <w:r w:rsidRPr="0071155A">
        <w:rPr>
          <w:rFonts w:ascii="Palatino Linotype" w:hAnsi="Palatino Linotype" w:cs="Tahoma"/>
        </w:rPr>
        <w:t xml:space="preserve">Información Pública y Protección de Datos Personales del Estado de México y Municipios, </w:t>
      </w:r>
      <w:r w:rsidRPr="0071155A">
        <w:rPr>
          <w:rFonts w:ascii="Palatino Linotype" w:hAnsi="Palatino Linotype" w:cs="Tahoma"/>
          <w:b/>
          <w:bCs/>
        </w:rPr>
        <w:t xml:space="preserve">emito el presente </w:t>
      </w:r>
      <w:r w:rsidR="005867BE" w:rsidRPr="0071155A">
        <w:rPr>
          <w:rFonts w:ascii="Palatino Linotype" w:hAnsi="Palatino Linotype" w:cs="Tahoma"/>
          <w:b/>
          <w:bCs/>
        </w:rPr>
        <w:t xml:space="preserve">Voto Disidente </w:t>
      </w:r>
      <w:r w:rsidRPr="005867BE">
        <w:rPr>
          <w:rFonts w:ascii="Palatino Linotype" w:hAnsi="Palatino Linotype" w:cs="Tahoma"/>
          <w:bCs/>
        </w:rPr>
        <w:t>por no compartir el sentido de la Resolución del Recurso de Revisión</w:t>
      </w:r>
      <w:r w:rsidRPr="0071155A">
        <w:rPr>
          <w:rFonts w:ascii="Palatino Linotype" w:hAnsi="Palatino Linotype" w:cs="Tahoma"/>
          <w:b/>
          <w:bCs/>
        </w:rPr>
        <w:t xml:space="preserve"> </w:t>
      </w:r>
      <w:r w:rsidR="0096594D">
        <w:rPr>
          <w:rFonts w:ascii="Palatino Linotype" w:hAnsi="Palatino Linotype" w:cs="Arial"/>
          <w:b/>
          <w:bCs/>
          <w:lang w:val="es-ES_tradnl" w:eastAsia="es-MX"/>
        </w:rPr>
        <w:t>01180</w:t>
      </w:r>
      <w:r w:rsidR="005867BE" w:rsidRPr="005867BE">
        <w:rPr>
          <w:rFonts w:ascii="Palatino Linotype" w:hAnsi="Palatino Linotype" w:cs="Arial"/>
          <w:b/>
          <w:bCs/>
          <w:lang w:val="es-ES_tradnl" w:eastAsia="es-MX"/>
        </w:rPr>
        <w:t>/INFOEM/IP/RR/202</w:t>
      </w:r>
      <w:r w:rsidR="0096594D">
        <w:rPr>
          <w:rFonts w:ascii="Palatino Linotype" w:hAnsi="Palatino Linotype" w:cs="Arial"/>
          <w:b/>
          <w:bCs/>
          <w:lang w:val="es-ES_tradnl" w:eastAsia="es-MX"/>
        </w:rPr>
        <w:t>3</w:t>
      </w:r>
      <w:r w:rsidR="005867BE">
        <w:rPr>
          <w:rFonts w:ascii="Palatino Linotype" w:hAnsi="Palatino Linotype" w:cs="Tahoma"/>
          <w:b/>
          <w:bCs/>
        </w:rPr>
        <w:t>.</w:t>
      </w:r>
    </w:p>
    <w:p w14:paraId="5F51008E" w14:textId="77777777" w:rsidR="005359CF" w:rsidRPr="005359CF" w:rsidRDefault="005359CF" w:rsidP="00141383">
      <w:pPr>
        <w:spacing w:after="0" w:line="360" w:lineRule="auto"/>
        <w:jc w:val="both"/>
        <w:rPr>
          <w:rFonts w:ascii="Palatino Linotype" w:hAnsi="Palatino Linotype" w:cs="Tahoma"/>
        </w:rPr>
      </w:pPr>
    </w:p>
    <w:p w14:paraId="527A1356" w14:textId="77777777" w:rsidR="00394370" w:rsidRDefault="005359CF" w:rsidP="00141383">
      <w:pPr>
        <w:spacing w:after="0" w:line="360" w:lineRule="auto"/>
        <w:jc w:val="both"/>
        <w:rPr>
          <w:rFonts w:ascii="Palatino Linotype" w:hAnsi="Palatino Linotype" w:cs="Tahoma"/>
        </w:rPr>
      </w:pPr>
      <w:r w:rsidRPr="005359CF">
        <w:rPr>
          <w:rFonts w:ascii="Palatino Linotype" w:hAnsi="Palatino Linotype" w:cs="Tahoma"/>
        </w:rPr>
        <w:t xml:space="preserve">Como se desprende de la Resolución que nos ocupa, el solicitante requirió </w:t>
      </w:r>
      <w:r w:rsidR="00A60FDD">
        <w:rPr>
          <w:rFonts w:ascii="Palatino Linotype" w:hAnsi="Palatino Linotype" w:cs="Tahoma"/>
        </w:rPr>
        <w:t xml:space="preserve">respecto a una </w:t>
      </w:r>
      <w:r w:rsidR="00394370">
        <w:rPr>
          <w:rFonts w:ascii="Palatino Linotype" w:hAnsi="Palatino Linotype" w:cs="Tahoma"/>
        </w:rPr>
        <w:t>persona en particular de la que proporcionó su nombre</w:t>
      </w:r>
      <w:r w:rsidR="00A60FDD">
        <w:rPr>
          <w:rFonts w:ascii="Palatino Linotype" w:hAnsi="Palatino Linotype" w:cs="Tahoma"/>
        </w:rPr>
        <w:t xml:space="preserve">, </w:t>
      </w:r>
      <w:r w:rsidR="0096594D" w:rsidRPr="0096594D">
        <w:rPr>
          <w:rFonts w:ascii="Palatino Linotype" w:hAnsi="Palatino Linotype" w:cs="Tahoma"/>
        </w:rPr>
        <w:t xml:space="preserve">los recibos de la segunda quincena de enero </w:t>
      </w:r>
      <w:r w:rsidR="00A60FDD">
        <w:rPr>
          <w:rFonts w:ascii="Palatino Linotype" w:hAnsi="Palatino Linotype" w:cs="Tahoma"/>
        </w:rPr>
        <w:t xml:space="preserve">y </w:t>
      </w:r>
      <w:r w:rsidR="0096594D" w:rsidRPr="0096594D">
        <w:rPr>
          <w:rFonts w:ascii="Palatino Linotype" w:hAnsi="Palatino Linotype" w:cs="Tahoma"/>
        </w:rPr>
        <w:t>primer</w:t>
      </w:r>
      <w:r w:rsidR="00A60FDD">
        <w:rPr>
          <w:rFonts w:ascii="Palatino Linotype" w:hAnsi="Palatino Linotype" w:cs="Tahoma"/>
        </w:rPr>
        <w:t>a</w:t>
      </w:r>
      <w:r w:rsidR="0096594D" w:rsidRPr="0096594D">
        <w:rPr>
          <w:rFonts w:ascii="Palatino Linotype" w:hAnsi="Palatino Linotype" w:cs="Tahoma"/>
        </w:rPr>
        <w:t xml:space="preserve"> quincena de febrero</w:t>
      </w:r>
      <w:r w:rsidR="00A60FDD">
        <w:rPr>
          <w:rFonts w:ascii="Palatino Linotype" w:hAnsi="Palatino Linotype" w:cs="Tahoma"/>
        </w:rPr>
        <w:t xml:space="preserve"> del ejercicio</w:t>
      </w:r>
      <w:r w:rsidR="0096594D" w:rsidRPr="0096594D">
        <w:rPr>
          <w:rFonts w:ascii="Palatino Linotype" w:hAnsi="Palatino Linotype" w:cs="Tahoma"/>
        </w:rPr>
        <w:t xml:space="preserve"> 2023</w:t>
      </w:r>
      <w:r w:rsidR="00A60FDD">
        <w:rPr>
          <w:rFonts w:ascii="Palatino Linotype" w:hAnsi="Palatino Linotype" w:cs="Tahoma"/>
        </w:rPr>
        <w:t>, n</w:t>
      </w:r>
      <w:r w:rsidR="00A60FDD" w:rsidRPr="00CA028B">
        <w:rPr>
          <w:rFonts w:ascii="Palatino Linotype" w:hAnsi="Palatino Linotype"/>
          <w:lang w:eastAsia="es-MX"/>
        </w:rPr>
        <w:t>ombre del área a la que pertenece, función que desempeña, categoría que tiene y fecha de ingreso</w:t>
      </w:r>
      <w:r w:rsidR="00A60FDD">
        <w:rPr>
          <w:rFonts w:ascii="Palatino Linotype" w:hAnsi="Palatino Linotype" w:cs="Tahoma"/>
        </w:rPr>
        <w:t xml:space="preserve"> al </w:t>
      </w:r>
      <w:r w:rsidR="00A60FDD" w:rsidRPr="00A60FDD">
        <w:rPr>
          <w:rFonts w:ascii="Palatino Linotype" w:hAnsi="Palatino Linotype" w:cs="Tahoma"/>
        </w:rPr>
        <w:t>Organismo Público Descentralizado para la Prestación del Servicio del Agua Potable Alcantarillado y Saneamiento de Ecatepec de Morelos</w:t>
      </w:r>
      <w:r w:rsidR="00A60FDD">
        <w:rPr>
          <w:rFonts w:ascii="Palatino Linotype" w:hAnsi="Palatino Linotype" w:cs="Tahoma"/>
        </w:rPr>
        <w:t xml:space="preserve"> (SAPASE), y si el Ayuntamiento cuenta con registro de </w:t>
      </w:r>
      <w:r w:rsidR="00394370">
        <w:rPr>
          <w:rFonts w:ascii="Palatino Linotype" w:hAnsi="Palatino Linotype" w:cs="Tahoma"/>
        </w:rPr>
        <w:t>dónde labora la persona referida en su solicitud</w:t>
      </w:r>
      <w:r w:rsidR="00A60FDD">
        <w:rPr>
          <w:rFonts w:ascii="Palatino Linotype" w:hAnsi="Palatino Linotype" w:cs="Tahoma"/>
        </w:rPr>
        <w:t xml:space="preserve">, es decir, solicita información </w:t>
      </w:r>
      <w:r w:rsidR="00394370">
        <w:rPr>
          <w:rFonts w:ascii="Palatino Linotype" w:hAnsi="Palatino Linotype" w:cs="Tahoma"/>
        </w:rPr>
        <w:t xml:space="preserve">presuntamente </w:t>
      </w:r>
      <w:r w:rsidR="00A60FDD">
        <w:rPr>
          <w:rFonts w:ascii="Palatino Linotype" w:hAnsi="Palatino Linotype" w:cs="Tahoma"/>
        </w:rPr>
        <w:t>pertenece a un Sujeto Obligado d</w:t>
      </w:r>
      <w:bookmarkStart w:id="0" w:name="_GoBack"/>
      <w:bookmarkEnd w:id="0"/>
      <w:r w:rsidR="00A60FDD">
        <w:rPr>
          <w:rFonts w:ascii="Palatino Linotype" w:hAnsi="Palatino Linotype" w:cs="Tahoma"/>
        </w:rPr>
        <w:t>iverso al Ayuntamiento de Ecatepec;</w:t>
      </w:r>
      <w:r w:rsidR="0071155A">
        <w:rPr>
          <w:rFonts w:ascii="Palatino Linotype" w:hAnsi="Palatino Linotype" w:cs="Tahoma"/>
        </w:rPr>
        <w:t xml:space="preserve"> en respuesta el Ayuntamiento manifestó</w:t>
      </w:r>
      <w:r w:rsidR="00A60FDD" w:rsidRPr="00A60FDD">
        <w:rPr>
          <w:rFonts w:ascii="Palatino Linotype" w:hAnsi="Palatino Linotype"/>
          <w:sz w:val="20"/>
          <w:lang w:val="es-MX" w:eastAsia="es-MX"/>
        </w:rPr>
        <w:t xml:space="preserve"> </w:t>
      </w:r>
      <w:r w:rsidR="00A60FDD">
        <w:rPr>
          <w:rFonts w:ascii="Palatino Linotype" w:hAnsi="Palatino Linotype" w:cs="Tahoma"/>
          <w:lang w:val="es-MX"/>
        </w:rPr>
        <w:t>que</w:t>
      </w:r>
      <w:r w:rsidR="00A60FDD" w:rsidRPr="00A60FDD">
        <w:rPr>
          <w:rFonts w:ascii="Palatino Linotype" w:hAnsi="Palatino Linotype" w:cs="Tahoma"/>
          <w:lang w:val="es-MX"/>
        </w:rPr>
        <w:t xml:space="preserve"> después de realizar una búsqueda exhaustiva en el Sistema de nómina del Ayuntamiento, no se encontró registro alguno con el nombre de la persona referida en la solicitud de información</w:t>
      </w:r>
      <w:r w:rsidR="00A60FDD">
        <w:rPr>
          <w:rFonts w:ascii="Palatino Linotype" w:hAnsi="Palatino Linotype" w:cs="Tahoma"/>
          <w:lang w:val="es-MX"/>
        </w:rPr>
        <w:t xml:space="preserve"> y arguyó que en su base de datos </w:t>
      </w:r>
      <w:r w:rsidR="00033A62">
        <w:rPr>
          <w:rFonts w:ascii="Palatino Linotype" w:hAnsi="Palatino Linotype" w:cs="Tahoma"/>
          <w:lang w:val="es-MX"/>
        </w:rPr>
        <w:t xml:space="preserve">no cuenta </w:t>
      </w:r>
      <w:r w:rsidR="00033A62">
        <w:rPr>
          <w:rFonts w:ascii="Palatino Linotype" w:hAnsi="Palatino Linotype" w:cs="Tahoma"/>
          <w:lang w:val="es-MX"/>
        </w:rPr>
        <w:lastRenderedPageBreak/>
        <w:t>con registros de los Órganos Descentralizados (DIF, SAPASE e IMCUFIDEEM) ya que estos cuentan con sus propias bases de datos, es decir, señaló</w:t>
      </w:r>
      <w:r w:rsidR="0071155A">
        <w:rPr>
          <w:rFonts w:ascii="Palatino Linotype" w:hAnsi="Palatino Linotype" w:cs="Tahoma"/>
        </w:rPr>
        <w:t xml:space="preserve"> </w:t>
      </w:r>
      <w:r w:rsidR="00A60FDD">
        <w:rPr>
          <w:rFonts w:ascii="Palatino Linotype" w:hAnsi="Palatino Linotype" w:cs="Tahoma"/>
        </w:rPr>
        <w:t>la incompetencia</w:t>
      </w:r>
      <w:r w:rsidR="0071155A">
        <w:rPr>
          <w:rFonts w:ascii="Palatino Linotype" w:hAnsi="Palatino Linotype" w:cs="Tahoma"/>
        </w:rPr>
        <w:t xml:space="preserve">. </w:t>
      </w:r>
    </w:p>
    <w:p w14:paraId="543803BA" w14:textId="77777777" w:rsidR="00394370" w:rsidRDefault="00394370" w:rsidP="00141383">
      <w:pPr>
        <w:spacing w:after="0" w:line="360" w:lineRule="auto"/>
        <w:jc w:val="both"/>
        <w:rPr>
          <w:rFonts w:ascii="Palatino Linotype" w:hAnsi="Palatino Linotype" w:cs="Tahoma"/>
        </w:rPr>
      </w:pPr>
    </w:p>
    <w:p w14:paraId="0E443CFB" w14:textId="3044A343" w:rsidR="0071155A" w:rsidRDefault="0071155A" w:rsidP="00141383">
      <w:pPr>
        <w:spacing w:after="0" w:line="360" w:lineRule="auto"/>
        <w:jc w:val="both"/>
        <w:rPr>
          <w:rFonts w:ascii="Palatino Linotype" w:hAnsi="Palatino Linotype" w:cs="Arial"/>
        </w:rPr>
      </w:pPr>
      <w:r>
        <w:rPr>
          <w:rFonts w:ascii="Palatino Linotype" w:hAnsi="Palatino Linotype" w:cs="Tahoma"/>
        </w:rPr>
        <w:t>Inconforme con la respuesta otorgada por el Sujeto Obligado</w:t>
      </w:r>
      <w:r w:rsidR="00141383">
        <w:rPr>
          <w:rFonts w:ascii="Palatino Linotype" w:hAnsi="Palatino Linotype" w:cs="Tahoma"/>
        </w:rPr>
        <w:t>,</w:t>
      </w:r>
      <w:r>
        <w:rPr>
          <w:rFonts w:ascii="Palatino Linotype" w:hAnsi="Palatino Linotype" w:cs="Tahoma"/>
        </w:rPr>
        <w:t xml:space="preserve"> a la </w:t>
      </w:r>
      <w:r w:rsidRPr="00B311D1">
        <w:rPr>
          <w:rFonts w:ascii="Palatino Linotype" w:hAnsi="Palatino Linotype" w:cs="Arial"/>
        </w:rPr>
        <w:t>solicitud de acceso a la información</w:t>
      </w:r>
      <w:r w:rsidR="00141383">
        <w:rPr>
          <w:rFonts w:ascii="Palatino Linotype" w:hAnsi="Palatino Linotype" w:cs="Arial"/>
        </w:rPr>
        <w:t>,</w:t>
      </w:r>
      <w:r>
        <w:rPr>
          <w:rFonts w:ascii="Palatino Linotype" w:hAnsi="Palatino Linotype" w:cs="Arial"/>
        </w:rPr>
        <w:t xml:space="preserve"> el Recurrente interpuso Recurso de Revisión </w:t>
      </w:r>
      <w:r w:rsidR="00141383">
        <w:rPr>
          <w:rFonts w:ascii="Palatino Linotype" w:hAnsi="Palatino Linotype" w:cs="Arial"/>
        </w:rPr>
        <w:t>en el que se inconformó de</w:t>
      </w:r>
      <w:r w:rsidR="00033A62">
        <w:rPr>
          <w:rFonts w:ascii="Palatino Linotype" w:hAnsi="Palatino Linotype" w:cs="Arial"/>
        </w:rPr>
        <w:t xml:space="preserve"> que el Ayuntamiento no respondió si tiene conocimiento  de que la servidora pública (identificada en la solicitud de información) labora en el SAPASE.</w:t>
      </w:r>
      <w:r w:rsidR="00A66EF2">
        <w:rPr>
          <w:rFonts w:ascii="Palatino Linotype" w:hAnsi="Palatino Linotype" w:cs="Arial"/>
        </w:rPr>
        <w:t xml:space="preserve"> </w:t>
      </w:r>
    </w:p>
    <w:p w14:paraId="7E112D96" w14:textId="5405F21B" w:rsidR="00A66EF2" w:rsidRDefault="00A66EF2" w:rsidP="00141383">
      <w:pPr>
        <w:spacing w:after="0" w:line="360" w:lineRule="auto"/>
        <w:jc w:val="both"/>
        <w:rPr>
          <w:rFonts w:ascii="Palatino Linotype" w:hAnsi="Palatino Linotype" w:cs="Arial"/>
        </w:rPr>
      </w:pPr>
    </w:p>
    <w:p w14:paraId="41C32D40" w14:textId="31C83298" w:rsidR="00394370" w:rsidRDefault="00033A62" w:rsidP="00033A62">
      <w:pPr>
        <w:spacing w:after="0" w:line="360" w:lineRule="auto"/>
        <w:jc w:val="both"/>
        <w:rPr>
          <w:rFonts w:ascii="Palatino Linotype" w:eastAsia="Calibri" w:hAnsi="Palatino Linotype" w:cs="Tahoma"/>
        </w:rPr>
      </w:pPr>
      <w:r w:rsidRPr="00033A62">
        <w:rPr>
          <w:rFonts w:ascii="Palatino Linotype" w:eastAsia="Calibri" w:hAnsi="Palatino Linotype" w:cs="Tahoma"/>
        </w:rPr>
        <w:t xml:space="preserve">Como se desprende de la Resolución que nos ocupa, la mayoría del Pleno de este Instituto, consideró procedente </w:t>
      </w:r>
      <w:r>
        <w:rPr>
          <w:rFonts w:ascii="Palatino Linotype" w:eastAsia="Calibri" w:hAnsi="Palatino Linotype" w:cs="Tahoma"/>
          <w:b/>
          <w:bCs/>
        </w:rPr>
        <w:t>MODIFIC</w:t>
      </w:r>
      <w:r w:rsidRPr="00033A62">
        <w:rPr>
          <w:rFonts w:ascii="Palatino Linotype" w:eastAsia="Calibri" w:hAnsi="Palatino Linotype" w:cs="Tahoma"/>
          <w:b/>
          <w:bCs/>
        </w:rPr>
        <w:t xml:space="preserve">AR </w:t>
      </w:r>
      <w:r w:rsidRPr="00033A62">
        <w:rPr>
          <w:rFonts w:ascii="Palatino Linotype" w:eastAsia="Calibri" w:hAnsi="Palatino Linotype" w:cs="Tahoma"/>
        </w:rPr>
        <w:t xml:space="preserve">la respuesta entregada por el </w:t>
      </w:r>
      <w:r>
        <w:rPr>
          <w:rFonts w:ascii="Palatino Linotype" w:eastAsia="Calibri" w:hAnsi="Palatino Linotype" w:cs="Tahoma"/>
        </w:rPr>
        <w:t>Ayuntamiento de Ecatepec de Morelos</w:t>
      </w:r>
      <w:r w:rsidRPr="00033A62">
        <w:rPr>
          <w:rFonts w:ascii="Palatino Linotype" w:eastAsia="Calibri" w:hAnsi="Palatino Linotype" w:cs="Tahoma"/>
        </w:rPr>
        <w:t xml:space="preserve">; sin embargo, difiero con la determinación tomada, pues considero que </w:t>
      </w:r>
      <w:r w:rsidR="00394370">
        <w:rPr>
          <w:rFonts w:ascii="Palatino Linotype" w:eastAsia="Calibri" w:hAnsi="Palatino Linotype" w:cs="Tahoma"/>
        </w:rPr>
        <w:t>la respuesta d</w:t>
      </w:r>
      <w:r w:rsidRPr="00033A62">
        <w:rPr>
          <w:rFonts w:ascii="Palatino Linotype" w:eastAsia="Calibri" w:hAnsi="Palatino Linotype" w:cs="Tahoma"/>
        </w:rPr>
        <w:t>el Ente Recurrido</w:t>
      </w:r>
      <w:r w:rsidR="00394370">
        <w:rPr>
          <w:rFonts w:ascii="Palatino Linotype" w:eastAsia="Calibri" w:hAnsi="Palatino Linotype" w:cs="Tahoma"/>
        </w:rPr>
        <w:t xml:space="preserve"> satisfizo el derecho de acceso a la información, en virtud de que</w:t>
      </w:r>
      <w:r w:rsidRPr="00033A62">
        <w:rPr>
          <w:rFonts w:ascii="Palatino Linotype" w:eastAsia="Calibri" w:hAnsi="Palatino Linotype" w:cs="Tahoma"/>
        </w:rPr>
        <w:t xml:space="preserve"> </w:t>
      </w:r>
      <w:r>
        <w:rPr>
          <w:rFonts w:ascii="Palatino Linotype" w:eastAsia="Calibri" w:hAnsi="Palatino Linotype" w:cs="Tahoma"/>
        </w:rPr>
        <w:t>no</w:t>
      </w:r>
      <w:r w:rsidR="00394370">
        <w:rPr>
          <w:rFonts w:ascii="Palatino Linotype" w:eastAsia="Calibri" w:hAnsi="Palatino Linotype" w:cs="Tahoma"/>
        </w:rPr>
        <w:t xml:space="preserve"> existe fuente obligacional que constriña a alguna institución a contratar a la persona referida, motivo por el cual, tampoco procede ordenar a que el Sujeto Obligado emita un acuerdo de incompetencia, ya que buscó en sus archivos y contestó que la persona no es servidora pública del Ayuntamiento. </w:t>
      </w:r>
    </w:p>
    <w:p w14:paraId="61FB4F69" w14:textId="77777777" w:rsidR="009F130F" w:rsidRDefault="009F130F" w:rsidP="00033A62">
      <w:pPr>
        <w:spacing w:after="0" w:line="360" w:lineRule="auto"/>
        <w:jc w:val="both"/>
        <w:rPr>
          <w:rFonts w:ascii="Palatino Linotype" w:eastAsia="Calibri" w:hAnsi="Palatino Linotype" w:cs="Tahoma"/>
        </w:rPr>
      </w:pPr>
    </w:p>
    <w:p w14:paraId="2BCA1C01" w14:textId="090D109D" w:rsidR="00033A62" w:rsidRPr="00033A62" w:rsidRDefault="00033A62" w:rsidP="00033A62">
      <w:pPr>
        <w:spacing w:after="0" w:line="360" w:lineRule="auto"/>
        <w:jc w:val="both"/>
        <w:rPr>
          <w:rFonts w:ascii="Palatino Linotype" w:eastAsia="Calibri" w:hAnsi="Palatino Linotype" w:cs="Arial"/>
          <w:bCs/>
          <w:lang w:val="es-MX"/>
        </w:rPr>
      </w:pPr>
      <w:r w:rsidRPr="00033A62">
        <w:rPr>
          <w:rFonts w:ascii="Palatino Linotype" w:eastAsia="Calibri" w:hAnsi="Palatino Linotype" w:cs="Arial"/>
          <w:lang w:val="es-MX"/>
        </w:rPr>
        <w:t xml:space="preserve">Sobre lo anterior, </w:t>
      </w:r>
      <w:r w:rsidR="009F130F">
        <w:rPr>
          <w:rFonts w:ascii="Palatino Linotype" w:eastAsia="Calibri" w:hAnsi="Palatino Linotype" w:cs="Arial"/>
          <w:lang w:val="es-MX"/>
        </w:rPr>
        <w:t>cabe</w:t>
      </w:r>
      <w:r w:rsidRPr="00033A62">
        <w:rPr>
          <w:rFonts w:ascii="Palatino Linotype" w:eastAsia="Calibri" w:hAnsi="Palatino Linotype" w:cs="Arial"/>
          <w:lang w:val="es-MX"/>
        </w:rPr>
        <w:t xml:space="preserve"> señalar </w:t>
      </w:r>
      <w:r w:rsidRPr="00033A62">
        <w:rPr>
          <w:rFonts w:ascii="Palatino Linotype" w:eastAsia="Calibri" w:hAnsi="Palatino Linotype" w:cs="Arial"/>
          <w:bCs/>
          <w:lang w:val="es-MX"/>
        </w:rPr>
        <w:t>que Cabanellas, Guillermo (1993), en el “Diccionario Jurídico Elemental” (p. 32 y 161), precisó los siguientes conceptos:</w:t>
      </w:r>
    </w:p>
    <w:p w14:paraId="03A10A0B" w14:textId="77777777" w:rsidR="00033A62" w:rsidRPr="00033A62" w:rsidRDefault="00033A62" w:rsidP="00033A62">
      <w:pPr>
        <w:spacing w:after="0" w:line="360" w:lineRule="auto"/>
        <w:jc w:val="both"/>
        <w:rPr>
          <w:rFonts w:ascii="Palatino Linotype" w:eastAsia="Calibri" w:hAnsi="Palatino Linotype" w:cs="Arial"/>
          <w:bCs/>
          <w:lang w:val="es-MX"/>
        </w:rPr>
      </w:pPr>
    </w:p>
    <w:p w14:paraId="540AEA8A" w14:textId="77777777" w:rsidR="00033A62" w:rsidRPr="00033A62" w:rsidRDefault="00033A62" w:rsidP="00033A62">
      <w:pPr>
        <w:numPr>
          <w:ilvl w:val="0"/>
          <w:numId w:val="5"/>
        </w:numPr>
        <w:spacing w:after="0" w:line="360" w:lineRule="auto"/>
        <w:contextualSpacing/>
        <w:jc w:val="both"/>
        <w:rPr>
          <w:rFonts w:ascii="Palatino Linotype" w:eastAsia="Calibri" w:hAnsi="Palatino Linotype" w:cs="Arial"/>
          <w:bCs/>
          <w:lang w:eastAsia="es-ES"/>
        </w:rPr>
      </w:pPr>
      <w:r w:rsidRPr="00033A62">
        <w:rPr>
          <w:rFonts w:ascii="Palatino Linotype" w:eastAsia="Calibri" w:hAnsi="Palatino Linotype" w:cs="Arial"/>
          <w:b/>
          <w:bCs/>
          <w:lang w:eastAsia="es-ES"/>
        </w:rPr>
        <w:t xml:space="preserve">Competencia: </w:t>
      </w:r>
      <w:r w:rsidRPr="00033A62">
        <w:rPr>
          <w:rFonts w:ascii="Palatino Linotype" w:eastAsia="Calibri" w:hAnsi="Palatino Linotype" w:cs="Arial"/>
          <w:bCs/>
          <w:lang w:eastAsia="es-ES"/>
        </w:rPr>
        <w:t>La capacidad de una autoridad para conocer sobre una materia o asunto.</w:t>
      </w:r>
    </w:p>
    <w:p w14:paraId="41D47FDB" w14:textId="77777777" w:rsidR="00033A62" w:rsidRPr="00033A62" w:rsidRDefault="00033A62" w:rsidP="00033A62">
      <w:pPr>
        <w:spacing w:after="0" w:line="360" w:lineRule="auto"/>
        <w:ind w:left="780"/>
        <w:contextualSpacing/>
        <w:jc w:val="both"/>
        <w:rPr>
          <w:rFonts w:ascii="Palatino Linotype" w:eastAsia="Calibri" w:hAnsi="Palatino Linotype" w:cs="Arial"/>
          <w:bCs/>
          <w:lang w:eastAsia="es-ES"/>
        </w:rPr>
      </w:pPr>
    </w:p>
    <w:p w14:paraId="1039D897" w14:textId="77777777" w:rsidR="00033A62" w:rsidRPr="00033A62" w:rsidRDefault="00033A62" w:rsidP="00033A62">
      <w:pPr>
        <w:numPr>
          <w:ilvl w:val="0"/>
          <w:numId w:val="5"/>
        </w:numPr>
        <w:spacing w:after="0" w:line="360" w:lineRule="auto"/>
        <w:contextualSpacing/>
        <w:jc w:val="both"/>
        <w:rPr>
          <w:rFonts w:ascii="Palatino Linotype" w:eastAsia="Calibri" w:hAnsi="Palatino Linotype" w:cs="Arial"/>
          <w:bCs/>
          <w:lang w:eastAsia="es-ES"/>
        </w:rPr>
      </w:pPr>
      <w:r w:rsidRPr="00033A62">
        <w:rPr>
          <w:rFonts w:ascii="Palatino Linotype" w:eastAsia="Calibri" w:hAnsi="Palatino Linotype" w:cs="Arial"/>
          <w:b/>
          <w:bCs/>
          <w:lang w:eastAsia="es-ES"/>
        </w:rPr>
        <w:t>Incompetencia:</w:t>
      </w:r>
      <w:r w:rsidRPr="00033A62">
        <w:rPr>
          <w:rFonts w:ascii="Palatino Linotype" w:eastAsia="Calibri" w:hAnsi="Palatino Linotype" w:cs="Arial"/>
          <w:bCs/>
          <w:lang w:eastAsia="es-ES"/>
        </w:rPr>
        <w:t xml:space="preserve"> Falta de Competencia.</w:t>
      </w:r>
    </w:p>
    <w:p w14:paraId="1636DF24" w14:textId="77777777" w:rsidR="00033A62" w:rsidRPr="00033A62" w:rsidRDefault="00033A62" w:rsidP="00033A62">
      <w:pPr>
        <w:spacing w:after="0" w:line="360" w:lineRule="auto"/>
        <w:jc w:val="both"/>
        <w:rPr>
          <w:rFonts w:ascii="Palatino Linotype" w:eastAsia="Calibri" w:hAnsi="Palatino Linotype" w:cs="Arial"/>
          <w:lang w:val="es-MX"/>
        </w:rPr>
      </w:pPr>
    </w:p>
    <w:p w14:paraId="521B2A17" w14:textId="5CF4D50A" w:rsidR="00033A62" w:rsidRPr="00033A62" w:rsidRDefault="00033A62" w:rsidP="00033A62">
      <w:pPr>
        <w:spacing w:after="0" w:line="360" w:lineRule="auto"/>
        <w:jc w:val="both"/>
        <w:rPr>
          <w:rFonts w:ascii="Palatino Linotype" w:eastAsia="Calibri" w:hAnsi="Palatino Linotype" w:cs="Tahoma"/>
          <w:lang w:val="es-MX"/>
        </w:rPr>
      </w:pPr>
      <w:r w:rsidRPr="00033A62">
        <w:rPr>
          <w:rFonts w:ascii="Palatino Linotype" w:eastAsia="Calibri" w:hAnsi="Palatino Linotype" w:cs="Tahoma"/>
          <w:lang w:val="es-ES_tradnl"/>
        </w:rPr>
        <w:lastRenderedPageBreak/>
        <w:t>Así, la incompetencia, radica en la incapacidad de una autoridad para conocer de un tema o asunto; en el mismo sentido, conviene traer a cuenta tesis</w:t>
      </w:r>
      <w:r w:rsidRPr="00033A62">
        <w:rPr>
          <w:rFonts w:ascii="Palatino Linotype" w:eastAsia="Calibri" w:hAnsi="Palatino Linotype" w:cs="Tahoma"/>
          <w:lang w:val="es-MX"/>
        </w:rPr>
        <w:t xml:space="preserve"> aislada número III.2o.P.11 K, publicada en el Semanario Judicial de la Federación y su Gaceta, Novena Época, Tomo XV, Mayo de 2002, </w:t>
      </w:r>
      <w:r w:rsidR="00850528" w:rsidRPr="00033A62">
        <w:rPr>
          <w:rFonts w:ascii="Palatino Linotype" w:eastAsia="Calibri" w:hAnsi="Palatino Linotype" w:cs="Tahoma"/>
          <w:lang w:val="es-MX"/>
        </w:rPr>
        <w:t>Pág.</w:t>
      </w:r>
      <w:r w:rsidRPr="00033A62">
        <w:rPr>
          <w:rFonts w:ascii="Palatino Linotype" w:eastAsia="Calibri" w:hAnsi="Palatino Linotype" w:cs="Tahoma"/>
          <w:lang w:val="es-MX"/>
        </w:rPr>
        <w:t xml:space="preserve"> 1243, ya que precisa lo siguiente: </w:t>
      </w:r>
    </w:p>
    <w:p w14:paraId="772A8F2A" w14:textId="77777777" w:rsidR="00033A62" w:rsidRPr="00033A62" w:rsidRDefault="00033A62" w:rsidP="00033A62">
      <w:pPr>
        <w:spacing w:after="0" w:line="360" w:lineRule="auto"/>
        <w:jc w:val="both"/>
        <w:rPr>
          <w:rFonts w:ascii="Palatino Linotype" w:eastAsia="Calibri" w:hAnsi="Palatino Linotype" w:cs="Tahoma"/>
          <w:lang w:val="es-ES_tradnl"/>
        </w:rPr>
      </w:pPr>
    </w:p>
    <w:p w14:paraId="36C34428" w14:textId="77777777" w:rsidR="00033A62" w:rsidRPr="00033A62" w:rsidRDefault="00033A62" w:rsidP="00033A62">
      <w:pPr>
        <w:spacing w:after="0" w:line="360" w:lineRule="auto"/>
        <w:ind w:left="567" w:right="567"/>
        <w:jc w:val="both"/>
        <w:rPr>
          <w:rFonts w:ascii="Palatino Linotype" w:eastAsia="Calibri" w:hAnsi="Palatino Linotype" w:cs="Tahoma"/>
          <w:i/>
          <w:sz w:val="20"/>
          <w:szCs w:val="20"/>
          <w:lang w:val="es-ES_tradnl"/>
        </w:rPr>
      </w:pPr>
      <w:r w:rsidRPr="00033A62">
        <w:rPr>
          <w:rFonts w:ascii="Palatino Linotype" w:eastAsia="Calibri" w:hAnsi="Palatino Linotype" w:cs="Tahoma"/>
          <w:b/>
          <w:bCs/>
          <w:i/>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033A62">
        <w:rPr>
          <w:rFonts w:ascii="Palatino Linotype" w:eastAsia="Calibri" w:hAnsi="Palatino Linotype" w:cs="Tahoma"/>
          <w:i/>
          <w:sz w:val="20"/>
          <w:szCs w:val="20"/>
          <w:lang w:val="es-ES_tradnl"/>
        </w:rPr>
        <w:t>El artículo </w:t>
      </w:r>
      <w:hyperlink r:id="rId7" w:history="1">
        <w:r w:rsidRPr="00033A62">
          <w:rPr>
            <w:rFonts w:ascii="Palatino Linotype" w:eastAsia="Calibri" w:hAnsi="Palatino Linotype" w:cs="Tahoma"/>
            <w:i/>
            <w:color w:val="0563C1"/>
            <w:sz w:val="20"/>
            <w:szCs w:val="20"/>
            <w:u w:val="single"/>
            <w:lang w:val="es-ES_tradnl"/>
          </w:rPr>
          <w:t>16 constitucional</w:t>
        </w:r>
      </w:hyperlink>
      <w:r w:rsidRPr="00033A62">
        <w:rPr>
          <w:rFonts w:ascii="Palatino Linotype" w:eastAsia="Calibri" w:hAnsi="Palatino Linotype" w:cs="Tahoma"/>
          <w:i/>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7C1A7CC8" w14:textId="77777777" w:rsidR="00033A62" w:rsidRPr="00033A62" w:rsidRDefault="00033A62" w:rsidP="00033A62">
      <w:pPr>
        <w:spacing w:after="0" w:line="360" w:lineRule="auto"/>
        <w:jc w:val="both"/>
        <w:rPr>
          <w:rFonts w:ascii="Palatino Linotype" w:eastAsia="Calibri" w:hAnsi="Palatino Linotype" w:cs="Tahoma"/>
          <w:lang w:val="es-ES_tradnl"/>
        </w:rPr>
      </w:pPr>
    </w:p>
    <w:p w14:paraId="1F320516" w14:textId="77777777" w:rsidR="00033A62" w:rsidRPr="00033A62" w:rsidRDefault="00033A62" w:rsidP="00033A62">
      <w:pPr>
        <w:spacing w:after="0" w:line="360" w:lineRule="auto"/>
        <w:jc w:val="both"/>
        <w:rPr>
          <w:rFonts w:ascii="Palatino Linotype" w:eastAsia="Calibri" w:hAnsi="Palatino Linotype" w:cs="Tahoma"/>
          <w:lang w:val="es-MX"/>
        </w:rPr>
      </w:pPr>
      <w:r w:rsidRPr="00033A62">
        <w:rPr>
          <w:rFonts w:ascii="Palatino Linotype" w:eastAsia="Calibri" w:hAnsi="Palatino Linotype" w:cs="Tahoma"/>
          <w:lang w:val="es-ES_tradnl"/>
        </w:rPr>
        <w:t xml:space="preserve">Por otro lado, en el </w:t>
      </w:r>
      <w:r w:rsidRPr="00033A62">
        <w:rPr>
          <w:rFonts w:ascii="Palatino Linotype" w:eastAsia="Calibri" w:hAnsi="Palatino Linotype" w:cs="Tahoma"/>
        </w:rPr>
        <w:t xml:space="preserve">Criterio 13/17, </w:t>
      </w:r>
      <w:r w:rsidRPr="00033A62">
        <w:rPr>
          <w:rFonts w:ascii="Palatino Linotype" w:eastAsia="Calibri" w:hAnsi="Palatino Linotype" w:cs="Tahoma"/>
          <w:lang w:val="es-MX"/>
        </w:rPr>
        <w:t xml:space="preserve">emitido por el Instituto Nacional de Transparencia, Acceso a la Información y Protección de Datos Personales, que dispone lo siguiente: </w:t>
      </w:r>
    </w:p>
    <w:p w14:paraId="5CF9DD5B" w14:textId="77777777" w:rsidR="00033A62" w:rsidRPr="00033A62" w:rsidRDefault="00033A62" w:rsidP="00033A62">
      <w:pPr>
        <w:spacing w:after="0" w:line="360" w:lineRule="auto"/>
        <w:jc w:val="both"/>
        <w:rPr>
          <w:rFonts w:ascii="Palatino Linotype" w:eastAsia="Calibri" w:hAnsi="Palatino Linotype" w:cs="Tahoma"/>
          <w:lang w:val="es-MX"/>
        </w:rPr>
      </w:pPr>
    </w:p>
    <w:p w14:paraId="78ADC705" w14:textId="77777777" w:rsidR="00033A62" w:rsidRPr="00033A62" w:rsidRDefault="00033A62" w:rsidP="00033A62">
      <w:pPr>
        <w:spacing w:after="0" w:line="360" w:lineRule="auto"/>
        <w:ind w:left="567" w:right="567"/>
        <w:jc w:val="both"/>
        <w:rPr>
          <w:rFonts w:ascii="Palatino Linotype" w:eastAsia="Calibri" w:hAnsi="Palatino Linotype" w:cs="Tahoma"/>
          <w:i/>
          <w:sz w:val="20"/>
          <w:szCs w:val="20"/>
          <w:lang w:val="es-MX"/>
        </w:rPr>
      </w:pPr>
      <w:r w:rsidRPr="00033A62">
        <w:rPr>
          <w:rFonts w:ascii="Palatino Linotype" w:eastAsia="Calibri" w:hAnsi="Palatino Linotype" w:cs="Tahoma"/>
          <w:i/>
          <w:sz w:val="20"/>
          <w:szCs w:val="20"/>
          <w:lang w:val="es-MX"/>
        </w:rPr>
        <w:t>“</w:t>
      </w:r>
      <w:r w:rsidRPr="00033A62">
        <w:rPr>
          <w:rFonts w:ascii="Palatino Linotype" w:eastAsia="Calibri" w:hAnsi="Palatino Linotype" w:cs="Tahoma"/>
          <w:b/>
          <w:bCs/>
          <w:i/>
          <w:sz w:val="20"/>
          <w:szCs w:val="20"/>
          <w:lang w:val="es-MX"/>
        </w:rPr>
        <w:t xml:space="preserve">Incompetencia. </w:t>
      </w:r>
      <w:r w:rsidRPr="00033A62">
        <w:rPr>
          <w:rFonts w:ascii="Palatino Linotype" w:eastAsia="Calibri" w:hAnsi="Palatino Linotype" w:cs="Tahoma"/>
          <w:i/>
          <w:sz w:val="20"/>
          <w:szCs w:val="20"/>
          <w:lang w:val="es-MX"/>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3DB8F84A" w14:textId="77777777" w:rsidR="00033A62" w:rsidRPr="00033A62" w:rsidRDefault="00033A62" w:rsidP="00033A62">
      <w:pPr>
        <w:spacing w:after="0" w:line="360" w:lineRule="auto"/>
        <w:jc w:val="both"/>
        <w:rPr>
          <w:rFonts w:ascii="Palatino Linotype" w:eastAsia="Calibri" w:hAnsi="Palatino Linotype" w:cs="Tahoma"/>
          <w:lang w:val="es-ES_tradnl"/>
        </w:rPr>
      </w:pPr>
    </w:p>
    <w:p w14:paraId="7C19F0E4" w14:textId="0B17A13F" w:rsidR="00033A62" w:rsidRPr="00033A62" w:rsidRDefault="00033A62" w:rsidP="00033A62">
      <w:pPr>
        <w:spacing w:after="0" w:line="360" w:lineRule="auto"/>
        <w:jc w:val="both"/>
        <w:rPr>
          <w:rFonts w:ascii="Palatino Linotype" w:eastAsia="Calibri" w:hAnsi="Palatino Linotype" w:cs="Tahoma"/>
          <w:lang w:val="es-ES_tradnl"/>
        </w:rPr>
      </w:pPr>
      <w:r w:rsidRPr="00033A62">
        <w:rPr>
          <w:rFonts w:ascii="Palatino Linotype" w:eastAsia="Calibri" w:hAnsi="Palatino Linotype" w:cs="Tahoma"/>
          <w:lang w:val="es-ES_tradnl"/>
        </w:rPr>
        <w:lastRenderedPageBreak/>
        <w:t xml:space="preserve">En tal virtud, la </w:t>
      </w:r>
      <w:r w:rsidRPr="00033A62">
        <w:rPr>
          <w:rFonts w:ascii="Palatino Linotype" w:eastAsia="Calibri" w:hAnsi="Palatino Linotype" w:cs="Tahoma"/>
          <w:b/>
          <w:lang w:val="es-ES_tradnl"/>
        </w:rPr>
        <w:t xml:space="preserve">incompetencia </w:t>
      </w:r>
      <w:r w:rsidRPr="00033A62">
        <w:rPr>
          <w:rFonts w:ascii="Palatino Linotype" w:eastAsia="Calibri" w:hAnsi="Palatino Linotype" w:cs="Tahoma"/>
          <w:lang w:val="es-ES_tradnl"/>
        </w:rPr>
        <w:t>implica que, de conformidad con las atribuciones conferidas al sujeto obligad</w:t>
      </w:r>
      <w:r w:rsidR="009F130F">
        <w:rPr>
          <w:rFonts w:ascii="Palatino Linotype" w:eastAsia="Calibri" w:hAnsi="Palatino Linotype" w:cs="Tahoma"/>
          <w:lang w:val="es-ES_tradnl"/>
        </w:rPr>
        <w:t>o, no habría razón por la cual e</w:t>
      </w:r>
      <w:r w:rsidRPr="00033A62">
        <w:rPr>
          <w:rFonts w:ascii="Palatino Linotype" w:eastAsia="Calibri" w:hAnsi="Palatino Linotype" w:cs="Tahoma"/>
          <w:lang w:val="es-ES_tradnl"/>
        </w:rPr>
        <w:t>ste deba contar con la información solicitada, en cuyo caso, tendría que orientar al particular para que acuda a la instancia competente, tal como lo establece el artículo 167 de la Ley de Transparencia y Acceso a la Información Pública del Estado de México y Municipios.</w:t>
      </w:r>
    </w:p>
    <w:p w14:paraId="0A3B5C02" w14:textId="77777777" w:rsidR="00033A62" w:rsidRPr="00033A62" w:rsidRDefault="00033A62" w:rsidP="00033A62">
      <w:pPr>
        <w:spacing w:after="0" w:line="360" w:lineRule="auto"/>
        <w:jc w:val="both"/>
        <w:rPr>
          <w:rFonts w:ascii="Palatino Linotype" w:eastAsia="Calibri" w:hAnsi="Palatino Linotype" w:cs="Tahoma"/>
          <w:lang w:val="es-ES_tradnl"/>
        </w:rPr>
      </w:pPr>
    </w:p>
    <w:p w14:paraId="224571E6" w14:textId="05327892" w:rsidR="00033A62" w:rsidRPr="00033A62" w:rsidRDefault="00033A62" w:rsidP="00033A62">
      <w:pPr>
        <w:spacing w:after="0" w:line="360" w:lineRule="auto"/>
        <w:jc w:val="both"/>
        <w:rPr>
          <w:rFonts w:ascii="Palatino Linotype" w:eastAsia="Calibri" w:hAnsi="Palatino Linotype" w:cs="Tahoma"/>
          <w:lang w:val="es-ES_tradnl"/>
        </w:rPr>
      </w:pPr>
      <w:r w:rsidRPr="00033A62">
        <w:rPr>
          <w:rFonts w:ascii="Palatino Linotype" w:eastAsia="Times New Roman" w:hAnsi="Palatino Linotype" w:cs="Tahoma"/>
          <w:lang w:val="es-ES_tradnl" w:eastAsia="es-ES"/>
        </w:rPr>
        <w:t xml:space="preserve">Por lo cual, dicho concepto refiere a la ausencia de atribuciones por parte de los Entes sujetos a las Leyes de Transparencia, para contar con la información que se requiere, es decir, se trata de una situación que se dilucida a partir de las facultades atribuidas a </w:t>
      </w:r>
      <w:r w:rsidR="009F130F">
        <w:rPr>
          <w:rFonts w:ascii="Palatino Linotype" w:eastAsia="Times New Roman" w:hAnsi="Palatino Linotype" w:cs="Tahoma"/>
          <w:lang w:val="es-ES_tradnl" w:eastAsia="es-ES"/>
        </w:rPr>
        <w:t>e</w:t>
      </w:r>
      <w:r w:rsidRPr="00033A62">
        <w:rPr>
          <w:rFonts w:ascii="Palatino Linotype" w:eastAsia="Times New Roman" w:hAnsi="Palatino Linotype" w:cs="Tahoma"/>
          <w:lang w:val="es-ES_tradnl" w:eastAsia="es-ES"/>
        </w:rPr>
        <w:t xml:space="preserve">ste; en otras palabras, </w:t>
      </w:r>
      <w:r w:rsidRPr="00033A62">
        <w:rPr>
          <w:rFonts w:ascii="Palatino Linotype" w:eastAsia="Calibri" w:hAnsi="Palatino Linotype" w:cs="Tahoma"/>
          <w:lang w:val="es-ES_tradnl"/>
        </w:rPr>
        <w:t xml:space="preserve">la </w:t>
      </w:r>
      <w:r w:rsidRPr="00033A62">
        <w:rPr>
          <w:rFonts w:ascii="Palatino Linotype" w:eastAsia="Calibri" w:hAnsi="Palatino Linotype" w:cs="Tahoma"/>
          <w:b/>
          <w:lang w:val="es-ES_tradnl"/>
        </w:rPr>
        <w:t>incompetencia</w:t>
      </w:r>
      <w:r w:rsidRPr="00033A62">
        <w:rPr>
          <w:rFonts w:ascii="Palatino Linotype" w:eastAsia="Calibri" w:hAnsi="Palatino Linotype" w:cs="Tahoma"/>
          <w:lang w:val="es-ES_tradnl"/>
        </w:rPr>
        <w:t xml:space="preserve"> implica que el Sujeto Obligado no cuenta con atribuciones para conocer de lo requerido y, por tanto, no habría razón para que en sus archivos obrara información relacionada con la materia de la solicitud.</w:t>
      </w:r>
    </w:p>
    <w:p w14:paraId="5D2F4EBB" w14:textId="77777777" w:rsidR="00033A62" w:rsidRPr="00033A62" w:rsidRDefault="00033A62" w:rsidP="00033A62">
      <w:pPr>
        <w:spacing w:after="0" w:line="360" w:lineRule="auto"/>
        <w:jc w:val="both"/>
        <w:rPr>
          <w:rFonts w:ascii="Palatino Linotype" w:eastAsia="Calibri" w:hAnsi="Palatino Linotype" w:cs="Arial"/>
        </w:rPr>
      </w:pPr>
    </w:p>
    <w:p w14:paraId="6430F8F0" w14:textId="77777777" w:rsidR="008E28BE" w:rsidRDefault="00033A62" w:rsidP="00033A62">
      <w:pPr>
        <w:spacing w:after="0" w:line="360" w:lineRule="auto"/>
        <w:jc w:val="both"/>
        <w:rPr>
          <w:rFonts w:ascii="Palatino Linotype" w:eastAsia="Calibri" w:hAnsi="Palatino Linotype" w:cs="Arial"/>
        </w:rPr>
      </w:pPr>
      <w:r w:rsidRPr="00033A62">
        <w:rPr>
          <w:rFonts w:ascii="Palatino Linotype" w:eastAsia="Calibri" w:hAnsi="Palatino Linotype" w:cs="Arial"/>
        </w:rPr>
        <w:t xml:space="preserve">En ese sentido, debo señalar que el </w:t>
      </w:r>
      <w:r>
        <w:rPr>
          <w:rFonts w:ascii="Palatino Linotype" w:eastAsia="Calibri" w:hAnsi="Palatino Linotype" w:cs="Arial"/>
        </w:rPr>
        <w:t>Ayuntamiento de Ecatepec de Morelos</w:t>
      </w:r>
      <w:r w:rsidRPr="00033A62">
        <w:rPr>
          <w:rFonts w:ascii="Palatino Linotype" w:eastAsia="Calibri" w:hAnsi="Palatino Linotype" w:cs="Arial"/>
        </w:rPr>
        <w:t xml:space="preserve">, </w:t>
      </w:r>
      <w:r>
        <w:rPr>
          <w:rFonts w:ascii="Palatino Linotype" w:eastAsia="Calibri" w:hAnsi="Palatino Linotype" w:cs="Arial"/>
        </w:rPr>
        <w:t xml:space="preserve">es un Sujeto Obligado diverso al </w:t>
      </w:r>
      <w:r w:rsidRPr="00033A62">
        <w:rPr>
          <w:rFonts w:ascii="Palatino Linotype" w:eastAsia="Calibri" w:hAnsi="Palatino Linotype" w:cs="Arial"/>
        </w:rPr>
        <w:t>Organismo Público Descentralizado para la Prestación del Servicio del Agua Potable Alcantarillado y Saneamiento de Ecatepec de Morelos (SAPASE)</w:t>
      </w:r>
      <w:r>
        <w:rPr>
          <w:rFonts w:ascii="Palatino Linotype" w:eastAsia="Calibri" w:hAnsi="Palatino Linotype" w:cs="Arial"/>
        </w:rPr>
        <w:t>, es decir, cada uno cuenta con sus propias obligaciones en materia de transparencia</w:t>
      </w:r>
      <w:r w:rsidR="008E28BE">
        <w:rPr>
          <w:rFonts w:ascii="Palatino Linotype" w:eastAsia="Calibri" w:hAnsi="Palatino Linotype" w:cs="Arial"/>
        </w:rPr>
        <w:t>, tal como se inserta en las siguientes:</w:t>
      </w:r>
    </w:p>
    <w:p w14:paraId="185CB50C" w14:textId="77777777" w:rsidR="008E28BE" w:rsidRDefault="008E28BE" w:rsidP="00033A62">
      <w:pPr>
        <w:spacing w:after="0" w:line="360" w:lineRule="auto"/>
        <w:jc w:val="both"/>
        <w:rPr>
          <w:rFonts w:ascii="Palatino Linotype" w:eastAsia="Calibri" w:hAnsi="Palatino Linotype" w:cs="Arial"/>
        </w:rPr>
      </w:pPr>
    </w:p>
    <w:p w14:paraId="72954475" w14:textId="77777777" w:rsidR="008E28BE" w:rsidRPr="008E28BE" w:rsidRDefault="008E28BE" w:rsidP="008E28BE">
      <w:pPr>
        <w:spacing w:after="0" w:line="360" w:lineRule="auto"/>
        <w:jc w:val="both"/>
        <w:rPr>
          <w:rFonts w:ascii="Palatino Linotype" w:eastAsia="Times New Roman" w:hAnsi="Palatino Linotype" w:cs="Times New Roman"/>
          <w:sz w:val="24"/>
          <w:szCs w:val="24"/>
          <w:lang w:eastAsia="es-ES"/>
        </w:rPr>
      </w:pPr>
      <w:r w:rsidRPr="008E28BE">
        <w:rPr>
          <w:rFonts w:ascii="Times New Roman" w:eastAsia="Times New Roman" w:hAnsi="Times New Roman" w:cs="Times New Roman"/>
          <w:noProof/>
          <w:sz w:val="24"/>
          <w:szCs w:val="24"/>
          <w:lang w:val="es-MX" w:eastAsia="es-MX"/>
        </w:rPr>
        <w:drawing>
          <wp:inline distT="0" distB="0" distL="0" distR="0" wp14:anchorId="15D0D201" wp14:editId="07153D78">
            <wp:extent cx="5791835" cy="281305"/>
            <wp:effectExtent l="95250" t="95250" r="75565" b="1949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81305"/>
                    </a:xfrm>
                    <a:prstGeom prst="roundRect">
                      <a:avLst>
                        <a:gd name="adj" fmla="val 4167"/>
                      </a:avLst>
                    </a:prstGeom>
                    <a:solidFill>
                      <a:srgbClr val="FFFFFF"/>
                    </a:solidFill>
                    <a:ln w="76200" cap="sq">
                      <a:solidFill>
                        <a:sysClr val="window" lastClr="FFFFFF">
                          <a:lumMod val="50000"/>
                        </a:sys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3703E21" w14:textId="77777777" w:rsidR="008E28BE" w:rsidRPr="008E28BE" w:rsidRDefault="008E28BE" w:rsidP="008E28BE">
      <w:pPr>
        <w:spacing w:after="0" w:line="240" w:lineRule="auto"/>
        <w:jc w:val="center"/>
        <w:rPr>
          <w:rFonts w:ascii="Times New Roman" w:eastAsia="Calibri" w:hAnsi="Times New Roman" w:cs="Times New Roman"/>
          <w:noProof/>
          <w:sz w:val="24"/>
          <w:szCs w:val="24"/>
          <w:lang w:eastAsia="es-MX"/>
        </w:rPr>
      </w:pPr>
      <w:r w:rsidRPr="008E28BE">
        <w:rPr>
          <w:rFonts w:ascii="Times New Roman" w:eastAsia="Calibri" w:hAnsi="Times New Roman" w:cs="Times New Roman"/>
          <w:noProof/>
          <w:sz w:val="24"/>
          <w:szCs w:val="24"/>
          <w:lang w:eastAsia="es-MX"/>
        </w:rPr>
        <w:t>[…]</w:t>
      </w:r>
    </w:p>
    <w:p w14:paraId="640C5B1E" w14:textId="77777777" w:rsidR="008E28BE" w:rsidRPr="008E28BE" w:rsidRDefault="008E28BE" w:rsidP="008E28BE">
      <w:pPr>
        <w:spacing w:after="0" w:line="240" w:lineRule="auto"/>
        <w:jc w:val="center"/>
        <w:rPr>
          <w:rFonts w:ascii="Times New Roman" w:eastAsia="Calibri" w:hAnsi="Times New Roman" w:cs="Times New Roman"/>
          <w:noProof/>
          <w:sz w:val="24"/>
          <w:szCs w:val="24"/>
          <w:lang w:eastAsia="es-MX"/>
        </w:rPr>
      </w:pPr>
      <w:r w:rsidRPr="008E28BE">
        <w:rPr>
          <w:rFonts w:ascii="Times New Roman" w:eastAsia="Calibri" w:hAnsi="Times New Roman" w:cs="Times New Roman"/>
          <w:noProof/>
          <w:sz w:val="24"/>
          <w:szCs w:val="24"/>
          <w:lang w:val="es-MX" w:eastAsia="es-MX"/>
        </w:rPr>
        <w:drawing>
          <wp:inline distT="0" distB="0" distL="0" distR="0" wp14:anchorId="54E3D48C" wp14:editId="435DE24A">
            <wp:extent cx="5760720" cy="243930"/>
            <wp:effectExtent l="76200" t="95250" r="68580" b="1752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4393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14:paraId="491073A7" w14:textId="77777777" w:rsidR="008E28BE" w:rsidRPr="008E28BE" w:rsidRDefault="008E28BE" w:rsidP="008E28BE">
      <w:pPr>
        <w:spacing w:after="0" w:line="240" w:lineRule="auto"/>
        <w:jc w:val="center"/>
        <w:rPr>
          <w:rFonts w:ascii="Times New Roman" w:eastAsia="Calibri" w:hAnsi="Times New Roman" w:cs="Times New Roman"/>
          <w:noProof/>
          <w:sz w:val="24"/>
          <w:szCs w:val="24"/>
          <w:lang w:eastAsia="es-MX"/>
        </w:rPr>
      </w:pPr>
      <w:r w:rsidRPr="008E28BE">
        <w:rPr>
          <w:rFonts w:ascii="Times New Roman" w:eastAsia="Calibri" w:hAnsi="Times New Roman" w:cs="Times New Roman"/>
          <w:noProof/>
          <w:sz w:val="24"/>
          <w:szCs w:val="24"/>
          <w:lang w:eastAsia="es-MX"/>
        </w:rPr>
        <w:t>[…]</w:t>
      </w:r>
    </w:p>
    <w:p w14:paraId="17319AC6" w14:textId="77777777" w:rsidR="008E28BE" w:rsidRPr="008E28BE" w:rsidRDefault="008E28BE" w:rsidP="008E28BE">
      <w:pPr>
        <w:spacing w:after="0" w:line="240" w:lineRule="auto"/>
        <w:jc w:val="center"/>
        <w:rPr>
          <w:rFonts w:ascii="Times New Roman" w:eastAsia="Calibri" w:hAnsi="Times New Roman" w:cs="Times New Roman"/>
          <w:noProof/>
          <w:sz w:val="24"/>
          <w:szCs w:val="24"/>
          <w:lang w:eastAsia="es-MX"/>
        </w:rPr>
      </w:pPr>
      <w:r w:rsidRPr="008E28BE">
        <w:rPr>
          <w:rFonts w:ascii="Times New Roman" w:eastAsia="Calibri" w:hAnsi="Times New Roman" w:cs="Times New Roman"/>
          <w:noProof/>
          <w:sz w:val="24"/>
          <w:szCs w:val="24"/>
          <w:lang w:val="es-MX" w:eastAsia="es-MX"/>
        </w:rPr>
        <w:lastRenderedPageBreak/>
        <w:drawing>
          <wp:inline distT="0" distB="0" distL="0" distR="0" wp14:anchorId="03BF0C26" wp14:editId="5341CA6C">
            <wp:extent cx="5796501" cy="254635"/>
            <wp:effectExtent l="95250" t="95250" r="71120" b="1835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8406" cy="255158"/>
                    </a:xfrm>
                    <a:prstGeom prst="roundRect">
                      <a:avLst>
                        <a:gd name="adj" fmla="val 4167"/>
                      </a:avLst>
                    </a:prstGeom>
                    <a:solidFill>
                      <a:srgbClr val="FFFFFF"/>
                    </a:solidFill>
                    <a:ln w="76200" cap="sq">
                      <a:solidFill>
                        <a:sysClr val="window" lastClr="FFFFFF">
                          <a:lumMod val="50000"/>
                        </a:sys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50B4DE2" w14:textId="77777777" w:rsidR="008E28BE" w:rsidRPr="008E28BE" w:rsidRDefault="008E28BE" w:rsidP="008E28BE">
      <w:pPr>
        <w:spacing w:after="0" w:line="240" w:lineRule="auto"/>
        <w:jc w:val="center"/>
        <w:rPr>
          <w:rFonts w:ascii="Times New Roman" w:eastAsia="Calibri" w:hAnsi="Times New Roman" w:cs="Times New Roman"/>
          <w:noProof/>
          <w:sz w:val="24"/>
          <w:szCs w:val="24"/>
          <w:lang w:eastAsia="es-MX"/>
        </w:rPr>
      </w:pPr>
      <w:r w:rsidRPr="008E28BE">
        <w:rPr>
          <w:rFonts w:ascii="Times New Roman" w:eastAsia="Calibri" w:hAnsi="Times New Roman" w:cs="Times New Roman"/>
          <w:noProof/>
          <w:sz w:val="24"/>
          <w:szCs w:val="24"/>
          <w:lang w:eastAsia="es-MX"/>
        </w:rPr>
        <w:t>[…]</w:t>
      </w:r>
    </w:p>
    <w:p w14:paraId="7DB7BA87" w14:textId="77777777" w:rsidR="008E28BE" w:rsidRPr="008E28BE" w:rsidRDefault="008E28BE" w:rsidP="008E28BE">
      <w:pPr>
        <w:spacing w:after="0" w:line="360" w:lineRule="auto"/>
        <w:jc w:val="both"/>
        <w:rPr>
          <w:rFonts w:ascii="Palatino Linotype" w:eastAsia="Times New Roman" w:hAnsi="Palatino Linotype" w:cs="Arial"/>
          <w:sz w:val="24"/>
          <w:szCs w:val="24"/>
          <w:lang w:eastAsia="es-MX"/>
        </w:rPr>
      </w:pPr>
      <w:r w:rsidRPr="008E28BE">
        <w:rPr>
          <w:rFonts w:ascii="Palatino Linotype" w:eastAsia="Times New Roman" w:hAnsi="Palatino Linotype" w:cs="Arial"/>
          <w:noProof/>
          <w:sz w:val="24"/>
          <w:szCs w:val="24"/>
          <w:lang w:val="es-MX" w:eastAsia="es-MX"/>
        </w:rPr>
        <w:drawing>
          <wp:inline distT="0" distB="0" distL="0" distR="0" wp14:anchorId="1DFF690E" wp14:editId="6A6DED10">
            <wp:extent cx="5891696" cy="230505"/>
            <wp:effectExtent l="76200" t="95250" r="90170" b="1695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7327" cy="23072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14:paraId="0C7BCEAC" w14:textId="77777777" w:rsidR="008E28BE" w:rsidRPr="008E28BE" w:rsidRDefault="008E28BE" w:rsidP="008E28BE">
      <w:pPr>
        <w:spacing w:after="0" w:line="240" w:lineRule="auto"/>
        <w:jc w:val="center"/>
        <w:rPr>
          <w:rFonts w:ascii="Times New Roman" w:eastAsia="Calibri" w:hAnsi="Times New Roman" w:cs="Times New Roman"/>
          <w:noProof/>
          <w:sz w:val="24"/>
          <w:szCs w:val="24"/>
          <w:lang w:eastAsia="es-MX"/>
        </w:rPr>
      </w:pPr>
      <w:r w:rsidRPr="008E28BE">
        <w:rPr>
          <w:rFonts w:ascii="Times New Roman" w:eastAsia="Calibri" w:hAnsi="Times New Roman" w:cs="Times New Roman"/>
          <w:noProof/>
          <w:sz w:val="24"/>
          <w:szCs w:val="24"/>
          <w:lang w:eastAsia="es-MX"/>
        </w:rPr>
        <w:t>[…]</w:t>
      </w:r>
    </w:p>
    <w:p w14:paraId="04B45941" w14:textId="77777777" w:rsidR="008E28BE" w:rsidRPr="008E28BE" w:rsidRDefault="008E28BE" w:rsidP="008E28BE">
      <w:pPr>
        <w:spacing w:after="0" w:line="360" w:lineRule="auto"/>
        <w:jc w:val="both"/>
        <w:rPr>
          <w:rFonts w:ascii="Palatino Linotype" w:eastAsia="Times New Roman" w:hAnsi="Palatino Linotype" w:cs="Arial"/>
          <w:sz w:val="24"/>
          <w:szCs w:val="24"/>
          <w:lang w:eastAsia="es-MX"/>
        </w:rPr>
      </w:pPr>
      <w:r w:rsidRPr="008E28BE">
        <w:rPr>
          <w:rFonts w:ascii="Palatino Linotype" w:eastAsia="Times New Roman" w:hAnsi="Palatino Linotype" w:cs="Arial"/>
          <w:noProof/>
          <w:sz w:val="24"/>
          <w:szCs w:val="24"/>
          <w:lang w:val="es-MX" w:eastAsia="es-MX"/>
        </w:rPr>
        <w:drawing>
          <wp:inline distT="0" distB="0" distL="0" distR="0" wp14:anchorId="162C7ABF" wp14:editId="436DB57F">
            <wp:extent cx="5971043" cy="246380"/>
            <wp:effectExtent l="76200" t="95250" r="86995" b="1727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9601" cy="246733"/>
                    </a:xfrm>
                    <a:prstGeom prst="roundRect">
                      <a:avLst>
                        <a:gd name="adj" fmla="val 4167"/>
                      </a:avLst>
                    </a:prstGeom>
                    <a:solidFill>
                      <a:srgbClr val="FFFFFF"/>
                    </a:solidFill>
                    <a:ln w="76200" cap="sq">
                      <a:solidFill>
                        <a:sysClr val="window" lastClr="FFFFFF">
                          <a:lumMod val="65000"/>
                        </a:sys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14:paraId="7F0BE645" w14:textId="45CB03C7" w:rsidR="00033A62" w:rsidRPr="00033A62" w:rsidRDefault="00033A62" w:rsidP="00033A62">
      <w:pPr>
        <w:spacing w:after="0" w:line="360" w:lineRule="auto"/>
        <w:jc w:val="both"/>
        <w:rPr>
          <w:rFonts w:ascii="Palatino Linotype" w:eastAsia="Calibri" w:hAnsi="Palatino Linotype" w:cs="Tahoma"/>
          <w:bCs/>
        </w:rPr>
      </w:pPr>
      <w:r>
        <w:rPr>
          <w:rFonts w:ascii="Palatino Linotype" w:eastAsia="Calibri" w:hAnsi="Palatino Linotype" w:cs="Arial"/>
        </w:rPr>
        <w:t xml:space="preserve"> </w:t>
      </w:r>
    </w:p>
    <w:p w14:paraId="02DD8FFB" w14:textId="52269766" w:rsidR="009F130F" w:rsidRDefault="00033A62" w:rsidP="00033A62">
      <w:pPr>
        <w:spacing w:after="0" w:line="360" w:lineRule="auto"/>
        <w:jc w:val="both"/>
        <w:rPr>
          <w:rFonts w:ascii="Palatino Linotype" w:eastAsia="Calibri" w:hAnsi="Palatino Linotype" w:cs="Tahoma"/>
          <w:bCs/>
        </w:rPr>
      </w:pPr>
      <w:r w:rsidRPr="00033A62">
        <w:rPr>
          <w:rFonts w:ascii="Palatino Linotype" w:eastAsia="Calibri" w:hAnsi="Palatino Linotype" w:cs="Tahoma"/>
          <w:bCs/>
        </w:rPr>
        <w:t xml:space="preserve">De tales circunstancias, el </w:t>
      </w:r>
      <w:r w:rsidR="008E28BE">
        <w:rPr>
          <w:rFonts w:ascii="Palatino Linotype" w:eastAsia="Calibri" w:hAnsi="Palatino Linotype" w:cs="Tahoma"/>
          <w:bCs/>
        </w:rPr>
        <w:t>Ayuntamiento de Ecatepec de Morelos</w:t>
      </w:r>
      <w:r w:rsidR="009B1EAD">
        <w:rPr>
          <w:rFonts w:ascii="Palatino Linotype" w:eastAsia="Calibri" w:hAnsi="Palatino Linotype" w:cs="Tahoma"/>
          <w:bCs/>
        </w:rPr>
        <w:t xml:space="preserve">, </w:t>
      </w:r>
      <w:r w:rsidR="009F130F">
        <w:rPr>
          <w:rFonts w:ascii="Palatino Linotype" w:eastAsia="Calibri" w:hAnsi="Palatino Linotype" w:cs="Tahoma"/>
          <w:bCs/>
        </w:rPr>
        <w:t xml:space="preserve">tiene </w:t>
      </w:r>
      <w:r w:rsidRPr="00033A62">
        <w:rPr>
          <w:rFonts w:ascii="Palatino Linotype" w:eastAsia="Calibri" w:hAnsi="Palatino Linotype" w:cs="Tahoma"/>
          <w:bCs/>
        </w:rPr>
        <w:t>competen</w:t>
      </w:r>
      <w:r w:rsidR="009F130F">
        <w:rPr>
          <w:rFonts w:ascii="Palatino Linotype" w:eastAsia="Calibri" w:hAnsi="Palatino Linotype" w:cs="Tahoma"/>
          <w:bCs/>
        </w:rPr>
        <w:t xml:space="preserve">cia para contratar a cualquier persona que reúna los requisitos del empleo y en su caso cubra con el perfil adecuado para el cargo, pero no existe fuente obligacional para que contrate a la personas referida o esta sólo pueda ser contratada por otro sujeto Obligado, esto quiere decir que es desproporcionado que se obligue al Ayuntamiento a generar un acuerdo de incompetencia y la respuesta es correcta, al haber llevado a cabo la búsqueda de información en sus archivos, pues tampoco existe evidencia de que la persona haya sido contratada en otra institución pública como el </w:t>
      </w:r>
      <w:r w:rsidR="009F130F" w:rsidRPr="00B53403">
        <w:rPr>
          <w:rFonts w:ascii="Palatino Linotype" w:eastAsia="Calibri" w:hAnsi="Palatino Linotype" w:cs="Tahoma"/>
          <w:bCs/>
        </w:rPr>
        <w:t>Organismo Público Descentralizado para la Prestación del Servicio del Agua Potable Alcantarillado y Saneamiento de Ecatepec de Morelos (SAPASE)</w:t>
      </w:r>
      <w:r w:rsidR="009F130F">
        <w:rPr>
          <w:rFonts w:ascii="Palatino Linotype" w:eastAsia="Calibri" w:hAnsi="Palatino Linotype" w:cs="Tahoma"/>
          <w:bCs/>
        </w:rPr>
        <w:t>.</w:t>
      </w:r>
    </w:p>
    <w:p w14:paraId="76966A6C" w14:textId="77777777" w:rsidR="009F130F" w:rsidRDefault="009F130F" w:rsidP="00033A62">
      <w:pPr>
        <w:spacing w:after="0" w:line="360" w:lineRule="auto"/>
        <w:jc w:val="both"/>
        <w:rPr>
          <w:rFonts w:ascii="Palatino Linotype" w:eastAsia="Calibri" w:hAnsi="Palatino Linotype" w:cs="Tahoma"/>
          <w:bCs/>
        </w:rPr>
      </w:pPr>
    </w:p>
    <w:p w14:paraId="068DE559" w14:textId="551E6406" w:rsidR="00033A62" w:rsidRPr="009F130F" w:rsidRDefault="009F130F" w:rsidP="00033A62">
      <w:pPr>
        <w:spacing w:after="0" w:line="360" w:lineRule="auto"/>
        <w:jc w:val="both"/>
        <w:rPr>
          <w:rFonts w:ascii="Palatino Linotype" w:eastAsia="Calibri" w:hAnsi="Palatino Linotype" w:cs="Tahoma"/>
          <w:bCs/>
        </w:rPr>
      </w:pPr>
      <w:r>
        <w:rPr>
          <w:rFonts w:ascii="Palatino Linotype" w:eastAsia="Calibri" w:hAnsi="Palatino Linotype" w:cs="Tahoma"/>
          <w:bCs/>
        </w:rPr>
        <w:t>En este sentido</w:t>
      </w:r>
      <w:r w:rsidR="008E28BE" w:rsidRPr="008E28BE">
        <w:rPr>
          <w:rFonts w:ascii="Palatino Linotype" w:eastAsia="Calibri" w:hAnsi="Palatino Linotype" w:cs="Tahoma"/>
          <w:bCs/>
        </w:rPr>
        <w:t xml:space="preserve">, al haber contestado que </w:t>
      </w:r>
      <w:r w:rsidR="00B53403">
        <w:rPr>
          <w:rFonts w:ascii="Palatino Linotype" w:eastAsia="Calibri" w:hAnsi="Palatino Linotype" w:cs="Tahoma"/>
          <w:bCs/>
        </w:rPr>
        <w:t>no tiene registro en su base de datos</w:t>
      </w:r>
      <w:r>
        <w:rPr>
          <w:rFonts w:ascii="Palatino Linotype" w:eastAsia="Calibri" w:hAnsi="Palatino Linotype" w:cs="Tahoma"/>
          <w:bCs/>
        </w:rPr>
        <w:t>,</w:t>
      </w:r>
      <w:r w:rsidR="00B53403">
        <w:rPr>
          <w:rFonts w:ascii="Palatino Linotype" w:eastAsia="Calibri" w:hAnsi="Palatino Linotype" w:cs="Tahoma"/>
          <w:bCs/>
        </w:rPr>
        <w:t xml:space="preserve"> </w:t>
      </w:r>
      <w:r w:rsidR="008E28BE" w:rsidRPr="008E28BE">
        <w:rPr>
          <w:rFonts w:ascii="Palatino Linotype" w:eastAsia="Calibri" w:hAnsi="Palatino Linotype" w:cs="Tahoma"/>
          <w:bCs/>
        </w:rPr>
        <w:t>la solicitud deb</w:t>
      </w:r>
      <w:r w:rsidR="008E28BE">
        <w:rPr>
          <w:rFonts w:ascii="Palatino Linotype" w:eastAsia="Calibri" w:hAnsi="Palatino Linotype" w:cs="Tahoma"/>
          <w:bCs/>
        </w:rPr>
        <w:t xml:space="preserve">ió de tenerse por atendida; </w:t>
      </w:r>
      <w:r w:rsidR="00033A62" w:rsidRPr="00033A62">
        <w:rPr>
          <w:rFonts w:ascii="Palatino Linotype" w:eastAsia="Calibri" w:hAnsi="Palatino Linotype" w:cs="Tahoma"/>
        </w:rPr>
        <w:t xml:space="preserve">dicha situación, toma sustento </w:t>
      </w:r>
      <w:r w:rsidR="00033A62" w:rsidRPr="00033A62">
        <w:rPr>
          <w:rFonts w:ascii="Palatino Linotype" w:eastAsia="Calibri" w:hAnsi="Palatino Linotype" w:cs="Tahoma"/>
          <w:bCs/>
          <w:lang w:val="es-MX"/>
        </w:rPr>
        <w:t>en el</w:t>
      </w:r>
      <w:r w:rsidR="00033A62" w:rsidRPr="00033A62">
        <w:rPr>
          <w:rFonts w:ascii="Palatino Linotype" w:eastAsia="Calibri" w:hAnsi="Palatino Linotype" w:cs="Tahoma"/>
          <w:lang w:val="es-MX"/>
        </w:rPr>
        <w:t xml:space="preserve"> artículo 12 de la Ley de Transparencia y Acceso a la Información Pública del Estado de México y Municipios, que establece que los sujetos obligados sólo están constreñidos a proporcionar la información pública que obre en sus archivos.</w:t>
      </w:r>
    </w:p>
    <w:p w14:paraId="1FFC5434" w14:textId="77777777" w:rsidR="009B6D4C" w:rsidRPr="009B6D4C" w:rsidRDefault="009B6D4C" w:rsidP="009B6D4C">
      <w:pPr>
        <w:spacing w:after="0" w:line="360" w:lineRule="auto"/>
        <w:jc w:val="both"/>
        <w:rPr>
          <w:rFonts w:ascii="Palatino Linotype" w:eastAsia="Palatino Linotype" w:hAnsi="Palatino Linotype" w:cs="Palatino Linotype"/>
          <w:lang w:eastAsia="es-MX"/>
        </w:rPr>
      </w:pPr>
    </w:p>
    <w:p w14:paraId="78F9A547" w14:textId="408FFCAD" w:rsidR="0046391A" w:rsidRPr="005359CF" w:rsidRDefault="009B6D4C" w:rsidP="0046391A">
      <w:pPr>
        <w:spacing w:after="0" w:line="360" w:lineRule="auto"/>
        <w:jc w:val="both"/>
        <w:rPr>
          <w:rFonts w:ascii="Palatino Linotype" w:hAnsi="Palatino Linotype"/>
        </w:rPr>
      </w:pPr>
      <w:r w:rsidRPr="009B6D4C">
        <w:rPr>
          <w:rFonts w:ascii="Palatino Linotype" w:eastAsia="Palatino Linotype" w:hAnsi="Palatino Linotype" w:cs="Palatino Linotype"/>
          <w:lang w:eastAsia="es-MX"/>
        </w:rPr>
        <w:t xml:space="preserve">Así, con base en los razonamientos expuestos, se emite el Presente </w:t>
      </w:r>
      <w:r w:rsidRPr="009B6D4C">
        <w:rPr>
          <w:rFonts w:ascii="Palatino Linotype" w:eastAsia="Palatino Linotype" w:hAnsi="Palatino Linotype" w:cs="Palatino Linotype"/>
          <w:b/>
          <w:lang w:eastAsia="es-MX"/>
        </w:rPr>
        <w:t>Voto Disidente.</w:t>
      </w:r>
      <w:r w:rsidRPr="009B6D4C">
        <w:rPr>
          <w:rFonts w:ascii="Palatino Linotype" w:eastAsia="Palatino Linotype" w:hAnsi="Palatino Linotype" w:cs="Palatino Linotype"/>
          <w:lang w:eastAsia="es-MX"/>
        </w:rPr>
        <w:t xml:space="preserve"> ----------</w:t>
      </w:r>
    </w:p>
    <w:p w14:paraId="2F0EEF9B" w14:textId="2CAAA701" w:rsidR="00EF0C62" w:rsidRDefault="00EF0C62">
      <w:pPr>
        <w:rPr>
          <w:rFonts w:ascii="Palatino Linotype" w:hAnsi="Palatino Linotype"/>
        </w:rPr>
      </w:pPr>
      <w:r>
        <w:rPr>
          <w:rFonts w:ascii="Palatino Linotype" w:hAnsi="Palatino Linotype"/>
        </w:rPr>
        <w:br w:type="page"/>
      </w:r>
    </w:p>
    <w:p w14:paraId="29D593E7" w14:textId="77777777" w:rsidR="00215325" w:rsidRPr="005359CF" w:rsidRDefault="00215325" w:rsidP="00141383">
      <w:pPr>
        <w:spacing w:after="0"/>
        <w:rPr>
          <w:rFonts w:ascii="Palatino Linotype" w:hAnsi="Palatino Linotype"/>
        </w:rPr>
      </w:pPr>
    </w:p>
    <w:sectPr w:rsidR="00215325" w:rsidRPr="005359CF" w:rsidSect="00950355">
      <w:headerReference w:type="default" r:id="rId13"/>
      <w:footerReference w:type="default" r:id="rId14"/>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276D5" w14:textId="77777777" w:rsidR="00CA20C6" w:rsidRDefault="00CA20C6" w:rsidP="00AA3FDF">
      <w:pPr>
        <w:spacing w:after="0" w:line="240" w:lineRule="auto"/>
      </w:pPr>
      <w:r>
        <w:separator/>
      </w:r>
    </w:p>
  </w:endnote>
  <w:endnote w:type="continuationSeparator" w:id="0">
    <w:p w14:paraId="1291B791" w14:textId="77777777" w:rsidR="00CA20C6" w:rsidRDefault="00CA20C6" w:rsidP="00AA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503C1F82" w14:textId="77777777" w:rsidR="00AC333A" w:rsidRDefault="009F282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61427">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61427">
              <w:rPr>
                <w:b/>
                <w:bCs/>
                <w:noProof/>
              </w:rPr>
              <w:t>6</w:t>
            </w:r>
            <w:r>
              <w:rPr>
                <w:b/>
                <w:bCs/>
                <w:sz w:val="24"/>
                <w:szCs w:val="24"/>
              </w:rPr>
              <w:fldChar w:fldCharType="end"/>
            </w:r>
          </w:p>
        </w:sdtContent>
      </w:sdt>
    </w:sdtContent>
  </w:sdt>
  <w:p w14:paraId="2D91B032" w14:textId="77777777" w:rsidR="00AC333A" w:rsidRDefault="00CA20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B90BC" w14:textId="77777777" w:rsidR="00CA20C6" w:rsidRDefault="00CA20C6" w:rsidP="00AA3FDF">
      <w:pPr>
        <w:spacing w:after="0" w:line="240" w:lineRule="auto"/>
      </w:pPr>
      <w:r>
        <w:separator/>
      </w:r>
    </w:p>
  </w:footnote>
  <w:footnote w:type="continuationSeparator" w:id="0">
    <w:p w14:paraId="6D394A6F" w14:textId="77777777" w:rsidR="00CA20C6" w:rsidRDefault="00CA20C6" w:rsidP="00AA3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378"/>
    </w:tblGrid>
    <w:tr w:rsidR="0077694E" w:rsidRPr="001106EA" w14:paraId="42B7A3D0" w14:textId="77777777" w:rsidTr="0071155A">
      <w:trPr>
        <w:trHeight w:val="1843"/>
      </w:trPr>
      <w:tc>
        <w:tcPr>
          <w:tcW w:w="3544" w:type="dxa"/>
          <w:vAlign w:val="bottom"/>
        </w:tcPr>
        <w:p w14:paraId="13F4D928" w14:textId="77777777" w:rsidR="0077694E" w:rsidRDefault="009F282D" w:rsidP="0077694E">
          <w:pPr>
            <w:pStyle w:val="Encabezado"/>
            <w:tabs>
              <w:tab w:val="clear" w:pos="4252"/>
              <w:tab w:val="center" w:pos="2614"/>
            </w:tabs>
            <w:ind w:left="-255"/>
          </w:pPr>
          <w:r>
            <w:rPr>
              <w:noProof/>
              <w:sz w:val="10"/>
              <w:szCs w:val="10"/>
              <w:lang w:val="es-MX" w:eastAsia="es-MX"/>
            </w:rPr>
            <w:drawing>
              <wp:inline distT="0" distB="0" distL="0" distR="0" wp14:anchorId="18A9B005" wp14:editId="40D25D39">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333B9A7E" w14:textId="77777777" w:rsidR="0077694E" w:rsidRDefault="00CA20C6" w:rsidP="0077694E">
          <w:pPr>
            <w:pStyle w:val="Encabezado"/>
            <w:tabs>
              <w:tab w:val="clear" w:pos="4252"/>
              <w:tab w:val="center" w:pos="2614"/>
            </w:tabs>
          </w:pPr>
        </w:p>
      </w:tc>
      <w:tc>
        <w:tcPr>
          <w:tcW w:w="6378" w:type="dxa"/>
          <w:vAlign w:val="center"/>
        </w:tcPr>
        <w:p w14:paraId="10A29EC8" w14:textId="77777777" w:rsidR="001106EA" w:rsidRPr="00B9745A" w:rsidRDefault="009F282D" w:rsidP="0071155A">
          <w:pPr>
            <w:pStyle w:val="Encabezado"/>
            <w:ind w:left="456" w:right="-250"/>
            <w:jc w:val="both"/>
            <w:rPr>
              <w:rFonts w:ascii="Palatino Linotype" w:hAnsi="Palatino Linotype" w:cs="Tahoma"/>
              <w:b/>
            </w:rPr>
          </w:pPr>
          <w:r w:rsidRPr="00B9745A">
            <w:rPr>
              <w:rFonts w:ascii="Palatino Linotype" w:hAnsi="Palatino Linotype" w:cs="Tahoma"/>
              <w:b/>
            </w:rPr>
            <w:t xml:space="preserve">Voto </w:t>
          </w:r>
          <w:r>
            <w:rPr>
              <w:rFonts w:ascii="Palatino Linotype" w:hAnsi="Palatino Linotype" w:cs="Tahoma"/>
              <w:b/>
            </w:rPr>
            <w:t>Disidente</w:t>
          </w:r>
        </w:p>
        <w:p w14:paraId="49B20B50" w14:textId="1961B091" w:rsidR="009D36B8" w:rsidRDefault="009F282D" w:rsidP="0071155A">
          <w:pPr>
            <w:pStyle w:val="Encabezado"/>
            <w:ind w:left="456" w:right="-250"/>
            <w:jc w:val="both"/>
            <w:rPr>
              <w:rFonts w:ascii="Palatino Linotype" w:hAnsi="Palatino Linotype"/>
              <w:b/>
              <w:lang w:val="es-ES_tradnl"/>
            </w:rPr>
          </w:pPr>
          <w:r w:rsidRPr="00B9745A">
            <w:rPr>
              <w:rFonts w:ascii="Palatino Linotype" w:hAnsi="Palatino Linotype" w:cs="Tahoma"/>
              <w:b/>
            </w:rPr>
            <w:t xml:space="preserve">Recurso de Revisión: </w:t>
          </w:r>
          <w:r w:rsidR="0096594D">
            <w:rPr>
              <w:rFonts w:ascii="Palatino Linotype" w:hAnsi="Palatino Linotype"/>
              <w:b/>
              <w:lang w:val="es-ES_tradnl"/>
            </w:rPr>
            <w:t>01180</w:t>
          </w:r>
          <w:r w:rsidR="005867BE" w:rsidRPr="005867BE">
            <w:rPr>
              <w:rFonts w:ascii="Palatino Linotype" w:hAnsi="Palatino Linotype"/>
              <w:b/>
              <w:lang w:val="es-ES_tradnl"/>
            </w:rPr>
            <w:t>/INFOEM/IP/RR/202</w:t>
          </w:r>
          <w:r w:rsidR="0096594D">
            <w:rPr>
              <w:rFonts w:ascii="Palatino Linotype" w:hAnsi="Palatino Linotype"/>
              <w:b/>
              <w:lang w:val="es-ES_tradnl"/>
            </w:rPr>
            <w:t>3</w:t>
          </w:r>
        </w:p>
        <w:p w14:paraId="4E68DFCB" w14:textId="57A7517C" w:rsidR="00C14D5C" w:rsidRDefault="009F282D" w:rsidP="0071155A">
          <w:pPr>
            <w:pStyle w:val="Encabezado"/>
            <w:ind w:left="456" w:right="-250"/>
            <w:jc w:val="both"/>
            <w:rPr>
              <w:rFonts w:ascii="Palatino Linotype" w:hAnsi="Palatino Linotype"/>
              <w:b/>
              <w:lang w:val="es-ES_tradnl"/>
            </w:rPr>
          </w:pPr>
          <w:r>
            <w:rPr>
              <w:rFonts w:ascii="Palatino Linotype" w:hAnsi="Palatino Linotype" w:cs="Tahoma"/>
              <w:b/>
            </w:rPr>
            <w:t>Sujeto Obligado:</w:t>
          </w:r>
          <w:r>
            <w:rPr>
              <w:rFonts w:ascii="Palatino Linotype" w:hAnsi="Palatino Linotype"/>
              <w:b/>
              <w:lang w:val="es-ES_tradnl"/>
            </w:rPr>
            <w:t xml:space="preserve"> </w:t>
          </w:r>
          <w:r w:rsidR="005867BE" w:rsidRPr="005867BE">
            <w:rPr>
              <w:rFonts w:ascii="Palatino Linotype" w:hAnsi="Palatino Linotype"/>
              <w:b/>
              <w:lang w:val="es-ES_tradnl"/>
            </w:rPr>
            <w:t xml:space="preserve">Ayuntamiento de </w:t>
          </w:r>
          <w:r w:rsidR="0096594D">
            <w:rPr>
              <w:rFonts w:ascii="Palatino Linotype" w:hAnsi="Palatino Linotype"/>
              <w:b/>
              <w:lang w:val="es-ES_tradnl"/>
            </w:rPr>
            <w:t>Ecatepec de Morelos</w:t>
          </w:r>
        </w:p>
        <w:p w14:paraId="285E3F85" w14:textId="701D3514" w:rsidR="006F754E" w:rsidRPr="001106EA" w:rsidRDefault="009F282D" w:rsidP="0096594D">
          <w:pPr>
            <w:pStyle w:val="Encabezado"/>
            <w:ind w:left="456" w:right="-250"/>
            <w:jc w:val="both"/>
            <w:rPr>
              <w:rFonts w:ascii="Tahoma" w:hAnsi="Tahoma" w:cs="Tahoma"/>
            </w:rPr>
          </w:pPr>
          <w:r w:rsidRPr="00B9745A">
            <w:rPr>
              <w:rFonts w:ascii="Palatino Linotype" w:hAnsi="Palatino Linotype" w:cs="Tahoma"/>
              <w:b/>
            </w:rPr>
            <w:t xml:space="preserve">Comisionado Ponente: </w:t>
          </w:r>
          <w:r w:rsidR="0096594D">
            <w:rPr>
              <w:rFonts w:ascii="Palatino Linotype" w:hAnsi="Palatino Linotype"/>
              <w:b/>
              <w:lang w:val="es-ES_tradnl"/>
            </w:rPr>
            <w:t>José</w:t>
          </w:r>
          <w:r w:rsidR="005867BE" w:rsidRPr="005867BE">
            <w:rPr>
              <w:rFonts w:ascii="Palatino Linotype" w:hAnsi="Palatino Linotype"/>
              <w:b/>
              <w:lang w:val="es-ES_tradnl"/>
            </w:rPr>
            <w:t xml:space="preserve"> Martínez</w:t>
          </w:r>
          <w:r w:rsidR="0096594D">
            <w:rPr>
              <w:rFonts w:ascii="Palatino Linotype" w:hAnsi="Palatino Linotype"/>
              <w:b/>
              <w:lang w:val="es-ES_tradnl"/>
            </w:rPr>
            <w:t xml:space="preserve"> Vilchis</w:t>
          </w:r>
        </w:p>
      </w:tc>
    </w:tr>
  </w:tbl>
  <w:p w14:paraId="1A143BE1" w14:textId="77777777" w:rsidR="00D55429" w:rsidRPr="001106EA" w:rsidRDefault="00CA20C6">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91DC8"/>
    <w:multiLevelType w:val="hybridMultilevel"/>
    <w:tmpl w:val="D304D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B472366"/>
    <w:multiLevelType w:val="hybridMultilevel"/>
    <w:tmpl w:val="6BA06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4">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CF"/>
    <w:rsid w:val="0002089F"/>
    <w:rsid w:val="0002329F"/>
    <w:rsid w:val="00031B11"/>
    <w:rsid w:val="00033A62"/>
    <w:rsid w:val="000741F0"/>
    <w:rsid w:val="00084F61"/>
    <w:rsid w:val="00096426"/>
    <w:rsid w:val="000C2C5F"/>
    <w:rsid w:val="00103829"/>
    <w:rsid w:val="001113A1"/>
    <w:rsid w:val="0011590D"/>
    <w:rsid w:val="001204C9"/>
    <w:rsid w:val="00141383"/>
    <w:rsid w:val="0014605D"/>
    <w:rsid w:val="00151D8D"/>
    <w:rsid w:val="00153F14"/>
    <w:rsid w:val="001C1491"/>
    <w:rsid w:val="001C571B"/>
    <w:rsid w:val="001D3110"/>
    <w:rsid w:val="00215325"/>
    <w:rsid w:val="00220B7B"/>
    <w:rsid w:val="002217F3"/>
    <w:rsid w:val="00227A1C"/>
    <w:rsid w:val="0024317C"/>
    <w:rsid w:val="0025609E"/>
    <w:rsid w:val="0026347D"/>
    <w:rsid w:val="002650E0"/>
    <w:rsid w:val="002816FB"/>
    <w:rsid w:val="00281E77"/>
    <w:rsid w:val="00296B25"/>
    <w:rsid w:val="002B504C"/>
    <w:rsid w:val="002D3321"/>
    <w:rsid w:val="002F6943"/>
    <w:rsid w:val="0032683D"/>
    <w:rsid w:val="00361AAF"/>
    <w:rsid w:val="0037192D"/>
    <w:rsid w:val="003757C7"/>
    <w:rsid w:val="00394370"/>
    <w:rsid w:val="003A3DF5"/>
    <w:rsid w:val="003C3219"/>
    <w:rsid w:val="003D362E"/>
    <w:rsid w:val="003F2659"/>
    <w:rsid w:val="003F4A25"/>
    <w:rsid w:val="003F5CE4"/>
    <w:rsid w:val="004012C1"/>
    <w:rsid w:val="00401948"/>
    <w:rsid w:val="0041504E"/>
    <w:rsid w:val="0044361D"/>
    <w:rsid w:val="00452161"/>
    <w:rsid w:val="0046391A"/>
    <w:rsid w:val="00483CC9"/>
    <w:rsid w:val="00484D60"/>
    <w:rsid w:val="004B4C9B"/>
    <w:rsid w:val="004D4E50"/>
    <w:rsid w:val="004E2B0E"/>
    <w:rsid w:val="005006BD"/>
    <w:rsid w:val="00511B67"/>
    <w:rsid w:val="005359CF"/>
    <w:rsid w:val="005867BE"/>
    <w:rsid w:val="005911C7"/>
    <w:rsid w:val="005A63C6"/>
    <w:rsid w:val="005A6A2A"/>
    <w:rsid w:val="005B7194"/>
    <w:rsid w:val="005C0995"/>
    <w:rsid w:val="005D6338"/>
    <w:rsid w:val="00627401"/>
    <w:rsid w:val="006571E9"/>
    <w:rsid w:val="00661C60"/>
    <w:rsid w:val="006A3E5E"/>
    <w:rsid w:val="006C3670"/>
    <w:rsid w:val="006D3DE2"/>
    <w:rsid w:val="00701AC3"/>
    <w:rsid w:val="0071155A"/>
    <w:rsid w:val="00724EC4"/>
    <w:rsid w:val="00733989"/>
    <w:rsid w:val="00774ED1"/>
    <w:rsid w:val="00781387"/>
    <w:rsid w:val="007823C8"/>
    <w:rsid w:val="007B297C"/>
    <w:rsid w:val="007B4A4C"/>
    <w:rsid w:val="007B7850"/>
    <w:rsid w:val="007C3CC4"/>
    <w:rsid w:val="00850528"/>
    <w:rsid w:val="008A03AC"/>
    <w:rsid w:val="008B4E5A"/>
    <w:rsid w:val="008E28BE"/>
    <w:rsid w:val="00925A86"/>
    <w:rsid w:val="00935145"/>
    <w:rsid w:val="0094145F"/>
    <w:rsid w:val="00945752"/>
    <w:rsid w:val="0096594D"/>
    <w:rsid w:val="00973429"/>
    <w:rsid w:val="009A17BF"/>
    <w:rsid w:val="009A7ED4"/>
    <w:rsid w:val="009B1EAD"/>
    <w:rsid w:val="009B6D4C"/>
    <w:rsid w:val="009C6C67"/>
    <w:rsid w:val="009F130F"/>
    <w:rsid w:val="009F282D"/>
    <w:rsid w:val="00A11E3E"/>
    <w:rsid w:val="00A34067"/>
    <w:rsid w:val="00A35FEE"/>
    <w:rsid w:val="00A3655C"/>
    <w:rsid w:val="00A55DC7"/>
    <w:rsid w:val="00A60FDD"/>
    <w:rsid w:val="00A64C61"/>
    <w:rsid w:val="00A64EBC"/>
    <w:rsid w:val="00A66EF2"/>
    <w:rsid w:val="00AA3FDF"/>
    <w:rsid w:val="00AC4A2B"/>
    <w:rsid w:val="00B05FAA"/>
    <w:rsid w:val="00B53403"/>
    <w:rsid w:val="00B82084"/>
    <w:rsid w:val="00B9683B"/>
    <w:rsid w:val="00BB1E30"/>
    <w:rsid w:val="00BD6B1A"/>
    <w:rsid w:val="00BF41C4"/>
    <w:rsid w:val="00C051A7"/>
    <w:rsid w:val="00C130DB"/>
    <w:rsid w:val="00C438A2"/>
    <w:rsid w:val="00C57288"/>
    <w:rsid w:val="00C61427"/>
    <w:rsid w:val="00C65CEF"/>
    <w:rsid w:val="00C853D6"/>
    <w:rsid w:val="00CA032D"/>
    <w:rsid w:val="00CA20C6"/>
    <w:rsid w:val="00CC186D"/>
    <w:rsid w:val="00D0366A"/>
    <w:rsid w:val="00D36293"/>
    <w:rsid w:val="00D464A5"/>
    <w:rsid w:val="00D5377F"/>
    <w:rsid w:val="00D64D3E"/>
    <w:rsid w:val="00D72C77"/>
    <w:rsid w:val="00D76B70"/>
    <w:rsid w:val="00D87609"/>
    <w:rsid w:val="00D908A2"/>
    <w:rsid w:val="00DA1FEA"/>
    <w:rsid w:val="00DF43DE"/>
    <w:rsid w:val="00DF7097"/>
    <w:rsid w:val="00E012F8"/>
    <w:rsid w:val="00E0290B"/>
    <w:rsid w:val="00E079C5"/>
    <w:rsid w:val="00E3347A"/>
    <w:rsid w:val="00E419EA"/>
    <w:rsid w:val="00E47B26"/>
    <w:rsid w:val="00E53046"/>
    <w:rsid w:val="00E545F1"/>
    <w:rsid w:val="00EA17C2"/>
    <w:rsid w:val="00EC2210"/>
    <w:rsid w:val="00EE6752"/>
    <w:rsid w:val="00EF0C62"/>
    <w:rsid w:val="00F12E31"/>
    <w:rsid w:val="00F24A94"/>
    <w:rsid w:val="00F33FB9"/>
    <w:rsid w:val="00F419EA"/>
    <w:rsid w:val="00FA7538"/>
    <w:rsid w:val="00FC3718"/>
    <w:rsid w:val="00FD6F97"/>
    <w:rsid w:val="00FF4FBC"/>
    <w:rsid w:val="00FF63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C89A"/>
  <w15:chartTrackingRefBased/>
  <w15:docId w15:val="{4D7F6786-2BA0-4A57-9DE0-02B2219A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9C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59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59CF"/>
    <w:rPr>
      <w:lang w:val="es-ES"/>
    </w:rPr>
  </w:style>
  <w:style w:type="paragraph" w:styleId="Piedepgina">
    <w:name w:val="footer"/>
    <w:basedOn w:val="Normal"/>
    <w:link w:val="PiedepginaCar"/>
    <w:uiPriority w:val="99"/>
    <w:unhideWhenUsed/>
    <w:rsid w:val="005359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59CF"/>
    <w:rPr>
      <w:lang w:val="es-ES"/>
    </w:rPr>
  </w:style>
  <w:style w:type="table" w:styleId="Tablaconcuadrcula">
    <w:name w:val="Table Grid"/>
    <w:basedOn w:val="Tablanormal"/>
    <w:uiPriority w:val="59"/>
    <w:rsid w:val="005359C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59CF"/>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5359CF"/>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359CF"/>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6621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Cuenta Microsoft</cp:lastModifiedBy>
  <cp:revision>2</cp:revision>
  <cp:lastPrinted>2023-04-10T17:38:00Z</cp:lastPrinted>
  <dcterms:created xsi:type="dcterms:W3CDTF">2023-05-09T00:26:00Z</dcterms:created>
  <dcterms:modified xsi:type="dcterms:W3CDTF">2023-05-09T00:26:00Z</dcterms:modified>
</cp:coreProperties>
</file>