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7D79" w14:textId="77777777" w:rsidR="00DF6298" w:rsidRPr="00DF6298" w:rsidRDefault="00DF6298" w:rsidP="005527AD">
      <w:pPr>
        <w:spacing w:after="0" w:line="360" w:lineRule="auto"/>
        <w:ind w:right="49"/>
        <w:jc w:val="both"/>
        <w:rPr>
          <w:rFonts w:ascii="Palatino Linotype" w:hAnsi="Palatino Linotype" w:cs="Tahoma"/>
          <w:b/>
          <w:sz w:val="10"/>
          <w:szCs w:val="10"/>
        </w:rPr>
      </w:pPr>
    </w:p>
    <w:p w14:paraId="2DDB6FA5" w14:textId="6817441A" w:rsidR="005527AD" w:rsidRDefault="005527AD" w:rsidP="005527AD">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w:t>
      </w:r>
      <w:r w:rsidR="00C12762">
        <w:rPr>
          <w:rFonts w:ascii="Palatino Linotype" w:hAnsi="Palatino Linotype" w:cs="Tahoma"/>
          <w:b/>
        </w:rPr>
        <w:t>DISIDENTE</w:t>
      </w:r>
      <w:r w:rsidRPr="00807C88">
        <w:rPr>
          <w:rFonts w:ascii="Palatino Linotype" w:hAnsi="Palatino Linotype" w:cs="Tahoma"/>
          <w:b/>
        </w:rPr>
        <w:t xml:space="preserve"> QUE FORMULA EL COMISIONADO LUIS GUSTAVO PARRA NORIEGA, A LA RESO</w:t>
      </w:r>
      <w:r w:rsidR="00201767">
        <w:rPr>
          <w:rFonts w:ascii="Palatino Linotype" w:hAnsi="Palatino Linotype" w:cs="Tahoma"/>
          <w:b/>
        </w:rPr>
        <w:t>L</w:t>
      </w:r>
      <w:r w:rsidRPr="00807C88">
        <w:rPr>
          <w:rFonts w:ascii="Palatino Linotype" w:hAnsi="Palatino Linotype" w:cs="Tahoma"/>
          <w:b/>
        </w:rPr>
        <w:t xml:space="preserve">UCIÓN DEL RECURSO DE REVISIÓN </w:t>
      </w:r>
      <w:r w:rsidR="004A580F">
        <w:rPr>
          <w:rFonts w:ascii="Palatino Linotype" w:hAnsi="Palatino Linotype" w:cs="Arial"/>
          <w:b/>
          <w:lang w:val="es-MX"/>
        </w:rPr>
        <w:t>03</w:t>
      </w:r>
      <w:r w:rsidR="00810C40">
        <w:rPr>
          <w:rFonts w:ascii="Palatino Linotype" w:hAnsi="Palatino Linotype" w:cs="Arial"/>
          <w:b/>
          <w:lang w:val="es-MX"/>
        </w:rPr>
        <w:t>505</w:t>
      </w:r>
      <w:r>
        <w:rPr>
          <w:rFonts w:ascii="Palatino Linotype" w:hAnsi="Palatino Linotype" w:cs="Arial"/>
          <w:b/>
          <w:lang w:val="es-MX"/>
        </w:rPr>
        <w:t>/INFOEM/IP/RR/202</w:t>
      </w:r>
      <w:r w:rsidR="004A580F">
        <w:rPr>
          <w:rFonts w:ascii="Palatino Linotype" w:hAnsi="Palatino Linotype" w:cs="Arial"/>
          <w:b/>
          <w:lang w:val="es-MX"/>
        </w:rPr>
        <w:t>3</w:t>
      </w:r>
      <w:r w:rsidRPr="00807C88">
        <w:rPr>
          <w:rFonts w:ascii="Palatino Linotype" w:hAnsi="Palatino Linotype" w:cs="Tahoma"/>
          <w:b/>
        </w:rPr>
        <w:t xml:space="preserve">, PROMOVIDO EN CONTRA DEL </w:t>
      </w:r>
      <w:r w:rsidR="00394936" w:rsidRPr="00394936">
        <w:rPr>
          <w:rFonts w:ascii="Palatino Linotype" w:hAnsi="Palatino Linotype"/>
          <w:b/>
          <w:lang w:val="es-ES_tradnl"/>
        </w:rPr>
        <w:t xml:space="preserve">AYUNTAMIENTO DE </w:t>
      </w:r>
      <w:r w:rsidR="00810C40">
        <w:rPr>
          <w:rFonts w:ascii="Palatino Linotype" w:hAnsi="Palatino Linotype"/>
          <w:b/>
          <w:lang w:val="es-ES_tradnl"/>
        </w:rPr>
        <w:t>CUAUTITLÁN IZCALLI</w:t>
      </w:r>
      <w:r w:rsidR="00394936" w:rsidRPr="00394936">
        <w:rPr>
          <w:rFonts w:ascii="Palatino Linotype" w:eastAsia="Times New Roman" w:hAnsi="Palatino Linotype" w:cs="Arial"/>
          <w:b/>
          <w:color w:val="000000" w:themeColor="text1"/>
        </w:rPr>
        <w:t>.</w:t>
      </w:r>
    </w:p>
    <w:p w14:paraId="5656D5D8" w14:textId="77777777" w:rsidR="005527AD" w:rsidRPr="00807C88" w:rsidRDefault="005527AD" w:rsidP="005527AD">
      <w:pPr>
        <w:spacing w:after="0" w:line="360" w:lineRule="auto"/>
        <w:ind w:right="49"/>
        <w:jc w:val="both"/>
        <w:rPr>
          <w:rFonts w:ascii="Palatino Linotype" w:hAnsi="Palatino Linotype" w:cs="Tahoma"/>
        </w:rPr>
      </w:pPr>
    </w:p>
    <w:p w14:paraId="5C56B58E" w14:textId="0B8776C8" w:rsidR="005527AD" w:rsidRPr="00807C88" w:rsidRDefault="005527AD" w:rsidP="005527AD">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sidR="00F94829">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sidR="004A580F">
        <w:rPr>
          <w:rFonts w:ascii="Palatino Linotype" w:hAnsi="Palatino Linotype" w:cs="Arial"/>
          <w:b/>
          <w:lang w:val="es-MX"/>
        </w:rPr>
        <w:t>03</w:t>
      </w:r>
      <w:r w:rsidR="00810C40">
        <w:rPr>
          <w:rFonts w:ascii="Palatino Linotype" w:hAnsi="Palatino Linotype" w:cs="Arial"/>
          <w:b/>
          <w:lang w:val="es-MX"/>
        </w:rPr>
        <w:t>505</w:t>
      </w:r>
      <w:r w:rsidR="004A580F">
        <w:rPr>
          <w:rFonts w:ascii="Palatino Linotype" w:hAnsi="Palatino Linotype" w:cs="Arial"/>
          <w:b/>
          <w:lang w:val="es-MX"/>
        </w:rPr>
        <w:t>/INFOEM/IP/RR/2023</w:t>
      </w:r>
      <w:r w:rsidRPr="00807C88">
        <w:rPr>
          <w:rFonts w:ascii="Palatino Linotype" w:hAnsi="Palatino Linotype" w:cs="Tahoma"/>
          <w:b/>
          <w:lang w:val="es-ES_tradnl"/>
        </w:rPr>
        <w:t>.</w:t>
      </w:r>
    </w:p>
    <w:p w14:paraId="057FEC9E" w14:textId="77777777" w:rsidR="005527AD" w:rsidRPr="00807C88" w:rsidRDefault="005527AD" w:rsidP="005527AD">
      <w:pPr>
        <w:spacing w:after="0" w:line="360" w:lineRule="auto"/>
        <w:ind w:right="49"/>
        <w:jc w:val="both"/>
        <w:rPr>
          <w:rFonts w:ascii="Palatino Linotype" w:hAnsi="Palatino Linotype" w:cs="Tahoma"/>
        </w:rPr>
      </w:pPr>
    </w:p>
    <w:p w14:paraId="2E0914E6" w14:textId="20021F9B" w:rsidR="005455F4" w:rsidRDefault="005527AD" w:rsidP="005E10F4">
      <w:pPr>
        <w:spacing w:after="0" w:line="360" w:lineRule="auto"/>
        <w:ind w:right="49"/>
        <w:jc w:val="both"/>
        <w:rPr>
          <w:rFonts w:ascii="Palatino Linotype" w:eastAsiaTheme="minorEastAsia" w:hAnsi="Palatino Linotype" w:cs="Arial"/>
          <w:color w:val="000000" w:themeColor="text1"/>
          <w:szCs w:val="20"/>
          <w:lang w:val="es-ES_tradnl"/>
        </w:rPr>
      </w:pPr>
      <w:r w:rsidRPr="00807C88">
        <w:rPr>
          <w:rFonts w:ascii="Palatino Linotype" w:hAnsi="Palatino Linotype" w:cs="Tahoma"/>
        </w:rPr>
        <w:t xml:space="preserve">Como se desprende de la Resolución en comento, el Particular solicitó </w:t>
      </w:r>
      <w:r w:rsidR="00415AAB" w:rsidRPr="00415AAB">
        <w:rPr>
          <w:rFonts w:ascii="Palatino Linotype" w:hAnsi="Palatino Linotype" w:cs="Tahoma"/>
        </w:rPr>
        <w:t>los laudos de cualquier tipo que pagaron en el año 2022</w:t>
      </w:r>
      <w:r w:rsidR="00CD6925">
        <w:rPr>
          <w:rFonts w:ascii="Palatino Linotype" w:hAnsi="Palatino Linotype" w:cs="Tahoma"/>
          <w:lang w:val="es-ES_tradnl"/>
        </w:rPr>
        <w:t>;</w:t>
      </w:r>
      <w:r w:rsidR="005455F4">
        <w:rPr>
          <w:rFonts w:ascii="Palatino Linotype" w:hAnsi="Palatino Linotype" w:cs="Tahoma"/>
          <w:lang w:val="es-ES_tradnl"/>
        </w:rPr>
        <w:t xml:space="preserve"> </w:t>
      </w:r>
      <w:r w:rsidR="00394936">
        <w:rPr>
          <w:rFonts w:ascii="Palatino Linotype" w:hAnsi="Palatino Linotype" w:cs="Tahoma"/>
          <w:lang w:val="es-ES_tradnl"/>
        </w:rPr>
        <w:t>el Sujeto Obligado</w:t>
      </w:r>
      <w:r w:rsidR="00415AAB">
        <w:rPr>
          <w:rFonts w:ascii="Palatino Linotype" w:hAnsi="Palatino Linotype" w:cs="Tahoma"/>
          <w:lang w:val="es-ES_tradnl"/>
        </w:rPr>
        <w:t xml:space="preserve"> mediante respuesta</w:t>
      </w:r>
      <w:r w:rsidR="00394936">
        <w:rPr>
          <w:rFonts w:ascii="Palatino Linotype" w:hAnsi="Palatino Linotype" w:cs="Tahoma"/>
          <w:lang w:val="es-ES_tradnl"/>
        </w:rPr>
        <w:t xml:space="preserve"> </w:t>
      </w:r>
      <w:r w:rsidR="00415AAB" w:rsidRPr="00415AAB">
        <w:rPr>
          <w:rFonts w:ascii="Palatino Linotype" w:hAnsi="Palatino Linotype" w:cs="Tahoma"/>
          <w:lang w:val="es-ES_tradnl"/>
        </w:rPr>
        <w:t xml:space="preserve">remitió una relación de 59 </w:t>
      </w:r>
      <w:r w:rsidR="00DF6298">
        <w:rPr>
          <w:rFonts w:ascii="Palatino Linotype" w:hAnsi="Palatino Linotype" w:cs="Tahoma"/>
          <w:lang w:val="es-ES_tradnl"/>
        </w:rPr>
        <w:t>l</w:t>
      </w:r>
      <w:r w:rsidR="00415AAB" w:rsidRPr="00415AAB">
        <w:rPr>
          <w:rFonts w:ascii="Palatino Linotype" w:hAnsi="Palatino Linotype" w:cs="Tahoma"/>
          <w:lang w:val="es-ES_tradnl"/>
        </w:rPr>
        <w:t xml:space="preserve">audos </w:t>
      </w:r>
      <w:r w:rsidR="00415AAB">
        <w:rPr>
          <w:rFonts w:ascii="Palatino Linotype" w:hAnsi="Palatino Linotype" w:cs="Tahoma"/>
          <w:lang w:val="es-ES_tradnl"/>
        </w:rPr>
        <w:t>p</w:t>
      </w:r>
      <w:r w:rsidR="00415AAB" w:rsidRPr="00415AAB">
        <w:rPr>
          <w:rFonts w:ascii="Palatino Linotype" w:hAnsi="Palatino Linotype" w:cs="Tahoma"/>
          <w:lang w:val="es-ES_tradnl"/>
        </w:rPr>
        <w:t>agados en el Ejercicio Fiscal 2022</w:t>
      </w:r>
      <w:r w:rsidR="00DF6298">
        <w:rPr>
          <w:rFonts w:ascii="Palatino Linotype" w:hAnsi="Palatino Linotype" w:cs="Tahoma"/>
          <w:lang w:val="es-ES_tradnl"/>
        </w:rPr>
        <w:t>,</w:t>
      </w:r>
      <w:r w:rsidR="00415AAB">
        <w:rPr>
          <w:rFonts w:ascii="Palatino Linotype" w:hAnsi="Palatino Linotype" w:cs="Tahoma"/>
          <w:lang w:val="es-ES_tradnl"/>
        </w:rPr>
        <w:t xml:space="preserve"> que contiene el número de juicio, número de actores, nombre del actor y el monto</w:t>
      </w:r>
      <w:r w:rsidR="008F3A23">
        <w:rPr>
          <w:rFonts w:ascii="Palatino Linotype" w:eastAsiaTheme="minorEastAsia" w:hAnsi="Palatino Linotype" w:cs="Arial"/>
          <w:color w:val="000000" w:themeColor="text1"/>
          <w:szCs w:val="20"/>
          <w:lang w:val="es-ES_tradnl"/>
        </w:rPr>
        <w:t xml:space="preserve">; ante dicha circunstancia, </w:t>
      </w:r>
      <w:r w:rsidR="00D2553E">
        <w:rPr>
          <w:rFonts w:ascii="Palatino Linotype" w:eastAsiaTheme="minorEastAsia" w:hAnsi="Palatino Linotype" w:cs="Arial"/>
          <w:color w:val="000000" w:themeColor="text1"/>
          <w:szCs w:val="20"/>
          <w:lang w:val="es-ES_tradnl"/>
        </w:rPr>
        <w:t xml:space="preserve">el Particular se inconformó </w:t>
      </w:r>
      <w:r w:rsidR="00CD6925">
        <w:rPr>
          <w:rFonts w:ascii="Palatino Linotype" w:eastAsiaTheme="minorEastAsia" w:hAnsi="Palatino Linotype" w:cs="Arial"/>
          <w:color w:val="000000" w:themeColor="text1"/>
          <w:szCs w:val="20"/>
          <w:lang w:val="es-ES_tradnl"/>
        </w:rPr>
        <w:t xml:space="preserve">al señalar </w:t>
      </w:r>
      <w:r w:rsidR="0033652D">
        <w:rPr>
          <w:rFonts w:ascii="Palatino Linotype" w:eastAsiaTheme="minorEastAsia" w:hAnsi="Palatino Linotype" w:cs="Arial"/>
          <w:color w:val="000000" w:themeColor="text1"/>
          <w:szCs w:val="20"/>
          <w:lang w:val="es-ES_tradnl"/>
        </w:rPr>
        <w:t xml:space="preserve">en sus razones o motivos de inconformidad </w:t>
      </w:r>
      <w:r w:rsidR="00394936">
        <w:rPr>
          <w:rFonts w:ascii="Palatino Linotype" w:eastAsiaTheme="minorEastAsia" w:hAnsi="Palatino Linotype" w:cs="Arial"/>
          <w:color w:val="000000" w:themeColor="text1"/>
          <w:szCs w:val="20"/>
          <w:lang w:val="es-ES_tradnl"/>
        </w:rPr>
        <w:t>que</w:t>
      </w:r>
      <w:r w:rsidR="00415AAB">
        <w:rPr>
          <w:rFonts w:ascii="Palatino Linotype" w:eastAsiaTheme="minorEastAsia" w:hAnsi="Palatino Linotype" w:cs="Arial"/>
          <w:color w:val="000000" w:themeColor="text1"/>
          <w:szCs w:val="20"/>
          <w:lang w:val="es-ES_tradnl"/>
        </w:rPr>
        <w:t xml:space="preserve"> le había sido</w:t>
      </w:r>
      <w:r w:rsidR="00394936">
        <w:rPr>
          <w:rFonts w:ascii="Palatino Linotype" w:eastAsiaTheme="minorEastAsia" w:hAnsi="Palatino Linotype" w:cs="Arial"/>
          <w:color w:val="000000" w:themeColor="text1"/>
          <w:szCs w:val="20"/>
          <w:lang w:val="es-ES_tradnl"/>
        </w:rPr>
        <w:t xml:space="preserve"> </w:t>
      </w:r>
      <w:r w:rsidR="00415AAB">
        <w:rPr>
          <w:rFonts w:ascii="Palatino Linotype" w:eastAsiaTheme="minorEastAsia" w:hAnsi="Palatino Linotype" w:cs="Arial"/>
          <w:color w:val="000000" w:themeColor="text1"/>
          <w:szCs w:val="20"/>
          <w:lang w:val="es-ES_tradnl"/>
        </w:rPr>
        <w:t>envi</w:t>
      </w:r>
      <w:r w:rsidR="00415AAB" w:rsidRPr="00415AAB">
        <w:rPr>
          <w:rFonts w:ascii="Palatino Linotype" w:eastAsiaTheme="minorEastAsia" w:hAnsi="Palatino Linotype" w:cs="Arial"/>
          <w:color w:val="000000" w:themeColor="text1"/>
          <w:szCs w:val="20"/>
          <w:lang w:val="es-ES_tradnl"/>
        </w:rPr>
        <w:t>a</w:t>
      </w:r>
      <w:r w:rsidR="00415AAB">
        <w:rPr>
          <w:rFonts w:ascii="Palatino Linotype" w:eastAsiaTheme="minorEastAsia" w:hAnsi="Palatino Linotype" w:cs="Arial"/>
          <w:color w:val="000000" w:themeColor="text1"/>
          <w:szCs w:val="20"/>
          <w:lang w:val="es-ES_tradnl"/>
        </w:rPr>
        <w:t>da</w:t>
      </w:r>
      <w:r w:rsidR="00415AAB" w:rsidRPr="00415AAB">
        <w:rPr>
          <w:rFonts w:ascii="Palatino Linotype" w:eastAsiaTheme="minorEastAsia" w:hAnsi="Palatino Linotype" w:cs="Arial"/>
          <w:color w:val="000000" w:themeColor="text1"/>
          <w:szCs w:val="20"/>
          <w:lang w:val="es-ES_tradnl"/>
        </w:rPr>
        <w:t xml:space="preserve"> información confidencial</w:t>
      </w:r>
      <w:r w:rsidR="00394936">
        <w:rPr>
          <w:rFonts w:ascii="Palatino Linotype" w:eastAsiaTheme="minorEastAsia" w:hAnsi="Palatino Linotype" w:cs="Arial"/>
          <w:color w:val="000000" w:themeColor="text1"/>
          <w:szCs w:val="20"/>
          <w:lang w:val="es-ES_tradnl"/>
        </w:rPr>
        <w:t>.</w:t>
      </w:r>
    </w:p>
    <w:p w14:paraId="4AE6018F" w14:textId="77777777" w:rsidR="0033652D" w:rsidRDefault="0033652D" w:rsidP="005E10F4">
      <w:pPr>
        <w:spacing w:after="0" w:line="360" w:lineRule="auto"/>
        <w:ind w:right="49"/>
        <w:jc w:val="both"/>
        <w:rPr>
          <w:rFonts w:ascii="Palatino Linotype" w:eastAsiaTheme="minorEastAsia" w:hAnsi="Palatino Linotype" w:cs="Arial"/>
          <w:color w:val="000000" w:themeColor="text1"/>
          <w:szCs w:val="20"/>
          <w:lang w:val="es-ES_tradnl"/>
        </w:rPr>
      </w:pPr>
    </w:p>
    <w:p w14:paraId="09975EE3" w14:textId="70A43828" w:rsidR="0089744B" w:rsidRDefault="00E91F1B" w:rsidP="00F3411E">
      <w:pPr>
        <w:spacing w:after="0" w:line="360" w:lineRule="auto"/>
        <w:jc w:val="both"/>
        <w:rPr>
          <w:rFonts w:ascii="Palatino Linotype" w:hAnsi="Palatino Linotype" w:cs="Arial"/>
          <w:bCs/>
        </w:rPr>
      </w:pPr>
      <w:r w:rsidRPr="00E91F1B">
        <w:rPr>
          <w:rFonts w:ascii="Palatino Linotype" w:hAnsi="Palatino Linotype" w:cs="Tahoma"/>
        </w:rPr>
        <w:t>En esta consecución de ideas, este Organismo Garante, determinó el sobreseimiento del presente medio de impugnación al determinar la improcedencia, porque el Particular no se</w:t>
      </w:r>
      <w:r w:rsidRPr="00E91F1B">
        <w:rPr>
          <w:rFonts w:ascii="Palatino Linotype" w:hAnsi="Palatino Linotype" w:cs="Tahoma"/>
          <w:lang w:val="es-ES_tradnl"/>
        </w:rPr>
        <w:t xml:space="preserve"> </w:t>
      </w:r>
      <w:r w:rsidRPr="00E91F1B">
        <w:rPr>
          <w:rFonts w:ascii="Palatino Linotype" w:hAnsi="Palatino Linotype" w:cs="Tahoma"/>
        </w:rPr>
        <w:t>inconformó a través de argumentos que permitan la procedencia en alguno de los supuestos del artículo 179 de la Ley de Transparencia, vigente en el Estado de México.</w:t>
      </w:r>
    </w:p>
    <w:p w14:paraId="1D376396" w14:textId="0F9DAC1B" w:rsidR="00313980" w:rsidRDefault="00313980" w:rsidP="00F3411E">
      <w:pPr>
        <w:spacing w:after="0" w:line="360" w:lineRule="auto"/>
        <w:jc w:val="both"/>
        <w:rPr>
          <w:rFonts w:ascii="Palatino Linotype" w:hAnsi="Palatino Linotype" w:cs="Arial"/>
          <w:bCs/>
        </w:rPr>
      </w:pPr>
      <w:r w:rsidRPr="00313980">
        <w:rPr>
          <w:rFonts w:ascii="Palatino Linotype" w:hAnsi="Palatino Linotype" w:cs="Arial"/>
          <w:bCs/>
        </w:rPr>
        <w:lastRenderedPageBreak/>
        <w:t>Al respecto, no comparto el sentido de la resolución pues considero que el Particular esgrimió argumentos suficientes para constreñir a este Organismo Garante a entrar al estudio de las constancias para determinar en su caso a través de la información que fue aportada y de su naturaleza, para lo que es necesario el estudio específico, toda vez que desde mi perspectiva, se debió haber privilegiado el derecho humano de acceso a la información del Recurrente</w:t>
      </w:r>
      <w:r w:rsidR="00394936">
        <w:rPr>
          <w:rFonts w:ascii="Palatino Linotype" w:hAnsi="Palatino Linotype" w:cs="Arial"/>
          <w:bCs/>
        </w:rPr>
        <w:t xml:space="preserve">, tomando en cuenta que el Sujeto Obligado </w:t>
      </w:r>
      <w:r w:rsidR="00816994">
        <w:rPr>
          <w:rFonts w:ascii="Palatino Linotype" w:hAnsi="Palatino Linotype" w:cs="Arial"/>
          <w:bCs/>
        </w:rPr>
        <w:t xml:space="preserve">hizo entrega de un documento </w:t>
      </w:r>
      <w:r w:rsidR="00816994" w:rsidRPr="00816994">
        <w:rPr>
          <w:rFonts w:ascii="Palatino Linotype" w:hAnsi="Palatino Linotype" w:cs="Arial"/>
          <w:bCs/>
          <w:i/>
        </w:rPr>
        <w:t>ad hoc</w:t>
      </w:r>
      <w:r w:rsidR="00816994">
        <w:rPr>
          <w:rFonts w:ascii="Palatino Linotype" w:hAnsi="Palatino Linotype" w:cs="Arial"/>
          <w:bCs/>
        </w:rPr>
        <w:t xml:space="preserve"> con el que pretendió dar atención a lo solicitado, información que ratificó mediante Informe Justificado, pues arguyó que no se trata de información confidencial, </w:t>
      </w:r>
      <w:r w:rsidRPr="00313980">
        <w:rPr>
          <w:rFonts w:ascii="Palatino Linotype" w:hAnsi="Palatino Linotype" w:cs="Arial"/>
          <w:bCs/>
        </w:rPr>
        <w:t>y</w:t>
      </w:r>
      <w:r w:rsidR="00394936">
        <w:rPr>
          <w:rFonts w:ascii="Palatino Linotype" w:hAnsi="Palatino Linotype" w:cs="Arial"/>
          <w:bCs/>
        </w:rPr>
        <w:t xml:space="preserve"> con ello</w:t>
      </w:r>
      <w:r w:rsidRPr="00313980">
        <w:rPr>
          <w:rFonts w:ascii="Palatino Linotype" w:hAnsi="Palatino Linotype" w:cs="Arial"/>
          <w:bCs/>
        </w:rPr>
        <w:t xml:space="preserve"> entrar al fondo del estudio del recurso</w:t>
      </w:r>
      <w:r w:rsidR="00394936">
        <w:rPr>
          <w:rFonts w:ascii="Palatino Linotype" w:hAnsi="Palatino Linotype" w:cs="Arial"/>
          <w:bCs/>
        </w:rPr>
        <w:t xml:space="preserve">, con el fin de determinar si lo proporcionado mediante </w:t>
      </w:r>
      <w:r w:rsidR="00816994">
        <w:rPr>
          <w:rFonts w:ascii="Palatino Linotype" w:hAnsi="Palatino Linotype" w:cs="Arial"/>
          <w:bCs/>
        </w:rPr>
        <w:t xml:space="preserve">respuesta y ratificado en </w:t>
      </w:r>
      <w:r w:rsidR="00394936">
        <w:rPr>
          <w:rFonts w:ascii="Palatino Linotype" w:hAnsi="Palatino Linotype" w:cs="Arial"/>
          <w:bCs/>
        </w:rPr>
        <w:t>informe justificado</w:t>
      </w:r>
      <w:r w:rsidRPr="00313980">
        <w:rPr>
          <w:rFonts w:ascii="Palatino Linotype" w:hAnsi="Palatino Linotype" w:cs="Arial"/>
          <w:bCs/>
        </w:rPr>
        <w:t xml:space="preserve"> por el </w:t>
      </w:r>
      <w:r w:rsidR="00394936">
        <w:rPr>
          <w:rFonts w:ascii="Palatino Linotype" w:hAnsi="Palatino Linotype" w:cs="Arial"/>
          <w:bCs/>
        </w:rPr>
        <w:t xml:space="preserve">Ayuntamiento de </w:t>
      </w:r>
      <w:r w:rsidR="00816994">
        <w:rPr>
          <w:rFonts w:ascii="Palatino Linotype" w:hAnsi="Palatino Linotype" w:cs="Arial"/>
          <w:bCs/>
        </w:rPr>
        <w:t>Cuautitlán Izcalli</w:t>
      </w:r>
      <w:r w:rsidR="00394936">
        <w:rPr>
          <w:rFonts w:ascii="Palatino Linotype" w:hAnsi="Palatino Linotype" w:cs="Arial"/>
          <w:bCs/>
        </w:rPr>
        <w:t>,</w:t>
      </w:r>
      <w:r w:rsidRPr="00313980">
        <w:rPr>
          <w:rFonts w:ascii="Palatino Linotype" w:hAnsi="Palatino Linotype" w:cs="Arial"/>
          <w:bCs/>
        </w:rPr>
        <w:t xml:space="preserve"> daba a</w:t>
      </w:r>
      <w:r>
        <w:rPr>
          <w:rFonts w:ascii="Palatino Linotype" w:hAnsi="Palatino Linotype" w:cs="Arial"/>
          <w:bCs/>
        </w:rPr>
        <w:t>tención puntual a lo solicitado</w:t>
      </w:r>
      <w:r w:rsidRPr="00313980">
        <w:rPr>
          <w:rFonts w:ascii="Palatino Linotype" w:hAnsi="Palatino Linotype" w:cs="Arial"/>
          <w:bCs/>
        </w:rPr>
        <w:t xml:space="preserve">. </w:t>
      </w:r>
    </w:p>
    <w:p w14:paraId="6212A610" w14:textId="77777777" w:rsidR="00313980" w:rsidRDefault="00313980" w:rsidP="00F3411E">
      <w:pPr>
        <w:spacing w:after="0" w:line="360" w:lineRule="auto"/>
        <w:jc w:val="both"/>
        <w:rPr>
          <w:rFonts w:ascii="Palatino Linotype" w:hAnsi="Palatino Linotype" w:cs="Arial"/>
          <w:bCs/>
        </w:rPr>
      </w:pPr>
    </w:p>
    <w:p w14:paraId="16E273AC" w14:textId="70F42A96" w:rsidR="00313980" w:rsidRDefault="00313980" w:rsidP="00F3411E">
      <w:pPr>
        <w:spacing w:after="0" w:line="360" w:lineRule="auto"/>
        <w:jc w:val="both"/>
        <w:rPr>
          <w:rFonts w:ascii="Palatino Linotype" w:hAnsi="Palatino Linotype" w:cs="Arial"/>
          <w:bCs/>
        </w:rPr>
      </w:pPr>
      <w:r w:rsidRPr="00313980">
        <w:rPr>
          <w:rFonts w:ascii="Palatino Linotype" w:hAnsi="Palatino Linotype" w:cs="Arial"/>
          <w:bCs/>
        </w:rPr>
        <w:t>Aunado a ello, este Organismo Garante, señaló como causal de sobreseimiento, el contemplado en el artículo 192, fracción IV, que señala que el recurso será sobreseído cuando admitido el recurso de revisión aparezca una causal de improcedencia y por ello, nos remitimos al artículo 191, fracción III, que contempla que el recurso será improcedente cuando no actualice alguno de los supuestos previstos en la Ley de Transparencia, para lo que se reproducen entonces las causales de procedencia contemplado en la ley en referencia:</w:t>
      </w:r>
    </w:p>
    <w:p w14:paraId="55D429BD" w14:textId="77777777" w:rsidR="0089744B" w:rsidRPr="001F3CE2" w:rsidRDefault="0089744B" w:rsidP="00F3411E">
      <w:pPr>
        <w:spacing w:after="0" w:line="360" w:lineRule="auto"/>
        <w:jc w:val="both"/>
        <w:rPr>
          <w:rFonts w:ascii="Palatino Linotype" w:hAnsi="Palatino Linotype" w:cs="Arial"/>
          <w:bCs/>
        </w:rPr>
      </w:pPr>
    </w:p>
    <w:p w14:paraId="1A325DDF"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Artículo 179. El recurso de revisión es un medio de protección que la Ley otorga a los particulares, para hacer valer su derecho de acceso a la información pública, y procederá en contra de las siguientes causas: </w:t>
      </w:r>
    </w:p>
    <w:p w14:paraId="22E6A720" w14:textId="77777777" w:rsidR="00E91F1B" w:rsidRDefault="00E91F1B" w:rsidP="00E91F1B">
      <w:pPr>
        <w:spacing w:after="0" w:line="360" w:lineRule="auto"/>
        <w:ind w:left="567" w:right="567"/>
        <w:jc w:val="both"/>
        <w:rPr>
          <w:rFonts w:ascii="Palatino Linotype" w:hAnsi="Palatino Linotype" w:cs="Arial"/>
          <w:bCs/>
          <w:i/>
          <w:sz w:val="20"/>
        </w:rPr>
      </w:pPr>
    </w:p>
    <w:p w14:paraId="7865A29C" w14:textId="77777777" w:rsidR="00E91F1B" w:rsidRPr="00394936" w:rsidRDefault="00E91F1B" w:rsidP="00E91F1B">
      <w:pPr>
        <w:spacing w:after="0" w:line="360" w:lineRule="auto"/>
        <w:ind w:left="567" w:right="567"/>
        <w:jc w:val="both"/>
        <w:rPr>
          <w:rFonts w:ascii="Palatino Linotype" w:hAnsi="Palatino Linotype" w:cs="Arial"/>
          <w:bCs/>
          <w:i/>
          <w:sz w:val="20"/>
        </w:rPr>
      </w:pPr>
      <w:r w:rsidRPr="00394936">
        <w:rPr>
          <w:rFonts w:ascii="Palatino Linotype" w:hAnsi="Palatino Linotype" w:cs="Arial"/>
          <w:bCs/>
          <w:i/>
          <w:sz w:val="20"/>
        </w:rPr>
        <w:t xml:space="preserve">I. La negativa a la información solicitada; </w:t>
      </w:r>
    </w:p>
    <w:p w14:paraId="7857699E"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II. La clasificación de la información; </w:t>
      </w:r>
    </w:p>
    <w:p w14:paraId="4345C6F9"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III. La declaración de inexistencia de la información; </w:t>
      </w:r>
    </w:p>
    <w:p w14:paraId="7AACADFF"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IV. La declaración de incompetencia por el sujeto obligado; </w:t>
      </w:r>
    </w:p>
    <w:p w14:paraId="780CD1C8" w14:textId="77777777" w:rsidR="00E91F1B" w:rsidRPr="00B53D0D" w:rsidRDefault="00E91F1B" w:rsidP="00E91F1B">
      <w:pPr>
        <w:spacing w:after="0" w:line="360" w:lineRule="auto"/>
        <w:ind w:left="567" w:right="567"/>
        <w:jc w:val="both"/>
        <w:rPr>
          <w:rFonts w:ascii="Palatino Linotype" w:hAnsi="Palatino Linotype" w:cs="Arial"/>
          <w:bCs/>
          <w:i/>
          <w:sz w:val="20"/>
        </w:rPr>
      </w:pPr>
      <w:r w:rsidRPr="00B53D0D">
        <w:rPr>
          <w:rFonts w:ascii="Palatino Linotype" w:hAnsi="Palatino Linotype" w:cs="Arial"/>
          <w:bCs/>
          <w:i/>
          <w:sz w:val="20"/>
        </w:rPr>
        <w:lastRenderedPageBreak/>
        <w:t xml:space="preserve">V. La entrega de información incompleta; </w:t>
      </w:r>
    </w:p>
    <w:p w14:paraId="01252430" w14:textId="77777777" w:rsidR="00E91F1B" w:rsidRPr="00B53D0D" w:rsidRDefault="00E91F1B" w:rsidP="00E91F1B">
      <w:pPr>
        <w:spacing w:after="0" w:line="360" w:lineRule="auto"/>
        <w:ind w:left="567" w:right="567"/>
        <w:jc w:val="both"/>
        <w:rPr>
          <w:rFonts w:ascii="Palatino Linotype" w:hAnsi="Palatino Linotype" w:cs="Arial"/>
          <w:bCs/>
          <w:i/>
          <w:sz w:val="20"/>
        </w:rPr>
      </w:pPr>
      <w:r w:rsidRPr="00B53D0D">
        <w:rPr>
          <w:rFonts w:ascii="Palatino Linotype" w:hAnsi="Palatino Linotype" w:cs="Arial"/>
          <w:bCs/>
          <w:i/>
          <w:sz w:val="20"/>
        </w:rPr>
        <w:t xml:space="preserve">VI. La entrega de información que no corresponda con lo solicitado; </w:t>
      </w:r>
    </w:p>
    <w:p w14:paraId="141B8DE1" w14:textId="77777777" w:rsidR="00E91F1B" w:rsidRPr="00394936" w:rsidRDefault="00E91F1B" w:rsidP="00E91F1B">
      <w:pPr>
        <w:spacing w:after="0" w:line="360" w:lineRule="auto"/>
        <w:ind w:left="567" w:right="567"/>
        <w:jc w:val="both"/>
        <w:rPr>
          <w:rFonts w:ascii="Palatino Linotype" w:hAnsi="Palatino Linotype" w:cs="Arial"/>
          <w:b/>
          <w:bCs/>
          <w:i/>
          <w:sz w:val="20"/>
        </w:rPr>
      </w:pPr>
      <w:r w:rsidRPr="00394936">
        <w:rPr>
          <w:rFonts w:ascii="Palatino Linotype" w:hAnsi="Palatino Linotype" w:cs="Arial"/>
          <w:b/>
          <w:bCs/>
          <w:i/>
          <w:sz w:val="20"/>
        </w:rPr>
        <w:t xml:space="preserve">VII. La falta de respuesta a una solicitud de acceso a la información; </w:t>
      </w:r>
    </w:p>
    <w:p w14:paraId="36502865"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VIII. La notificación, entrega o puesta a disposición de información en una modalidad o formato distinto al solicitado; </w:t>
      </w:r>
    </w:p>
    <w:p w14:paraId="439D42D9"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IX. La entrega o puesta a disposición de información en un formato incomprensible y/o no accesible para el solicitante; </w:t>
      </w:r>
    </w:p>
    <w:p w14:paraId="25FF0231"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 Los costos o tiempos de entrega de la información; </w:t>
      </w:r>
    </w:p>
    <w:p w14:paraId="04ED43DD"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 La falta de trámite a una solicitud; </w:t>
      </w:r>
    </w:p>
    <w:p w14:paraId="505B9291"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XII. La negativa a permitir la consulta directa de la información; </w:t>
      </w:r>
    </w:p>
    <w:p w14:paraId="3BF5C17E"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XIII. La falta, deficiencia o insuficiencia de la fundamentación y/o motivación en la respuesta; y </w:t>
      </w:r>
    </w:p>
    <w:p w14:paraId="2DA2736D"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XIV. La orientación a un trámite específico. </w:t>
      </w:r>
    </w:p>
    <w:p w14:paraId="55CC8A68" w14:textId="77777777" w:rsidR="00E91F1B" w:rsidRDefault="00E91F1B" w:rsidP="00E91F1B">
      <w:pPr>
        <w:spacing w:after="0" w:line="360" w:lineRule="auto"/>
        <w:ind w:left="567" w:right="567"/>
        <w:jc w:val="both"/>
        <w:rPr>
          <w:rFonts w:ascii="Palatino Linotype" w:hAnsi="Palatino Linotype" w:cs="Arial"/>
          <w:bCs/>
          <w:i/>
          <w:sz w:val="20"/>
        </w:rPr>
      </w:pPr>
    </w:p>
    <w:p w14:paraId="530D35E6" w14:textId="3CD99D69"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788B5B" w14:textId="77777777" w:rsidR="00E91F1B" w:rsidRDefault="00E91F1B" w:rsidP="00E91F1B">
      <w:pPr>
        <w:spacing w:after="0" w:line="360" w:lineRule="auto"/>
        <w:ind w:right="567"/>
        <w:jc w:val="both"/>
        <w:rPr>
          <w:rFonts w:ascii="Palatino Linotype" w:hAnsi="Palatino Linotype" w:cs="Arial"/>
          <w:bCs/>
          <w:i/>
          <w:sz w:val="20"/>
        </w:rPr>
      </w:pPr>
    </w:p>
    <w:p w14:paraId="4286DD1A" w14:textId="6B6B2DAB"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Así, contrario a lo planteado en la resolución sobre la que se emite el presente voto, se puede hallar en las causales de procedencia, que el recurso de revisión es un medio de protección que procede en contra de la </w:t>
      </w:r>
      <w:r w:rsidR="00B53D0D">
        <w:rPr>
          <w:rFonts w:ascii="Palatino Linotype" w:hAnsi="Palatino Linotype" w:cs="Arial"/>
          <w:bCs/>
        </w:rPr>
        <w:t xml:space="preserve">negativa a la </w:t>
      </w:r>
      <w:r>
        <w:rPr>
          <w:rFonts w:ascii="Palatino Linotype" w:hAnsi="Palatino Linotype" w:cs="Arial"/>
          <w:bCs/>
        </w:rPr>
        <w:t xml:space="preserve">entrega de </w:t>
      </w:r>
      <w:r w:rsidR="00B53D0D">
        <w:rPr>
          <w:rFonts w:ascii="Palatino Linotype" w:hAnsi="Palatino Linotype" w:cs="Arial"/>
          <w:bCs/>
        </w:rPr>
        <w:t xml:space="preserve">la </w:t>
      </w:r>
      <w:r>
        <w:rPr>
          <w:rFonts w:ascii="Palatino Linotype" w:hAnsi="Palatino Linotype" w:cs="Arial"/>
          <w:bCs/>
        </w:rPr>
        <w:t xml:space="preserve">información </w:t>
      </w:r>
      <w:r w:rsidRPr="00E91F1B">
        <w:rPr>
          <w:rFonts w:ascii="Palatino Linotype" w:hAnsi="Palatino Linotype" w:cs="Arial"/>
          <w:bCs/>
        </w:rPr>
        <w:t>y, por tanto, existe una</w:t>
      </w:r>
      <w:r>
        <w:rPr>
          <w:rFonts w:ascii="Palatino Linotype" w:hAnsi="Palatino Linotype" w:cs="Arial"/>
          <w:bCs/>
        </w:rPr>
        <w:t xml:space="preserve"> </w:t>
      </w:r>
      <w:r w:rsidRPr="00E91F1B">
        <w:rPr>
          <w:rFonts w:ascii="Palatino Linotype" w:hAnsi="Palatino Linotype" w:cs="Arial"/>
          <w:bCs/>
        </w:rPr>
        <w:t>causal de procedencia</w:t>
      </w:r>
      <w:r w:rsidR="00B53D0D">
        <w:rPr>
          <w:rFonts w:ascii="Palatino Linotype" w:hAnsi="Palatino Linotype" w:cs="Arial"/>
          <w:bCs/>
        </w:rPr>
        <w:t>, por lo tanto</w:t>
      </w:r>
      <w:r w:rsidRPr="00E91F1B">
        <w:rPr>
          <w:rFonts w:ascii="Palatino Linotype" w:hAnsi="Palatino Linotype" w:cs="Arial"/>
          <w:bCs/>
        </w:rPr>
        <w:t>, no se configura el sobreseimiento planteado en la multicitada resolución.</w:t>
      </w:r>
    </w:p>
    <w:p w14:paraId="01EC5A3F" w14:textId="77777777" w:rsidR="00E91F1B" w:rsidRDefault="00E91F1B" w:rsidP="00E91F1B">
      <w:pPr>
        <w:spacing w:after="0" w:line="360" w:lineRule="auto"/>
        <w:jc w:val="both"/>
        <w:rPr>
          <w:rFonts w:ascii="Palatino Linotype" w:hAnsi="Palatino Linotype" w:cs="Arial"/>
          <w:bCs/>
        </w:rPr>
      </w:pPr>
    </w:p>
    <w:p w14:paraId="606BD783" w14:textId="00BB2ADD"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La diferencia entre entrar al estudio de la naturaleza y sobreseer, tiene disímiles alcances pues su naturaleza es diversa, para ello, cobra relevancia para efectos de criterio jurídico, la</w:t>
      </w:r>
      <w:r w:rsidRPr="00E91F1B">
        <w:t xml:space="preserve"> </w:t>
      </w:r>
      <w:r w:rsidRPr="00E91F1B">
        <w:rPr>
          <w:rFonts w:ascii="Palatino Linotype" w:hAnsi="Palatino Linotype" w:cs="Arial"/>
          <w:bCs/>
        </w:rPr>
        <w:t>jurisprudencia, emitida por la Segunda Sala de la Suprema Corte de Justicia de la Nación, con registro digital 239006, de la séptima época, publicada en el semanario judicial de la federación, volumen 24, tercera parte, página 49, que lleva por rubro y texto:</w:t>
      </w:r>
    </w:p>
    <w:p w14:paraId="07763F90" w14:textId="77777777" w:rsidR="00E91F1B" w:rsidRDefault="00E91F1B" w:rsidP="00E91F1B">
      <w:pPr>
        <w:spacing w:after="0" w:line="360" w:lineRule="auto"/>
        <w:ind w:left="567" w:right="567"/>
        <w:jc w:val="both"/>
        <w:rPr>
          <w:rFonts w:ascii="Palatino Linotype" w:hAnsi="Palatino Linotype" w:cs="Arial"/>
          <w:bCs/>
          <w:i/>
          <w:sz w:val="20"/>
        </w:rPr>
      </w:pPr>
      <w:r w:rsidRPr="00E91F1B">
        <w:rPr>
          <w:rFonts w:ascii="Palatino Linotype" w:hAnsi="Palatino Linotype" w:cs="Arial"/>
          <w:b/>
          <w:bCs/>
          <w:i/>
          <w:sz w:val="20"/>
        </w:rPr>
        <w:lastRenderedPageBreak/>
        <w:t>SOBRESEIMIENTO. NO PERMITE ENTRAR AL ESTUDIO DE LAS CUESTIONES DE FONDO.</w:t>
      </w:r>
      <w:r w:rsidRPr="00E91F1B">
        <w:rPr>
          <w:rFonts w:ascii="Palatino Linotype" w:hAnsi="Palatino Linotype" w:cs="Arial"/>
          <w:bCs/>
          <w:i/>
          <w:sz w:val="20"/>
        </w:rPr>
        <w:t xml:space="preserve"> </w:t>
      </w:r>
    </w:p>
    <w:p w14:paraId="5E050EDA" w14:textId="5E71217F" w:rsidR="00E91F1B" w:rsidRPr="00E91F1B" w:rsidRDefault="00E91F1B" w:rsidP="00E91F1B">
      <w:pPr>
        <w:spacing w:after="0" w:line="360" w:lineRule="auto"/>
        <w:ind w:left="567" w:right="567"/>
        <w:jc w:val="both"/>
        <w:rPr>
          <w:rFonts w:ascii="Palatino Linotype" w:hAnsi="Palatino Linotype" w:cs="Arial"/>
          <w:bCs/>
          <w:i/>
        </w:rPr>
      </w:pPr>
      <w:r w:rsidRPr="00E91F1B">
        <w:rPr>
          <w:rFonts w:ascii="Palatino Linotype" w:hAnsi="Palatino Linotype" w:cs="Arial"/>
          <w:bCs/>
          <w:i/>
          <w:sz w:val="20"/>
        </w:rPr>
        <w:t>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14:paraId="179F7B66" w14:textId="77777777" w:rsidR="00E91F1B" w:rsidRDefault="00E91F1B" w:rsidP="00E91F1B">
      <w:pPr>
        <w:spacing w:after="0" w:line="360" w:lineRule="auto"/>
        <w:jc w:val="both"/>
        <w:rPr>
          <w:rFonts w:ascii="Palatino Linotype" w:hAnsi="Palatino Linotype" w:cs="Arial"/>
          <w:bCs/>
        </w:rPr>
      </w:pPr>
    </w:p>
    <w:p w14:paraId="77CDFDF8" w14:textId="77777777"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Así mismo, es conveniente citar al Doctor Ignacio Burgoa, en su obra </w:t>
      </w:r>
      <w:r w:rsidRPr="00E91F1B">
        <w:rPr>
          <w:rFonts w:ascii="Palatino Linotype" w:hAnsi="Palatino Linotype" w:cs="Arial"/>
          <w:bCs/>
          <w:i/>
        </w:rPr>
        <w:t>El Juicio de Amparo</w:t>
      </w:r>
      <w:r w:rsidRPr="00E91F1B">
        <w:rPr>
          <w:rFonts w:ascii="Palatino Linotype" w:hAnsi="Palatino Linotype" w:cs="Arial"/>
          <w:bCs/>
        </w:rPr>
        <w:t xml:space="preserve">, donde plasma que el sobreseimiento es un acto procesal proveniente de la potestad jurisdiccional, que concluye una instancia judicial, sin resolver el negocio en cuanto al fondo, sustantivamente, sino atendiendo a circunstancias o hechos ajenos, o al menos, diversos, de lo substancial de la controversia subyacente o fundamental. </w:t>
      </w:r>
    </w:p>
    <w:p w14:paraId="5697C64E" w14:textId="77777777" w:rsidR="00E91F1B" w:rsidRDefault="00E91F1B" w:rsidP="00E91F1B">
      <w:pPr>
        <w:spacing w:after="0" w:line="360" w:lineRule="auto"/>
        <w:jc w:val="both"/>
        <w:rPr>
          <w:rFonts w:ascii="Palatino Linotype" w:hAnsi="Palatino Linotype" w:cs="Arial"/>
          <w:bCs/>
        </w:rPr>
      </w:pPr>
    </w:p>
    <w:p w14:paraId="03179D83" w14:textId="349516C8"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También, puede citarse el artículo </w:t>
      </w:r>
      <w:r w:rsidRPr="00E91F1B">
        <w:rPr>
          <w:rFonts w:ascii="Palatino Linotype" w:hAnsi="Palatino Linotype" w:cs="Arial"/>
          <w:bCs/>
          <w:i/>
        </w:rPr>
        <w:t>investigación de las causas de improcedencia en el auto inicial del juicio de garantías</w:t>
      </w:r>
      <w:r w:rsidRPr="00E91F1B">
        <w:rPr>
          <w:rFonts w:ascii="Palatino Linotype" w:hAnsi="Palatino Linotype" w:cs="Arial"/>
          <w:bCs/>
        </w:rPr>
        <w:t xml:space="preserve">, del Secretario del Juzgado Segundo de Distrito en Materias de Amparo y Juicios Federales en el Estado de México, Salvador Tapia García, publicado en la Biblioteca Jurídica Virtual del Instituto de Investigaciones Jurídicas de la UNAM, quien refiere que </w:t>
      </w:r>
      <w:r w:rsidRPr="00E91F1B">
        <w:rPr>
          <w:rFonts w:ascii="Palatino Linotype" w:hAnsi="Palatino Linotype" w:cs="Arial"/>
          <w:b/>
          <w:bCs/>
        </w:rPr>
        <w:t>atenta contra la garantía fundamental de acceso a la justicia, desechar demandas cuya improcedencia no esté cabalmente demostrada</w:t>
      </w:r>
      <w:r w:rsidRPr="00E91F1B">
        <w:rPr>
          <w:rFonts w:ascii="Palatino Linotype" w:hAnsi="Palatino Linotype" w:cs="Arial"/>
          <w:bCs/>
        </w:rPr>
        <w:t>.</w:t>
      </w:r>
    </w:p>
    <w:p w14:paraId="634EC86D" w14:textId="77777777" w:rsidR="00E91F1B" w:rsidRDefault="00E91F1B" w:rsidP="00E91F1B">
      <w:pPr>
        <w:spacing w:after="0" w:line="360" w:lineRule="auto"/>
        <w:jc w:val="both"/>
        <w:rPr>
          <w:rFonts w:ascii="Palatino Linotype" w:hAnsi="Palatino Linotype" w:cs="Arial"/>
          <w:bCs/>
        </w:rPr>
      </w:pPr>
    </w:p>
    <w:p w14:paraId="351EE918" w14:textId="50E46AE9"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Con independencia de si el Particular señaló una fuente obligacional para poseer la información, diversa a la debida, este Organismo Garante, tiene la obligación de suplir la</w:t>
      </w:r>
      <w:r w:rsidRPr="00E91F1B">
        <w:t xml:space="preserve"> </w:t>
      </w:r>
      <w:r w:rsidRPr="00E91F1B">
        <w:rPr>
          <w:rFonts w:ascii="Palatino Linotype" w:hAnsi="Palatino Linotype" w:cs="Arial"/>
          <w:bCs/>
        </w:rPr>
        <w:t>deficiencia de la queja en términos de los artículos 13 y 181 de la Ley de Transparencia y Acceso a la Información Pública, en beneficio de los Particulares a efecto de otorgar certeza jurídica en el ejercicio del Derecho de Acceso a la Información Pública, para así, subsanar y en su caso, identificar la existencia de fuente normativa para obligar a los Sujetos Obligados a poseer la información.</w:t>
      </w:r>
    </w:p>
    <w:p w14:paraId="4F10CA5F" w14:textId="77777777" w:rsidR="00E91F1B" w:rsidRDefault="00E91F1B" w:rsidP="00E91F1B">
      <w:pPr>
        <w:spacing w:after="0" w:line="360" w:lineRule="auto"/>
        <w:jc w:val="both"/>
        <w:rPr>
          <w:rFonts w:ascii="Palatino Linotype" w:hAnsi="Palatino Linotype" w:cs="Arial"/>
          <w:bCs/>
        </w:rPr>
      </w:pPr>
    </w:p>
    <w:p w14:paraId="15CDDC05" w14:textId="77777777" w:rsidR="00E91F1B"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Entonces, para cuando se entregan documentos en respuesta y los ciudadanos, en ejercicio de su derecho de acceso a la información y de un medio de impugnación, señalan que no se les entregó la información solicitada, es necesario entrar al estudio de las constancias, lo que constriñe a este Organismo Garante a analizar la naturaleza normativa de la información y de los documentos aportados, lo que permite determinar si la afirmación planteada en el medio recursal es verdadera y así, contar con elementos para ordenar la entrega de los documentos que satisfacen al derecho de acceso a la información pública. </w:t>
      </w:r>
    </w:p>
    <w:p w14:paraId="2D4E2415" w14:textId="77777777" w:rsidR="00E91F1B" w:rsidRDefault="00E91F1B" w:rsidP="00E91F1B">
      <w:pPr>
        <w:spacing w:after="0" w:line="360" w:lineRule="auto"/>
        <w:jc w:val="both"/>
        <w:rPr>
          <w:rFonts w:ascii="Palatino Linotype" w:hAnsi="Palatino Linotype" w:cs="Arial"/>
          <w:bCs/>
        </w:rPr>
      </w:pPr>
    </w:p>
    <w:p w14:paraId="5230877C" w14:textId="6C958BEC" w:rsidR="00BF6772" w:rsidRDefault="00E91F1B" w:rsidP="00E91F1B">
      <w:pPr>
        <w:spacing w:after="0" w:line="360" w:lineRule="auto"/>
        <w:jc w:val="both"/>
        <w:rPr>
          <w:rFonts w:ascii="Palatino Linotype" w:hAnsi="Palatino Linotype" w:cs="Arial"/>
          <w:bCs/>
        </w:rPr>
      </w:pPr>
      <w:r w:rsidRPr="00E91F1B">
        <w:rPr>
          <w:rFonts w:ascii="Palatino Linotype" w:hAnsi="Palatino Linotype" w:cs="Arial"/>
          <w:bCs/>
        </w:rPr>
        <w:t xml:space="preserve">Así, con base en los razonamientos expuestos, </w:t>
      </w:r>
      <w:r w:rsidRPr="00E91F1B">
        <w:rPr>
          <w:rFonts w:ascii="Palatino Linotype" w:hAnsi="Palatino Linotype" w:cs="Arial"/>
          <w:b/>
          <w:bCs/>
        </w:rPr>
        <w:t>se emite el presente Voto Disidente</w:t>
      </w:r>
      <w:r w:rsidRPr="00E91F1B">
        <w:rPr>
          <w:rFonts w:ascii="Palatino Linotype" w:hAnsi="Palatino Linotype" w:cs="Arial"/>
          <w:bCs/>
        </w:rPr>
        <w:t xml:space="preserve">. -------- ------------------------------------------------------------------------------------------------------------------------ </w:t>
      </w:r>
    </w:p>
    <w:p w14:paraId="4025CB7B" w14:textId="77777777" w:rsidR="00BF6772" w:rsidRDefault="00BF6772">
      <w:pPr>
        <w:rPr>
          <w:rFonts w:ascii="Palatino Linotype" w:hAnsi="Palatino Linotype" w:cs="Arial"/>
          <w:bCs/>
        </w:rPr>
      </w:pPr>
      <w:r>
        <w:rPr>
          <w:rFonts w:ascii="Palatino Linotype" w:hAnsi="Palatino Linotype" w:cs="Arial"/>
          <w:bCs/>
        </w:rPr>
        <w:br w:type="page"/>
      </w:r>
    </w:p>
    <w:p w14:paraId="2894B94D" w14:textId="77777777" w:rsidR="00E91F1B" w:rsidRPr="00E91F1B" w:rsidRDefault="00E91F1B" w:rsidP="00E91F1B">
      <w:pPr>
        <w:spacing w:after="0" w:line="360" w:lineRule="auto"/>
        <w:jc w:val="both"/>
        <w:rPr>
          <w:rFonts w:ascii="Palatino Linotype" w:hAnsi="Palatino Linotype" w:cs="Arial"/>
          <w:bCs/>
        </w:rPr>
      </w:pPr>
    </w:p>
    <w:sectPr w:rsidR="00E91F1B" w:rsidRPr="00E91F1B" w:rsidSect="009A041C">
      <w:headerReference w:type="default" r:id="rId6"/>
      <w:footerReference w:type="default" r:id="rId7"/>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83AF" w14:textId="77777777" w:rsidR="006F7A9C" w:rsidRDefault="006F7A9C" w:rsidP="005527AD">
      <w:pPr>
        <w:spacing w:after="0" w:line="240" w:lineRule="auto"/>
      </w:pPr>
      <w:r>
        <w:separator/>
      </w:r>
    </w:p>
  </w:endnote>
  <w:endnote w:type="continuationSeparator" w:id="0">
    <w:p w14:paraId="41C8D6A0" w14:textId="77777777" w:rsidR="006F7A9C" w:rsidRDefault="006F7A9C" w:rsidP="0055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Content>
      <w:sdt>
        <w:sdtPr>
          <w:id w:val="-1769616900"/>
          <w:docPartObj>
            <w:docPartGallery w:val="Page Numbers (Top of Page)"/>
            <w:docPartUnique/>
          </w:docPartObj>
        </w:sdtPr>
        <w:sdtContent>
          <w:p w14:paraId="1E696A5D" w14:textId="77777777" w:rsidR="00A65C49" w:rsidRDefault="00CF3C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2493A">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2493A">
              <w:rPr>
                <w:b/>
                <w:bCs/>
                <w:noProof/>
              </w:rPr>
              <w:t>6</w:t>
            </w:r>
            <w:r>
              <w:rPr>
                <w:b/>
                <w:bCs/>
                <w:sz w:val="24"/>
                <w:szCs w:val="24"/>
              </w:rPr>
              <w:fldChar w:fldCharType="end"/>
            </w:r>
          </w:p>
        </w:sdtContent>
      </w:sdt>
    </w:sdtContent>
  </w:sdt>
  <w:p w14:paraId="4D223226" w14:textId="77777777" w:rsidR="00A65C49" w:rsidRDefault="00A65C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27C4" w14:textId="77777777" w:rsidR="006F7A9C" w:rsidRDefault="006F7A9C" w:rsidP="005527AD">
      <w:pPr>
        <w:spacing w:after="0" w:line="240" w:lineRule="auto"/>
      </w:pPr>
      <w:r>
        <w:separator/>
      </w:r>
    </w:p>
  </w:footnote>
  <w:footnote w:type="continuationSeparator" w:id="0">
    <w:p w14:paraId="62BAF71F" w14:textId="77777777" w:rsidR="006F7A9C" w:rsidRDefault="006F7A9C" w:rsidP="0055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528"/>
    </w:tblGrid>
    <w:tr w:rsidR="003212EB" w:rsidRPr="001106EA" w14:paraId="2B80A1D5" w14:textId="77777777" w:rsidTr="007B12A8">
      <w:trPr>
        <w:trHeight w:val="1782"/>
      </w:trPr>
      <w:tc>
        <w:tcPr>
          <w:tcW w:w="3119" w:type="dxa"/>
          <w:vAlign w:val="bottom"/>
        </w:tcPr>
        <w:p w14:paraId="68B04F91" w14:textId="77777777" w:rsidR="00A65C49" w:rsidRDefault="00CF3C6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E726AAC" wp14:editId="167330C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EE95B85" w14:textId="77777777" w:rsidR="00A65C49" w:rsidRDefault="00A65C49" w:rsidP="00285C7B">
          <w:pPr>
            <w:pStyle w:val="Encabezado"/>
            <w:tabs>
              <w:tab w:val="clear" w:pos="4252"/>
              <w:tab w:val="center" w:pos="2614"/>
            </w:tabs>
            <w:ind w:left="-255"/>
          </w:pPr>
        </w:p>
      </w:tc>
      <w:tc>
        <w:tcPr>
          <w:tcW w:w="5528" w:type="dxa"/>
          <w:vAlign w:val="center"/>
        </w:tcPr>
        <w:p w14:paraId="6968E218" w14:textId="77777777" w:rsidR="00A65C49" w:rsidRDefault="00A65C49" w:rsidP="00C608FE">
          <w:pPr>
            <w:pStyle w:val="Encabezado"/>
            <w:spacing w:line="360" w:lineRule="auto"/>
            <w:ind w:left="-108" w:right="-250"/>
            <w:jc w:val="both"/>
            <w:rPr>
              <w:rFonts w:ascii="Palatino Linotype" w:hAnsi="Palatino Linotype" w:cs="Tahoma"/>
              <w:b/>
            </w:rPr>
          </w:pPr>
        </w:p>
        <w:p w14:paraId="77B69852" w14:textId="77777777" w:rsidR="00A65C49" w:rsidRDefault="00A65C49" w:rsidP="00C608FE">
          <w:pPr>
            <w:pStyle w:val="Encabezado"/>
            <w:spacing w:line="360" w:lineRule="auto"/>
            <w:ind w:left="-108" w:right="-250"/>
            <w:jc w:val="both"/>
            <w:rPr>
              <w:rFonts w:ascii="Palatino Linotype" w:hAnsi="Palatino Linotype" w:cs="Tahoma"/>
              <w:b/>
            </w:rPr>
          </w:pPr>
        </w:p>
        <w:p w14:paraId="32FE6751" w14:textId="38F137BD" w:rsidR="00A65C49" w:rsidRPr="00B9745A" w:rsidRDefault="006D201D" w:rsidP="00DC5CFF">
          <w:pPr>
            <w:pStyle w:val="Encabezado"/>
            <w:ind w:left="-108" w:right="-250"/>
            <w:jc w:val="both"/>
            <w:rPr>
              <w:rFonts w:ascii="Palatino Linotype" w:hAnsi="Palatino Linotype" w:cs="Tahoma"/>
              <w:b/>
            </w:rPr>
          </w:pPr>
          <w:r>
            <w:rPr>
              <w:rFonts w:ascii="Palatino Linotype" w:hAnsi="Palatino Linotype" w:cs="Tahoma"/>
              <w:b/>
            </w:rPr>
            <w:t>Voto disidente</w:t>
          </w:r>
        </w:p>
        <w:p w14:paraId="64CE6D0F" w14:textId="717D7780" w:rsidR="00A65C49" w:rsidRDefault="00CF3C6E"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4A580F" w:rsidRPr="004A580F">
            <w:rPr>
              <w:rFonts w:ascii="Palatino Linotype" w:hAnsi="Palatino Linotype" w:cs="Tahoma"/>
            </w:rPr>
            <w:t>03</w:t>
          </w:r>
          <w:r w:rsidR="00810C40">
            <w:rPr>
              <w:rFonts w:ascii="Palatino Linotype" w:hAnsi="Palatino Linotype" w:cs="Tahoma"/>
            </w:rPr>
            <w:t>505</w:t>
          </w:r>
          <w:r w:rsidR="008F3A23" w:rsidRPr="008F3A23">
            <w:rPr>
              <w:rFonts w:ascii="Palatino Linotype" w:hAnsi="Palatino Linotype"/>
              <w:bCs/>
              <w:lang w:val="es-MX"/>
            </w:rPr>
            <w:t>/INFOEM/IP/RR/202</w:t>
          </w:r>
          <w:r w:rsidR="004A580F">
            <w:rPr>
              <w:rFonts w:ascii="Palatino Linotype" w:hAnsi="Palatino Linotype"/>
              <w:bCs/>
              <w:lang w:val="es-MX"/>
            </w:rPr>
            <w:t>3</w:t>
          </w:r>
        </w:p>
        <w:p w14:paraId="5E3AC219" w14:textId="67850AFB" w:rsidR="00A65C49" w:rsidRDefault="00CF3C6E"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810C40" w:rsidRPr="00810C40">
            <w:rPr>
              <w:rFonts w:ascii="Palatino Linotype" w:hAnsi="Palatino Linotype"/>
              <w:lang w:val="es-ES_tradnl"/>
            </w:rPr>
            <w:t>Ayuntamiento de Cuautitlán Izcalli</w:t>
          </w:r>
        </w:p>
        <w:p w14:paraId="44AC2335" w14:textId="7DBA1DD4" w:rsidR="00A65C49" w:rsidRDefault="00CF3C6E" w:rsidP="00201767">
          <w:pPr>
            <w:pStyle w:val="Encabezado"/>
            <w:ind w:left="-108"/>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810C40">
            <w:rPr>
              <w:rFonts w:ascii="Palatino Linotype" w:hAnsi="Palatino Linotype" w:cs="Arial"/>
              <w:bCs/>
              <w:szCs w:val="20"/>
              <w:lang w:val="es-ES_tradnl"/>
            </w:rPr>
            <w:t>José Martínez Vilchis</w:t>
          </w:r>
        </w:p>
        <w:p w14:paraId="02CA71E9" w14:textId="07117B19" w:rsidR="00201767" w:rsidRPr="009A041C" w:rsidRDefault="00201767" w:rsidP="00201767">
          <w:pPr>
            <w:pStyle w:val="Encabezado"/>
            <w:ind w:left="-108"/>
            <w:jc w:val="both"/>
            <w:rPr>
              <w:rFonts w:ascii="Palatino Linotype" w:hAnsi="Palatino Linotype" w:cs="Arial"/>
              <w:szCs w:val="20"/>
            </w:rPr>
          </w:pPr>
        </w:p>
      </w:tc>
    </w:tr>
  </w:tbl>
  <w:p w14:paraId="00CD25FA" w14:textId="77777777" w:rsidR="00A65C49" w:rsidRPr="001106EA" w:rsidRDefault="00A65C49">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AD"/>
    <w:rsid w:val="000038F8"/>
    <w:rsid w:val="00041703"/>
    <w:rsid w:val="00050538"/>
    <w:rsid w:val="00057899"/>
    <w:rsid w:val="00063277"/>
    <w:rsid w:val="00067E1E"/>
    <w:rsid w:val="00092361"/>
    <w:rsid w:val="000B239D"/>
    <w:rsid w:val="000C1129"/>
    <w:rsid w:val="000D1412"/>
    <w:rsid w:val="000D5C7C"/>
    <w:rsid w:val="000E1F87"/>
    <w:rsid w:val="000E7959"/>
    <w:rsid w:val="000F3E52"/>
    <w:rsid w:val="0010533B"/>
    <w:rsid w:val="00117595"/>
    <w:rsid w:val="00140578"/>
    <w:rsid w:val="001520CB"/>
    <w:rsid w:val="001665FB"/>
    <w:rsid w:val="00183BEF"/>
    <w:rsid w:val="001B50FA"/>
    <w:rsid w:val="001D1748"/>
    <w:rsid w:val="001E2151"/>
    <w:rsid w:val="001F09DE"/>
    <w:rsid w:val="00201767"/>
    <w:rsid w:val="00240774"/>
    <w:rsid w:val="0024286D"/>
    <w:rsid w:val="00245F8E"/>
    <w:rsid w:val="00255AA8"/>
    <w:rsid w:val="002702D4"/>
    <w:rsid w:val="002712FE"/>
    <w:rsid w:val="00271E68"/>
    <w:rsid w:val="002850C4"/>
    <w:rsid w:val="00292B29"/>
    <w:rsid w:val="00294279"/>
    <w:rsid w:val="00313980"/>
    <w:rsid w:val="0032105B"/>
    <w:rsid w:val="003247C4"/>
    <w:rsid w:val="0032493A"/>
    <w:rsid w:val="0033652D"/>
    <w:rsid w:val="00344DD5"/>
    <w:rsid w:val="0034655F"/>
    <w:rsid w:val="003601C4"/>
    <w:rsid w:val="00372E35"/>
    <w:rsid w:val="0039348A"/>
    <w:rsid w:val="00394936"/>
    <w:rsid w:val="00395B07"/>
    <w:rsid w:val="003A62CB"/>
    <w:rsid w:val="003B215E"/>
    <w:rsid w:val="003C7677"/>
    <w:rsid w:val="003D6A8B"/>
    <w:rsid w:val="004005C5"/>
    <w:rsid w:val="00400D5A"/>
    <w:rsid w:val="00415AAB"/>
    <w:rsid w:val="00417AC1"/>
    <w:rsid w:val="00462A67"/>
    <w:rsid w:val="0046725B"/>
    <w:rsid w:val="004806E8"/>
    <w:rsid w:val="00495CCD"/>
    <w:rsid w:val="004A580F"/>
    <w:rsid w:val="004A6197"/>
    <w:rsid w:val="004D1E7C"/>
    <w:rsid w:val="00501B56"/>
    <w:rsid w:val="005022AF"/>
    <w:rsid w:val="00512653"/>
    <w:rsid w:val="00513084"/>
    <w:rsid w:val="00534890"/>
    <w:rsid w:val="00535341"/>
    <w:rsid w:val="0053759D"/>
    <w:rsid w:val="005455F4"/>
    <w:rsid w:val="005513AA"/>
    <w:rsid w:val="0055215F"/>
    <w:rsid w:val="005527AD"/>
    <w:rsid w:val="00564133"/>
    <w:rsid w:val="0058001B"/>
    <w:rsid w:val="00581AD5"/>
    <w:rsid w:val="00583254"/>
    <w:rsid w:val="0059043C"/>
    <w:rsid w:val="005B1050"/>
    <w:rsid w:val="005B34A5"/>
    <w:rsid w:val="005B4376"/>
    <w:rsid w:val="005C09B7"/>
    <w:rsid w:val="005C6EDE"/>
    <w:rsid w:val="005D3B67"/>
    <w:rsid w:val="005E10F4"/>
    <w:rsid w:val="005E2F6E"/>
    <w:rsid w:val="005E7E11"/>
    <w:rsid w:val="005F4E58"/>
    <w:rsid w:val="00612AE0"/>
    <w:rsid w:val="006304ED"/>
    <w:rsid w:val="00630E63"/>
    <w:rsid w:val="00655216"/>
    <w:rsid w:val="00655B0E"/>
    <w:rsid w:val="00656A8D"/>
    <w:rsid w:val="006641D6"/>
    <w:rsid w:val="006915AD"/>
    <w:rsid w:val="00693A28"/>
    <w:rsid w:val="006B0BD8"/>
    <w:rsid w:val="006B3B77"/>
    <w:rsid w:val="006B6DD2"/>
    <w:rsid w:val="006C6D98"/>
    <w:rsid w:val="006D201D"/>
    <w:rsid w:val="006D4F56"/>
    <w:rsid w:val="006F615C"/>
    <w:rsid w:val="006F7A9C"/>
    <w:rsid w:val="00714251"/>
    <w:rsid w:val="007421D4"/>
    <w:rsid w:val="00746987"/>
    <w:rsid w:val="00766E3C"/>
    <w:rsid w:val="0077763B"/>
    <w:rsid w:val="007827AD"/>
    <w:rsid w:val="0078384E"/>
    <w:rsid w:val="007875A9"/>
    <w:rsid w:val="0079463E"/>
    <w:rsid w:val="00795616"/>
    <w:rsid w:val="007A2CE5"/>
    <w:rsid w:val="007B12A8"/>
    <w:rsid w:val="007C1142"/>
    <w:rsid w:val="007C1B77"/>
    <w:rsid w:val="007F369F"/>
    <w:rsid w:val="00810C40"/>
    <w:rsid w:val="00816994"/>
    <w:rsid w:val="00836BC1"/>
    <w:rsid w:val="008429BE"/>
    <w:rsid w:val="00851D1A"/>
    <w:rsid w:val="00861657"/>
    <w:rsid w:val="00872DD1"/>
    <w:rsid w:val="008730C6"/>
    <w:rsid w:val="008744D9"/>
    <w:rsid w:val="00877721"/>
    <w:rsid w:val="00892A93"/>
    <w:rsid w:val="008952E3"/>
    <w:rsid w:val="00895844"/>
    <w:rsid w:val="00896050"/>
    <w:rsid w:val="008963A5"/>
    <w:rsid w:val="0089744B"/>
    <w:rsid w:val="008A4EF3"/>
    <w:rsid w:val="008B12E1"/>
    <w:rsid w:val="008B2B06"/>
    <w:rsid w:val="008B648B"/>
    <w:rsid w:val="008B7A5A"/>
    <w:rsid w:val="008C188C"/>
    <w:rsid w:val="008D6D98"/>
    <w:rsid w:val="008F3A23"/>
    <w:rsid w:val="0090170F"/>
    <w:rsid w:val="009049C4"/>
    <w:rsid w:val="00913549"/>
    <w:rsid w:val="00921126"/>
    <w:rsid w:val="00943B05"/>
    <w:rsid w:val="00944699"/>
    <w:rsid w:val="00960B81"/>
    <w:rsid w:val="00980CCA"/>
    <w:rsid w:val="00985D47"/>
    <w:rsid w:val="009C54EB"/>
    <w:rsid w:val="009E0C62"/>
    <w:rsid w:val="009E2939"/>
    <w:rsid w:val="009F7BA9"/>
    <w:rsid w:val="00A07706"/>
    <w:rsid w:val="00A62F3D"/>
    <w:rsid w:val="00A65C49"/>
    <w:rsid w:val="00A86C97"/>
    <w:rsid w:val="00A90ECB"/>
    <w:rsid w:val="00A956C2"/>
    <w:rsid w:val="00AA5E21"/>
    <w:rsid w:val="00AB318A"/>
    <w:rsid w:val="00AD3DB2"/>
    <w:rsid w:val="00AD520B"/>
    <w:rsid w:val="00AE11BB"/>
    <w:rsid w:val="00AE37FE"/>
    <w:rsid w:val="00AF500A"/>
    <w:rsid w:val="00B14B78"/>
    <w:rsid w:val="00B212DB"/>
    <w:rsid w:val="00B344FD"/>
    <w:rsid w:val="00B45790"/>
    <w:rsid w:val="00B53D0D"/>
    <w:rsid w:val="00B7353E"/>
    <w:rsid w:val="00B7368B"/>
    <w:rsid w:val="00B77DCA"/>
    <w:rsid w:val="00B86838"/>
    <w:rsid w:val="00B9589A"/>
    <w:rsid w:val="00B976E2"/>
    <w:rsid w:val="00BA3B4E"/>
    <w:rsid w:val="00BE302D"/>
    <w:rsid w:val="00BF6772"/>
    <w:rsid w:val="00C12762"/>
    <w:rsid w:val="00C2465F"/>
    <w:rsid w:val="00C25313"/>
    <w:rsid w:val="00C30B80"/>
    <w:rsid w:val="00C34B57"/>
    <w:rsid w:val="00C35398"/>
    <w:rsid w:val="00C36809"/>
    <w:rsid w:val="00C42FFE"/>
    <w:rsid w:val="00C43F86"/>
    <w:rsid w:val="00C72E0D"/>
    <w:rsid w:val="00C84546"/>
    <w:rsid w:val="00CD09A9"/>
    <w:rsid w:val="00CD20B2"/>
    <w:rsid w:val="00CD6925"/>
    <w:rsid w:val="00CE398F"/>
    <w:rsid w:val="00CF01F0"/>
    <w:rsid w:val="00CF3C6E"/>
    <w:rsid w:val="00D037A0"/>
    <w:rsid w:val="00D1679D"/>
    <w:rsid w:val="00D1733B"/>
    <w:rsid w:val="00D2553E"/>
    <w:rsid w:val="00D515C2"/>
    <w:rsid w:val="00D5650D"/>
    <w:rsid w:val="00D57B68"/>
    <w:rsid w:val="00D63B60"/>
    <w:rsid w:val="00D70906"/>
    <w:rsid w:val="00D70EA7"/>
    <w:rsid w:val="00D867B8"/>
    <w:rsid w:val="00DA6991"/>
    <w:rsid w:val="00DD5D6E"/>
    <w:rsid w:val="00DF4F96"/>
    <w:rsid w:val="00DF6298"/>
    <w:rsid w:val="00E07410"/>
    <w:rsid w:val="00E34C7A"/>
    <w:rsid w:val="00E510E8"/>
    <w:rsid w:val="00E84F6B"/>
    <w:rsid w:val="00E91F1B"/>
    <w:rsid w:val="00E93893"/>
    <w:rsid w:val="00EA0DC2"/>
    <w:rsid w:val="00ED238A"/>
    <w:rsid w:val="00ED49D3"/>
    <w:rsid w:val="00ED5836"/>
    <w:rsid w:val="00EE42A5"/>
    <w:rsid w:val="00EE4EBB"/>
    <w:rsid w:val="00F10CE0"/>
    <w:rsid w:val="00F1502B"/>
    <w:rsid w:val="00F163DC"/>
    <w:rsid w:val="00F25B2A"/>
    <w:rsid w:val="00F3411E"/>
    <w:rsid w:val="00F50697"/>
    <w:rsid w:val="00F534F4"/>
    <w:rsid w:val="00F64FA5"/>
    <w:rsid w:val="00F817F0"/>
    <w:rsid w:val="00F81D5D"/>
    <w:rsid w:val="00F830EC"/>
    <w:rsid w:val="00F86C6C"/>
    <w:rsid w:val="00F94829"/>
    <w:rsid w:val="00F95FC0"/>
    <w:rsid w:val="00FA4133"/>
    <w:rsid w:val="00FE2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E394C"/>
  <w15:chartTrackingRefBased/>
  <w15:docId w15:val="{1C0B73DD-60AE-47AD-9F43-54E5E66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7A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7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7AD"/>
    <w:rPr>
      <w:lang w:val="es-ES"/>
    </w:rPr>
  </w:style>
  <w:style w:type="paragraph" w:styleId="Piedepgina">
    <w:name w:val="footer"/>
    <w:basedOn w:val="Normal"/>
    <w:link w:val="PiedepginaCar"/>
    <w:uiPriority w:val="99"/>
    <w:unhideWhenUsed/>
    <w:rsid w:val="005527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7AD"/>
    <w:rPr>
      <w:lang w:val="es-ES"/>
    </w:rPr>
  </w:style>
  <w:style w:type="table" w:styleId="Tablaconcuadrcula">
    <w:name w:val="Table Grid"/>
    <w:basedOn w:val="Tablanormal"/>
    <w:uiPriority w:val="59"/>
    <w:rsid w:val="005527A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655B0E"/>
  </w:style>
  <w:style w:type="character" w:styleId="Hipervnculo">
    <w:name w:val="Hyperlink"/>
    <w:basedOn w:val="Fuentedeprrafopredeter"/>
    <w:uiPriority w:val="99"/>
    <w:unhideWhenUsed/>
    <w:rsid w:val="00D70906"/>
    <w:rPr>
      <w:color w:val="0563C1" w:themeColor="hyperlink"/>
      <w:u w:val="single"/>
    </w:rPr>
  </w:style>
  <w:style w:type="character" w:customStyle="1" w:styleId="Mencinsinresolver1">
    <w:name w:val="Mención sin resolver1"/>
    <w:basedOn w:val="Fuentedeprrafopredeter"/>
    <w:uiPriority w:val="99"/>
    <w:semiHidden/>
    <w:unhideWhenUsed/>
    <w:rsid w:val="00D70906"/>
    <w:rPr>
      <w:color w:val="605E5C"/>
      <w:shd w:val="clear" w:color="auto" w:fill="E1DFDD"/>
    </w:rPr>
  </w:style>
  <w:style w:type="paragraph" w:styleId="Prrafodelista">
    <w:name w:val="List Paragraph"/>
    <w:basedOn w:val="Normal"/>
    <w:uiPriority w:val="34"/>
    <w:qFormat/>
    <w:rsid w:val="00E91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215">
      <w:bodyDiv w:val="1"/>
      <w:marLeft w:val="0"/>
      <w:marRight w:val="0"/>
      <w:marTop w:val="0"/>
      <w:marBottom w:val="0"/>
      <w:divBdr>
        <w:top w:val="none" w:sz="0" w:space="0" w:color="auto"/>
        <w:left w:val="none" w:sz="0" w:space="0" w:color="auto"/>
        <w:bottom w:val="none" w:sz="0" w:space="0" w:color="auto"/>
        <w:right w:val="none" w:sz="0" w:space="0" w:color="auto"/>
      </w:divBdr>
    </w:div>
    <w:div w:id="16171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1253</Words>
  <Characters>6893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Sandra Ivette Razo De La Paz</cp:lastModifiedBy>
  <cp:revision>3</cp:revision>
  <cp:lastPrinted>2023-07-31T18:24:00Z</cp:lastPrinted>
  <dcterms:created xsi:type="dcterms:W3CDTF">2023-09-17T04:37:00Z</dcterms:created>
  <dcterms:modified xsi:type="dcterms:W3CDTF">2023-09-17T04:54:00Z</dcterms:modified>
</cp:coreProperties>
</file>