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1D6A9" w14:textId="081A43D8" w:rsidR="00E97758" w:rsidRDefault="00E97758" w:rsidP="00E97758">
      <w:pPr>
        <w:spacing w:after="0" w:line="360" w:lineRule="auto"/>
        <w:jc w:val="both"/>
        <w:rPr>
          <w:rFonts w:ascii="Palatino Linotype" w:hAnsi="Palatino Linotype" w:cs="Arial"/>
          <w:b/>
          <w:sz w:val="24"/>
          <w:szCs w:val="24"/>
        </w:rPr>
      </w:pPr>
      <w:r w:rsidRPr="00FB6D9A">
        <w:rPr>
          <w:rFonts w:ascii="Palatino Linotype" w:hAnsi="Palatino Linotype" w:cs="Arial"/>
          <w:b/>
          <w:sz w:val="24"/>
          <w:szCs w:val="24"/>
        </w:rPr>
        <w:t xml:space="preserve">VOTO </w:t>
      </w:r>
      <w:r>
        <w:rPr>
          <w:rFonts w:ascii="Palatino Linotype" w:hAnsi="Palatino Linotype" w:cs="Arial"/>
          <w:b/>
          <w:sz w:val="24"/>
          <w:szCs w:val="24"/>
        </w:rPr>
        <w:t>DISIDENTE</w:t>
      </w:r>
      <w:r w:rsidR="001A1ECB">
        <w:rPr>
          <w:rFonts w:ascii="Palatino Linotype" w:hAnsi="Palatino Linotype" w:cs="Arial"/>
          <w:b/>
          <w:sz w:val="24"/>
          <w:szCs w:val="24"/>
        </w:rPr>
        <w:t xml:space="preserve"> DE LA COMISIONADA</w:t>
      </w:r>
      <w:r w:rsidRPr="00FB6D9A">
        <w:rPr>
          <w:rFonts w:ascii="Palatino Linotype" w:hAnsi="Palatino Linotype" w:cs="Arial"/>
          <w:b/>
          <w:sz w:val="24"/>
          <w:szCs w:val="24"/>
        </w:rPr>
        <w:t xml:space="preserve"> </w:t>
      </w:r>
      <w:r w:rsidR="001A1ECB">
        <w:rPr>
          <w:rFonts w:ascii="Palatino Linotype" w:hAnsi="Palatino Linotype" w:cs="Arial"/>
          <w:b/>
          <w:sz w:val="24"/>
          <w:szCs w:val="24"/>
        </w:rPr>
        <w:t>MARÍA DEL ROSARIO MEJIA AYALA</w:t>
      </w:r>
      <w:r w:rsidRPr="00FB6D9A">
        <w:rPr>
          <w:rFonts w:ascii="Palatino Linotype" w:hAnsi="Palatino Linotype" w:cs="Arial"/>
          <w:b/>
          <w:sz w:val="24"/>
          <w:szCs w:val="24"/>
        </w:rPr>
        <w:t xml:space="preserve"> EN EL RECURSO DE REVISIÓN </w:t>
      </w:r>
      <w:r w:rsidR="00A17BB0">
        <w:rPr>
          <w:rFonts w:ascii="Palatino Linotype" w:eastAsia="Palatino Linotype" w:hAnsi="Palatino Linotype" w:cs="Palatino Linotype"/>
          <w:b/>
        </w:rPr>
        <w:t>00824/INFOEM/IP/RR/2023</w:t>
      </w:r>
      <w:r w:rsidR="00201359">
        <w:rPr>
          <w:rFonts w:ascii="Palatino Linotype" w:hAnsi="Palatino Linotype" w:cs="Arial"/>
          <w:b/>
          <w:sz w:val="24"/>
          <w:szCs w:val="24"/>
        </w:rPr>
        <w:t>.</w:t>
      </w:r>
    </w:p>
    <w:p w14:paraId="2724EDEF" w14:textId="77777777" w:rsidR="00E97758" w:rsidRDefault="00E97758" w:rsidP="00E97758">
      <w:pPr>
        <w:spacing w:after="0" w:line="360" w:lineRule="auto"/>
        <w:jc w:val="both"/>
        <w:rPr>
          <w:rFonts w:ascii="Palatino Linotype" w:hAnsi="Palatino Linotype" w:cs="Arial"/>
          <w:b/>
          <w:sz w:val="24"/>
          <w:szCs w:val="24"/>
        </w:rPr>
      </w:pPr>
    </w:p>
    <w:p w14:paraId="030020FA" w14:textId="5A5E6CEB" w:rsidR="00E97758" w:rsidRPr="002A43BC" w:rsidRDefault="00E97758" w:rsidP="0027224D">
      <w:pPr>
        <w:keepNext/>
        <w:keepLines/>
        <w:pBdr>
          <w:top w:val="nil"/>
          <w:left w:val="nil"/>
          <w:bottom w:val="nil"/>
          <w:right w:val="nil"/>
          <w:between w:val="nil"/>
          <w:bar w:val="nil"/>
        </w:pBdr>
        <w:spacing w:after="0" w:line="360" w:lineRule="auto"/>
        <w:jc w:val="center"/>
        <w:outlineLvl w:val="0"/>
        <w:rPr>
          <w:rFonts w:ascii="Palatino Linotype" w:eastAsiaTheme="majorEastAsia" w:hAnsi="Palatino Linotype" w:cstheme="majorBidi"/>
          <w:b/>
          <w:sz w:val="24"/>
          <w:szCs w:val="24"/>
          <w:bdr w:val="nil"/>
        </w:rPr>
      </w:pPr>
      <w:bookmarkStart w:id="0" w:name="_Toc9873529"/>
      <w:bookmarkStart w:id="1" w:name="_Toc21366012"/>
      <w:r w:rsidRPr="002A43BC">
        <w:rPr>
          <w:rFonts w:ascii="Palatino Linotype" w:eastAsiaTheme="majorEastAsia" w:hAnsi="Palatino Linotype" w:cstheme="majorBidi"/>
          <w:b/>
          <w:sz w:val="24"/>
          <w:szCs w:val="24"/>
          <w:bdr w:val="nil"/>
        </w:rPr>
        <w:t>Consideraciones Generales.</w:t>
      </w:r>
      <w:bookmarkEnd w:id="0"/>
      <w:bookmarkEnd w:id="1"/>
    </w:p>
    <w:p w14:paraId="36FDBD56" w14:textId="3085FCB3" w:rsidR="00E97758" w:rsidRPr="00DF6B35" w:rsidRDefault="00196054" w:rsidP="00E97758">
      <w:pPr>
        <w:spacing w:after="0" w:line="360" w:lineRule="auto"/>
        <w:rPr>
          <w:b/>
          <w:bCs/>
        </w:rPr>
      </w:pPr>
      <w:r>
        <w:rPr>
          <w:b/>
          <w:bCs/>
        </w:rPr>
        <w:t xml:space="preserve"> </w:t>
      </w:r>
    </w:p>
    <w:p w14:paraId="3F554DA8" w14:textId="181C4D48" w:rsidR="00E97758" w:rsidRPr="00213603" w:rsidRDefault="001A1ECB" w:rsidP="00A17BB0">
      <w:pPr>
        <w:spacing w:after="0" w:line="360" w:lineRule="auto"/>
        <w:contextualSpacing/>
        <w:jc w:val="both"/>
        <w:rPr>
          <w:rFonts w:ascii="Palatino Linotype" w:eastAsia="Calibri" w:hAnsi="Palatino Linotype" w:cs="Arial"/>
          <w:sz w:val="24"/>
          <w:szCs w:val="24"/>
          <w:lang w:val="es-ES" w:eastAsia="es-ES"/>
        </w:rPr>
      </w:pPr>
      <w:r>
        <w:rPr>
          <w:rFonts w:ascii="Palatino Linotype" w:eastAsia="Times New Roman" w:hAnsi="Palatino Linotype" w:cs="Arial"/>
          <w:color w:val="000000" w:themeColor="text1"/>
          <w:sz w:val="24"/>
          <w:szCs w:val="24"/>
          <w:bdr w:val="nil"/>
          <w:lang w:val="es-ES_tradnl"/>
        </w:rPr>
        <w:t>S</w:t>
      </w:r>
      <w:r w:rsidR="00E97758" w:rsidRPr="002A43BC">
        <w:rPr>
          <w:rFonts w:ascii="Palatino Linotype" w:eastAsia="Times New Roman" w:hAnsi="Palatino Linotype" w:cs="Arial"/>
          <w:color w:val="000000" w:themeColor="text1"/>
          <w:sz w:val="24"/>
          <w:szCs w:val="24"/>
          <w:bdr w:val="nil"/>
          <w:lang w:val="es-ES_tradnl"/>
        </w:rPr>
        <w:t xml:space="preserve">e </w:t>
      </w:r>
      <w:r>
        <w:rPr>
          <w:rFonts w:ascii="Palatino Linotype" w:eastAsia="Times New Roman" w:hAnsi="Palatino Linotype" w:cs="Arial"/>
          <w:color w:val="000000" w:themeColor="text1"/>
          <w:sz w:val="24"/>
          <w:szCs w:val="24"/>
          <w:bdr w:val="nil"/>
          <w:lang w:val="es-ES_tradnl"/>
        </w:rPr>
        <w:t xml:space="preserve">emite el </w:t>
      </w:r>
      <w:r w:rsidR="00E97758" w:rsidRPr="002A43BC">
        <w:rPr>
          <w:rFonts w:ascii="Palatino Linotype" w:eastAsia="Times New Roman" w:hAnsi="Palatino Linotype" w:cs="Arial"/>
          <w:color w:val="000000" w:themeColor="text1"/>
          <w:sz w:val="24"/>
          <w:szCs w:val="24"/>
          <w:bdr w:val="nil"/>
          <w:lang w:val="es-ES_tradnl"/>
        </w:rPr>
        <w:t xml:space="preserve"> voto disidente de la presente resolución </w:t>
      </w:r>
      <w:r w:rsidR="00213603">
        <w:rPr>
          <w:rFonts w:ascii="Palatino Linotype" w:eastAsia="Times New Roman" w:hAnsi="Palatino Linotype" w:cs="Arial"/>
          <w:color w:val="000000" w:themeColor="text1"/>
          <w:sz w:val="24"/>
          <w:szCs w:val="24"/>
          <w:bdr w:val="nil"/>
          <w:lang w:val="es-ES_tradnl"/>
        </w:rPr>
        <w:t xml:space="preserve"> aprobada por mayoría de votos</w:t>
      </w:r>
      <w:r w:rsidR="00E97758" w:rsidRPr="002A43BC">
        <w:rPr>
          <w:rFonts w:ascii="Palatino Linotype" w:eastAsia="Times New Roman" w:hAnsi="Palatino Linotype" w:cs="Arial"/>
          <w:color w:val="000000" w:themeColor="text1"/>
          <w:sz w:val="24"/>
          <w:szCs w:val="24"/>
          <w:bdr w:val="nil"/>
          <w:lang w:val="es-ES_tradnl"/>
        </w:rPr>
        <w:t xml:space="preserve"> </w:t>
      </w:r>
      <w:r w:rsidR="00E97758" w:rsidRPr="002A43BC">
        <w:rPr>
          <w:rFonts w:ascii="Palatino Linotype" w:eastAsia="Arial Unicode MS" w:hAnsi="Palatino Linotype" w:cs="Arial"/>
          <w:color w:val="000000" w:themeColor="text1"/>
          <w:sz w:val="24"/>
          <w:szCs w:val="24"/>
          <w:bdr w:val="nil"/>
        </w:rPr>
        <w:t xml:space="preserve">por el Pleno del Instituto de Transparencia, Acceso a la Información Pública y Protección de Datos Personales del Estado de México y Municipios, en su </w:t>
      </w:r>
      <w:r w:rsidR="00A17BB0">
        <w:rPr>
          <w:rFonts w:ascii="Palatino Linotype" w:eastAsia="Palatino Linotype" w:hAnsi="Palatino Linotype" w:cs="Palatino Linotype"/>
        </w:rPr>
        <w:t>Décima Novena Sesión Ordinaria celebrada el veinticuatro de mayo de dos mil veintitrés</w:t>
      </w:r>
      <w:r w:rsidR="00A17BB0" w:rsidRPr="002A43BC">
        <w:rPr>
          <w:rFonts w:ascii="Palatino Linotype" w:eastAsia="Arial Unicode MS" w:hAnsi="Palatino Linotype" w:cs="Arial"/>
          <w:color w:val="000000" w:themeColor="text1"/>
          <w:sz w:val="24"/>
          <w:szCs w:val="24"/>
          <w:bdr w:val="nil"/>
        </w:rPr>
        <w:t xml:space="preserve">, </w:t>
      </w:r>
      <w:r w:rsidR="00E97758" w:rsidRPr="002A43BC">
        <w:rPr>
          <w:rFonts w:ascii="Palatino Linotype" w:eastAsia="Arial Unicode MS" w:hAnsi="Palatino Linotype" w:cs="Arial"/>
          <w:color w:val="000000" w:themeColor="text1"/>
          <w:sz w:val="24"/>
          <w:szCs w:val="24"/>
          <w:bdr w:val="nil"/>
        </w:rPr>
        <w:t xml:space="preserve">en el recurso de revisión promovido por </w:t>
      </w:r>
      <w:r w:rsidR="00A17BB0">
        <w:rPr>
          <w:rFonts w:ascii="Palatino Linotype" w:eastAsia="Palatino Linotype" w:hAnsi="Palatino Linotype" w:cs="Palatino Linotype"/>
          <w:b/>
        </w:rPr>
        <w:t>Anónimo</w:t>
      </w:r>
      <w:r w:rsidRPr="001A1ECB">
        <w:rPr>
          <w:rFonts w:ascii="Palatino Linotype" w:eastAsia="Arial Unicode MS" w:hAnsi="Palatino Linotype" w:cs="Arial"/>
          <w:b/>
          <w:color w:val="000000" w:themeColor="text1"/>
          <w:sz w:val="24"/>
          <w:szCs w:val="24"/>
          <w:bdr w:val="nil"/>
        </w:rPr>
        <w:t>,</w:t>
      </w:r>
      <w:r>
        <w:rPr>
          <w:rFonts w:ascii="Palatino Linotype" w:eastAsia="Arial Unicode MS" w:hAnsi="Palatino Linotype" w:cs="Arial"/>
          <w:color w:val="000000" w:themeColor="text1"/>
          <w:sz w:val="24"/>
          <w:szCs w:val="24"/>
          <w:bdr w:val="nil"/>
        </w:rPr>
        <w:t xml:space="preserve"> </w:t>
      </w:r>
      <w:r w:rsidR="00E97758" w:rsidRPr="002A43BC">
        <w:rPr>
          <w:rFonts w:ascii="Palatino Linotype" w:eastAsia="Arial Unicode MS" w:hAnsi="Palatino Linotype" w:cs="Times New Roman"/>
          <w:sz w:val="24"/>
          <w:szCs w:val="24"/>
          <w:bdr w:val="nil"/>
        </w:rPr>
        <w:t>en contra de</w:t>
      </w:r>
      <w:r w:rsidR="006E10FC">
        <w:rPr>
          <w:rFonts w:ascii="Palatino Linotype" w:eastAsia="Arial Unicode MS" w:hAnsi="Palatino Linotype" w:cs="Times New Roman"/>
          <w:sz w:val="24"/>
          <w:szCs w:val="24"/>
          <w:bdr w:val="nil"/>
        </w:rPr>
        <w:t xml:space="preserve"> </w:t>
      </w:r>
      <w:r w:rsidR="00E97758">
        <w:rPr>
          <w:rFonts w:ascii="Palatino Linotype" w:eastAsia="Arial Unicode MS" w:hAnsi="Palatino Linotype" w:cs="Times New Roman"/>
          <w:sz w:val="24"/>
          <w:szCs w:val="24"/>
          <w:bdr w:val="nil"/>
        </w:rPr>
        <w:t>l</w:t>
      </w:r>
      <w:r w:rsidR="006E10FC">
        <w:rPr>
          <w:rFonts w:ascii="Palatino Linotype" w:eastAsia="Arial Unicode MS" w:hAnsi="Palatino Linotype" w:cs="Times New Roman"/>
          <w:sz w:val="24"/>
          <w:szCs w:val="24"/>
          <w:bdr w:val="nil"/>
        </w:rPr>
        <w:t>a</w:t>
      </w:r>
      <w:r w:rsidR="00E97758">
        <w:rPr>
          <w:rFonts w:ascii="Palatino Linotype" w:eastAsia="Arial Unicode MS" w:hAnsi="Palatino Linotype" w:cs="Times New Roman"/>
          <w:sz w:val="24"/>
          <w:szCs w:val="24"/>
          <w:bdr w:val="nil"/>
        </w:rPr>
        <w:t xml:space="preserve"> </w:t>
      </w:r>
      <w:r w:rsidR="00A17BB0">
        <w:rPr>
          <w:rFonts w:ascii="Palatino Linotype" w:eastAsia="Palatino Linotype" w:hAnsi="Palatino Linotype" w:cs="Palatino Linotype"/>
          <w:b/>
        </w:rPr>
        <w:t xml:space="preserve">Secretaría de Seguridad, </w:t>
      </w:r>
      <w:r w:rsidR="00E97758" w:rsidRPr="002A43BC">
        <w:rPr>
          <w:rFonts w:ascii="Palatino Linotype" w:eastAsia="Arial Unicode MS" w:hAnsi="Palatino Linotype" w:cs="Arial"/>
          <w:color w:val="000000" w:themeColor="text1"/>
          <w:sz w:val="24"/>
          <w:szCs w:val="24"/>
          <w:bdr w:val="nil"/>
        </w:rPr>
        <w:t xml:space="preserve">procedimiento al que se le asignó el número de expediente </w:t>
      </w:r>
      <w:r w:rsidR="00A17BB0">
        <w:rPr>
          <w:rFonts w:ascii="Palatino Linotype" w:eastAsia="Palatino Linotype" w:hAnsi="Palatino Linotype" w:cs="Palatino Linotype"/>
          <w:b/>
        </w:rPr>
        <w:t>00824/INFOEM/IP/RR/2023</w:t>
      </w:r>
      <w:r w:rsidR="0027773D">
        <w:rPr>
          <w:rFonts w:ascii="Palatino Linotype" w:eastAsia="Arial Unicode MS" w:hAnsi="Palatino Linotype" w:cs="Times New Roman"/>
          <w:b/>
          <w:sz w:val="24"/>
          <w:szCs w:val="24"/>
          <w:bdr w:val="nil"/>
        </w:rPr>
        <w:t xml:space="preserve">. </w:t>
      </w:r>
    </w:p>
    <w:p w14:paraId="4DE98749"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03B7FAF6" w14:textId="7A3AA2A8" w:rsidR="00A17BB0" w:rsidRDefault="00A17BB0" w:rsidP="00A17BB0">
      <w:pPr>
        <w:spacing w:line="360" w:lineRule="auto"/>
        <w:jc w:val="both"/>
        <w:rPr>
          <w:rFonts w:ascii="Palatino Linotype" w:hAnsi="Palatino Linotype" w:cs="Arial"/>
        </w:rPr>
      </w:pPr>
      <w:r>
        <w:rPr>
          <w:rFonts w:ascii="Palatino Linotype" w:eastAsia="Calibri" w:hAnsi="Palatino Linotype"/>
          <w:bCs/>
        </w:rPr>
        <w:t>El</w:t>
      </w:r>
      <w:r>
        <w:rPr>
          <w:rFonts w:ascii="Palatino Linotype" w:eastAsia="Calibri" w:hAnsi="Palatino Linotype"/>
          <w:b/>
        </w:rPr>
        <w:t xml:space="preserve"> RECURRENTE </w:t>
      </w:r>
      <w:r>
        <w:rPr>
          <w:rFonts w:ascii="Palatino Linotype" w:eastAsia="Calibri" w:hAnsi="Palatino Linotype"/>
          <w:bCs/>
        </w:rPr>
        <w:t>presentó</w:t>
      </w:r>
      <w:r>
        <w:rPr>
          <w:rFonts w:ascii="Palatino Linotype" w:eastAsia="Calibri" w:hAnsi="Palatino Linotype" w:cs="Arial"/>
        </w:rPr>
        <w:t xml:space="preserve"> vía Sistema de Acceso a la Información Mexiquense (</w:t>
      </w:r>
      <w:r>
        <w:rPr>
          <w:rFonts w:ascii="Palatino Linotype" w:eastAsia="Calibri" w:hAnsi="Palatino Linotype" w:cs="Arial"/>
          <w:b/>
        </w:rPr>
        <w:t>SAIMEX)</w:t>
      </w:r>
      <w:r>
        <w:rPr>
          <w:rFonts w:ascii="Palatino Linotype" w:eastAsia="Calibri" w:hAnsi="Palatino Linotype" w:cs="Arial"/>
        </w:rPr>
        <w:t xml:space="preserve">, la solicitud de información pública registrada con </w:t>
      </w:r>
      <w:r>
        <w:rPr>
          <w:rFonts w:ascii="Palatino Linotype" w:eastAsia="Calibri" w:hAnsi="Palatino Linotype" w:cs="Arial"/>
          <w:color w:val="000000" w:themeColor="text1"/>
        </w:rPr>
        <w:t xml:space="preserve">el número </w:t>
      </w:r>
      <w:r>
        <w:rPr>
          <w:rFonts w:ascii="Palatino Linotype" w:eastAsia="Calibri" w:hAnsi="Palatino Linotype" w:cs="Arial"/>
          <w:b/>
          <w:bCs/>
          <w:color w:val="000000" w:themeColor="text1"/>
        </w:rPr>
        <w:t> </w:t>
      </w:r>
      <w:r>
        <w:rPr>
          <w:rFonts w:ascii="Palatino Linotype" w:eastAsia="Palatino Linotype" w:hAnsi="Palatino Linotype" w:cs="Palatino Linotype"/>
          <w:b/>
        </w:rPr>
        <w:t>00042/SSEM/IP/2023</w:t>
      </w:r>
      <w:r>
        <w:rPr>
          <w:rFonts w:ascii="Palatino Linotype" w:hAnsi="Palatino Linotype"/>
          <w:b/>
          <w:bCs/>
        </w:rPr>
        <w:t>,</w:t>
      </w:r>
      <w:r>
        <w:rPr>
          <w:rFonts w:ascii="Palatino Linotype" w:hAnsi="Palatino Linotype" w:cs="Arial"/>
          <w:b/>
          <w:lang w:eastAsia="es-MX"/>
        </w:rPr>
        <w:t xml:space="preserve"> </w:t>
      </w:r>
      <w:r>
        <w:rPr>
          <w:rFonts w:ascii="Palatino Linotype" w:hAnsi="Palatino Linotype" w:cs="Arial"/>
        </w:rPr>
        <w:t>mediante los cuales solicitó la siguiente información:</w:t>
      </w:r>
    </w:p>
    <w:p w14:paraId="354A5C18" w14:textId="77777777" w:rsidR="00A17BB0" w:rsidRDefault="00A17BB0" w:rsidP="00A17BB0">
      <w:pPr>
        <w:spacing w:before="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“Requiero información con respecto a un proceso administrativo de destitución de un elemento de la policía” (Sic)</w:t>
      </w:r>
    </w:p>
    <w:p w14:paraId="6EE3BEBE" w14:textId="77777777" w:rsidR="00A17BB0" w:rsidRDefault="00A17BB0" w:rsidP="00A17BB0">
      <w:pPr>
        <w:pStyle w:val="Prrafodelista"/>
        <w:tabs>
          <w:tab w:val="left" w:pos="567"/>
        </w:tabs>
        <w:spacing w:line="360" w:lineRule="auto"/>
        <w:ind w:left="0"/>
        <w:jc w:val="both"/>
        <w:rPr>
          <w:rFonts w:ascii="Palatino Linotype" w:eastAsia="Calibri" w:hAnsi="Palatino Linotype" w:cs="Arial"/>
          <w:color w:val="000000" w:themeColor="text1"/>
        </w:rPr>
      </w:pPr>
    </w:p>
    <w:p w14:paraId="0D5B6340" w14:textId="22489280" w:rsidR="00A17BB0" w:rsidRDefault="00A17BB0" w:rsidP="00A17BB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requirió al particular que complemente y/o aclare su solicitud, la cual versa como sigue:</w:t>
      </w:r>
    </w:p>
    <w:p w14:paraId="3E555992" w14:textId="152D32E1" w:rsidR="00A17BB0" w:rsidRDefault="00A17BB0" w:rsidP="00A17BB0">
      <w:pPr>
        <w:spacing w:line="360" w:lineRule="auto"/>
        <w:jc w:val="both"/>
        <w:rPr>
          <w:rFonts w:ascii="Palatino Linotype" w:eastAsia="Palatino Linotype" w:hAnsi="Palatino Linotype" w:cs="Palatino Linotype"/>
        </w:rPr>
      </w:pPr>
      <w:r>
        <w:rPr>
          <w:noProof/>
          <w:lang w:eastAsia="es-MX"/>
        </w:rPr>
        <w:lastRenderedPageBreak/>
        <w:drawing>
          <wp:inline distT="0" distB="0" distL="0" distR="0" wp14:anchorId="6623FADA" wp14:editId="5A5BF75B">
            <wp:extent cx="5486400" cy="723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l="31229" t="35808" r="17854" b="55141"/>
                    <a:stretch>
                      <a:fillRect/>
                    </a:stretch>
                  </pic:blipFill>
                  <pic:spPr bwMode="auto">
                    <a:xfrm>
                      <a:off x="0" y="0"/>
                      <a:ext cx="5486400" cy="723900"/>
                    </a:xfrm>
                    <a:prstGeom prst="rect">
                      <a:avLst/>
                    </a:prstGeom>
                    <a:noFill/>
                    <a:ln>
                      <a:noFill/>
                    </a:ln>
                  </pic:spPr>
                </pic:pic>
              </a:graphicData>
            </a:graphic>
          </wp:inline>
        </w:drawing>
      </w:r>
    </w:p>
    <w:p w14:paraId="6B5A02B0" w14:textId="4E66F0BA" w:rsidR="00A17BB0" w:rsidRDefault="00A17BB0" w:rsidP="00A17BB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particular fue omiso en desahogar la aclaración. </w:t>
      </w:r>
    </w:p>
    <w:p w14:paraId="7726132B" w14:textId="77777777" w:rsidR="00A17BB0" w:rsidRDefault="00A17BB0" w:rsidP="00A17BB0">
      <w:pPr>
        <w:ind w:left="851" w:right="900"/>
        <w:jc w:val="both"/>
        <w:rPr>
          <w:rFonts w:ascii="Palatino Linotype" w:eastAsia="Palatino Linotype" w:hAnsi="Palatino Linotype" w:cs="Palatino Linotype"/>
          <w:i/>
        </w:rPr>
      </w:pPr>
    </w:p>
    <w:p w14:paraId="0ABA54EE" w14:textId="51413003" w:rsidR="00A17BB0" w:rsidRDefault="00A17BB0" w:rsidP="00A17BB0">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ocho de febrero del año dos mil veintitrés, tuvo por no presentada la solicitud de acceso a la información del particular, en razón de fenecer el plazo establecido para el desahogo de la aclaración, teniendo por concluida la solicitud,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quedo imposibilitado para identificar la información de su interés. </w:t>
      </w:r>
    </w:p>
    <w:p w14:paraId="2958EF20" w14:textId="5EB23223" w:rsidR="00A17BB0" w:rsidRDefault="00A17BB0" w:rsidP="00A17BB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trece de febrero del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53DA6F19" w14:textId="77777777" w:rsidR="00A17BB0" w:rsidRDefault="00A17BB0" w:rsidP="00A17BB0">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7DE4EF11" w14:textId="77777777" w:rsidR="00A17BB0" w:rsidRDefault="00A17BB0" w:rsidP="00A17BB0">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“No atención de la solicitud a pesar de ser clara, por lo que solicito de nueva cuenta sea atendida” (Sic)</w:t>
      </w:r>
    </w:p>
    <w:p w14:paraId="52B448F9" w14:textId="77777777" w:rsidR="00A17BB0" w:rsidRDefault="00A17BB0" w:rsidP="00A17BB0">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69606494" w14:textId="77777777" w:rsidR="00A17BB0" w:rsidRDefault="00A17BB0" w:rsidP="00A17BB0">
      <w:pPr>
        <w:spacing w:line="360" w:lineRule="auto"/>
        <w:ind w:right="51"/>
        <w:jc w:val="both"/>
        <w:rPr>
          <w:rFonts w:ascii="Palatino Linotype" w:eastAsia="Palatino Linotype" w:hAnsi="Palatino Linotype" w:cs="Palatino Linotype"/>
        </w:rPr>
      </w:pPr>
      <w:bookmarkStart w:id="2" w:name="_heading=h.30j0zll"/>
      <w:bookmarkEnd w:id="2"/>
      <w:r>
        <w:rPr>
          <w:rFonts w:ascii="Palatino Linotype" w:eastAsia="Palatino Linotype" w:hAnsi="Palatino Linotype" w:cs="Palatino Linotype"/>
        </w:rPr>
        <w:t>No señaló motivos de inconformidad</w:t>
      </w:r>
    </w:p>
    <w:p w14:paraId="3FBD5FF5" w14:textId="0FC6BE4E" w:rsidR="00A17BB0" w:rsidRDefault="00A17BB0" w:rsidP="00A17BB0">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en fechas veintisiete de febrero, tres y doce de mayo, del dos mil veintitrés, remitió el Informe Justificado a través del cual manifiesta lo siguiente:</w:t>
      </w:r>
    </w:p>
    <w:p w14:paraId="5F170CA6" w14:textId="77777777" w:rsidR="00A17BB0" w:rsidRDefault="00A17BB0" w:rsidP="00A17BB0">
      <w:pPr>
        <w:widowControl w:val="0"/>
        <w:spacing w:line="360" w:lineRule="auto"/>
        <w:ind w:left="993" w:right="49"/>
        <w:jc w:val="both"/>
        <w:rPr>
          <w:rFonts w:ascii="Palatino Linotype" w:eastAsia="Palatino Linotype" w:hAnsi="Palatino Linotype" w:cs="Palatino Linotype"/>
        </w:rPr>
      </w:pPr>
    </w:p>
    <w:p w14:paraId="124D238F" w14:textId="27E03A80" w:rsidR="00A17BB0" w:rsidRDefault="00A17BB0" w:rsidP="00A17BB0">
      <w:pPr>
        <w:widowControl w:val="0"/>
        <w:spacing w:line="360" w:lineRule="auto"/>
        <w:ind w:left="993"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lo medular precisó que el particular no desahogo la aclaración dentro del término legal concedido para ello, y al no ser atendido el </w:t>
      </w:r>
      <w:r>
        <w:rPr>
          <w:rFonts w:ascii="Palatino Linotype" w:eastAsia="Palatino Linotype" w:hAnsi="Palatino Linotype" w:cs="Palatino Linotype"/>
        </w:rPr>
        <w:lastRenderedPageBreak/>
        <w:t xml:space="preserve">requerimiento, solicita que se sobresea el presente asunto por improcedente al no actualizarse los supuestos de procedencia del recurso de revisión. </w:t>
      </w:r>
    </w:p>
    <w:p w14:paraId="3459E3F7" w14:textId="77777777" w:rsidR="00A17BB0" w:rsidRDefault="00A17BB0" w:rsidP="00A17BB0">
      <w:pPr>
        <w:widowControl w:val="0"/>
        <w:spacing w:line="360" w:lineRule="auto"/>
        <w:ind w:left="993" w:right="49"/>
        <w:jc w:val="both"/>
        <w:rPr>
          <w:rFonts w:ascii="Palatino Linotype" w:eastAsia="Palatino Linotype" w:hAnsi="Palatino Linotype" w:cs="Palatino Linotype"/>
        </w:rPr>
      </w:pPr>
    </w:p>
    <w:p w14:paraId="778B4B5A" w14:textId="77777777" w:rsidR="00A17BB0" w:rsidRDefault="00A17BB0" w:rsidP="00A17BB0">
      <w:pPr>
        <w:widowControl w:val="0"/>
        <w:spacing w:line="360" w:lineRule="auto"/>
        <w:ind w:left="993"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9" w:history="1">
        <w:r>
          <w:rPr>
            <w:rStyle w:val="Hipervnculo"/>
            <w:rFonts w:ascii="Palatino Linotype" w:eastAsia="Palatino Linotype" w:hAnsi="Palatino Linotype" w:cs="Palatino Linotype"/>
          </w:rPr>
          <w:t>of. alcance.pdf</w:t>
        </w:r>
      </w:hyperlink>
      <w:r>
        <w:rPr>
          <w:rFonts w:ascii="Palatino Linotype" w:eastAsia="Palatino Linotype" w:hAnsi="Palatino Linotype" w:cs="Palatino Linotype"/>
        </w:rPr>
        <w:t xml:space="preserve">”, el cual contiene información confidencial, que debe ser protegida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35D6A69E" w14:textId="77777777" w:rsidR="00A17BB0" w:rsidRDefault="00A17BB0" w:rsidP="00A17BB0">
      <w:pPr>
        <w:widowControl w:val="0"/>
        <w:spacing w:line="360" w:lineRule="auto"/>
        <w:ind w:left="993" w:right="49"/>
        <w:jc w:val="both"/>
        <w:rPr>
          <w:rFonts w:ascii="Palatino Linotype" w:eastAsia="Palatino Linotype" w:hAnsi="Palatino Linotype" w:cs="Palatino Linotype"/>
        </w:rPr>
      </w:pPr>
    </w:p>
    <w:p w14:paraId="06C2DD09" w14:textId="77777777" w:rsidR="00A17BB0" w:rsidRDefault="00A17BB0" w:rsidP="00A17BB0">
      <w:pPr>
        <w:widowControl w:val="0"/>
        <w:spacing w:line="360" w:lineRule="auto"/>
        <w:ind w:left="993"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0" w:history="1">
        <w:r>
          <w:rPr>
            <w:rStyle w:val="Hipervnculo"/>
            <w:rFonts w:ascii="Palatino Linotype" w:eastAsia="Palatino Linotype" w:hAnsi="Palatino Linotype" w:cs="Palatino Linotype"/>
          </w:rPr>
          <w:t>oficio 42.pdf</w:t>
        </w:r>
      </w:hyperlink>
      <w:r>
        <w:rPr>
          <w:rFonts w:ascii="Palatino Linotype" w:eastAsia="Palatino Linotype" w:hAnsi="Palatino Linotype" w:cs="Palatino Linotype"/>
        </w:rPr>
        <w:t xml:space="preserve">”, por medio del cual el Secretario de Honor y Justicia de la Secretaría de Seguridad del Estado de México, informó que derivado de una búsqueda exhaustiva en los archivos de la Unidad de Asuntos Jurídicos también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hizo del conocimiento que no existe antecedente alguno respecto a un procedimiento administrativo a nombre de la persona que refiere en la solicitud. </w:t>
      </w:r>
    </w:p>
    <w:p w14:paraId="7CA64961" w14:textId="77777777" w:rsidR="00A17BB0" w:rsidRDefault="00A17BB0" w:rsidP="00A17BB0">
      <w:pPr>
        <w:spacing w:line="360" w:lineRule="auto"/>
        <w:jc w:val="both"/>
        <w:rPr>
          <w:rFonts w:ascii="Palatino Linotype" w:eastAsia="Palatino Linotype" w:hAnsi="Palatino Linotype" w:cs="Palatino Linotype"/>
          <w:color w:val="000000"/>
        </w:rPr>
      </w:pPr>
    </w:p>
    <w:p w14:paraId="125A0767" w14:textId="77777777" w:rsidR="00A17BB0" w:rsidRDefault="00A17BB0" w:rsidP="00A17BB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Archivos que se pusieron a la vista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con excepción del archivo “</w:t>
      </w:r>
      <w:hyperlink r:id="rId11" w:history="1">
        <w:r>
          <w:rPr>
            <w:rStyle w:val="Hipervnculo"/>
            <w:rFonts w:ascii="Palatino Linotype" w:eastAsia="Palatino Linotype" w:hAnsi="Palatino Linotype" w:cs="Palatino Linotype"/>
          </w:rPr>
          <w:t>of. alcance.pdf</w:t>
        </w:r>
      </w:hyperlink>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en términos de la fracción III del artículo 185 de la Ley de Transparencia y Acceso a la Información Pública del Estado de México y Municipios; para que en el término de tres días manifestara lo que a su derecho convenga; sin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hiciera manifestación alguna.</w:t>
      </w:r>
    </w:p>
    <w:p w14:paraId="028E6864" w14:textId="77777777" w:rsidR="00B84CE3" w:rsidRDefault="00B84CE3" w:rsidP="00A17BB0">
      <w:pPr>
        <w:spacing w:line="360" w:lineRule="auto"/>
        <w:jc w:val="both"/>
        <w:rPr>
          <w:rFonts w:ascii="Palatino Linotype" w:eastAsia="Palatino Linotype" w:hAnsi="Palatino Linotype" w:cs="Palatino Linotype"/>
          <w:color w:val="000000"/>
        </w:rPr>
      </w:pPr>
    </w:p>
    <w:p w14:paraId="0E68AB96" w14:textId="275C3261" w:rsidR="00A17BB0" w:rsidRPr="00B84CE3" w:rsidRDefault="00C318ED" w:rsidP="00A17BB0">
      <w:pPr>
        <w:spacing w:line="360" w:lineRule="auto"/>
        <w:jc w:val="both"/>
        <w:rPr>
          <w:rFonts w:ascii="Palatino Linotype" w:eastAsia="Palatino Linotype" w:hAnsi="Palatino Linotype" w:cs="Palatino Linotype"/>
          <w:color w:val="000000"/>
        </w:rPr>
      </w:pPr>
      <w:r w:rsidRPr="00B84CE3">
        <w:rPr>
          <w:rFonts w:ascii="Palatino Linotype" w:eastAsia="Palatino Linotype" w:hAnsi="Palatino Linotype" w:cs="Palatino Linotype"/>
          <w:color w:val="000000"/>
        </w:rPr>
        <w:t xml:space="preserve">Se refiere en la resolución citada que </w:t>
      </w:r>
      <w:r w:rsidR="00A17BB0" w:rsidRPr="00B84CE3">
        <w:rPr>
          <w:rFonts w:ascii="Palatino Linotype" w:eastAsia="Palatino Linotype" w:hAnsi="Palatino Linotype" w:cs="Palatino Linotype"/>
          <w:color w:val="000000"/>
        </w:rPr>
        <w:t xml:space="preserve"> el archivo </w:t>
      </w:r>
      <w:r w:rsidRPr="00B84CE3">
        <w:rPr>
          <w:rFonts w:ascii="Palatino Linotype" w:eastAsia="Palatino Linotype" w:hAnsi="Palatino Linotype" w:cs="Palatino Linotype"/>
          <w:color w:val="000000"/>
        </w:rPr>
        <w:t xml:space="preserve">por medio del cual el Secretario de Honor y Justicia de la Secretaría de Seguridad del Estado de México, informó que derivado de una búsqueda exhaustiva en los archivos de la Unidad de Asuntos Jurídicos también del </w:t>
      </w:r>
      <w:r w:rsidRPr="00B84CE3">
        <w:rPr>
          <w:rFonts w:ascii="Palatino Linotype" w:eastAsia="Palatino Linotype" w:hAnsi="Palatino Linotype" w:cs="Palatino Linotype"/>
          <w:color w:val="000000"/>
        </w:rPr>
        <w:lastRenderedPageBreak/>
        <w:t>SUJETO OBLIGADO, hizo del conocimiento que no existe antecedente alguno respecto a un procedimiento administrativo a nombre de la persona que refiere en la solicitud</w:t>
      </w:r>
      <w:r w:rsidR="008850F3" w:rsidRPr="00B84CE3">
        <w:rPr>
          <w:rFonts w:ascii="Palatino Linotype" w:eastAsia="Palatino Linotype" w:hAnsi="Palatino Linotype" w:cs="Palatino Linotype"/>
          <w:color w:val="000000"/>
        </w:rPr>
        <w:t xml:space="preserve">, </w:t>
      </w:r>
      <w:r w:rsidR="00A17BB0" w:rsidRPr="00B84CE3">
        <w:rPr>
          <w:rFonts w:ascii="Palatino Linotype" w:eastAsia="Palatino Linotype" w:hAnsi="Palatino Linotype" w:cs="Palatino Linotype"/>
          <w:color w:val="000000"/>
        </w:rPr>
        <w:t>se puso a la vista del RECURRENTE, en razón de que el SUJETO OBLIGADO únicamente se concretó a señalar sobre la búsqueda de un procedimiento administrativo que pudiera derivar de manera específica en una destitución, sin revelar ninguna información que ponga en riesgo su integridad física y seguridad de la persona referida en la solicitud de información y tampoco afecta a su honor, intimidad o buena imagen; máxime que el propio solicitante fue el que proporcionó el nombre que describió en su solicitud.</w:t>
      </w:r>
    </w:p>
    <w:p w14:paraId="608B53DC" w14:textId="77777777" w:rsidR="00A17BB0" w:rsidRPr="00B84CE3" w:rsidRDefault="00A17BB0" w:rsidP="00A17BB0">
      <w:pPr>
        <w:spacing w:line="360" w:lineRule="auto"/>
        <w:jc w:val="both"/>
        <w:rPr>
          <w:rFonts w:ascii="Palatino Linotype" w:eastAsia="Palatino Linotype" w:hAnsi="Palatino Linotype" w:cs="Palatino Linotype"/>
          <w:color w:val="000000"/>
        </w:rPr>
      </w:pPr>
    </w:p>
    <w:p w14:paraId="1A2BCF13" w14:textId="21DC3A82" w:rsidR="00A17BB0" w:rsidRDefault="008850F3" w:rsidP="00A17B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w:t>
      </w:r>
      <w:r w:rsidR="00A17BB0">
        <w:rPr>
          <w:rFonts w:ascii="Palatino Linotype" w:eastAsia="Palatino Linotype" w:hAnsi="Palatino Linotype" w:cs="Palatino Linotype"/>
        </w:rPr>
        <w:t xml:space="preserve">determina sobreseer el recurso de revisión número </w:t>
      </w:r>
      <w:r w:rsidR="00A17BB0">
        <w:rPr>
          <w:rFonts w:ascii="Palatino Linotype" w:eastAsia="Palatino Linotype" w:hAnsi="Palatino Linotype" w:cs="Palatino Linotype"/>
          <w:b/>
        </w:rPr>
        <w:t xml:space="preserve">00824/INFOEM/IP/RR/2023, </w:t>
      </w:r>
      <w:r w:rsidR="00A17BB0">
        <w:rPr>
          <w:rFonts w:ascii="Palatino Linotype" w:eastAsia="Palatino Linotype" w:hAnsi="Palatino Linotype" w:cs="Palatino Linotype"/>
        </w:rPr>
        <w:t>por actualizarse la causal de sobreseimiento prevista en la fracción III del artículo 192 de la Ley de Transparencia y Acceso a la Información Pública del Estado de México y Municipios, que dispone lo siguiente:</w:t>
      </w:r>
    </w:p>
    <w:p w14:paraId="1DB3D2A3" w14:textId="77777777" w:rsidR="00A17BB0" w:rsidRDefault="00A17BB0" w:rsidP="00A17BB0">
      <w:pPr>
        <w:spacing w:before="24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192. </w:t>
      </w:r>
      <w:r>
        <w:rPr>
          <w:rFonts w:ascii="Palatino Linotype" w:eastAsia="Palatino Linotype" w:hAnsi="Palatino Linotype" w:cs="Palatino Linotype"/>
          <w:i/>
        </w:rPr>
        <w:t>El recurso será sobreseído en todo o en parte cuando una vez admitido, se actualicen alguno de los siguientes supuestos:</w:t>
      </w:r>
    </w:p>
    <w:p w14:paraId="16A47CAD" w14:textId="77777777" w:rsidR="00A17BB0" w:rsidRDefault="00A17BB0" w:rsidP="00A17BB0">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3F4FBAEF" w14:textId="77777777" w:rsidR="00A17BB0" w:rsidRDefault="00A17BB0" w:rsidP="00A17BB0">
      <w:pPr>
        <w:ind w:left="992" w:right="1043"/>
        <w:jc w:val="both"/>
        <w:rPr>
          <w:rFonts w:ascii="Palatino Linotype" w:eastAsia="Palatino Linotype" w:hAnsi="Palatino Linotype" w:cs="Palatino Linotype"/>
          <w:b/>
          <w:i/>
        </w:rPr>
      </w:pPr>
      <w:r>
        <w:rPr>
          <w:rFonts w:ascii="Palatino Linotype" w:eastAsia="Palatino Linotype" w:hAnsi="Palatino Linotype" w:cs="Palatino Linotype"/>
          <w:b/>
          <w:i/>
        </w:rPr>
        <w:t>III. El sujeto obligado responsable del acto lo modifique o revoque de tal manera que el recurso de revisión quede sin materia…”. (Sic)</w:t>
      </w:r>
    </w:p>
    <w:p w14:paraId="70C3449A" w14:textId="77777777" w:rsidR="00A17BB0" w:rsidRDefault="00A17BB0" w:rsidP="00A17BB0">
      <w:pPr>
        <w:spacing w:line="360" w:lineRule="auto"/>
        <w:jc w:val="both"/>
        <w:rPr>
          <w:rFonts w:ascii="Palatino Linotype" w:eastAsia="Palatino Linotype" w:hAnsi="Palatino Linotype" w:cs="Palatino Linotype"/>
          <w:b/>
          <w:i/>
          <w:sz w:val="24"/>
          <w:szCs w:val="24"/>
        </w:rPr>
      </w:pPr>
    </w:p>
    <w:p w14:paraId="56FACEFB" w14:textId="7244BE78" w:rsidR="008850F3" w:rsidRDefault="008850F3" w:rsidP="008850F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Sin embargo, cabe resaltar que dich</w:t>
      </w:r>
      <w:r w:rsidR="00295C51">
        <w:rPr>
          <w:rFonts w:ascii="Palatino Linotype" w:eastAsia="Palatino Linotype" w:hAnsi="Palatino Linotype" w:cs="Palatino Linotype"/>
        </w:rPr>
        <w:t xml:space="preserve">o criterio es contrario </w:t>
      </w:r>
      <w:r w:rsidR="008F3200">
        <w:rPr>
          <w:rFonts w:ascii="Palatino Linotype" w:eastAsia="Palatino Linotype" w:hAnsi="Palatino Linotype" w:cs="Palatino Linotype"/>
        </w:rPr>
        <w:t>a</w:t>
      </w:r>
      <w:r>
        <w:rPr>
          <w:rFonts w:ascii="Palatino Linotype" w:eastAsia="Palatino Linotype" w:hAnsi="Palatino Linotype" w:cs="Palatino Linotype"/>
        </w:rPr>
        <w:t xml:space="preserve">l criterio mayoritario del Pleno en los diversos recursos de revisión </w:t>
      </w:r>
      <w:r w:rsidRPr="00295C51">
        <w:rPr>
          <w:rFonts w:ascii="Palatino Linotype" w:eastAsia="Palatino Linotype" w:hAnsi="Palatino Linotype" w:cs="Palatino Linotype"/>
          <w:b/>
        </w:rPr>
        <w:t>04964/INFOEM/IP/RR/2021</w:t>
      </w:r>
      <w:r w:rsidR="00295C51">
        <w:rPr>
          <w:rFonts w:ascii="Palatino Linotype" w:eastAsia="Palatino Linotype" w:hAnsi="Palatino Linotype" w:cs="Palatino Linotype"/>
        </w:rPr>
        <w:t xml:space="preserve"> y </w:t>
      </w:r>
      <w:r w:rsidR="00295C51">
        <w:rPr>
          <w:rFonts w:ascii="Palatino Linotype" w:eastAsia="Palatino Linotype" w:hAnsi="Palatino Linotype" w:cs="Palatino Linotype"/>
          <w:b/>
          <w:sz w:val="24"/>
          <w:szCs w:val="24"/>
        </w:rPr>
        <w:t>16989/INFOEM/IP/RR/2022</w:t>
      </w:r>
      <w:r w:rsidR="00295C51">
        <w:rPr>
          <w:rFonts w:ascii="Palatino Linotype" w:eastAsia="Palatino Linotype" w:hAnsi="Palatino Linotype" w:cs="Palatino Linotype"/>
          <w:sz w:val="24"/>
          <w:szCs w:val="24"/>
        </w:rPr>
        <w:t>,</w:t>
      </w:r>
      <w:r w:rsidRPr="008850F3">
        <w:rPr>
          <w:rFonts w:ascii="Palatino Linotype" w:eastAsia="Palatino Linotype" w:hAnsi="Palatino Linotype" w:cs="Palatino Linotype"/>
        </w:rPr>
        <w:t xml:space="preserve"> promovidos en contra de Servicios Educativos</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 xml:space="preserve">Integrados al Estado de México, </w:t>
      </w:r>
      <w:r w:rsidR="00295C51">
        <w:rPr>
          <w:rFonts w:ascii="Palatino Linotype" w:eastAsia="Palatino Linotype" w:hAnsi="Palatino Linotype" w:cs="Palatino Linotype"/>
        </w:rPr>
        <w:t xml:space="preserve">y la Secretaría de Seguridad del Estado de México, </w:t>
      </w:r>
      <w:r w:rsidRPr="008850F3">
        <w:rPr>
          <w:rFonts w:ascii="Palatino Linotype" w:eastAsia="Palatino Linotype" w:hAnsi="Palatino Linotype" w:cs="Palatino Linotype"/>
        </w:rPr>
        <w:t>esto es al clasificar como confidencial el</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 xml:space="preserve">pronunciamiento en sentido afirmativo o negativo respecto de la </w:t>
      </w:r>
      <w:r w:rsidRPr="008850F3">
        <w:rPr>
          <w:rFonts w:ascii="Palatino Linotype" w:eastAsia="Palatino Linotype" w:hAnsi="Palatino Linotype" w:cs="Palatino Linotype"/>
        </w:rPr>
        <w:lastRenderedPageBreak/>
        <w:t>existencia de</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procedimientos de responsabilidad iniciados por faltas graves derivados de quejas o</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denuncias, que se encuentren en trámite, o bien, se</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encuentren concluidos y se haya determinado alguna responsabilidad por falta no</w:t>
      </w:r>
      <w:r w:rsidR="00295C51">
        <w:rPr>
          <w:rFonts w:ascii="Palatino Linotype" w:eastAsia="Palatino Linotype" w:hAnsi="Palatino Linotype" w:cs="Palatino Linotype"/>
        </w:rPr>
        <w:t xml:space="preserve"> </w:t>
      </w:r>
      <w:r w:rsidRPr="008850F3">
        <w:rPr>
          <w:rFonts w:ascii="Palatino Linotype" w:eastAsia="Palatino Linotype" w:hAnsi="Palatino Linotype" w:cs="Palatino Linotype"/>
        </w:rPr>
        <w:t xml:space="preserve">grave o la absolución, </w:t>
      </w:r>
      <w:r w:rsidR="008F3200">
        <w:rPr>
          <w:rFonts w:ascii="Palatino Linotype" w:eastAsia="Palatino Linotype" w:hAnsi="Palatino Linotype" w:cs="Palatino Linotype"/>
        </w:rPr>
        <w:t>y en el segundo de los recursos mencionados con la clasificación de la información como reservada del pronunciamiento afirmativo o negativo respecto a que si la persona señalada en la solicitud de información 00504/SSEM/P/2022 labora o laboró en la Secretaría de Seguridad.</w:t>
      </w:r>
    </w:p>
    <w:p w14:paraId="6E2CE300" w14:textId="77777777" w:rsidR="008F3200" w:rsidRDefault="008F3200" w:rsidP="008850F3">
      <w:pPr>
        <w:spacing w:line="360" w:lineRule="auto"/>
        <w:ind w:right="51"/>
        <w:jc w:val="both"/>
        <w:rPr>
          <w:rFonts w:ascii="Palatino Linotype" w:eastAsia="Palatino Linotype" w:hAnsi="Palatino Linotype" w:cs="Palatino Linotype"/>
        </w:rPr>
      </w:pPr>
    </w:p>
    <w:p w14:paraId="2AF0202F" w14:textId="170001FD" w:rsidR="008850F3" w:rsidRDefault="008850F3" w:rsidP="00295C51">
      <w:pPr>
        <w:spacing w:line="360" w:lineRule="auto"/>
        <w:ind w:right="49"/>
        <w:contextualSpacing/>
        <w:jc w:val="both"/>
        <w:rPr>
          <w:rFonts w:ascii="Palatino Linotype" w:eastAsia="Times New Roman" w:hAnsi="Palatino Linotype" w:cs="Arial"/>
        </w:rPr>
      </w:pPr>
      <w:r>
        <w:rPr>
          <w:rFonts w:ascii="Palatino Linotype" w:eastAsia="Calibri" w:hAnsi="Palatino Linotype" w:cs="Arial"/>
        </w:rPr>
        <w:t xml:space="preserve">Es criterio de este Órgano Garante, que respecto de los procedimientos administrativos por faltas no graves, pueden ser entregados en versión pública, </w:t>
      </w:r>
      <w:r>
        <w:rPr>
          <w:rFonts w:ascii="Palatino Linotype" w:eastAsiaTheme="minorEastAsia" w:hAnsi="Palatino Linotype"/>
        </w:rPr>
        <w:t xml:space="preserve">protegiendo el nombre, cargo y área de adscripción del Servidor Público y aquellos datos personales que hagan identificable a una persona, </w:t>
      </w:r>
      <w:r>
        <w:rPr>
          <w:rFonts w:ascii="Palatino Linotype" w:eastAsiaTheme="minorEastAsia" w:hAnsi="Palatino Linotype"/>
          <w:bCs/>
        </w:rPr>
        <w:t>clasificándolo como confidencial, ya que al</w:t>
      </w:r>
      <w:r>
        <w:rPr>
          <w:rFonts w:ascii="Palatino Linotype" w:eastAsiaTheme="minorEastAsia" w:hAnsi="Palatino Linotype"/>
        </w:rPr>
        <w:t xml:space="preserve"> revelar dicha información podría generar una afectación al honor y buen nombre de dicha persona, por lo que, </w:t>
      </w:r>
      <w:r w:rsidR="00295C51">
        <w:rPr>
          <w:rFonts w:ascii="Palatino Linotype" w:eastAsiaTheme="minorEastAsia" w:hAnsi="Palatino Linotype"/>
        </w:rPr>
        <w:t>se deberá</w:t>
      </w:r>
      <w:r w:rsidR="00295C51">
        <w:rPr>
          <w:rFonts w:ascii="Palatino Linotype" w:hAnsi="Palatino Linotype" w:cs="Arial"/>
        </w:rPr>
        <w:t xml:space="preserve"> clasificar el </w:t>
      </w:r>
      <w:r>
        <w:rPr>
          <w:rFonts w:ascii="Palatino Linotype" w:hAnsi="Palatino Linotype" w:cs="Arial"/>
        </w:rPr>
        <w:t xml:space="preserve">pronunciamiento, en términos de los argumentos siguientes: </w:t>
      </w:r>
    </w:p>
    <w:p w14:paraId="7658F3CA" w14:textId="77777777" w:rsidR="00295C51" w:rsidRDefault="00295C51" w:rsidP="008850F3">
      <w:pPr>
        <w:spacing w:line="360" w:lineRule="auto"/>
        <w:ind w:right="-93"/>
        <w:jc w:val="both"/>
        <w:rPr>
          <w:rFonts w:ascii="Palatino Linotype" w:hAnsi="Palatino Linotype" w:cs="Tahoma"/>
          <w:bCs/>
        </w:rPr>
      </w:pPr>
    </w:p>
    <w:p w14:paraId="4353D7B7" w14:textId="77777777" w:rsidR="008850F3" w:rsidRDefault="008850F3" w:rsidP="008850F3">
      <w:pPr>
        <w:spacing w:line="360" w:lineRule="auto"/>
        <w:ind w:right="-93"/>
        <w:jc w:val="both"/>
        <w:rPr>
          <w:rFonts w:ascii="Palatino Linotype" w:hAnsi="Palatino Linotype" w:cs="Tahoma"/>
          <w:bCs/>
        </w:rPr>
      </w:pPr>
      <w:r>
        <w:rPr>
          <w:rFonts w:ascii="Palatino Linotype" w:hAnsi="Palatino Linotype" w:cs="Tahoma"/>
          <w:bCs/>
        </w:rPr>
        <w:t>La protección de los datos personales se encuentra prevista desde la Constitución Política de los Estados Unidos Mexicanos, que establece lo siguiente:</w:t>
      </w:r>
    </w:p>
    <w:p w14:paraId="02875B7B" w14:textId="77777777" w:rsidR="008850F3" w:rsidRDefault="008850F3" w:rsidP="008850F3">
      <w:pPr>
        <w:spacing w:line="360" w:lineRule="auto"/>
        <w:ind w:right="-93"/>
        <w:jc w:val="both"/>
        <w:rPr>
          <w:rFonts w:ascii="Palatino Linotype" w:hAnsi="Palatino Linotype" w:cs="Tahoma"/>
          <w:bCs/>
        </w:rPr>
      </w:pPr>
    </w:p>
    <w:p w14:paraId="1DCD228D" w14:textId="77777777" w:rsidR="008850F3" w:rsidRDefault="008850F3" w:rsidP="008850F3">
      <w:pPr>
        <w:tabs>
          <w:tab w:val="left" w:pos="8364"/>
        </w:tabs>
        <w:ind w:left="567" w:right="760"/>
        <w:contextualSpacing/>
        <w:jc w:val="both"/>
        <w:rPr>
          <w:rFonts w:ascii="Palatino Linotype" w:hAnsi="Palatino Linotype" w:cs="Arial"/>
          <w:i/>
          <w:iCs/>
        </w:rPr>
      </w:pPr>
      <w:r>
        <w:rPr>
          <w:rFonts w:ascii="Palatino Linotype" w:hAnsi="Palatino Linotype" w:cs="Arial"/>
          <w:i/>
          <w:iCs/>
        </w:rPr>
        <w:t>“</w:t>
      </w:r>
      <w:r>
        <w:rPr>
          <w:rFonts w:ascii="Palatino Linotype" w:hAnsi="Palatino Linotype" w:cs="Arial"/>
          <w:b/>
          <w:i/>
          <w:iCs/>
        </w:rPr>
        <w:t>Artículo 6.</w:t>
      </w:r>
      <w:r>
        <w:rPr>
          <w:rFonts w:ascii="Palatino Linotype" w:hAnsi="Palatino Linotype" w:cs="Arial"/>
          <w:i/>
          <w:iCs/>
        </w:rPr>
        <w:t xml:space="preserve">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14:paraId="61B33CC9" w14:textId="77777777" w:rsidR="008850F3" w:rsidRDefault="008850F3" w:rsidP="008850F3">
      <w:pPr>
        <w:tabs>
          <w:tab w:val="left" w:pos="8364"/>
        </w:tabs>
        <w:ind w:left="567" w:right="760"/>
        <w:contextualSpacing/>
        <w:jc w:val="both"/>
        <w:rPr>
          <w:rFonts w:ascii="Palatino Linotype" w:hAnsi="Palatino Linotype" w:cs="Arial"/>
          <w:i/>
          <w:iCs/>
        </w:rPr>
      </w:pPr>
      <w:r>
        <w:rPr>
          <w:rFonts w:ascii="Palatino Linotype" w:hAnsi="Palatino Linotype" w:cs="Arial"/>
          <w:b/>
          <w:i/>
          <w:iCs/>
        </w:rPr>
        <w:t>A.</w:t>
      </w:r>
      <w:r>
        <w:rPr>
          <w:rFonts w:ascii="Palatino Linotype" w:hAnsi="Palatino Linotype" w:cs="Arial"/>
          <w:i/>
          <w:iCs/>
        </w:rPr>
        <w:t xml:space="preserve"> Para el ejercicio del derecho de acceso a la información, la Federación, los Estados y el Distrito Federal, en el ámbito de sus respectivas competencias, se regirán por los siguientes principios y bases:</w:t>
      </w:r>
    </w:p>
    <w:p w14:paraId="342FD964" w14:textId="77777777" w:rsidR="008850F3" w:rsidRDefault="008850F3" w:rsidP="008850F3">
      <w:pPr>
        <w:tabs>
          <w:tab w:val="center" w:pos="4324"/>
        </w:tabs>
        <w:ind w:left="567" w:right="760"/>
        <w:contextualSpacing/>
        <w:jc w:val="both"/>
        <w:rPr>
          <w:rFonts w:ascii="Palatino Linotype" w:hAnsi="Palatino Linotype" w:cs="Arial"/>
          <w:i/>
          <w:iCs/>
        </w:rPr>
      </w:pPr>
      <w:r>
        <w:rPr>
          <w:rFonts w:ascii="Palatino Linotype" w:hAnsi="Palatino Linotype" w:cs="Arial"/>
          <w:i/>
          <w:iCs/>
        </w:rPr>
        <w:t>…</w:t>
      </w:r>
    </w:p>
    <w:p w14:paraId="2AB39A29"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b/>
          <w:bCs/>
          <w:i/>
          <w:iCs/>
        </w:rPr>
        <w:lastRenderedPageBreak/>
        <w:t xml:space="preserve">II. </w:t>
      </w:r>
      <w:r>
        <w:rPr>
          <w:rFonts w:ascii="Palatino Linotype" w:hAnsi="Palatino Linotype" w:cs="Arial"/>
          <w:b/>
          <w:i/>
          <w:iCs/>
        </w:rPr>
        <w:t>La información que se refiere a la vida privada y los datos personales será protegida en los términos y con las excepciones que fijen las leyes.</w:t>
      </w:r>
    </w:p>
    <w:p w14:paraId="472DDFA6" w14:textId="77777777" w:rsidR="008850F3" w:rsidRDefault="008850F3" w:rsidP="008850F3">
      <w:pPr>
        <w:tabs>
          <w:tab w:val="left" w:pos="993"/>
          <w:tab w:val="left" w:pos="8364"/>
        </w:tabs>
        <w:ind w:left="567" w:right="760"/>
        <w:contextualSpacing/>
        <w:jc w:val="both"/>
        <w:rPr>
          <w:rFonts w:ascii="Palatino Linotype" w:hAnsi="Palatino Linotype" w:cs="Arial"/>
          <w:bCs/>
          <w:i/>
          <w:iCs/>
        </w:rPr>
      </w:pPr>
      <w:r>
        <w:rPr>
          <w:rFonts w:ascii="Palatino Linotype" w:hAnsi="Palatino Linotype" w:cs="Arial"/>
          <w:bCs/>
          <w:i/>
          <w:iCs/>
        </w:rPr>
        <w:t>…</w:t>
      </w:r>
    </w:p>
    <w:p w14:paraId="45E9CB74"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b/>
          <w:i/>
          <w:iCs/>
        </w:rPr>
        <w:t>Artículo 16.</w:t>
      </w:r>
      <w:r>
        <w:rPr>
          <w:rFonts w:ascii="Palatino Linotype" w:hAnsi="Palatino Linotype" w:cs="Arial"/>
          <w:i/>
          <w:iCs/>
        </w:rPr>
        <w:t xml:space="preserve"> …</w:t>
      </w:r>
    </w:p>
    <w:p w14:paraId="352F0D6A"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b/>
          <w:i/>
          <w:iCs/>
        </w:rPr>
        <w:t>Toda persona tiene derecho a la protección de sus datos personales</w:t>
      </w:r>
      <w:r>
        <w:rPr>
          <w:rFonts w:ascii="Palatino Linotype" w:hAnsi="Palatino Linotype" w:cs="Arial"/>
          <w:i/>
          <w:iCs/>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roofErr w:type="gramStart"/>
      <w:r>
        <w:rPr>
          <w:rFonts w:ascii="Palatino Linotype" w:hAnsi="Palatino Linotype" w:cs="Arial"/>
          <w:i/>
          <w:iCs/>
        </w:rPr>
        <w:t>…”(</w:t>
      </w:r>
      <w:proofErr w:type="gramEnd"/>
      <w:r>
        <w:rPr>
          <w:rFonts w:ascii="Palatino Linotype" w:hAnsi="Palatino Linotype" w:cs="Arial"/>
          <w:i/>
          <w:iCs/>
        </w:rPr>
        <w:t>Sic)</w:t>
      </w:r>
    </w:p>
    <w:p w14:paraId="6922610A" w14:textId="77777777" w:rsidR="008850F3" w:rsidRDefault="008850F3" w:rsidP="008850F3">
      <w:pPr>
        <w:spacing w:line="360" w:lineRule="auto"/>
        <w:ind w:right="-93"/>
        <w:jc w:val="both"/>
        <w:rPr>
          <w:rFonts w:ascii="Palatino Linotype" w:hAnsi="Palatino Linotype" w:cs="Tahoma"/>
          <w:bCs/>
        </w:rPr>
      </w:pPr>
    </w:p>
    <w:p w14:paraId="66F1AC0D"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De la misma manera, el artículo 5° párrafo primero, vigésimo tercero, vigésimo noveno y trigésimo, de la Constitución Política del Estado Libre y Soberano de México, precisa lo siguiente:</w:t>
      </w:r>
    </w:p>
    <w:p w14:paraId="60624C62" w14:textId="77777777" w:rsidR="008850F3" w:rsidRDefault="008850F3" w:rsidP="008850F3">
      <w:pPr>
        <w:spacing w:line="360" w:lineRule="auto"/>
        <w:ind w:right="-93"/>
        <w:jc w:val="both"/>
        <w:rPr>
          <w:rFonts w:ascii="Palatino Linotype" w:hAnsi="Palatino Linotype" w:cs="Tahoma"/>
          <w:bCs/>
        </w:rPr>
      </w:pPr>
    </w:p>
    <w:p w14:paraId="36192764"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b/>
          <w:bCs/>
          <w:i/>
          <w:iCs/>
        </w:rPr>
        <w:t>“Artículo 5.-</w:t>
      </w:r>
      <w:r>
        <w:t xml:space="preserve"> </w:t>
      </w:r>
      <w:r>
        <w:rPr>
          <w:rFonts w:ascii="Palatino Linotype" w:hAnsi="Palatino Linotype" w:cs="Arial"/>
          <w:i/>
          <w:iCs/>
        </w:rPr>
        <w:t>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E08EE5B"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w:t>
      </w:r>
    </w:p>
    <w:p w14:paraId="37AD20C1"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La manifestación de las ideas no será objeto de ninguna inquisición judicial o administrativa, sino en el caso de que ataque a la moral, la vida privada o los derechos de tercero, provoque algún delito, o perturbe el orden público; el derecho de réplica será ejercido en los términos dispuestos por la ley.</w:t>
      </w:r>
    </w:p>
    <w:p w14:paraId="07CE6428"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w:t>
      </w:r>
    </w:p>
    <w:p w14:paraId="13E5166B"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 xml:space="preserve">Para garantizar el ejercicio del derecho de transparencia, acceso a la información pública y protección de datos personales, los poderes públicos y los organismos </w:t>
      </w:r>
      <w:r>
        <w:rPr>
          <w:rFonts w:ascii="Palatino Linotype" w:hAnsi="Palatino Linotype" w:cs="Arial"/>
          <w:i/>
          <w:iCs/>
        </w:rPr>
        <w:lastRenderedPageBreak/>
        <w:t xml:space="preserve">autónomos, transparentarán sus acciones, en términos de las disposiciones aplicables, la información será oportuna, clara, veraz y de fácil acceso. </w:t>
      </w:r>
    </w:p>
    <w:p w14:paraId="5699D013" w14:textId="77777777" w:rsidR="008850F3" w:rsidRDefault="008850F3" w:rsidP="008850F3">
      <w:pPr>
        <w:tabs>
          <w:tab w:val="left" w:pos="993"/>
          <w:tab w:val="left" w:pos="8364"/>
        </w:tabs>
        <w:ind w:left="567" w:right="760"/>
        <w:contextualSpacing/>
        <w:jc w:val="both"/>
        <w:rPr>
          <w:rFonts w:ascii="Palatino Linotype" w:hAnsi="Palatino Linotype" w:cs="Arial"/>
          <w:i/>
          <w:iCs/>
        </w:rPr>
      </w:pPr>
    </w:p>
    <w:p w14:paraId="65D0547F"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Este derecho se regirá por los principios y bases siguientes:</w:t>
      </w:r>
    </w:p>
    <w:p w14:paraId="0446860D"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w:t>
      </w:r>
    </w:p>
    <w:p w14:paraId="20914225" w14:textId="77777777" w:rsidR="008850F3" w:rsidRDefault="008850F3" w:rsidP="008850F3">
      <w:pPr>
        <w:tabs>
          <w:tab w:val="left" w:pos="993"/>
          <w:tab w:val="left" w:pos="8364"/>
        </w:tabs>
        <w:ind w:left="567" w:right="760"/>
        <w:contextualSpacing/>
        <w:jc w:val="both"/>
        <w:rPr>
          <w:rFonts w:ascii="Palatino Linotype" w:hAnsi="Palatino Linotype" w:cs="Arial"/>
          <w:i/>
          <w:iCs/>
        </w:rPr>
      </w:pPr>
      <w:r>
        <w:rPr>
          <w:rFonts w:ascii="Palatino Linotype" w:hAnsi="Palatino Linotype" w:cs="Arial"/>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siguientes:…”(Sic)</w:t>
      </w:r>
    </w:p>
    <w:p w14:paraId="7FA3395D" w14:textId="77777777" w:rsidR="008850F3" w:rsidRDefault="008850F3" w:rsidP="008850F3">
      <w:pPr>
        <w:spacing w:line="360" w:lineRule="auto"/>
        <w:ind w:right="-93"/>
        <w:jc w:val="both"/>
        <w:rPr>
          <w:rFonts w:ascii="Palatino Linotype" w:hAnsi="Palatino Linotype" w:cs="Tahoma"/>
          <w:bCs/>
        </w:rPr>
      </w:pPr>
    </w:p>
    <w:p w14:paraId="33DCA045"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De las normas transcritas, se desprende que la información que se refiere al ámbito privado de las personas, así como los datos personales, debe estar protegida, en los términos y con las excepciones a los principios de tratamiento de datos que por razones de orden público que fije la ley, por lo que toda persona tiene derecho a la protección de sus datos personales.</w:t>
      </w:r>
    </w:p>
    <w:p w14:paraId="31FD37BB" w14:textId="77777777" w:rsidR="008850F3" w:rsidRDefault="008850F3" w:rsidP="008850F3">
      <w:pPr>
        <w:spacing w:line="360" w:lineRule="auto"/>
        <w:ind w:right="-93"/>
        <w:jc w:val="both"/>
        <w:rPr>
          <w:rFonts w:ascii="Palatino Linotype" w:hAnsi="Palatino Linotype" w:cs="Tahoma"/>
          <w:bCs/>
        </w:rPr>
      </w:pPr>
    </w:p>
    <w:p w14:paraId="5A4FD168"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En ese contexto, en el artículo 24, fracción VI, de la Ley General de Transparencia y Acceso a la Información Pública, relacionado con el 24, fracción XIV, de la Ley de Transparencia y Acceso a la Información Pública del Estado de México y Municipios, se señala que los sujetos obligados serán los responsables de proteger, resguardar y asegurar los datos personales en su posesión.</w:t>
      </w:r>
    </w:p>
    <w:p w14:paraId="43215FC4" w14:textId="77777777" w:rsidR="008850F3" w:rsidRDefault="008850F3" w:rsidP="008850F3">
      <w:pPr>
        <w:spacing w:line="360" w:lineRule="auto"/>
        <w:ind w:right="-93"/>
        <w:jc w:val="both"/>
        <w:rPr>
          <w:rFonts w:ascii="Palatino Linotype" w:hAnsi="Palatino Linotype" w:cs="Tahoma"/>
          <w:bCs/>
        </w:rPr>
      </w:pPr>
    </w:p>
    <w:p w14:paraId="5A285884"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Situación que retoma de manera similar la Ley Estatal de Transparencia, en los artículos 143, fracción I, 147 y 148, que señalan:</w:t>
      </w:r>
    </w:p>
    <w:p w14:paraId="58D8A807" w14:textId="77777777" w:rsidR="008850F3" w:rsidRDefault="008850F3" w:rsidP="008850F3">
      <w:pPr>
        <w:spacing w:line="360" w:lineRule="auto"/>
        <w:ind w:right="-93"/>
        <w:jc w:val="both"/>
        <w:rPr>
          <w:rFonts w:ascii="Palatino Linotype" w:hAnsi="Palatino Linotype" w:cs="Tahoma"/>
          <w:bCs/>
        </w:rPr>
      </w:pPr>
    </w:p>
    <w:p w14:paraId="0AB2F9D9" w14:textId="77777777" w:rsidR="008850F3" w:rsidRDefault="008850F3" w:rsidP="008850F3">
      <w:pPr>
        <w:ind w:left="567" w:right="567"/>
        <w:contextualSpacing/>
        <w:jc w:val="both"/>
        <w:rPr>
          <w:rFonts w:ascii="Palatino Linotype" w:hAnsi="Palatino Linotype" w:cs="Arial"/>
          <w:b/>
          <w:bCs/>
          <w:i/>
          <w:iCs/>
        </w:rPr>
      </w:pPr>
      <w:r>
        <w:rPr>
          <w:rFonts w:ascii="Palatino Linotype" w:hAnsi="Palatino Linotype" w:cs="Arial"/>
          <w:b/>
          <w:bCs/>
          <w:i/>
          <w:iCs/>
        </w:rPr>
        <w:lastRenderedPageBreak/>
        <w:t xml:space="preserve">“Artículo 143. </w:t>
      </w:r>
      <w:r>
        <w:rPr>
          <w:rFonts w:ascii="Palatino Linotype" w:hAnsi="Palatino Linotype" w:cs="Arial"/>
          <w:i/>
          <w:iCs/>
        </w:rPr>
        <w:t>Para los efectos de esta Ley se considera información confidencial, la clasificada como tal, de manera permanente, por su naturaleza, cuando:</w:t>
      </w:r>
      <w:r>
        <w:rPr>
          <w:rFonts w:ascii="Palatino Linotype" w:hAnsi="Palatino Linotype" w:cs="Arial"/>
          <w:b/>
          <w:bCs/>
          <w:i/>
          <w:iCs/>
        </w:rPr>
        <w:t xml:space="preserve"> </w:t>
      </w:r>
    </w:p>
    <w:p w14:paraId="0F27C37D"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I. Se refiera a la información privada y los datos personales concernientes a una persona física o jurídica colectiva identificada o identificable;</w:t>
      </w:r>
    </w:p>
    <w:p w14:paraId="03835B18"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w:t>
      </w:r>
    </w:p>
    <w:p w14:paraId="614A6289"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b/>
          <w:bCs/>
          <w:i/>
          <w:iCs/>
        </w:rPr>
        <w:t>Artículo 147.</w:t>
      </w:r>
      <w:r>
        <w:rPr>
          <w:rFonts w:ascii="Palatino Linotype" w:hAnsi="Palatino Linotype" w:cs="Arial"/>
          <w:i/>
          <w:iCs/>
        </w:rPr>
        <w:t xml:space="preserve"> Para que los sujetos obligados puedan permitir el acceso a información confidencial requieren obtener el consentimiento de los particulares titulares de la información. </w:t>
      </w:r>
    </w:p>
    <w:p w14:paraId="7DB31229"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b/>
          <w:bCs/>
          <w:i/>
          <w:iCs/>
        </w:rPr>
        <w:t xml:space="preserve">Artículo 148. </w:t>
      </w:r>
      <w:r>
        <w:rPr>
          <w:rFonts w:ascii="Palatino Linotype" w:hAnsi="Palatino Linotype" w:cs="Arial"/>
          <w:i/>
          <w:iCs/>
        </w:rPr>
        <w:t xml:space="preserve">No se requerirá el consentimiento del titular de la información confidencial cuando: </w:t>
      </w:r>
    </w:p>
    <w:p w14:paraId="59CC9A6A"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 xml:space="preserve">I. La información se encuentre en registros públicos o fuentes de acceso público; </w:t>
      </w:r>
    </w:p>
    <w:p w14:paraId="194CC787"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 xml:space="preserve">II. Por Ley tenga el carácter de pública; </w:t>
      </w:r>
    </w:p>
    <w:p w14:paraId="318F328D"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 xml:space="preserve">III. Exista una orden judicial; </w:t>
      </w:r>
    </w:p>
    <w:p w14:paraId="5D932104"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 xml:space="preserve">IV. Por razones de seguridad pública, o para proteger los derechos de terceros, se requiera su publicación; o </w:t>
      </w:r>
    </w:p>
    <w:p w14:paraId="70666F77" w14:textId="77777777" w:rsidR="008850F3" w:rsidRDefault="008850F3" w:rsidP="008850F3">
      <w:pPr>
        <w:ind w:left="567" w:right="567"/>
        <w:contextualSpacing/>
        <w:jc w:val="both"/>
        <w:rPr>
          <w:rFonts w:ascii="Palatino Linotype" w:hAnsi="Palatino Linotype" w:cs="Arial"/>
          <w:i/>
          <w:iCs/>
        </w:rPr>
      </w:pPr>
      <w:r>
        <w:rPr>
          <w:rFonts w:ascii="Palatino Linotype" w:hAnsi="Palatino Linotype" w:cs="Arial"/>
          <w:i/>
          <w:iCs/>
        </w:rPr>
        <w:t>V. Cuando se transmita entre sujetos obligados y entre éstos y los sujetos de derecho internacional, en términos de los tratados y los acuerdos interinstitucionales, siempre y cuando la información se utilice para el ejercicio de facultades propias de los mismos…” (Sic)</w:t>
      </w:r>
    </w:p>
    <w:p w14:paraId="24CF2058" w14:textId="77777777" w:rsidR="008850F3" w:rsidRDefault="008850F3" w:rsidP="008850F3">
      <w:pPr>
        <w:spacing w:line="360" w:lineRule="auto"/>
        <w:ind w:right="-93"/>
        <w:jc w:val="both"/>
        <w:rPr>
          <w:rFonts w:ascii="Palatino Linotype" w:hAnsi="Palatino Linotype" w:cs="Tahoma"/>
          <w:bCs/>
        </w:rPr>
      </w:pPr>
    </w:p>
    <w:p w14:paraId="39188A0A"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Conforme a lo anterior, se considera que la información confidencial, es aquella que refiera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14:paraId="7D7472B4" w14:textId="77777777" w:rsidR="008850F3" w:rsidRDefault="008850F3" w:rsidP="008850F3">
      <w:pPr>
        <w:spacing w:line="360" w:lineRule="auto"/>
        <w:ind w:right="-93"/>
        <w:jc w:val="both"/>
        <w:rPr>
          <w:rFonts w:ascii="Palatino Linotype" w:hAnsi="Palatino Linotype" w:cs="Tahoma"/>
          <w:bCs/>
        </w:rPr>
      </w:pPr>
    </w:p>
    <w:p w14:paraId="776151C2" w14:textId="77777777" w:rsidR="008850F3" w:rsidRDefault="008850F3" w:rsidP="008850F3">
      <w:pPr>
        <w:spacing w:line="360" w:lineRule="auto"/>
        <w:ind w:right="-93"/>
        <w:jc w:val="both"/>
        <w:rPr>
          <w:rFonts w:ascii="Palatino Linotype" w:hAnsi="Palatino Linotype" w:cs="Tahoma"/>
          <w:bCs/>
        </w:rPr>
      </w:pPr>
      <w:r>
        <w:rPr>
          <w:rFonts w:ascii="Palatino Linotype" w:hAnsi="Palatino Linotype" w:cs="Tahoma"/>
          <w:bCs/>
        </w:rPr>
        <w:t xml:space="preserve">De igual forma, para que los sujetos obligados puedan permitir el acceso a información confidencial, requieren obtener el consentimiento de los particulares titulares de la información, excepto cuando i) la información se encuentre en registros públicos o fuentes </w:t>
      </w:r>
      <w:r>
        <w:rPr>
          <w:rFonts w:ascii="Palatino Linotype" w:hAnsi="Palatino Linotype" w:cs="Tahoma"/>
          <w:bCs/>
        </w:rPr>
        <w:lastRenderedPageBreak/>
        <w:t>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B8A6EBE" w14:textId="77777777" w:rsidR="008850F3" w:rsidRDefault="008850F3" w:rsidP="008850F3">
      <w:pPr>
        <w:spacing w:line="360" w:lineRule="auto"/>
        <w:ind w:right="-93"/>
        <w:jc w:val="both"/>
        <w:rPr>
          <w:rFonts w:ascii="Palatino Linotype" w:hAnsi="Palatino Linotype" w:cs="Tahoma"/>
          <w:bCs/>
        </w:rPr>
      </w:pPr>
    </w:p>
    <w:p w14:paraId="38C76530" w14:textId="77777777" w:rsidR="008850F3" w:rsidRDefault="008850F3" w:rsidP="008850F3">
      <w:pPr>
        <w:spacing w:line="360" w:lineRule="auto"/>
        <w:ind w:right="-93"/>
        <w:jc w:val="both"/>
        <w:rPr>
          <w:rFonts w:ascii="Palatino Linotype" w:hAnsi="Palatino Linotype" w:cs="Tahoma"/>
          <w:bCs/>
          <w:sz w:val="24"/>
          <w:szCs w:val="24"/>
        </w:rPr>
      </w:pPr>
      <w:r>
        <w:rPr>
          <w:rFonts w:ascii="Palatino Linotype" w:hAnsi="Palatino Linotype" w:cs="Tahoma"/>
          <w:bCs/>
        </w:rPr>
        <w:t xml:space="preserve">Asimismo, los sujetos obligados serán responsables de los datos personales y, en relación con éstos, deberán cumplir, con las obligaciones establecidas en las leyes de la materia y en la </w:t>
      </w:r>
      <w:r>
        <w:rPr>
          <w:rFonts w:ascii="Palatino Linotype" w:hAnsi="Palatino Linotype" w:cs="Tahoma"/>
          <w:bCs/>
          <w:iCs/>
        </w:rPr>
        <w:t>Ley General de Transparencia y Acceso a la Información Pública</w:t>
      </w:r>
      <w:r>
        <w:rPr>
          <w:rFonts w:ascii="Palatino Linotype" w:hAnsi="Palatino Linotype" w:cs="Tahoma"/>
          <w:bCs/>
        </w:rPr>
        <w:t>.</w:t>
      </w:r>
    </w:p>
    <w:p w14:paraId="5481A725" w14:textId="77777777" w:rsidR="008850F3" w:rsidRDefault="008850F3" w:rsidP="008850F3">
      <w:pPr>
        <w:spacing w:line="360" w:lineRule="auto"/>
        <w:ind w:right="-93"/>
        <w:jc w:val="both"/>
        <w:rPr>
          <w:rFonts w:ascii="Palatino Linotype" w:hAnsi="Palatino Linotype" w:cs="Tahoma"/>
          <w:b/>
        </w:rPr>
      </w:pPr>
    </w:p>
    <w:p w14:paraId="0CF625F0" w14:textId="77777777" w:rsidR="008850F3" w:rsidRDefault="008850F3" w:rsidP="008850F3">
      <w:pPr>
        <w:spacing w:line="360" w:lineRule="auto"/>
        <w:ind w:right="-93"/>
        <w:jc w:val="both"/>
        <w:rPr>
          <w:rFonts w:ascii="Palatino Linotype" w:hAnsi="Palatino Linotype" w:cs="Tahoma"/>
          <w:bCs/>
        </w:rPr>
      </w:pPr>
      <w:r>
        <w:rPr>
          <w:rFonts w:ascii="Palatino Linotype" w:hAnsi="Palatino Linotype" w:cs="Tahoma"/>
          <w:bCs/>
        </w:rPr>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14:paraId="5A1A2674" w14:textId="77777777" w:rsidR="008850F3" w:rsidRDefault="008850F3" w:rsidP="008850F3">
      <w:pPr>
        <w:spacing w:line="360" w:lineRule="auto"/>
        <w:ind w:right="-93"/>
        <w:jc w:val="both"/>
        <w:rPr>
          <w:rFonts w:ascii="Palatino Linotype" w:hAnsi="Palatino Linotype" w:cs="Tahoma"/>
          <w:bCs/>
        </w:rPr>
      </w:pPr>
    </w:p>
    <w:p w14:paraId="384207CF" w14:textId="77777777" w:rsidR="008850F3" w:rsidRDefault="008850F3" w:rsidP="008850F3">
      <w:pPr>
        <w:numPr>
          <w:ilvl w:val="0"/>
          <w:numId w:val="37"/>
        </w:numPr>
        <w:spacing w:line="360" w:lineRule="auto"/>
        <w:ind w:right="-93"/>
        <w:jc w:val="both"/>
        <w:rPr>
          <w:rFonts w:ascii="Palatino Linotype" w:hAnsi="Palatino Linotype" w:cs="Tahoma"/>
          <w:bCs/>
        </w:rPr>
      </w:pPr>
      <w:r>
        <w:rPr>
          <w:rFonts w:ascii="Palatino Linotype" w:hAnsi="Palatino Linotype" w:cs="Tahoma"/>
          <w:bCs/>
        </w:rPr>
        <w:t xml:space="preserve">Se trate de datos personales, esto es, información concerniente a una persona física y que ésta sea identificada o identificable o bien, sea aquella que refiera aspectos de la vida privada o íntima de las personas. </w:t>
      </w:r>
    </w:p>
    <w:p w14:paraId="5832579B" w14:textId="77777777" w:rsidR="008850F3" w:rsidRDefault="008850F3" w:rsidP="008850F3">
      <w:pPr>
        <w:numPr>
          <w:ilvl w:val="0"/>
          <w:numId w:val="37"/>
        </w:numPr>
        <w:spacing w:line="360" w:lineRule="auto"/>
        <w:ind w:right="-93"/>
        <w:jc w:val="both"/>
        <w:rPr>
          <w:rFonts w:ascii="Palatino Linotype" w:hAnsi="Palatino Linotype" w:cs="Tahoma"/>
          <w:bCs/>
        </w:rPr>
      </w:pPr>
      <w:r>
        <w:rPr>
          <w:rFonts w:ascii="Palatino Linotype" w:hAnsi="Palatino Linotype" w:cs="Tahoma"/>
          <w:bCs/>
        </w:rPr>
        <w:t xml:space="preserve">Para la difusión de los datos, se requiera el consentimiento del titular. </w:t>
      </w:r>
    </w:p>
    <w:p w14:paraId="45E5A14B" w14:textId="77777777" w:rsidR="00080416" w:rsidRDefault="00080416" w:rsidP="00080416">
      <w:pPr>
        <w:spacing w:line="360" w:lineRule="auto"/>
        <w:ind w:left="720" w:right="-93"/>
        <w:jc w:val="both"/>
        <w:rPr>
          <w:rFonts w:ascii="Palatino Linotype" w:hAnsi="Palatino Linotype" w:cs="Tahoma"/>
          <w:bCs/>
        </w:rPr>
      </w:pPr>
    </w:p>
    <w:p w14:paraId="1E57B31F" w14:textId="77777777" w:rsidR="008850F3" w:rsidRDefault="008850F3" w:rsidP="008850F3">
      <w:pPr>
        <w:spacing w:line="360" w:lineRule="auto"/>
        <w:jc w:val="both"/>
        <w:rPr>
          <w:rFonts w:ascii="Palatino Linotype" w:hAnsi="Palatino Linotype" w:cs="Tahoma"/>
          <w:iCs/>
        </w:rPr>
      </w:pPr>
      <w:r>
        <w:rPr>
          <w:rFonts w:ascii="Palatino Linotype" w:hAnsi="Palatino Linotype" w:cs="Tahoma"/>
          <w:iCs/>
        </w:rPr>
        <w:t xml:space="preserve">En ese orden de ideas, el artículo 2°, fracción IX, de la Ley General de Protección de Datos Personales en Posesión de Sujetos Obligados y 2°, fracción XI, de la Ley de Protección de Datos Personales en Posesión de Sujetos Obligados del Estado de México y Municipios, </w:t>
      </w:r>
      <w:r>
        <w:rPr>
          <w:rFonts w:ascii="Palatino Linotype" w:hAnsi="Palatino Linotype" w:cs="Tahoma"/>
          <w:iCs/>
        </w:rPr>
        <w:lastRenderedPageBreak/>
        <w:t>establecen que los datos personales es cualquier información concerniente a una persona física identificada o identificable; mientras que los sensibles, son aquellos que refieran a la esfera más íntima de su titular.</w:t>
      </w:r>
    </w:p>
    <w:p w14:paraId="257F6FA0" w14:textId="77777777" w:rsidR="008850F3" w:rsidRDefault="008850F3" w:rsidP="008850F3">
      <w:pPr>
        <w:spacing w:line="360" w:lineRule="auto"/>
        <w:jc w:val="both"/>
        <w:rPr>
          <w:rFonts w:ascii="Palatino Linotype" w:hAnsi="Palatino Linotype" w:cs="Tahoma"/>
          <w:iCs/>
        </w:rPr>
      </w:pPr>
    </w:p>
    <w:p w14:paraId="24EA0BEB" w14:textId="77777777" w:rsidR="008850F3" w:rsidRDefault="008850F3" w:rsidP="008850F3">
      <w:pPr>
        <w:spacing w:line="360" w:lineRule="auto"/>
        <w:jc w:val="both"/>
        <w:rPr>
          <w:rFonts w:ascii="Palatino Linotype" w:hAnsi="Palatino Linotype" w:cs="Tahoma"/>
          <w:bCs/>
          <w:iCs/>
        </w:rPr>
      </w:pPr>
      <w:r>
        <w:rPr>
          <w:rFonts w:ascii="Palatino Linotype" w:hAnsi="Palatino Linotype" w:cs="Tahoma"/>
          <w:bCs/>
          <w:iCs/>
        </w:rPr>
        <w:t>En ese contexto, el apartado ¿Qué son los datos personales?, de la página oficial de este Instituto (</w:t>
      </w:r>
      <w:hyperlink r:id="rId12" w:history="1">
        <w:r>
          <w:rPr>
            <w:rStyle w:val="Hipervnculo"/>
            <w:rFonts w:ascii="Palatino Linotype" w:hAnsi="Palatino Linotype" w:cs="Tahoma"/>
            <w:bCs/>
            <w:iCs/>
          </w:rPr>
          <w:t>https://www.infoem.org.mx/es/contenido/datos-personales</w:t>
        </w:r>
      </w:hyperlink>
      <w:r>
        <w:rPr>
          <w:rFonts w:ascii="Palatino Linotype" w:hAnsi="Palatino Linotype" w:cs="Tahoma"/>
          <w:bCs/>
          <w:iCs/>
        </w:rPr>
        <w:t>), establece como una categoría de datos personales, los datos sobre procedimientos administrativos y jurisdiccionales, los cuales se conforman de toda aquella información relacionada íntimamente a una persona identificada localizable en procedimientos administrativos o juicios de cualquier materia.</w:t>
      </w:r>
    </w:p>
    <w:p w14:paraId="41D7F217" w14:textId="77777777" w:rsidR="008850F3" w:rsidRDefault="008850F3" w:rsidP="008850F3">
      <w:pPr>
        <w:spacing w:line="360" w:lineRule="auto"/>
        <w:jc w:val="both"/>
        <w:rPr>
          <w:rFonts w:ascii="Palatino Linotype" w:hAnsi="Palatino Linotype" w:cs="Tahoma"/>
          <w:b/>
          <w:bCs/>
          <w:iCs/>
        </w:rPr>
      </w:pPr>
    </w:p>
    <w:p w14:paraId="146F2D48" w14:textId="77777777" w:rsidR="008850F3" w:rsidRDefault="008850F3" w:rsidP="008850F3">
      <w:pPr>
        <w:spacing w:line="360" w:lineRule="auto"/>
        <w:jc w:val="both"/>
        <w:rPr>
          <w:rFonts w:ascii="Palatino Linotype" w:hAnsi="Palatino Linotype" w:cs="Tahoma"/>
          <w:bCs/>
          <w:iCs/>
        </w:rPr>
      </w:pPr>
      <w:r>
        <w:rPr>
          <w:rFonts w:ascii="Palatino Linotype" w:hAnsi="Palatino Linotype" w:cs="Tahoma"/>
          <w:bCs/>
          <w:iCs/>
        </w:rPr>
        <w:t xml:space="preserve">A su vez, en el Cuadragésimo octavo de los Lineamientos Generales, se señala que los documentos y expedientes clasificados como confidenciales sólo podrán ser comunicados a terceros siempre y cuando exista disposición legal expresa que lo justifique o cuando se cuente con el consentimiento del titular. </w:t>
      </w:r>
    </w:p>
    <w:p w14:paraId="0828DD3B" w14:textId="77777777" w:rsidR="008850F3" w:rsidRDefault="008850F3" w:rsidP="008850F3">
      <w:pPr>
        <w:spacing w:line="360" w:lineRule="auto"/>
        <w:jc w:val="both"/>
        <w:rPr>
          <w:rFonts w:ascii="Palatino Linotype" w:hAnsi="Palatino Linotype" w:cs="Tahoma"/>
          <w:bCs/>
          <w:iCs/>
        </w:rPr>
      </w:pPr>
    </w:p>
    <w:p w14:paraId="22BBCB25" w14:textId="101D8DC0" w:rsidR="008850F3" w:rsidRDefault="008850F3" w:rsidP="008850F3">
      <w:pPr>
        <w:tabs>
          <w:tab w:val="left" w:pos="3962"/>
        </w:tabs>
        <w:spacing w:line="360" w:lineRule="auto"/>
        <w:jc w:val="both"/>
        <w:rPr>
          <w:rFonts w:ascii="Palatino Linotype" w:eastAsia="Calibri" w:hAnsi="Palatino Linotype" w:cs="Tahoma"/>
          <w:bCs/>
          <w:sz w:val="24"/>
          <w:szCs w:val="24"/>
        </w:rPr>
      </w:pPr>
      <w:r>
        <w:rPr>
          <w:rFonts w:ascii="Palatino Linotype" w:eastAsia="Calibri" w:hAnsi="Palatino Linotype" w:cs="Tahoma"/>
          <w:bCs/>
        </w:rPr>
        <w:t>Por lo que, en el presente caso, toda vez que la información está relacionada a una persona determinada, resulta</w:t>
      </w:r>
      <w:r w:rsidR="008F3200">
        <w:rPr>
          <w:rFonts w:ascii="Palatino Linotype" w:eastAsia="Calibri" w:hAnsi="Palatino Linotype" w:cs="Tahoma"/>
          <w:bCs/>
        </w:rPr>
        <w:t>ba</w:t>
      </w:r>
      <w:r>
        <w:rPr>
          <w:rFonts w:ascii="Palatino Linotype" w:eastAsia="Calibri" w:hAnsi="Palatino Linotype" w:cs="Tahoma"/>
          <w:bCs/>
        </w:rPr>
        <w:t xml:space="preserve"> necesario </w:t>
      </w:r>
      <w:r w:rsidRPr="008F3200">
        <w:rPr>
          <w:rFonts w:ascii="Palatino Linotype" w:eastAsia="Calibri" w:hAnsi="Palatino Linotype" w:cs="Tahoma"/>
          <w:b/>
          <w:bCs/>
        </w:rPr>
        <w:t>analizar si proced</w:t>
      </w:r>
      <w:r w:rsidR="00080416">
        <w:rPr>
          <w:rFonts w:ascii="Palatino Linotype" w:eastAsia="Calibri" w:hAnsi="Palatino Linotype" w:cs="Tahoma"/>
          <w:b/>
          <w:bCs/>
        </w:rPr>
        <w:t>ía</w:t>
      </w:r>
      <w:r w:rsidRPr="008F3200">
        <w:rPr>
          <w:rFonts w:ascii="Palatino Linotype" w:eastAsia="Calibri" w:hAnsi="Palatino Linotype" w:cs="Tahoma"/>
          <w:b/>
          <w:bCs/>
        </w:rPr>
        <w:t xml:space="preserve"> entregar el pronunciamiento respecto a la existencia o no de un procedimiento de responsabilidad,</w:t>
      </w:r>
      <w:r>
        <w:rPr>
          <w:rFonts w:ascii="Palatino Linotype" w:eastAsia="Calibri" w:hAnsi="Palatino Linotype" w:cs="Tahoma"/>
          <w:bCs/>
        </w:rPr>
        <w:t xml:space="preserve"> conforme a lo siguiente:</w:t>
      </w:r>
    </w:p>
    <w:p w14:paraId="196D1273" w14:textId="77777777" w:rsidR="008850F3" w:rsidRDefault="008850F3" w:rsidP="008850F3">
      <w:pPr>
        <w:tabs>
          <w:tab w:val="left" w:pos="3962"/>
        </w:tabs>
        <w:spacing w:line="360" w:lineRule="auto"/>
        <w:jc w:val="both"/>
        <w:rPr>
          <w:rFonts w:ascii="Palatino Linotype" w:eastAsia="Calibri" w:hAnsi="Palatino Linotype" w:cs="Tahoma"/>
          <w:bCs/>
        </w:rPr>
      </w:pPr>
    </w:p>
    <w:p w14:paraId="08698E9D" w14:textId="77777777" w:rsidR="008850F3" w:rsidRDefault="008850F3" w:rsidP="008850F3">
      <w:pPr>
        <w:tabs>
          <w:tab w:val="left" w:pos="3962"/>
        </w:tabs>
        <w:spacing w:line="360" w:lineRule="auto"/>
        <w:jc w:val="both"/>
        <w:rPr>
          <w:rFonts w:ascii="Palatino Linotype" w:eastAsia="Calibri" w:hAnsi="Palatino Linotype" w:cs="Tahoma"/>
          <w:b/>
          <w:bCs/>
        </w:rPr>
      </w:pPr>
      <w:r>
        <w:rPr>
          <w:rFonts w:ascii="Palatino Linotype" w:eastAsia="Calibri" w:hAnsi="Palatino Linotype" w:cs="Tahoma"/>
          <w:b/>
          <w:bCs/>
        </w:rPr>
        <w:t>-Procedimiento de responsabilidad en trámite.</w:t>
      </w:r>
    </w:p>
    <w:p w14:paraId="5490BF6D" w14:textId="77777777" w:rsidR="008850F3" w:rsidRDefault="008850F3" w:rsidP="008850F3">
      <w:pPr>
        <w:tabs>
          <w:tab w:val="left" w:pos="3962"/>
        </w:tabs>
        <w:spacing w:line="360" w:lineRule="auto"/>
        <w:jc w:val="both"/>
        <w:rPr>
          <w:rFonts w:ascii="Palatino Linotype" w:eastAsia="Calibri" w:hAnsi="Palatino Linotype" w:cs="Tahoma"/>
          <w:bCs/>
        </w:rPr>
      </w:pPr>
    </w:p>
    <w:p w14:paraId="500CA0BF"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Al respecto, es necesario señalar que pronunciarse sobre la existencia de un procedimiento de posibles responsabilidades en trámite, podría afectar al posible responsable identificado, en el presente caso,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14:paraId="0F7FABA9" w14:textId="77777777" w:rsidR="008850F3" w:rsidRDefault="008850F3" w:rsidP="008850F3">
      <w:pPr>
        <w:tabs>
          <w:tab w:val="left" w:pos="3962"/>
        </w:tabs>
        <w:spacing w:line="360" w:lineRule="auto"/>
        <w:jc w:val="both"/>
        <w:rPr>
          <w:rFonts w:ascii="Palatino Linotype" w:eastAsia="Calibri" w:hAnsi="Palatino Linotype" w:cs="Tahoma"/>
          <w:bCs/>
        </w:rPr>
      </w:pPr>
    </w:p>
    <w:p w14:paraId="2FE937EE"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21136E85" w14:textId="77777777" w:rsidR="008850F3" w:rsidRDefault="008850F3" w:rsidP="008850F3">
      <w:pPr>
        <w:tabs>
          <w:tab w:val="left" w:pos="3962"/>
        </w:tabs>
        <w:spacing w:line="360" w:lineRule="auto"/>
        <w:jc w:val="both"/>
        <w:rPr>
          <w:rFonts w:ascii="Palatino Linotype" w:eastAsia="Calibri" w:hAnsi="Palatino Linotype" w:cs="Tahoma"/>
          <w:bCs/>
        </w:rPr>
      </w:pPr>
    </w:p>
    <w:p w14:paraId="01839B9E" w14:textId="77777777" w:rsidR="008850F3" w:rsidRDefault="008850F3" w:rsidP="008850F3">
      <w:pPr>
        <w:ind w:left="567" w:right="567"/>
        <w:jc w:val="both"/>
        <w:rPr>
          <w:rFonts w:ascii="Palatino Linotype" w:eastAsia="Calibri" w:hAnsi="Palatino Linotype" w:cs="Tahoma"/>
          <w:bCs/>
          <w:i/>
          <w:iCs/>
          <w:sz w:val="24"/>
          <w:szCs w:val="24"/>
        </w:rPr>
      </w:pPr>
      <w:r>
        <w:rPr>
          <w:rFonts w:ascii="Palatino Linotype" w:eastAsia="Calibri" w:hAnsi="Palatino Linotype" w:cs="Tahoma"/>
          <w:b/>
          <w:bCs/>
          <w:i/>
          <w:iCs/>
        </w:rPr>
        <w:t xml:space="preserve">“DERECHO FUNDAMENTAL AL HONOR. SU DIMENSIÓN SUBJETIVA Y OBJETIVA. </w:t>
      </w:r>
      <w:r>
        <w:rPr>
          <w:rFonts w:ascii="Palatino Linotype" w:eastAsia="Calibri" w:hAnsi="Palatino Linotype" w:cs="Tahoma"/>
          <w:bCs/>
          <w:i/>
          <w:iCs/>
        </w:rPr>
        <w:t xml:space="preserve">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w:t>
      </w:r>
      <w:r>
        <w:rPr>
          <w:rFonts w:ascii="Palatino Linotype" w:eastAsia="Calibri" w:hAnsi="Palatino Linotype" w:cs="Tahoma"/>
          <w:bCs/>
          <w:i/>
          <w:iCs/>
        </w:rPr>
        <w:lastRenderedPageBreak/>
        <w:t>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nosotros.”(Sic)</w:t>
      </w:r>
    </w:p>
    <w:p w14:paraId="30F5B1D3" w14:textId="77777777" w:rsidR="008850F3" w:rsidRDefault="008850F3" w:rsidP="008850F3">
      <w:pPr>
        <w:tabs>
          <w:tab w:val="left" w:pos="3962"/>
        </w:tabs>
        <w:spacing w:line="360" w:lineRule="auto"/>
        <w:jc w:val="both"/>
        <w:rPr>
          <w:rFonts w:ascii="Palatino Linotype" w:eastAsia="Calibri" w:hAnsi="Palatino Linotype" w:cs="Tahoma"/>
          <w:bCs/>
        </w:rPr>
      </w:pPr>
    </w:p>
    <w:p w14:paraId="5CB3B2AF" w14:textId="77777777" w:rsidR="008850F3" w:rsidRDefault="008850F3" w:rsidP="008850F3">
      <w:pPr>
        <w:tabs>
          <w:tab w:val="left" w:pos="3962"/>
        </w:tabs>
        <w:spacing w:line="360" w:lineRule="auto"/>
        <w:jc w:val="both"/>
        <w:rPr>
          <w:rFonts w:ascii="Palatino Linotype" w:eastAsia="Calibri" w:hAnsi="Palatino Linotype" w:cs="Tahoma"/>
          <w:bCs/>
          <w:sz w:val="24"/>
          <w:szCs w:val="24"/>
        </w:rPr>
      </w:pPr>
      <w:r>
        <w:rPr>
          <w:rFonts w:ascii="Palatino Linotype" w:eastAsia="Calibri" w:hAnsi="Palatino Linotype" w:cs="Tahoma"/>
          <w:bCs/>
        </w:rPr>
        <w:t xml:space="preserve">De la tesis transcrita se desprende que el honor es el concepto que la persona tiene de sí misma o que los demás se han formado de ella, en virtud de su proceder o de la expresión de su calidad ética y social. </w:t>
      </w:r>
    </w:p>
    <w:p w14:paraId="74DAD068" w14:textId="77777777" w:rsidR="008850F3" w:rsidRDefault="008850F3" w:rsidP="008850F3">
      <w:pPr>
        <w:tabs>
          <w:tab w:val="left" w:pos="3962"/>
        </w:tabs>
        <w:spacing w:line="360" w:lineRule="auto"/>
        <w:jc w:val="both"/>
        <w:rPr>
          <w:rFonts w:ascii="Palatino Linotype" w:eastAsia="Calibri" w:hAnsi="Palatino Linotype" w:cs="Tahoma"/>
          <w:bCs/>
        </w:rPr>
      </w:pPr>
    </w:p>
    <w:p w14:paraId="097A0C70"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2A3BD278" w14:textId="77777777" w:rsidR="008850F3" w:rsidRDefault="008850F3" w:rsidP="008850F3">
      <w:pPr>
        <w:tabs>
          <w:tab w:val="left" w:pos="3962"/>
        </w:tabs>
        <w:spacing w:line="360" w:lineRule="auto"/>
        <w:jc w:val="both"/>
        <w:rPr>
          <w:rFonts w:ascii="Palatino Linotype" w:eastAsia="Calibri" w:hAnsi="Palatino Linotype" w:cs="Tahoma"/>
          <w:bCs/>
        </w:rPr>
      </w:pPr>
    </w:p>
    <w:p w14:paraId="54061EC2"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 xml:space="preserve">Por otra parte, debe señalarse que conforme al artículo 20, inciso B, numeral I, de la Constitución Política del 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w:t>
      </w:r>
      <w:r>
        <w:rPr>
          <w:rFonts w:ascii="Palatino Linotype" w:eastAsia="Calibri" w:hAnsi="Palatino Linotype" w:cs="Tahoma"/>
          <w:bCs/>
        </w:rPr>
        <w:lastRenderedPageBreak/>
        <w:t>como, el Pacto Internacional de Derechos Civiles y Políticos y la Convención Americana sobre Derechos Humanos.</w:t>
      </w:r>
    </w:p>
    <w:p w14:paraId="09D6D82A" w14:textId="77777777" w:rsidR="008850F3" w:rsidRDefault="008850F3" w:rsidP="008850F3">
      <w:pPr>
        <w:tabs>
          <w:tab w:val="left" w:pos="3962"/>
        </w:tabs>
        <w:spacing w:line="360" w:lineRule="auto"/>
        <w:jc w:val="both"/>
        <w:rPr>
          <w:rFonts w:ascii="Palatino Linotype" w:eastAsia="Calibri" w:hAnsi="Palatino Linotype" w:cs="Tahoma"/>
          <w:bCs/>
        </w:rPr>
      </w:pPr>
    </w:p>
    <w:p w14:paraId="122F7503" w14:textId="77777777" w:rsidR="008850F3" w:rsidRDefault="008850F3" w:rsidP="008850F3">
      <w:pPr>
        <w:tabs>
          <w:tab w:val="left" w:pos="3962"/>
        </w:tabs>
        <w:spacing w:line="360" w:lineRule="auto"/>
        <w:jc w:val="both"/>
        <w:rPr>
          <w:rFonts w:ascii="Palatino Linotype" w:eastAsia="Calibri" w:hAnsi="Palatino Linotype" w:cs="Tahoma"/>
          <w:bCs/>
          <w:sz w:val="24"/>
          <w:szCs w:val="24"/>
        </w:rPr>
      </w:pPr>
      <w:r>
        <w:rPr>
          <w:rFonts w:ascii="Palatino Linotype" w:eastAsia="Calibri" w:hAnsi="Palatino Linotype" w:cs="Tahoma"/>
          <w:bCs/>
        </w:rPr>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41A8BEF2" w14:textId="77777777" w:rsidR="008850F3" w:rsidRDefault="008850F3" w:rsidP="008850F3">
      <w:pPr>
        <w:tabs>
          <w:tab w:val="left" w:pos="3962"/>
        </w:tabs>
        <w:spacing w:line="360" w:lineRule="auto"/>
        <w:jc w:val="both"/>
        <w:rPr>
          <w:rFonts w:ascii="Palatino Linotype" w:eastAsia="Calibri" w:hAnsi="Palatino Linotype" w:cs="Tahoma"/>
          <w:bCs/>
        </w:rPr>
      </w:pPr>
    </w:p>
    <w:p w14:paraId="01B20F01" w14:textId="77777777" w:rsidR="008850F3" w:rsidRDefault="008850F3" w:rsidP="008850F3">
      <w:pPr>
        <w:ind w:left="567" w:right="567"/>
        <w:contextualSpacing/>
        <w:jc w:val="both"/>
        <w:rPr>
          <w:rFonts w:ascii="Palatino Linotype" w:eastAsia="Calibri" w:hAnsi="Palatino Linotype" w:cs="Tahoma"/>
          <w:bCs/>
          <w:i/>
          <w:iCs/>
        </w:rPr>
      </w:pPr>
      <w:r>
        <w:rPr>
          <w:rFonts w:ascii="Palatino Linotype" w:eastAsia="Calibri" w:hAnsi="Palatino Linotype" w:cs="Tahoma"/>
          <w:b/>
          <w:bCs/>
          <w:i/>
          <w:iCs/>
        </w:rPr>
        <w:t xml:space="preserve">“PRESUNCIÓN DE INOCENCIA. ALCANCES DE ESE PRINCIPIO CONSTITUCIONAL. </w:t>
      </w:r>
      <w:r>
        <w:rPr>
          <w:rFonts w:ascii="Palatino Linotype" w:eastAsia="Calibri" w:hAnsi="Palatino Linotype" w:cs="Tahoma"/>
          <w:bCs/>
          <w:i/>
          <w:iCs/>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materia.”(Sic)</w:t>
      </w:r>
    </w:p>
    <w:p w14:paraId="26F6389C" w14:textId="77777777" w:rsidR="008850F3" w:rsidRDefault="008850F3" w:rsidP="008850F3">
      <w:pPr>
        <w:tabs>
          <w:tab w:val="left" w:pos="3962"/>
        </w:tabs>
        <w:spacing w:line="360" w:lineRule="auto"/>
        <w:jc w:val="both"/>
        <w:rPr>
          <w:rFonts w:ascii="Palatino Linotype" w:eastAsia="Calibri" w:hAnsi="Palatino Linotype" w:cs="Tahoma"/>
          <w:bCs/>
        </w:rPr>
      </w:pPr>
    </w:p>
    <w:p w14:paraId="772F9559"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 xml:space="preserve">Conforme a lo anterior, pronunciarse sobre la existencia de un procedimiento en trámite, se daría a conocer que la existencia de un procedimiento de probable responsabilidad, y la ciudadanía podría generar un juicio negativo, en contra de la servidora pública involucrada, sin que se hayan reunido los elementos para establecer que si son probables responsables, </w:t>
      </w:r>
      <w:r>
        <w:rPr>
          <w:rFonts w:ascii="Palatino Linotype" w:eastAsia="Calibri" w:hAnsi="Palatino Linotype" w:cs="Tahoma"/>
          <w:bCs/>
        </w:rPr>
        <w:lastRenderedPageBreak/>
        <w:t>con lo cual, se vería afectado de manera directa, su honor y derecho a la presunción de inocencia.</w:t>
      </w:r>
    </w:p>
    <w:p w14:paraId="7781621A" w14:textId="77777777" w:rsidR="008850F3" w:rsidRDefault="008850F3" w:rsidP="008850F3">
      <w:pPr>
        <w:tabs>
          <w:tab w:val="left" w:pos="3962"/>
        </w:tabs>
        <w:spacing w:line="360" w:lineRule="auto"/>
        <w:jc w:val="both"/>
        <w:rPr>
          <w:rFonts w:ascii="Palatino Linotype" w:eastAsia="Calibri" w:hAnsi="Palatino Linotype" w:cs="Tahoma"/>
          <w:bCs/>
        </w:rPr>
      </w:pPr>
    </w:p>
    <w:p w14:paraId="399D7981"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Así, toda vez que realizar el pronunciamiento afectaría el derecho al honor, buena imagen y presunción de inocencia de la servidora pública, se considera que deberá clasificarlo en términos del artículo 143, fracción I, de la Ley de Transparencia y Acceso a la Información Pública del Estado de México y Municipios.</w:t>
      </w:r>
    </w:p>
    <w:p w14:paraId="694B1FA7" w14:textId="77777777" w:rsidR="008850F3" w:rsidRDefault="008850F3" w:rsidP="008850F3">
      <w:pPr>
        <w:tabs>
          <w:tab w:val="left" w:pos="3962"/>
        </w:tabs>
        <w:spacing w:line="360" w:lineRule="auto"/>
        <w:jc w:val="both"/>
        <w:rPr>
          <w:rFonts w:ascii="Palatino Linotype" w:eastAsia="Calibri" w:hAnsi="Palatino Linotype" w:cs="Tahoma"/>
          <w:bCs/>
        </w:rPr>
      </w:pPr>
    </w:p>
    <w:p w14:paraId="020A490D" w14:textId="7D651B32" w:rsidR="008850F3" w:rsidRDefault="008F3200" w:rsidP="008850F3">
      <w:pPr>
        <w:autoSpaceDE w:val="0"/>
        <w:autoSpaceDN w:val="0"/>
        <w:spacing w:line="360" w:lineRule="auto"/>
        <w:jc w:val="both"/>
        <w:rPr>
          <w:rFonts w:ascii="Palatino Linotype" w:eastAsia="Times New Roman" w:hAnsi="Palatino Linotype" w:cs="Tahoma"/>
          <w:b/>
          <w:u w:val="single"/>
          <w:lang w:eastAsia="es-ES"/>
        </w:rPr>
      </w:pPr>
      <w:r>
        <w:rPr>
          <w:rFonts w:ascii="Palatino Linotype" w:hAnsi="Palatino Linotype" w:cs="Tahoma"/>
          <w:bCs/>
        </w:rPr>
        <w:t>Sin embargo</w:t>
      </w:r>
      <w:r w:rsidR="008850F3">
        <w:rPr>
          <w:rFonts w:ascii="Palatino Linotype" w:hAnsi="Palatino Linotype" w:cs="Tahoma"/>
          <w:bCs/>
        </w:rPr>
        <w:t xml:space="preserve">, es necesario señalar que conforme a al artículo 115 de la Ley General de Transparencia y Acceso a la Información Pública, relacionado con el 142 de la Ley de Transparencia y Acceso a la Información Pública del Estado de México y Municipios y el Trigésimo Séptimo de los Lineamientos Generales, </w:t>
      </w:r>
      <w:r w:rsidR="008850F3">
        <w:rPr>
          <w:rFonts w:ascii="Palatino Linotype" w:hAnsi="Palatino Linotype" w:cs="Tahoma"/>
        </w:rPr>
        <w:t>no podrá invocarse la clasificación de aquella información que se encuentre relacionada con posibles violaciones a derechos humanos o actos de corrupción.</w:t>
      </w:r>
    </w:p>
    <w:p w14:paraId="5FA1231B" w14:textId="77777777" w:rsidR="008850F3" w:rsidRDefault="008850F3" w:rsidP="008850F3">
      <w:pPr>
        <w:autoSpaceDE w:val="0"/>
        <w:autoSpaceDN w:val="0"/>
        <w:spacing w:line="360" w:lineRule="auto"/>
        <w:jc w:val="both"/>
        <w:rPr>
          <w:rFonts w:ascii="Palatino Linotype" w:hAnsi="Palatino Linotype" w:cs="Tahoma"/>
          <w:bCs/>
        </w:rPr>
      </w:pPr>
    </w:p>
    <w:p w14:paraId="10F9D0A1" w14:textId="77777777" w:rsidR="008850F3" w:rsidRDefault="008850F3" w:rsidP="008850F3">
      <w:pPr>
        <w:spacing w:line="360" w:lineRule="auto"/>
        <w:jc w:val="both"/>
        <w:rPr>
          <w:rFonts w:ascii="Palatino Linotype" w:hAnsi="Palatino Linotype" w:cs="Tahoma"/>
          <w:bCs/>
        </w:rPr>
      </w:pPr>
      <w:r>
        <w:rPr>
          <w:rFonts w:ascii="Palatino Linotype" w:hAnsi="Palatino Linotype" w:cs="Tahoma"/>
        </w:rPr>
        <w:t xml:space="preserve">Por tal motivo, se considera que, para el caso que, existiera algún procedimiento de responsabilidades administrativas en trámite y que estén relacionados con alguna excepción de las establecidas en el artículo </w:t>
      </w:r>
      <w:r>
        <w:rPr>
          <w:rFonts w:ascii="Palatino Linotype" w:hAnsi="Palatino Linotype" w:cs="Tahoma"/>
          <w:bCs/>
        </w:rPr>
        <w:t>142 de la Ley de Transparencia y Acceso a la Información Pública del Estado de México y Municipios, tales como violaciones graves a derechos humanos o actos de corrupción, deberá entregar los documentos solicitados.</w:t>
      </w:r>
    </w:p>
    <w:p w14:paraId="5AC57306" w14:textId="77777777" w:rsidR="008850F3" w:rsidRDefault="008850F3" w:rsidP="008850F3">
      <w:pPr>
        <w:tabs>
          <w:tab w:val="left" w:pos="3962"/>
        </w:tabs>
        <w:spacing w:line="360" w:lineRule="auto"/>
        <w:jc w:val="both"/>
        <w:rPr>
          <w:rFonts w:ascii="Palatino Linotype" w:eastAsia="Calibri" w:hAnsi="Palatino Linotype" w:cs="Tahoma"/>
          <w:bCs/>
        </w:rPr>
      </w:pPr>
    </w:p>
    <w:p w14:paraId="63DA9268" w14:textId="77777777" w:rsidR="008850F3" w:rsidRDefault="008850F3" w:rsidP="008850F3">
      <w:pPr>
        <w:tabs>
          <w:tab w:val="left" w:pos="3962"/>
        </w:tabs>
        <w:spacing w:line="360" w:lineRule="auto"/>
        <w:jc w:val="both"/>
        <w:rPr>
          <w:rFonts w:ascii="Palatino Linotype" w:eastAsia="Calibri" w:hAnsi="Palatino Linotype" w:cs="Tahoma"/>
          <w:b/>
          <w:bCs/>
        </w:rPr>
      </w:pPr>
      <w:r>
        <w:rPr>
          <w:rFonts w:ascii="Palatino Linotype" w:eastAsia="Calibri" w:hAnsi="Palatino Linotype" w:cs="Tahoma"/>
          <w:b/>
          <w:bCs/>
        </w:rPr>
        <w:t>-Procedimiento concluido por falta administrativa no grave.</w:t>
      </w:r>
    </w:p>
    <w:p w14:paraId="532F88D4" w14:textId="77777777" w:rsidR="008850F3" w:rsidRDefault="008850F3" w:rsidP="008850F3">
      <w:pPr>
        <w:tabs>
          <w:tab w:val="left" w:pos="3962"/>
        </w:tabs>
        <w:spacing w:line="360" w:lineRule="auto"/>
        <w:jc w:val="both"/>
        <w:rPr>
          <w:rFonts w:ascii="Palatino Linotype" w:eastAsia="Calibri" w:hAnsi="Palatino Linotype" w:cs="Tahoma"/>
          <w:b/>
          <w:bCs/>
        </w:rPr>
      </w:pPr>
    </w:p>
    <w:p w14:paraId="61A1202E" w14:textId="77777777" w:rsidR="008850F3" w:rsidRDefault="008850F3" w:rsidP="008850F3">
      <w:pPr>
        <w:spacing w:line="360" w:lineRule="auto"/>
        <w:jc w:val="both"/>
        <w:rPr>
          <w:rFonts w:ascii="Palatino Linotype" w:eastAsia="Calibri" w:hAnsi="Palatino Linotype" w:cs="Tahoma"/>
          <w:iCs/>
          <w:sz w:val="24"/>
          <w:szCs w:val="24"/>
          <w:lang w:eastAsia="es-ES_tradnl"/>
        </w:rPr>
      </w:pPr>
      <w:r>
        <w:rPr>
          <w:rFonts w:ascii="Palatino Linotype" w:eastAsia="Calibri" w:hAnsi="Palatino Linotype" w:cs="Tahoma"/>
          <w:iCs/>
          <w:lang w:eastAsia="es-ES_tradnl"/>
        </w:rPr>
        <w:t>En ese sentido, emitir un pronunciamiento sobre la existencia de un procedimiento de responsabilidad por faltas no graves, concluido, en caso de que existiera, podría afectar su honor, buen nombre y su imagen del Servidor Público.</w:t>
      </w:r>
    </w:p>
    <w:p w14:paraId="7D5C6584" w14:textId="77777777" w:rsidR="008850F3" w:rsidRDefault="008850F3" w:rsidP="008850F3">
      <w:pPr>
        <w:spacing w:line="360" w:lineRule="auto"/>
        <w:jc w:val="both"/>
        <w:rPr>
          <w:rFonts w:ascii="Palatino Linotype" w:eastAsia="Calibri" w:hAnsi="Palatino Linotype" w:cs="Tahoma"/>
          <w:b/>
          <w:iCs/>
          <w:lang w:eastAsia="es-ES_tradnl"/>
        </w:rPr>
      </w:pPr>
    </w:p>
    <w:p w14:paraId="5CAF6CDE" w14:textId="77777777" w:rsidR="008850F3" w:rsidRDefault="008850F3" w:rsidP="008850F3">
      <w:pPr>
        <w:spacing w:line="360" w:lineRule="auto"/>
        <w:jc w:val="both"/>
        <w:rPr>
          <w:rFonts w:ascii="Palatino Linotype" w:eastAsia="Times New Roman" w:hAnsi="Palatino Linotype" w:cs="Times New Roman"/>
          <w:lang w:eastAsia="es-ES"/>
        </w:rPr>
      </w:pPr>
      <w:r>
        <w:rPr>
          <w:rFonts w:ascii="Palatino Linotype" w:hAnsi="Palatino Linotype"/>
        </w:rPr>
        <w:t>Al respecto, la Suprema Corte de Justicia de la Nación ha reconocido como derechos fundamentales de las personas, el derecho a la intimidad y a la propia imagen, en el siguiente criterio:</w:t>
      </w:r>
    </w:p>
    <w:p w14:paraId="50F05A7D" w14:textId="77777777" w:rsidR="008850F3" w:rsidRDefault="008850F3" w:rsidP="008850F3">
      <w:pPr>
        <w:spacing w:line="360" w:lineRule="auto"/>
        <w:jc w:val="both"/>
        <w:rPr>
          <w:rFonts w:ascii="Palatino Linotype" w:hAnsi="Palatino Linotype"/>
        </w:rPr>
      </w:pPr>
    </w:p>
    <w:p w14:paraId="2FCC3F15" w14:textId="77777777" w:rsidR="008850F3" w:rsidRDefault="008850F3" w:rsidP="008850F3">
      <w:pPr>
        <w:ind w:left="567" w:right="567"/>
        <w:contextualSpacing/>
        <w:jc w:val="both"/>
        <w:rPr>
          <w:rFonts w:ascii="Palatino Linotype" w:hAnsi="Palatino Linotype" w:cs="Arial"/>
          <w:b/>
          <w:i/>
          <w:color w:val="000000"/>
          <w:lang w:eastAsia="es-MX"/>
        </w:rPr>
      </w:pPr>
      <w:r>
        <w:rPr>
          <w:rFonts w:ascii="Palatino Linotype" w:hAnsi="Palatino Linotype" w:cs="Arial"/>
          <w:bCs/>
          <w:i/>
          <w:color w:val="000000"/>
          <w:lang w:eastAsia="es-MX"/>
        </w:rPr>
        <w:t>“</w:t>
      </w:r>
      <w:r>
        <w:rPr>
          <w:rFonts w:ascii="Palatino Linotype" w:hAnsi="Palatino Linotype" w:cs="Arial"/>
          <w:b/>
          <w:bCs/>
          <w:i/>
          <w:color w:val="000000"/>
          <w:lang w:eastAsia="es-MX"/>
        </w:rPr>
        <w:t xml:space="preserve">DERECHOS A LA INTIMIDAD, PROPIA IMAGEN, IDENTIDAD PERSONAL Y SEXUAL. CONSTITUYEN DERECHOS DE DEFENSA Y GARANTÍA ESENCIAL PARA LA CONDICIÓN HUMANA.  </w:t>
      </w:r>
      <w:r>
        <w:rPr>
          <w:rFonts w:ascii="Palatino Linotype" w:hAnsi="Palatino Linotype" w:cs="Arial"/>
          <w:i/>
          <w:color w:val="000000"/>
          <w:lang w:eastAsia="es-MX"/>
        </w:rPr>
        <w:t xml:space="preserve">Dentro de los derechos personalísimos se encuentran necesariamente comprendidos el </w:t>
      </w:r>
      <w:r>
        <w:rPr>
          <w:rFonts w:ascii="Palatino Linotype" w:hAnsi="Palatino Linotype" w:cs="Arial"/>
          <w:b/>
          <w:i/>
          <w:color w:val="000000"/>
          <w:lang w:eastAsia="es-MX"/>
        </w:rPr>
        <w:t>derecho a la intimidad y a la propia imagen</w:t>
      </w:r>
      <w:r>
        <w:rPr>
          <w:rFonts w:ascii="Palatino Linotype" w:hAnsi="Palatino Linotype" w:cs="Arial"/>
          <w:i/>
          <w:color w:val="000000"/>
          <w:lang w:eastAsia="es-MX"/>
        </w:rPr>
        <w:t xml:space="preserve">, así como a la </w:t>
      </w:r>
      <w:r>
        <w:rPr>
          <w:rFonts w:ascii="Palatino Linotype" w:hAnsi="Palatino Linotype" w:cs="Arial"/>
          <w:b/>
          <w:i/>
          <w:color w:val="000000"/>
          <w:lang w:eastAsia="es-MX"/>
        </w:rPr>
        <w:t>identidad personal</w:t>
      </w:r>
      <w:r>
        <w:rPr>
          <w:rFonts w:ascii="Palatino Linotype" w:hAnsi="Palatino Linotype" w:cs="Arial"/>
          <w:i/>
          <w:color w:val="000000"/>
          <w:lang w:eastAsia="es-MX"/>
        </w:rPr>
        <w:t xml:space="preserve"> y sexual; entendiéndose por el primero, </w:t>
      </w:r>
      <w:r>
        <w:rPr>
          <w:rFonts w:ascii="Palatino Linotype" w:hAnsi="Palatino Linotype" w:cs="Arial"/>
          <w:b/>
          <w:i/>
          <w:color w:val="000000"/>
          <w:lang w:eastAsia="es-MX"/>
        </w:rPr>
        <w:t>el derecho del individuo a no ser conocido por otros en ciertos aspectos de su vida</w:t>
      </w:r>
      <w:r>
        <w:rPr>
          <w:rFonts w:ascii="Palatino Linotype" w:hAnsi="Palatino Linotype" w:cs="Arial"/>
          <w:i/>
          <w:color w:val="000000"/>
          <w:lang w:eastAsia="es-MX"/>
        </w:rPr>
        <w:t xml:space="preserve"> y, </w:t>
      </w:r>
      <w:r>
        <w:rPr>
          <w:rFonts w:ascii="Palatino Linotype" w:hAnsi="Palatino Linotype" w:cs="Arial"/>
          <w:b/>
          <w:i/>
          <w:color w:val="000000"/>
          <w:lang w:eastAsia="es-MX"/>
        </w:rPr>
        <w:t>por ende, el poder de decisión sobre la publicidad o información de datos relativos a su persona</w:t>
      </w:r>
      <w:r>
        <w:rPr>
          <w:rFonts w:ascii="Palatino Linotype" w:hAnsi="Palatino Linotype" w:cs="Arial"/>
          <w:i/>
          <w:color w:val="000000"/>
          <w:lang w:eastAsia="es-MX"/>
        </w:rPr>
        <w:t>, familia, pensamientos o sentimientos;</w:t>
      </w:r>
      <w:r>
        <w:rPr>
          <w:rFonts w:ascii="Palatino Linotype" w:hAnsi="Palatino Linotype" w:cs="Arial"/>
          <w:b/>
          <w:i/>
          <w:color w:val="000000"/>
          <w:lang w:eastAsia="es-MX"/>
        </w:rPr>
        <w:t xml:space="preserve"> </w:t>
      </w:r>
      <w:r>
        <w:rPr>
          <w:rFonts w:ascii="Palatino Linotype" w:hAnsi="Palatino Linotype" w:cs="Arial"/>
          <w:i/>
          <w:color w:val="000000"/>
          <w:lang w:eastAsia="es-MX"/>
        </w:rPr>
        <w:t xml:space="preserve">a la </w:t>
      </w:r>
      <w:r>
        <w:rPr>
          <w:rFonts w:ascii="Palatino Linotype" w:hAnsi="Palatino Linotype" w:cs="Arial"/>
          <w:b/>
          <w:i/>
          <w:color w:val="000000"/>
          <w:lang w:eastAsia="es-MX"/>
        </w:rPr>
        <w:t>propia imagen, como aquel derecho de decidir, en forma libre, sobre la manera en que elige mostrarse frente a los demás</w:t>
      </w:r>
      <w:r>
        <w:rPr>
          <w:rFonts w:ascii="Palatino Linotype" w:hAnsi="Palatino Linotype" w:cs="Arial"/>
          <w:i/>
          <w:color w:val="000000"/>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w:t>
      </w:r>
      <w:r>
        <w:rPr>
          <w:rFonts w:ascii="Palatino Linotype" w:hAnsi="Palatino Linotype" w:cs="Arial"/>
          <w:i/>
          <w:color w:val="000000"/>
          <w:lang w:eastAsia="es-MX"/>
        </w:rPr>
        <w:lastRenderedPageBreak/>
        <w:t xml:space="preserve">un elemento esencial de la persona y de su psique, la autodeterminación sexual forma parte de ese ámbito propio y reservado de lo íntimo, la parte de la vida que se desea mantener fuera del alcance de terceros o del conocimiento público. Por consiguiente, </w:t>
      </w:r>
      <w:r>
        <w:rPr>
          <w:rFonts w:ascii="Palatino Linotype" w:hAnsi="Palatino Linotype" w:cs="Arial"/>
          <w:b/>
          <w:i/>
          <w:color w:val="000000"/>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Pr>
          <w:rFonts w:ascii="Palatino Linotype" w:hAnsi="Palatino Linotype" w:cs="Arial"/>
          <w:i/>
          <w:color w:val="000000"/>
          <w:lang w:eastAsia="es-MX"/>
        </w:rPr>
        <w:t>”(Sic)</w:t>
      </w:r>
    </w:p>
    <w:p w14:paraId="499CE205" w14:textId="77777777" w:rsidR="008850F3" w:rsidRDefault="008850F3" w:rsidP="008850F3">
      <w:pPr>
        <w:spacing w:line="360" w:lineRule="auto"/>
        <w:jc w:val="both"/>
        <w:rPr>
          <w:rFonts w:ascii="Palatino Linotype" w:eastAsia="Times New Roman" w:hAnsi="Palatino Linotype" w:cs="Times New Roman"/>
          <w:highlight w:val="yellow"/>
          <w:lang w:eastAsia="es-ES"/>
        </w:rPr>
      </w:pPr>
      <w:r>
        <w:rPr>
          <w:rFonts w:ascii="Palatino Linotype" w:hAnsi="Palatino Linotype"/>
          <w:highlight w:val="yellow"/>
        </w:rPr>
        <w:t xml:space="preserve"> </w:t>
      </w:r>
    </w:p>
    <w:p w14:paraId="2297A80B" w14:textId="77777777" w:rsidR="008850F3" w:rsidRDefault="008850F3" w:rsidP="008850F3">
      <w:pPr>
        <w:spacing w:line="360" w:lineRule="auto"/>
        <w:jc w:val="both"/>
        <w:rPr>
          <w:rFonts w:ascii="Palatino Linotype" w:hAnsi="Palatino Linotype"/>
          <w:sz w:val="24"/>
          <w:szCs w:val="24"/>
        </w:rPr>
      </w:pPr>
      <w:r>
        <w:rPr>
          <w:rFonts w:ascii="Palatino Linotype" w:hAnsi="Palatino Linotype"/>
        </w:rPr>
        <w:t>En ese sentido, es derecho de todo individuo a no ser conocido por otros en ciertos aspectos de su vida y, por ende, el poder de decisión sobre la publicidad o información de datos relativos a su persona (derecho a la intimidad).</w:t>
      </w:r>
    </w:p>
    <w:p w14:paraId="2F1679C0" w14:textId="77777777" w:rsidR="008850F3" w:rsidRDefault="008850F3" w:rsidP="008850F3">
      <w:pPr>
        <w:spacing w:line="360" w:lineRule="auto"/>
        <w:jc w:val="both"/>
        <w:rPr>
          <w:rFonts w:ascii="Palatino Linotype" w:hAnsi="Palatino Linotype"/>
          <w:highlight w:val="yellow"/>
        </w:rPr>
      </w:pPr>
    </w:p>
    <w:p w14:paraId="0373D7DD" w14:textId="77777777" w:rsidR="008850F3" w:rsidRDefault="008850F3" w:rsidP="008850F3">
      <w:pPr>
        <w:autoSpaceDE w:val="0"/>
        <w:autoSpaceDN w:val="0"/>
        <w:adjustRightInd w:val="0"/>
        <w:spacing w:line="360" w:lineRule="auto"/>
        <w:jc w:val="both"/>
        <w:rPr>
          <w:rFonts w:ascii="Palatino Linotype" w:eastAsia="Batang" w:hAnsi="Palatino Linotype" w:cs="Arial"/>
          <w:sz w:val="24"/>
          <w:szCs w:val="24"/>
        </w:rPr>
      </w:pPr>
      <w:r>
        <w:rPr>
          <w:rFonts w:ascii="Palatino Linotype" w:eastAsia="Batang" w:hAnsi="Palatino Linotype" w:cs="Arial"/>
        </w:rPr>
        <w:t>Asimismo, el artículo 12 de la Declaración Universal de los Derechos Humanos</w:t>
      </w:r>
      <w:r>
        <w:rPr>
          <w:rFonts w:ascii="Palatino Linotype" w:eastAsia="Batang" w:hAnsi="Palatino Linotype" w:cs="Arial"/>
          <w:i/>
        </w:rPr>
        <w:t xml:space="preserve"> </w:t>
      </w:r>
      <w:r>
        <w:rPr>
          <w:rFonts w:ascii="Palatino Linotype" w:eastAsia="Batang" w:hAnsi="Palatino Linotype" w:cs="Arial"/>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0E2CD89C"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697E894C" w14:textId="77777777" w:rsidR="008850F3" w:rsidRDefault="008850F3" w:rsidP="008850F3">
      <w:pPr>
        <w:autoSpaceDE w:val="0"/>
        <w:autoSpaceDN w:val="0"/>
        <w:adjustRightInd w:val="0"/>
        <w:spacing w:line="360" w:lineRule="auto"/>
        <w:jc w:val="both"/>
        <w:rPr>
          <w:rFonts w:ascii="Palatino Linotype" w:eastAsia="Batang" w:hAnsi="Palatino Linotype" w:cs="Arial"/>
        </w:rPr>
      </w:pPr>
      <w:r>
        <w:rPr>
          <w:rFonts w:ascii="Palatino Linotype" w:eastAsia="Batang" w:hAnsi="Palatino Linotype" w:cs="Arial"/>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36662464"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078EECDE" w14:textId="77777777" w:rsidR="008850F3" w:rsidRDefault="008850F3" w:rsidP="008850F3">
      <w:pPr>
        <w:autoSpaceDE w:val="0"/>
        <w:autoSpaceDN w:val="0"/>
        <w:adjustRightInd w:val="0"/>
        <w:spacing w:line="360" w:lineRule="auto"/>
        <w:jc w:val="both"/>
        <w:rPr>
          <w:rFonts w:ascii="Palatino Linotype" w:eastAsia="Batang" w:hAnsi="Palatino Linotype" w:cs="Arial"/>
        </w:rPr>
      </w:pPr>
      <w:r>
        <w:rPr>
          <w:rFonts w:ascii="Palatino Linotype" w:eastAsia="Batang" w:hAnsi="Palatino Linotype" w:cs="Arial"/>
        </w:rPr>
        <w:lastRenderedPageBreak/>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1121C0A4"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56E80BB3" w14:textId="77777777" w:rsidR="008850F3" w:rsidRDefault="008850F3" w:rsidP="008850F3">
      <w:pPr>
        <w:autoSpaceDE w:val="0"/>
        <w:autoSpaceDN w:val="0"/>
        <w:adjustRightInd w:val="0"/>
        <w:spacing w:line="360" w:lineRule="auto"/>
        <w:jc w:val="both"/>
        <w:rPr>
          <w:rFonts w:ascii="Palatino Linotype" w:eastAsia="Batang" w:hAnsi="Palatino Linotype" w:cs="Arial"/>
        </w:rPr>
      </w:pPr>
      <w:r>
        <w:rPr>
          <w:rFonts w:ascii="Palatino Linotype" w:eastAsia="Batang" w:hAnsi="Palatino Linotype" w:cs="Arial"/>
        </w:rPr>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1F15ADBE"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1DB71217" w14:textId="77777777" w:rsidR="008850F3" w:rsidRDefault="008850F3" w:rsidP="008850F3">
      <w:pPr>
        <w:autoSpaceDE w:val="0"/>
        <w:autoSpaceDN w:val="0"/>
        <w:adjustRightInd w:val="0"/>
        <w:spacing w:line="360" w:lineRule="auto"/>
        <w:jc w:val="both"/>
        <w:rPr>
          <w:rFonts w:ascii="Palatino Linotype" w:eastAsia="Batang" w:hAnsi="Palatino Linotype" w:cs="Arial"/>
        </w:rPr>
      </w:pPr>
      <w:r>
        <w:rPr>
          <w:rFonts w:ascii="Palatino Linotype" w:eastAsia="Batang"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133DBB73"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424CDC01" w14:textId="77777777" w:rsidR="008850F3" w:rsidRDefault="008850F3" w:rsidP="008850F3">
      <w:pPr>
        <w:autoSpaceDE w:val="0"/>
        <w:autoSpaceDN w:val="0"/>
        <w:adjustRightInd w:val="0"/>
        <w:spacing w:line="360" w:lineRule="auto"/>
        <w:jc w:val="both"/>
        <w:rPr>
          <w:rFonts w:ascii="Palatino Linotype" w:eastAsia="Batang" w:hAnsi="Palatino Linotype" w:cs="Arial"/>
        </w:rPr>
      </w:pPr>
      <w:r>
        <w:rPr>
          <w:rFonts w:ascii="Palatino Linotype" w:eastAsia="Batang" w:hAnsi="Palatino Linotype" w:cs="Arial"/>
        </w:rPr>
        <w:t>Así, se puede advertir que dichas faltas, no tienen una trascendencia social, pues no existe un daño externo, sino que únicamente la atañe al servidor público en cuestión.</w:t>
      </w:r>
    </w:p>
    <w:p w14:paraId="19A0F92B" w14:textId="77777777" w:rsidR="008850F3" w:rsidRDefault="008850F3" w:rsidP="008850F3">
      <w:pPr>
        <w:autoSpaceDE w:val="0"/>
        <w:autoSpaceDN w:val="0"/>
        <w:adjustRightInd w:val="0"/>
        <w:spacing w:line="360" w:lineRule="auto"/>
        <w:jc w:val="both"/>
        <w:rPr>
          <w:rFonts w:ascii="Palatino Linotype" w:eastAsia="Batang" w:hAnsi="Palatino Linotype" w:cs="Arial"/>
        </w:rPr>
      </w:pPr>
    </w:p>
    <w:p w14:paraId="4F83A230" w14:textId="77777777" w:rsidR="008850F3" w:rsidRDefault="008850F3" w:rsidP="008850F3">
      <w:pPr>
        <w:autoSpaceDE w:val="0"/>
        <w:autoSpaceDN w:val="0"/>
        <w:adjustRightInd w:val="0"/>
        <w:spacing w:line="360" w:lineRule="auto"/>
        <w:jc w:val="both"/>
        <w:rPr>
          <w:rFonts w:ascii="Palatino Linotype" w:eastAsia="Times New Roman" w:hAnsi="Palatino Linotype" w:cs="Arial"/>
        </w:rPr>
      </w:pPr>
      <w:r>
        <w:rPr>
          <w:rFonts w:ascii="Palatino Linotype" w:hAnsi="Palatino Linotype" w:cs="Arial"/>
        </w:rPr>
        <w:lastRenderedPageBreak/>
        <w:t>Por lo expuesto, se desprende que dar a conocer pronunciamiento respecto a la existencia de un procedimiento de responsabilidad administrativa no grave, en su caso que exista, constituye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07F1F4CA" w14:textId="77777777" w:rsidR="008850F3" w:rsidRDefault="008850F3" w:rsidP="008850F3">
      <w:pPr>
        <w:autoSpaceDE w:val="0"/>
        <w:autoSpaceDN w:val="0"/>
        <w:adjustRightInd w:val="0"/>
        <w:spacing w:line="360" w:lineRule="auto"/>
        <w:jc w:val="both"/>
        <w:rPr>
          <w:rFonts w:ascii="Palatino Linotype" w:hAnsi="Palatino Linotype" w:cs="Arial"/>
        </w:rPr>
      </w:pPr>
    </w:p>
    <w:p w14:paraId="6848ABB1" w14:textId="77777777" w:rsidR="008850F3" w:rsidRDefault="008850F3" w:rsidP="008850F3">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lo que, proporcionar el pronunciamiento, podría generar un juicio </w:t>
      </w:r>
      <w:r>
        <w:rPr>
          <w:rFonts w:ascii="Palatino Linotype" w:hAnsi="Palatino Linotype" w:cs="Arial"/>
          <w:i/>
        </w:rPr>
        <w:t>a priori</w:t>
      </w:r>
      <w:r>
        <w:rPr>
          <w:rFonts w:ascii="Palatino Linotype" w:hAnsi="Palatino Linotype" w:cs="Arial"/>
        </w:rPr>
        <w:t xml:space="preserve"> por parte de la sociedad, afectando su prestigio y su buen nombre, pues la sociedad podría calificar a dicho Servidor Público, como ineficiente o corrupto, lo cual daña su vida privada y profesional, mismas que forman parte de su intimidad.</w:t>
      </w:r>
    </w:p>
    <w:p w14:paraId="46EF9BFD" w14:textId="77777777" w:rsidR="008850F3" w:rsidRDefault="008850F3" w:rsidP="008850F3">
      <w:pPr>
        <w:autoSpaceDE w:val="0"/>
        <w:autoSpaceDN w:val="0"/>
        <w:adjustRightInd w:val="0"/>
        <w:spacing w:line="360" w:lineRule="auto"/>
        <w:jc w:val="both"/>
        <w:rPr>
          <w:rFonts w:ascii="Palatino Linotype" w:hAnsi="Palatino Linotype" w:cs="Arial"/>
        </w:rPr>
      </w:pPr>
    </w:p>
    <w:p w14:paraId="714007F5" w14:textId="77777777" w:rsidR="008850F3" w:rsidRDefault="008850F3" w:rsidP="008850F3">
      <w:pPr>
        <w:autoSpaceDE w:val="0"/>
        <w:autoSpaceDN w:val="0"/>
        <w:adjustRightInd w:val="0"/>
        <w:spacing w:line="360" w:lineRule="auto"/>
        <w:jc w:val="both"/>
        <w:rPr>
          <w:rFonts w:ascii="Palatino Linotype" w:hAnsi="Palatino Linotype" w:cs="Arial"/>
          <w:bCs/>
        </w:rPr>
      </w:pPr>
      <w:r>
        <w:rPr>
          <w:rFonts w:ascii="Palatino Linotype" w:hAnsi="Palatino Linotype" w:cs="Arial"/>
        </w:rPr>
        <w:t>Por lo cual, se considera procedente la clasificación, en términos del artículo 143, fracción I, de la Ley de Transparencia y Acceso a la Información Pública del Estado de México y Municipios, del pronunciamiento en sentido afirmativo o negativo, referente a la existencia de  un procedimiento de responsabilidad administrativa por falta administrativa no grave, concluido.</w:t>
      </w:r>
    </w:p>
    <w:p w14:paraId="407E340C" w14:textId="77777777" w:rsidR="008850F3" w:rsidRDefault="008850F3" w:rsidP="008850F3">
      <w:pPr>
        <w:tabs>
          <w:tab w:val="left" w:pos="3962"/>
        </w:tabs>
        <w:spacing w:line="360" w:lineRule="auto"/>
        <w:jc w:val="both"/>
        <w:rPr>
          <w:rFonts w:ascii="Palatino Linotype" w:eastAsia="Calibri" w:hAnsi="Palatino Linotype" w:cs="Tahoma"/>
          <w:b/>
          <w:bCs/>
        </w:rPr>
      </w:pPr>
    </w:p>
    <w:p w14:paraId="449F7585" w14:textId="77777777" w:rsidR="008850F3" w:rsidRDefault="008850F3" w:rsidP="008850F3">
      <w:pPr>
        <w:tabs>
          <w:tab w:val="left" w:pos="3962"/>
        </w:tabs>
        <w:spacing w:line="360" w:lineRule="auto"/>
        <w:jc w:val="both"/>
        <w:rPr>
          <w:rFonts w:ascii="Palatino Linotype" w:eastAsia="Calibri" w:hAnsi="Palatino Linotype" w:cs="Tahoma"/>
          <w:b/>
          <w:bCs/>
          <w:sz w:val="24"/>
          <w:szCs w:val="24"/>
        </w:rPr>
      </w:pPr>
      <w:r>
        <w:rPr>
          <w:rFonts w:ascii="Palatino Linotype" w:eastAsia="Calibri" w:hAnsi="Palatino Linotype" w:cs="Tahoma"/>
          <w:b/>
          <w:bCs/>
        </w:rPr>
        <w:t>-Procedimiento concluido absolutorio.</w:t>
      </w:r>
    </w:p>
    <w:p w14:paraId="346C3BE5" w14:textId="77777777" w:rsidR="008850F3" w:rsidRDefault="008850F3" w:rsidP="008850F3">
      <w:pPr>
        <w:tabs>
          <w:tab w:val="left" w:pos="3962"/>
        </w:tabs>
        <w:spacing w:line="360" w:lineRule="auto"/>
        <w:jc w:val="both"/>
        <w:rPr>
          <w:rFonts w:ascii="Palatino Linotype" w:eastAsia="Calibri" w:hAnsi="Palatino Linotype" w:cs="Tahoma"/>
          <w:b/>
          <w:bCs/>
        </w:rPr>
      </w:pPr>
    </w:p>
    <w:p w14:paraId="37428C18" w14:textId="77777777" w:rsidR="008850F3" w:rsidRDefault="008850F3" w:rsidP="008850F3">
      <w:pPr>
        <w:tabs>
          <w:tab w:val="left" w:pos="3962"/>
        </w:tabs>
        <w:spacing w:line="360" w:lineRule="auto"/>
        <w:jc w:val="both"/>
        <w:rPr>
          <w:rFonts w:ascii="Palatino Linotype" w:eastAsia="Calibri" w:hAnsi="Palatino Linotype" w:cs="Tahoma"/>
          <w:bCs/>
          <w:iCs/>
        </w:rPr>
      </w:pPr>
      <w:r>
        <w:rPr>
          <w:rFonts w:ascii="Palatino Linotype" w:eastAsia="Calibri" w:hAnsi="Palatino Linotype" w:cs="Tahoma"/>
          <w:bCs/>
          <w:iCs/>
        </w:rPr>
        <w:t xml:space="preserve">Al respecto, es señalar que pronunciarse sobre la existencia de un procedimiento de responsabilidad concluido absolutorio, podría generar una percepción negativa del </w:t>
      </w:r>
      <w:r>
        <w:rPr>
          <w:rFonts w:ascii="Palatino Linotype" w:eastAsia="Calibri" w:hAnsi="Palatino Linotype" w:cs="Tahoma"/>
          <w:bCs/>
          <w:iCs/>
        </w:rPr>
        <w:lastRenderedPageBreak/>
        <w:t>Servidor Público, pues si bien, no se le sancionó, lo cierto es que daría a conocer que fue investigada por la Contraloría, lo cual podría afectar su honor, intimidad, buena imagen y nombre, así como a su vida privada.</w:t>
      </w:r>
    </w:p>
    <w:p w14:paraId="0F054EA3" w14:textId="77777777" w:rsidR="008850F3" w:rsidRDefault="008850F3" w:rsidP="008850F3">
      <w:pPr>
        <w:tabs>
          <w:tab w:val="left" w:pos="3962"/>
        </w:tabs>
        <w:spacing w:line="360" w:lineRule="auto"/>
        <w:jc w:val="both"/>
        <w:rPr>
          <w:rFonts w:ascii="Palatino Linotype" w:eastAsia="Calibri" w:hAnsi="Palatino Linotype" w:cs="Tahoma"/>
          <w:bCs/>
          <w:iCs/>
        </w:rPr>
      </w:pPr>
    </w:p>
    <w:p w14:paraId="59A6757E" w14:textId="77777777" w:rsidR="008850F3" w:rsidRDefault="008850F3" w:rsidP="008850F3">
      <w:pPr>
        <w:tabs>
          <w:tab w:val="left" w:pos="3962"/>
        </w:tabs>
        <w:spacing w:line="360" w:lineRule="auto"/>
        <w:jc w:val="both"/>
        <w:rPr>
          <w:rFonts w:ascii="Palatino Linotype" w:eastAsia="Calibri" w:hAnsi="Palatino Linotype" w:cs="Tahoma"/>
          <w:bCs/>
        </w:rPr>
      </w:pPr>
      <w:r>
        <w:rPr>
          <w:rFonts w:ascii="Palatino Linotype" w:eastAsia="Calibri" w:hAnsi="Palatino Linotype" w:cs="Tahoma"/>
          <w:bCs/>
        </w:rPr>
        <w:t xml:space="preserve">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 la servidora pública. </w:t>
      </w:r>
    </w:p>
    <w:p w14:paraId="579238F1" w14:textId="77777777" w:rsidR="008850F3" w:rsidRDefault="008850F3" w:rsidP="008850F3">
      <w:pPr>
        <w:tabs>
          <w:tab w:val="left" w:pos="1596"/>
        </w:tabs>
        <w:spacing w:before="240" w:after="240" w:line="360" w:lineRule="auto"/>
        <w:jc w:val="both"/>
        <w:rPr>
          <w:rFonts w:ascii="Palatino Linotype" w:hAnsi="Palatino Linotype" w:cs="Times New Roman"/>
          <w:b/>
        </w:rPr>
      </w:pPr>
      <w:r>
        <w:rPr>
          <w:rFonts w:ascii="Palatino Linotype" w:hAnsi="Palatino Linotype"/>
        </w:rPr>
        <w:t>-</w:t>
      </w:r>
      <w:r>
        <w:rPr>
          <w:rFonts w:ascii="Palatino Linotype" w:hAnsi="Palatino Linotype"/>
          <w:b/>
        </w:rPr>
        <w:t>Procedimiento por faltas administrativas graves.</w:t>
      </w:r>
    </w:p>
    <w:p w14:paraId="1F9F5A1B"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lo que concierne a las sanciones graves, es de mencionarse que corresponde a una de las obligaciones de transparencia común, como se desprende del artículo 92 fracción XXII de la Ley de Transparencia y Acceso a la Información Pública del Estado de México y Municipios, como se observa:</w:t>
      </w:r>
    </w:p>
    <w:p w14:paraId="3F508E82" w14:textId="77777777" w:rsidR="008850F3" w:rsidRDefault="008850F3" w:rsidP="008850F3">
      <w:pPr>
        <w:spacing w:line="360" w:lineRule="auto"/>
        <w:ind w:right="49"/>
        <w:jc w:val="both"/>
        <w:rPr>
          <w:rFonts w:ascii="Palatino Linotype" w:eastAsia="Palatino Linotype" w:hAnsi="Palatino Linotype" w:cs="Palatino Linotype"/>
        </w:rPr>
      </w:pPr>
    </w:p>
    <w:p w14:paraId="1077DCC2"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5CB58C"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CADA91B" w14:textId="77777777" w:rsidR="008850F3" w:rsidRDefault="008850F3" w:rsidP="008850F3">
      <w:pPr>
        <w:ind w:left="851" w:right="822"/>
        <w:jc w:val="both"/>
        <w:rPr>
          <w:rFonts w:ascii="Palatino Linotype" w:eastAsia="Palatino Linotype" w:hAnsi="Palatino Linotype" w:cs="Palatino Linotype"/>
          <w:b/>
          <w:i/>
        </w:rPr>
      </w:pPr>
      <w:r>
        <w:rPr>
          <w:rFonts w:ascii="Palatino Linotype" w:eastAsia="Palatino Linotype" w:hAnsi="Palatino Linotype" w:cs="Palatino Linotype"/>
          <w:i/>
        </w:rPr>
        <w:t xml:space="preserve">XXII. </w:t>
      </w:r>
      <w:r>
        <w:rPr>
          <w:rFonts w:ascii="Palatino Linotype" w:eastAsia="Palatino Linotype" w:hAnsi="Palatino Linotype" w:cs="Palatino Linotype"/>
          <w:b/>
          <w:i/>
        </w:rPr>
        <w:t>El listado de Servidores Públicos con sanciones administrativas definitivas, especificando la causa de sanción y la disposición;" (Sic)</w:t>
      </w:r>
    </w:p>
    <w:p w14:paraId="6D3D4434" w14:textId="77777777" w:rsidR="008850F3" w:rsidRDefault="008850F3" w:rsidP="008850F3">
      <w:pPr>
        <w:spacing w:line="360" w:lineRule="auto"/>
        <w:ind w:right="49"/>
        <w:jc w:val="both"/>
        <w:rPr>
          <w:rFonts w:ascii="Palatino Linotype" w:eastAsia="Palatino Linotype" w:hAnsi="Palatino Linotype" w:cs="Palatino Linotype"/>
          <w:sz w:val="24"/>
          <w:szCs w:val="24"/>
        </w:rPr>
      </w:pPr>
    </w:p>
    <w:p w14:paraId="626E5F19"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w:t>
      </w:r>
      <w:r>
        <w:rPr>
          <w:rFonts w:ascii="Palatino Linotype" w:eastAsia="Palatino Linotype" w:hAnsi="Palatino Linotype" w:cs="Palatino Linotype"/>
          <w:b/>
          <w:u w:val="single"/>
        </w:rPr>
        <w:t>solo pueden ser dadas a conocer las responsabilidades administrativas</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faltas graves</w:t>
      </w:r>
      <w:r>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Pr>
          <w:rFonts w:ascii="Palatino Linotype" w:eastAsia="Palatino Linotype" w:hAnsi="Palatino Linotype" w:cs="Palatino Linotype"/>
          <w:b/>
          <w:u w:val="single"/>
        </w:rPr>
        <w:t>las sanciones no graves no serán públicas</w:t>
      </w:r>
      <w:r>
        <w:rPr>
          <w:rFonts w:ascii="Palatino Linotype" w:eastAsia="Palatino Linotype" w:hAnsi="Palatino Linotype" w:cs="Palatino Linotype"/>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3F43249D" w14:textId="77777777" w:rsidR="008850F3" w:rsidRDefault="008850F3" w:rsidP="008850F3">
      <w:pPr>
        <w:spacing w:line="360" w:lineRule="auto"/>
        <w:ind w:right="49"/>
        <w:jc w:val="both"/>
        <w:rPr>
          <w:rFonts w:ascii="Palatino Linotype" w:eastAsia="Palatino Linotype" w:hAnsi="Palatino Linotype" w:cs="Palatino Linotype"/>
        </w:rPr>
      </w:pPr>
    </w:p>
    <w:p w14:paraId="0DE06F68" w14:textId="77777777" w:rsidR="008850F3" w:rsidRDefault="008850F3" w:rsidP="008850F3">
      <w:pPr>
        <w:ind w:left="851" w:right="82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53. Las sanciones impuestas por faltas administrativas graves serán del conocimiento público </w:t>
      </w:r>
      <w:r>
        <w:rPr>
          <w:rFonts w:ascii="Palatino Linotype" w:eastAsia="Palatino Linotype" w:hAnsi="Palatino Linotype" w:cs="Palatino Linotype"/>
          <w:b/>
          <w:i/>
          <w:u w:val="single"/>
        </w:rPr>
        <w:t>cuando éstas contengan impedimentos o inhabilitaciones</w:t>
      </w:r>
      <w:r>
        <w:rPr>
          <w:rFonts w:ascii="Palatino Linotype" w:eastAsia="Palatino Linotype" w:hAnsi="Palatino Linotype" w:cs="Palatino Linotype"/>
          <w:b/>
          <w:i/>
        </w:rPr>
        <w:t xml:space="preserve"> para ser contratados como servidores públicos o como prestadores de servicios o contratistas del sector público, en términos de la Ley de Responsabilidades Administrativas del Estado de México y Municipios.</w:t>
      </w:r>
    </w:p>
    <w:p w14:paraId="761EB07C" w14:textId="77777777" w:rsidR="008850F3" w:rsidRDefault="008850F3" w:rsidP="008850F3">
      <w:pPr>
        <w:ind w:left="851" w:right="822"/>
        <w:jc w:val="both"/>
        <w:rPr>
          <w:rFonts w:ascii="Palatino Linotype" w:eastAsia="Palatino Linotype" w:hAnsi="Palatino Linotype" w:cs="Palatino Linotype"/>
          <w:i/>
        </w:rPr>
      </w:pPr>
    </w:p>
    <w:p w14:paraId="12657EBC"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registros de </w:t>
      </w:r>
      <w:r>
        <w:rPr>
          <w:rFonts w:ascii="Palatino Linotype" w:eastAsia="Palatino Linotype" w:hAnsi="Palatino Linotype" w:cs="Palatino Linotype"/>
          <w:b/>
          <w:i/>
          <w:u w:val="single"/>
        </w:rPr>
        <w:t>las sanciones relativas a responsabilidades administrativas no graves, quedarán registradas para efectos de eventual reincidencia, pero no serán públicas.</w:t>
      </w:r>
      <w:r>
        <w:rPr>
          <w:rFonts w:ascii="Palatino Linotype" w:eastAsia="Palatino Linotype" w:hAnsi="Palatino Linotype" w:cs="Palatino Linotype"/>
          <w:i/>
        </w:rPr>
        <w:t xml:space="preserve">” (Sic) </w:t>
      </w:r>
    </w:p>
    <w:p w14:paraId="5ABBA52C" w14:textId="77777777" w:rsidR="008850F3" w:rsidRDefault="008850F3" w:rsidP="008850F3">
      <w:pPr>
        <w:spacing w:line="360" w:lineRule="auto"/>
        <w:ind w:right="49"/>
        <w:jc w:val="both"/>
        <w:rPr>
          <w:rFonts w:ascii="Palatino Linotype" w:eastAsia="Palatino Linotype" w:hAnsi="Palatino Linotype" w:cs="Palatino Linotype"/>
          <w:sz w:val="24"/>
          <w:szCs w:val="24"/>
        </w:rPr>
      </w:pPr>
    </w:p>
    <w:p w14:paraId="6BBC6FA2"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es importante, referir que la Ley de Responsabilidades Administrativas del Estado de México y Municipios, señala como faltas administrativas graves y no graves, lo siguiente:</w:t>
      </w:r>
    </w:p>
    <w:p w14:paraId="37139436" w14:textId="77777777" w:rsidR="008850F3" w:rsidRDefault="008850F3" w:rsidP="008850F3">
      <w:pPr>
        <w:spacing w:line="360" w:lineRule="auto"/>
        <w:ind w:right="49"/>
        <w:jc w:val="both"/>
        <w:rPr>
          <w:rFonts w:ascii="Palatino Linotype" w:eastAsia="Palatino Linotype" w:hAnsi="Palatino Linotype" w:cs="Palatino Linotype"/>
        </w:rPr>
      </w:pPr>
    </w:p>
    <w:p w14:paraId="0529A6ED" w14:textId="77777777" w:rsidR="008850F3" w:rsidRDefault="008850F3" w:rsidP="008850F3">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“Artículo 3. Para los efectos de la presente Ley, se entenderá por:</w:t>
      </w:r>
      <w:r>
        <w:rPr>
          <w:rFonts w:ascii="Palatino Linotype" w:eastAsia="Palatino Linotype" w:hAnsi="Palatino Linotype" w:cs="Palatino Linotype"/>
          <w:i/>
        </w:rPr>
        <w:br/>
        <w:t>...</w:t>
      </w:r>
    </w:p>
    <w:p w14:paraId="29F57444" w14:textId="77777777" w:rsidR="008850F3" w:rsidRDefault="008850F3" w:rsidP="008850F3">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w:t>
      </w:r>
      <w:r>
        <w:rPr>
          <w:rFonts w:ascii="Palatino Linotype" w:eastAsia="Palatino Linotype" w:hAnsi="Palatino Linotype" w:cs="Palatino Linotype"/>
          <w:b/>
          <w:i/>
        </w:rPr>
        <w:t>Falta administrativa no grave</w:t>
      </w:r>
      <w:r>
        <w:rPr>
          <w:rFonts w:ascii="Palatino Linotype" w:eastAsia="Palatino Linotype" w:hAnsi="Palatino Linotype" w:cs="Palatino Linotype"/>
          <w:i/>
        </w:rPr>
        <w:t>: A las faltas administrativas de los servidores públicos en los términos de la presente Ley, cuya imposición de la sanción corresponde a la Secretaría de la Contraloría del Estado de México y a los órganos internos de control.</w:t>
      </w:r>
    </w:p>
    <w:p w14:paraId="487A27F3" w14:textId="77777777" w:rsidR="008850F3" w:rsidRDefault="008850F3" w:rsidP="008850F3">
      <w:pPr>
        <w:ind w:left="567" w:right="616"/>
        <w:jc w:val="both"/>
        <w:rPr>
          <w:rFonts w:ascii="Palatino Linotype" w:eastAsia="Palatino Linotype" w:hAnsi="Palatino Linotype" w:cs="Palatino Linotype"/>
          <w:i/>
        </w:rPr>
      </w:pPr>
    </w:p>
    <w:p w14:paraId="115B678D" w14:textId="77777777" w:rsidR="008850F3" w:rsidRDefault="008850F3" w:rsidP="008850F3">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XIV. </w:t>
      </w:r>
      <w:r>
        <w:rPr>
          <w:rFonts w:ascii="Palatino Linotype" w:eastAsia="Palatino Linotype" w:hAnsi="Palatino Linotype" w:cs="Palatino Linotype"/>
          <w:b/>
          <w:i/>
        </w:rPr>
        <w:t>Falta administrativa grave</w:t>
      </w:r>
      <w:r>
        <w:rPr>
          <w:rFonts w:ascii="Palatino Linotype" w:eastAsia="Palatino Linotype" w:hAnsi="Palatino Linotype" w:cs="Palatino Linotype"/>
          <w:i/>
        </w:rPr>
        <w:t>: A las faltas administrativas de los servidores públicos catalogadas como graves en los términos de la presente Ley, cuya sanción corresponde al Tribunal de Justicia Administrativa del Estado de México..." (Sic)</w:t>
      </w:r>
    </w:p>
    <w:p w14:paraId="7AA050A1" w14:textId="77777777" w:rsidR="008850F3" w:rsidRDefault="008850F3" w:rsidP="008850F3">
      <w:pPr>
        <w:ind w:left="567" w:right="616"/>
        <w:jc w:val="both"/>
        <w:rPr>
          <w:rFonts w:ascii="Palatino Linotype" w:eastAsia="Palatino Linotype" w:hAnsi="Palatino Linotype" w:cs="Palatino Linotype"/>
          <w:i/>
        </w:rPr>
      </w:pPr>
    </w:p>
    <w:p w14:paraId="73422A78" w14:textId="77777777" w:rsidR="008850F3" w:rsidRDefault="008850F3" w:rsidP="008850F3">
      <w:pPr>
        <w:spacing w:line="360" w:lineRule="auto"/>
        <w:ind w:right="49"/>
        <w:contextualSpacing/>
        <w:jc w:val="both"/>
        <w:rPr>
          <w:rFonts w:ascii="Palatino Linotype" w:eastAsiaTheme="minorEastAsia" w:hAnsi="Palatino Linotype" w:cs="Times New Roman"/>
          <w:sz w:val="24"/>
          <w:szCs w:val="24"/>
          <w:lang w:val="es-ES_tradnl"/>
        </w:rPr>
      </w:pPr>
    </w:p>
    <w:p w14:paraId="4C6432B5" w14:textId="77777777" w:rsidR="008850F3" w:rsidRDefault="008850F3" w:rsidP="008850F3">
      <w:pPr>
        <w:pStyle w:val="Prrafodelista"/>
        <w:numPr>
          <w:ilvl w:val="0"/>
          <w:numId w:val="39"/>
        </w:numPr>
        <w:spacing w:after="0" w:line="360" w:lineRule="auto"/>
        <w:ind w:right="49"/>
        <w:jc w:val="both"/>
        <w:rPr>
          <w:rFonts w:ascii="Palatino Linotype" w:eastAsia="Palatino Linotype" w:hAnsi="Palatino Linotype" w:cs="Palatino Linotype"/>
          <w:b/>
          <w:lang w:val="es-ES"/>
        </w:rPr>
      </w:pPr>
      <w:r>
        <w:rPr>
          <w:rFonts w:ascii="Palatino Linotype" w:eastAsia="Palatino Linotype" w:hAnsi="Palatino Linotype" w:cs="Palatino Linotype"/>
          <w:b/>
        </w:rPr>
        <w:t>De los procedimientos sobre faltas administrativas graves que se encuentren en trámite.</w:t>
      </w:r>
    </w:p>
    <w:p w14:paraId="3AFA1FFF" w14:textId="77777777" w:rsidR="008850F3" w:rsidRDefault="008850F3" w:rsidP="008850F3">
      <w:pPr>
        <w:spacing w:line="360" w:lineRule="auto"/>
        <w:ind w:right="49"/>
        <w:jc w:val="both"/>
        <w:rPr>
          <w:rFonts w:ascii="Palatino Linotype" w:eastAsiaTheme="minorEastAsia" w:hAnsi="Palatino Linotype" w:cs="Times New Roman"/>
        </w:rPr>
      </w:pPr>
    </w:p>
    <w:p w14:paraId="28AA561A"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29B5DC78" w14:textId="77777777" w:rsidR="008850F3" w:rsidRDefault="008850F3" w:rsidP="008850F3">
      <w:pPr>
        <w:spacing w:line="360" w:lineRule="auto"/>
        <w:ind w:right="49"/>
        <w:jc w:val="both"/>
        <w:rPr>
          <w:rFonts w:ascii="Palatino Linotype" w:eastAsia="Palatino Linotype" w:hAnsi="Palatino Linotype" w:cs="Palatino Linotype"/>
        </w:rPr>
      </w:pPr>
    </w:p>
    <w:p w14:paraId="40D7A3D6"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Suprema Corte de Justicia de la Nación resolvió en la contradicción de tesis 200/2013 que en los procedimientos de responsabilidad administrativa es aplicable el principio de </w:t>
      </w:r>
      <w:r>
        <w:rPr>
          <w:rFonts w:ascii="Palatino Linotype" w:eastAsia="Palatino Linotype" w:hAnsi="Palatino Linotype" w:cs="Palatino Linotype"/>
        </w:rPr>
        <w:lastRenderedPageBreak/>
        <w:t>presunción de inocencia con sus respectivos matices. En la resolución son de interés los siguientes argumentos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14:paraId="2BB52415" w14:textId="77777777" w:rsidR="008850F3" w:rsidRDefault="008850F3" w:rsidP="008850F3">
      <w:pPr>
        <w:spacing w:line="360" w:lineRule="auto"/>
        <w:ind w:right="49"/>
        <w:jc w:val="both"/>
        <w:rPr>
          <w:rFonts w:ascii="Palatino Linotype" w:eastAsia="Palatino Linotype" w:hAnsi="Palatino Linotype" w:cs="Palatino Linotype"/>
        </w:rPr>
      </w:pPr>
    </w:p>
    <w:p w14:paraId="5F35FD36"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353FFAAD" w14:textId="77777777" w:rsidR="008850F3" w:rsidRDefault="008850F3" w:rsidP="008850F3">
      <w:pPr>
        <w:ind w:left="851" w:right="822"/>
        <w:jc w:val="both"/>
        <w:rPr>
          <w:rFonts w:ascii="Palatino Linotype" w:eastAsia="Palatino Linotype" w:hAnsi="Palatino Linotype" w:cs="Palatino Linotype"/>
          <w:i/>
        </w:rPr>
      </w:pPr>
    </w:p>
    <w:p w14:paraId="72809490"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49D050B9" w14:textId="77777777" w:rsidR="008850F3" w:rsidRDefault="008850F3" w:rsidP="008850F3">
      <w:pPr>
        <w:ind w:left="851" w:right="822"/>
        <w:jc w:val="both"/>
        <w:rPr>
          <w:rFonts w:ascii="Palatino Linotype" w:eastAsia="Palatino Linotype" w:hAnsi="Palatino Linotype" w:cs="Palatino Linotype"/>
          <w:i/>
        </w:rPr>
      </w:pPr>
    </w:p>
    <w:p w14:paraId="57B59F26" w14:textId="77777777" w:rsidR="008850F3" w:rsidRDefault="008850F3" w:rsidP="008850F3">
      <w:pPr>
        <w:ind w:left="851" w:right="822"/>
        <w:jc w:val="both"/>
        <w:rPr>
          <w:rFonts w:ascii="Palatino Linotype" w:eastAsia="Palatino Linotype" w:hAnsi="Palatino Linotype" w:cs="Palatino Linotype"/>
          <w:i/>
        </w:rPr>
      </w:pPr>
      <w:r>
        <w:rPr>
          <w:rFonts w:ascii="Palatino Linotype" w:eastAsia="Palatino Linotype" w:hAnsi="Palatino Linotype" w:cs="Palatino Linotype"/>
          <w:i/>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6DA75BC1" w14:textId="77777777" w:rsidR="008850F3" w:rsidRDefault="008850F3" w:rsidP="008850F3">
      <w:pPr>
        <w:spacing w:line="360" w:lineRule="auto"/>
        <w:ind w:right="49"/>
        <w:jc w:val="both"/>
        <w:rPr>
          <w:rFonts w:ascii="Palatino Linotype" w:eastAsia="Palatino Linotype" w:hAnsi="Palatino Linotype" w:cs="Palatino Linotype"/>
          <w:sz w:val="24"/>
          <w:szCs w:val="24"/>
        </w:rPr>
      </w:pPr>
    </w:p>
    <w:p w14:paraId="4877EAFB"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3B7E805E" w14:textId="77777777" w:rsidR="008850F3" w:rsidRDefault="008850F3" w:rsidP="008850F3">
      <w:pPr>
        <w:spacing w:line="360" w:lineRule="auto"/>
        <w:ind w:right="49"/>
        <w:jc w:val="both"/>
        <w:rPr>
          <w:rFonts w:ascii="Palatino Linotype" w:eastAsia="Palatino Linotype" w:hAnsi="Palatino Linotype" w:cs="Palatino Linotype"/>
        </w:rPr>
      </w:pPr>
    </w:p>
    <w:p w14:paraId="7F0F602D"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Primero. Cómo una regla probatoria, que impone la carga de la prueba para quien acusa y, por ende, la absolución en caso de duda.</w:t>
      </w:r>
    </w:p>
    <w:p w14:paraId="0BE989E0" w14:textId="77777777" w:rsidR="008850F3" w:rsidRDefault="008850F3" w:rsidP="008850F3">
      <w:pPr>
        <w:spacing w:line="360" w:lineRule="auto"/>
        <w:ind w:left="851" w:right="822"/>
        <w:jc w:val="both"/>
        <w:rPr>
          <w:rFonts w:ascii="Palatino Linotype" w:eastAsia="Palatino Linotype" w:hAnsi="Palatino Linotype" w:cs="Palatino Linotype"/>
        </w:rPr>
      </w:pPr>
    </w:p>
    <w:p w14:paraId="195AFCAB"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14:paraId="529BD8A1" w14:textId="77777777" w:rsidR="008850F3" w:rsidRDefault="008850F3" w:rsidP="008850F3">
      <w:pPr>
        <w:spacing w:line="360" w:lineRule="auto"/>
        <w:ind w:left="851" w:right="822"/>
        <w:jc w:val="both"/>
        <w:rPr>
          <w:rFonts w:ascii="Palatino Linotype" w:eastAsia="Palatino Linotype" w:hAnsi="Palatino Linotype" w:cs="Palatino Linotype"/>
        </w:rPr>
      </w:pPr>
    </w:p>
    <w:p w14:paraId="3FD26E48"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14:paraId="06DD992D" w14:textId="77777777" w:rsidR="008850F3" w:rsidRDefault="008850F3" w:rsidP="008850F3">
      <w:pPr>
        <w:spacing w:line="360" w:lineRule="auto"/>
        <w:ind w:right="49"/>
        <w:jc w:val="both"/>
        <w:rPr>
          <w:rFonts w:ascii="Palatino Linotype" w:eastAsia="Palatino Linotype" w:hAnsi="Palatino Linotype" w:cs="Palatino Linotype"/>
        </w:rPr>
      </w:pPr>
    </w:p>
    <w:p w14:paraId="7E49FEBA" w14:textId="69BBCCCE"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vista de lo anterior, este Instituto estima que en el derecho disciplinario que se sigue en el órgano </w:t>
      </w:r>
      <w:r w:rsidR="00867791">
        <w:rPr>
          <w:rFonts w:ascii="Palatino Linotype" w:eastAsia="Palatino Linotype" w:hAnsi="Palatino Linotype" w:cs="Palatino Linotype"/>
        </w:rPr>
        <w:t>interno de control</w:t>
      </w:r>
      <w:r>
        <w:rPr>
          <w:rFonts w:ascii="Palatino Linotype" w:eastAsia="Palatino Linotype" w:hAnsi="Palatino Linotype" w:cs="Palatino Linotype"/>
        </w:rPr>
        <w:t xml:space="preserve"> a los servidores públicos en los casos que se presenta una denuncia, es aplicable la regla garantista de presunción de inocencia.</w:t>
      </w:r>
    </w:p>
    <w:p w14:paraId="77BE2C4A" w14:textId="77777777" w:rsidR="008850F3" w:rsidRDefault="008850F3" w:rsidP="008850F3">
      <w:pPr>
        <w:spacing w:line="360" w:lineRule="auto"/>
        <w:ind w:right="49"/>
        <w:jc w:val="both"/>
        <w:rPr>
          <w:rFonts w:ascii="Palatino Linotype" w:eastAsia="Palatino Linotype" w:hAnsi="Palatino Linotype" w:cs="Palatino Linotype"/>
        </w:rPr>
      </w:pPr>
    </w:p>
    <w:p w14:paraId="55B60380"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14:paraId="42B11FA4" w14:textId="77777777" w:rsidR="008850F3" w:rsidRDefault="008850F3" w:rsidP="008850F3">
      <w:pPr>
        <w:spacing w:line="360" w:lineRule="auto"/>
        <w:ind w:right="49"/>
        <w:jc w:val="both"/>
        <w:rPr>
          <w:rFonts w:ascii="Palatino Linotype" w:eastAsia="Palatino Linotype" w:hAnsi="Palatino Linotype" w:cs="Palatino Linotype"/>
        </w:rPr>
      </w:pPr>
    </w:p>
    <w:p w14:paraId="20179DC3"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450C0ABF"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las causales aplicables establecidas en el artículo 140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14:paraId="7A05111B" w14:textId="77777777" w:rsidR="008850F3" w:rsidRDefault="008850F3" w:rsidP="008850F3">
      <w:pPr>
        <w:spacing w:line="360" w:lineRule="auto"/>
        <w:ind w:right="49"/>
        <w:jc w:val="both"/>
        <w:rPr>
          <w:rFonts w:ascii="Palatino Linotype" w:eastAsia="Palatino Linotype" w:hAnsi="Palatino Linotype" w:cs="Palatino Linotype"/>
        </w:rPr>
      </w:pPr>
    </w:p>
    <w:p w14:paraId="2F6E4334" w14:textId="77777777" w:rsidR="008850F3" w:rsidRDefault="008850F3" w:rsidP="008850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estos casos, el nombre y cargo del servidor público denunciado, así como en su caso la sanción debe ser protegida. </w:t>
      </w:r>
    </w:p>
    <w:p w14:paraId="3414E840" w14:textId="77777777" w:rsidR="008850F3" w:rsidRDefault="008850F3" w:rsidP="008850F3">
      <w:pPr>
        <w:spacing w:line="360" w:lineRule="auto"/>
        <w:ind w:right="49"/>
        <w:jc w:val="both"/>
        <w:rPr>
          <w:rFonts w:ascii="Palatino Linotype" w:eastAsia="Palatino Linotype" w:hAnsi="Palatino Linotype" w:cs="Palatino Linotype"/>
        </w:rPr>
      </w:pPr>
    </w:p>
    <w:p w14:paraId="26128DA1" w14:textId="77777777" w:rsidR="008850F3" w:rsidRDefault="008850F3" w:rsidP="008850F3">
      <w:pPr>
        <w:numPr>
          <w:ilvl w:val="0"/>
          <w:numId w:val="40"/>
        </w:numPr>
        <w:spacing w:after="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De los procedimientos sobre faltas administrativas graves concluidos con sanción condenatoria. </w:t>
      </w:r>
    </w:p>
    <w:p w14:paraId="30D01EF3" w14:textId="77777777" w:rsidR="008850F3" w:rsidRDefault="008850F3" w:rsidP="008850F3">
      <w:pPr>
        <w:spacing w:line="360" w:lineRule="auto"/>
        <w:ind w:right="49"/>
        <w:jc w:val="both"/>
        <w:rPr>
          <w:rFonts w:ascii="Palatino Linotype" w:eastAsia="Palatino Linotype" w:hAnsi="Palatino Linotype" w:cs="Palatino Linotype"/>
          <w:b/>
          <w:color w:val="000000"/>
        </w:rPr>
      </w:pPr>
    </w:p>
    <w:p w14:paraId="64ACE887" w14:textId="77777777" w:rsidR="00867791" w:rsidRDefault="008850F3" w:rsidP="008850F3">
      <w:pPr>
        <w:spacing w:line="360" w:lineRule="auto"/>
        <w:ind w:right="49"/>
        <w:jc w:val="both"/>
        <w:rPr>
          <w:rFonts w:ascii="Palatino Linotype" w:eastAsiaTheme="minorEastAsia" w:hAnsi="Palatino Linotype"/>
        </w:rPr>
      </w:pPr>
      <w:r>
        <w:rPr>
          <w:rFonts w:ascii="Palatino Linotype" w:eastAsiaTheme="minorEastAsia" w:hAnsi="Palatino Linotype"/>
        </w:rPr>
        <w:t xml:space="preserve">Si el o los expedientes requeridos por el particular, ya han causado estado, es decir, que ya no acepta recurso o medio de defensa alguno, es procedente entregar la información al </w:t>
      </w:r>
      <w:r>
        <w:rPr>
          <w:rFonts w:ascii="Palatino Linotype" w:eastAsiaTheme="minorEastAsia" w:hAnsi="Palatino Linotype"/>
        </w:rPr>
        <w:lastRenderedPageBreak/>
        <w:t>recurrente pero en versión pública, dejando visible el nombre, cargo y sanción impuesta al Servidor Público condenado,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w:t>
      </w:r>
      <w:r w:rsidR="00867791">
        <w:rPr>
          <w:rFonts w:ascii="Palatino Linotype" w:eastAsiaTheme="minorEastAsia" w:hAnsi="Palatino Linotype"/>
        </w:rPr>
        <w:t>.</w:t>
      </w:r>
    </w:p>
    <w:p w14:paraId="2F81DEBC" w14:textId="77777777" w:rsidR="00867791" w:rsidRDefault="00867791" w:rsidP="008850F3">
      <w:pPr>
        <w:spacing w:line="360" w:lineRule="auto"/>
        <w:ind w:right="49"/>
        <w:jc w:val="both"/>
        <w:rPr>
          <w:rFonts w:ascii="Palatino Linotype" w:eastAsiaTheme="minorEastAsia" w:hAnsi="Palatino Linotype"/>
        </w:rPr>
      </w:pPr>
    </w:p>
    <w:p w14:paraId="2F4E3CCF"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677FAD22" w14:textId="77777777" w:rsidR="008850F3" w:rsidRDefault="008850F3" w:rsidP="008850F3">
      <w:pPr>
        <w:spacing w:line="360" w:lineRule="auto"/>
        <w:jc w:val="both"/>
        <w:rPr>
          <w:rFonts w:ascii="Palatino Linotype" w:eastAsia="Calibri" w:hAnsi="Palatino Linotype" w:cs="Tahoma"/>
          <w:iCs/>
          <w:lang w:eastAsia="es-ES_tradnl"/>
        </w:rPr>
      </w:pPr>
    </w:p>
    <w:p w14:paraId="2821ECAF"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3881CEAA" w14:textId="77777777" w:rsidR="008850F3" w:rsidRDefault="008850F3" w:rsidP="008850F3">
      <w:pPr>
        <w:spacing w:line="360" w:lineRule="auto"/>
        <w:jc w:val="both"/>
        <w:rPr>
          <w:rFonts w:ascii="Palatino Linotype" w:eastAsia="Calibri" w:hAnsi="Palatino Linotype" w:cs="Tahoma"/>
          <w:iCs/>
          <w:lang w:eastAsia="es-ES_tradnl"/>
        </w:rPr>
      </w:pPr>
    </w:p>
    <w:p w14:paraId="66E22879"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0D378632" w14:textId="77777777" w:rsidR="008850F3" w:rsidRDefault="008850F3" w:rsidP="008850F3">
      <w:pPr>
        <w:spacing w:line="360" w:lineRule="auto"/>
        <w:jc w:val="both"/>
        <w:rPr>
          <w:rFonts w:ascii="Palatino Linotype" w:eastAsia="Calibri" w:hAnsi="Palatino Linotype" w:cs="Tahoma"/>
          <w:iCs/>
          <w:lang w:eastAsia="es-ES_tradnl"/>
        </w:rPr>
      </w:pPr>
    </w:p>
    <w:p w14:paraId="2623F6A5"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lastRenderedPageBreak/>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4CB9E08C" w14:textId="77777777" w:rsidR="008850F3" w:rsidRDefault="008850F3" w:rsidP="008850F3">
      <w:pPr>
        <w:spacing w:line="360" w:lineRule="auto"/>
        <w:jc w:val="both"/>
        <w:rPr>
          <w:rFonts w:ascii="Palatino Linotype" w:eastAsia="Calibri" w:hAnsi="Palatino Linotype" w:cs="Tahoma"/>
          <w:iCs/>
          <w:lang w:eastAsia="es-ES_tradnl"/>
        </w:rPr>
      </w:pPr>
    </w:p>
    <w:p w14:paraId="11E83514"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En ese orden de ideas, si bien los procedimientos solicitados, podrían generar una percepción negativa de los servidores públicos que les acredito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1448E80E" w14:textId="77777777" w:rsidR="008850F3" w:rsidRDefault="008850F3" w:rsidP="008850F3">
      <w:pPr>
        <w:spacing w:line="360" w:lineRule="auto"/>
        <w:jc w:val="both"/>
        <w:rPr>
          <w:rFonts w:ascii="Palatino Linotype" w:eastAsia="Calibri" w:hAnsi="Palatino Linotype" w:cs="Tahoma"/>
          <w:b/>
          <w:iCs/>
          <w:lang w:eastAsia="es-ES_tradnl"/>
        </w:rPr>
      </w:pPr>
    </w:p>
    <w:p w14:paraId="4BFB25DF" w14:textId="77777777" w:rsidR="008850F3" w:rsidRDefault="008850F3" w:rsidP="008850F3">
      <w:pPr>
        <w:spacing w:line="360" w:lineRule="auto"/>
        <w:jc w:val="both"/>
        <w:rPr>
          <w:rFonts w:ascii="Palatino Linotype" w:eastAsia="Calibri" w:hAnsi="Palatino Linotype" w:cs="Tahoma"/>
          <w:bCs/>
        </w:rPr>
      </w:pPr>
      <w:r>
        <w:rPr>
          <w:rFonts w:ascii="Palatino Linotype" w:eastAsia="Calibri" w:hAnsi="Palatino Linotype" w:cs="Tahoma"/>
          <w:bCs/>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14:paraId="7CE8AC1B" w14:textId="77777777" w:rsidR="008850F3" w:rsidRDefault="008850F3" w:rsidP="008850F3">
      <w:pPr>
        <w:spacing w:line="360" w:lineRule="auto"/>
        <w:jc w:val="both"/>
        <w:rPr>
          <w:rFonts w:ascii="Palatino Linotype" w:eastAsia="Calibri" w:hAnsi="Palatino Linotype" w:cs="Tahoma"/>
          <w:bCs/>
        </w:rPr>
      </w:pPr>
    </w:p>
    <w:p w14:paraId="137FF2A4" w14:textId="2D7D5DA7" w:rsidR="008850F3" w:rsidRDefault="00867791"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bCs/>
          <w:iCs/>
          <w:lang w:eastAsia="es-ES_tradnl"/>
        </w:rPr>
        <w:t xml:space="preserve">Así, </w:t>
      </w:r>
      <w:r w:rsidR="008850F3">
        <w:rPr>
          <w:rFonts w:ascii="Palatino Linotype" w:eastAsia="Calibri" w:hAnsi="Palatino Linotype" w:cs="Tahoma"/>
          <w:bCs/>
          <w:iCs/>
          <w:lang w:eastAsia="es-ES_tradnl"/>
        </w:rPr>
        <w:t xml:space="preserve"> </w:t>
      </w:r>
      <w:r w:rsidR="008850F3">
        <w:rPr>
          <w:rFonts w:ascii="Palatino Linotype" w:eastAsia="Calibri" w:hAnsi="Palatino Linotype" w:cs="Tahoma"/>
          <w:iCs/>
          <w:lang w:eastAsia="es-ES_tradnl"/>
        </w:rPr>
        <w:t xml:space="preserve">proporcionar la información de referencia, garantizaría la rendición de cuentas por parte de la Contraloría del Sujeto Obligado, relativo a su actuación, teniendo como consecuencia que los ciudadanos tengan confianza en sus autoridades, al poder conocer </w:t>
      </w:r>
      <w:r w:rsidR="008850F3">
        <w:rPr>
          <w:rFonts w:ascii="Palatino Linotype" w:eastAsia="Calibri" w:hAnsi="Palatino Linotype" w:cs="Tahoma"/>
          <w:iCs/>
          <w:lang w:eastAsia="es-ES_tradnl"/>
        </w:rPr>
        <w:lastRenderedPageBreak/>
        <w:t>todos los documentos derivados de los procedimientos administrativos disciplinarios y que hayan concluido con resolución en donde se determine que un servidor público tuvo responsabilidades graves, relacionadas al ejercicio de las funciones.</w:t>
      </w:r>
    </w:p>
    <w:p w14:paraId="2E8C36E6" w14:textId="77777777" w:rsidR="008850F3" w:rsidRDefault="008850F3" w:rsidP="008850F3">
      <w:pPr>
        <w:spacing w:line="360" w:lineRule="auto"/>
        <w:jc w:val="both"/>
        <w:rPr>
          <w:rFonts w:ascii="Palatino Linotype" w:eastAsia="Calibri" w:hAnsi="Palatino Linotype" w:cs="Tahoma"/>
          <w:iCs/>
          <w:lang w:eastAsia="es-ES_tradnl"/>
        </w:rPr>
      </w:pPr>
    </w:p>
    <w:p w14:paraId="5422EDAB"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Además, que, con dicha información, se estaría revelando que el desempeño de los servidores públicos sancionados, no fue conforme a derecho, asimismo, de dar a conocer que los referidos acreditaron que había cometido alguna responsabilidad grave.</w:t>
      </w:r>
    </w:p>
    <w:p w14:paraId="5B04AA56" w14:textId="77777777" w:rsidR="008850F3" w:rsidRDefault="008850F3" w:rsidP="008850F3">
      <w:pPr>
        <w:spacing w:line="360" w:lineRule="auto"/>
        <w:jc w:val="both"/>
        <w:rPr>
          <w:rFonts w:ascii="Palatino Linotype" w:eastAsia="Calibri" w:hAnsi="Palatino Linotype" w:cs="Tahoma"/>
          <w:iCs/>
          <w:lang w:eastAsia="es-ES_tradnl"/>
        </w:rPr>
      </w:pPr>
    </w:p>
    <w:p w14:paraId="1F6E02D4" w14:textId="77777777" w:rsidR="008850F3" w:rsidRDefault="008850F3" w:rsidP="008850F3">
      <w:pPr>
        <w:spacing w:line="360" w:lineRule="auto"/>
        <w:jc w:val="both"/>
        <w:rPr>
          <w:rFonts w:ascii="Palatino Linotype" w:eastAsia="Calibri" w:hAnsi="Palatino Linotype" w:cs="Tahoma"/>
          <w:iCs/>
          <w:lang w:val="es-ES_tradnl" w:eastAsia="es-ES_tradnl"/>
        </w:rPr>
      </w:pPr>
      <w:r>
        <w:rPr>
          <w:rFonts w:ascii="Palatino Linotype" w:eastAsia="Calibri" w:hAnsi="Palatino Linotype" w:cs="Tahoma"/>
          <w:iCs/>
          <w:lang w:eastAsia="es-ES_tradnl"/>
        </w:rPr>
        <w:t xml:space="preserve">Por lo expuesto, se determina que los procedimientos de responsabilidades graves vinculados con el nombre de los servidores públicos o ex trabajadores, guardan la naturaleza pública, en razón de que, si bien </w:t>
      </w:r>
      <w:r>
        <w:rPr>
          <w:rFonts w:ascii="Palatino Linotype" w:eastAsia="Calibri" w:hAnsi="Palatino Linotype" w:cs="Tahoma"/>
          <w:iCs/>
          <w:lang w:val="es-ES_tradnl" w:eastAsia="es-ES_tradnl"/>
        </w:rPr>
        <w:t>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14:paraId="5A6F43B9" w14:textId="77777777" w:rsidR="008850F3" w:rsidRDefault="008850F3" w:rsidP="008850F3">
      <w:pPr>
        <w:spacing w:line="360" w:lineRule="auto"/>
        <w:jc w:val="both"/>
        <w:rPr>
          <w:rFonts w:ascii="Palatino Linotype" w:eastAsia="Calibri" w:hAnsi="Palatino Linotype" w:cs="Tahoma"/>
          <w:iCs/>
          <w:lang w:val="es-ES" w:eastAsia="es-ES_tradnl"/>
        </w:rPr>
      </w:pPr>
    </w:p>
    <w:p w14:paraId="7985FFB2"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Conforme a lo anterior, se concluye que el sujeto obligado únicamente se encuentra constreñido, a proporcionar los procedimientos que ya hayan causado estado, sin testar el nombre de servidores públicos que fueron sancionados por responsabilidades graves.</w:t>
      </w:r>
    </w:p>
    <w:p w14:paraId="24AF5AA8" w14:textId="77777777" w:rsidR="008850F3" w:rsidRDefault="008850F3" w:rsidP="008850F3">
      <w:pPr>
        <w:spacing w:line="360" w:lineRule="auto"/>
        <w:ind w:left="360" w:right="49"/>
        <w:jc w:val="both"/>
        <w:rPr>
          <w:rFonts w:ascii="Palatino Linotype" w:eastAsiaTheme="minorEastAsia" w:hAnsi="Palatino Linotype" w:cs="Times New Roman"/>
          <w:lang w:eastAsia="es-ES"/>
        </w:rPr>
      </w:pPr>
    </w:p>
    <w:p w14:paraId="7635B6C5" w14:textId="77777777" w:rsidR="008850F3" w:rsidRDefault="008850F3" w:rsidP="008850F3">
      <w:pPr>
        <w:pStyle w:val="Prrafodelista"/>
        <w:numPr>
          <w:ilvl w:val="0"/>
          <w:numId w:val="39"/>
        </w:numPr>
        <w:spacing w:after="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Procedimientos de sanciones graves absolutorias, concluidos. </w:t>
      </w:r>
    </w:p>
    <w:p w14:paraId="05B1984F" w14:textId="77777777" w:rsidR="008850F3" w:rsidRDefault="008850F3" w:rsidP="008850F3">
      <w:pPr>
        <w:spacing w:line="360" w:lineRule="auto"/>
        <w:ind w:right="49"/>
        <w:jc w:val="both"/>
        <w:rPr>
          <w:rFonts w:ascii="Palatino Linotype" w:eastAsia="Palatino Linotype" w:hAnsi="Palatino Linotype" w:cs="Palatino Linotype"/>
          <w:b/>
          <w:color w:val="000000"/>
        </w:rPr>
      </w:pPr>
    </w:p>
    <w:p w14:paraId="092CC22E" w14:textId="77777777" w:rsidR="008850F3" w:rsidRDefault="008850F3" w:rsidP="008850F3">
      <w:pPr>
        <w:spacing w:line="360" w:lineRule="auto"/>
        <w:ind w:right="49"/>
        <w:contextualSpacing/>
        <w:jc w:val="both"/>
        <w:rPr>
          <w:rFonts w:ascii="Palatino Linotype" w:eastAsiaTheme="minorEastAsia" w:hAnsi="Palatino Linotype" w:cs="Times New Roman"/>
          <w:bCs/>
        </w:rPr>
      </w:pPr>
      <w:r>
        <w:rPr>
          <w:rFonts w:ascii="Palatino Linotype" w:eastAsiaTheme="minorEastAsia" w:hAnsi="Palatino Linotype"/>
        </w:rPr>
        <w:lastRenderedPageBreak/>
        <w:t xml:space="preserve">Si el o los expedientes requeridos por el particular, encuadren en el presente caso se procederá a su acceso en versión pública, protegiendo el nombre, cargo y área de adscripción del Servidor Público absuelto y aquellos datos personales que hagan identificable a una persona, </w:t>
      </w:r>
      <w:r>
        <w:rPr>
          <w:rFonts w:ascii="Palatino Linotype" w:eastAsiaTheme="minorEastAsia" w:hAnsi="Palatino Linotype"/>
          <w:bCs/>
        </w:rPr>
        <w:t>toda vez que la información solicitada, se relaciona con servidores públicos en específico, los cuales al no haber recibido alguna sanción por posibles responsabilidades, se procede a clasificar como confidencial, al poder causar un perjuicio a la vida privada de estos.</w:t>
      </w:r>
    </w:p>
    <w:p w14:paraId="15220A06" w14:textId="77777777" w:rsidR="008850F3" w:rsidRDefault="008850F3" w:rsidP="008850F3">
      <w:pPr>
        <w:spacing w:line="360" w:lineRule="auto"/>
        <w:ind w:right="49"/>
        <w:contextualSpacing/>
        <w:jc w:val="both"/>
        <w:rPr>
          <w:rFonts w:ascii="Palatino Linotype" w:eastAsiaTheme="minorEastAsia" w:hAnsi="Palatino Linotype"/>
          <w:bCs/>
        </w:rPr>
      </w:pPr>
    </w:p>
    <w:p w14:paraId="55E73B34"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Pr>
          <w:rFonts w:ascii="Palatino Linotype" w:eastAsiaTheme="minorEastAsia" w:hAnsi="Palatino Linotype"/>
          <w:bCs/>
        </w:rPr>
        <w:t xml:space="preserve">Igualmente, el segundo párrafo del artículo 16 de la </w:t>
      </w:r>
      <w:r>
        <w:rPr>
          <w:rFonts w:ascii="Palatino Linotype" w:eastAsiaTheme="minorEastAsia" w:hAnsi="Palatino Linotype"/>
        </w:rPr>
        <w:t xml:space="preserve">Carta Magna </w:t>
      </w:r>
      <w:r>
        <w:rPr>
          <w:rFonts w:ascii="Palatino Linotype" w:eastAsiaTheme="minorEastAsia" w:hAnsi="Palatino Linotype"/>
          <w:bCs/>
        </w:rPr>
        <w:t>dispone que t</w:t>
      </w:r>
      <w:r>
        <w:rPr>
          <w:rFonts w:ascii="Palatino Linotype" w:eastAsiaTheme="minorEastAsia" w:hAnsi="Palatino Linotype"/>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2D72E7B" w14:textId="77777777" w:rsidR="008850F3" w:rsidRDefault="008850F3" w:rsidP="008850F3">
      <w:pPr>
        <w:spacing w:line="360" w:lineRule="auto"/>
        <w:ind w:right="49"/>
        <w:contextualSpacing/>
        <w:jc w:val="both"/>
        <w:rPr>
          <w:rFonts w:ascii="Palatino Linotype" w:eastAsiaTheme="minorEastAsia" w:hAnsi="Palatino Linotype"/>
        </w:rPr>
      </w:pPr>
    </w:p>
    <w:p w14:paraId="341EF070"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Acorde</w:t>
      </w:r>
      <w:r>
        <w:rPr>
          <w:rFonts w:ascii="Palatino Linotype" w:eastAsiaTheme="minorEastAsia" w:hAnsi="Palatino Linotype"/>
          <w:bC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Pr>
          <w:rFonts w:ascii="Palatino Linotype" w:eastAsiaTheme="minorEastAsia" w:hAnsi="Palatino Linotype"/>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w:t>
      </w:r>
      <w:r>
        <w:rPr>
          <w:rFonts w:ascii="Palatino Linotype" w:eastAsiaTheme="minorEastAsia" w:hAnsi="Palatino Linotype"/>
        </w:rPr>
        <w:lastRenderedPageBreak/>
        <w:t>las personas, será protegida a través de un marco jurídico rígido, de tratamiento y manejo de datos personales.</w:t>
      </w:r>
    </w:p>
    <w:p w14:paraId="21FAC4AB" w14:textId="77777777" w:rsidR="008850F3" w:rsidRDefault="008850F3" w:rsidP="008850F3">
      <w:pPr>
        <w:spacing w:line="360" w:lineRule="auto"/>
        <w:ind w:right="49"/>
        <w:contextualSpacing/>
        <w:jc w:val="both"/>
        <w:rPr>
          <w:rFonts w:ascii="Palatino Linotype" w:eastAsiaTheme="minorEastAsia" w:hAnsi="Palatino Linotype"/>
        </w:rPr>
      </w:pPr>
    </w:p>
    <w:p w14:paraId="2C578EA4"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607FE19" w14:textId="77777777" w:rsidR="008850F3" w:rsidRDefault="008850F3" w:rsidP="008850F3">
      <w:pPr>
        <w:spacing w:line="360" w:lineRule="auto"/>
        <w:ind w:right="49"/>
        <w:contextualSpacing/>
        <w:jc w:val="both"/>
        <w:rPr>
          <w:rFonts w:ascii="Palatino Linotype" w:eastAsiaTheme="minorEastAsia" w:hAnsi="Palatino Linotype"/>
          <w:bCs/>
        </w:rPr>
      </w:pPr>
    </w:p>
    <w:p w14:paraId="6BABDAB9"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 xml:space="preserve">En concordancia con lo previo, el artículo 143, fracción I, de la Ley previamente citada, establece que </w:t>
      </w:r>
      <w:r>
        <w:rPr>
          <w:rFonts w:ascii="Palatino Linotype" w:eastAsiaTheme="minorEastAsia" w:hAnsi="Palatino Linotype"/>
        </w:rPr>
        <w:t>la información privada</w:t>
      </w:r>
      <w:r>
        <w:rPr>
          <w:rFonts w:ascii="Palatino Linotype" w:eastAsiaTheme="minorEastAsia" w:hAnsi="Palatino Linotype"/>
          <w:bCs/>
        </w:rPr>
        <w:t xml:space="preserve"> y los datos personales, concernientes a una persona física identificada o identificable son confidenciales.</w:t>
      </w:r>
    </w:p>
    <w:p w14:paraId="3AF2DCA6" w14:textId="77777777" w:rsidR="008850F3" w:rsidRDefault="008850F3" w:rsidP="008850F3">
      <w:pPr>
        <w:spacing w:line="360" w:lineRule="auto"/>
        <w:ind w:right="49"/>
        <w:contextualSpacing/>
        <w:jc w:val="both"/>
        <w:rPr>
          <w:rFonts w:ascii="Palatino Linotype" w:eastAsiaTheme="minorEastAsia" w:hAnsi="Palatino Linotype"/>
          <w:bCs/>
        </w:rPr>
      </w:pPr>
    </w:p>
    <w:p w14:paraId="1207A672"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rFonts w:ascii="Palatino Linotype" w:eastAsiaTheme="minorEastAsia" w:hAnsi="Palatino Linotype"/>
          <w:b/>
          <w:bCs/>
        </w:rPr>
        <w:t xml:space="preserve">i) </w:t>
      </w:r>
      <w:r>
        <w:rPr>
          <w:rFonts w:ascii="Palatino Linotype" w:eastAsiaTheme="minorEastAsia" w:hAnsi="Palatino Linotype"/>
          <w:bCs/>
        </w:rPr>
        <w:t xml:space="preserve">la información se encuentre en registros públicos o fuentes de acceso público, </w:t>
      </w:r>
      <w:r>
        <w:rPr>
          <w:rFonts w:ascii="Palatino Linotype" w:eastAsiaTheme="minorEastAsia" w:hAnsi="Palatino Linotype"/>
          <w:b/>
          <w:bCs/>
        </w:rPr>
        <w:t>ii)</w:t>
      </w:r>
      <w:r>
        <w:rPr>
          <w:rFonts w:ascii="Palatino Linotype" w:eastAsiaTheme="minorEastAsia" w:hAnsi="Palatino Linotype"/>
          <w:bCs/>
        </w:rPr>
        <w:t xml:space="preserve"> por ley tenga el carácter de pública, </w:t>
      </w:r>
      <w:r>
        <w:rPr>
          <w:rFonts w:ascii="Palatino Linotype" w:eastAsiaTheme="minorEastAsia" w:hAnsi="Palatino Linotype"/>
          <w:b/>
          <w:bCs/>
        </w:rPr>
        <w:t>iii)</w:t>
      </w:r>
      <w:r>
        <w:rPr>
          <w:rFonts w:ascii="Palatino Linotype" w:eastAsiaTheme="minorEastAsia" w:hAnsi="Palatino Linotype"/>
          <w:bCs/>
        </w:rPr>
        <w:t xml:space="preserve"> exista una orden judicial, </w:t>
      </w:r>
      <w:r>
        <w:rPr>
          <w:rFonts w:ascii="Palatino Linotype" w:eastAsiaTheme="minorEastAsia" w:hAnsi="Palatino Linotype"/>
          <w:b/>
          <w:bCs/>
        </w:rPr>
        <w:t>iv)</w:t>
      </w:r>
      <w:r>
        <w:rPr>
          <w:rFonts w:ascii="Palatino Linotype" w:eastAsiaTheme="minorEastAsia" w:hAnsi="Palatino Linotype"/>
          <w:bCs/>
        </w:rPr>
        <w:t xml:space="preserve"> por razones de seguridad nacional y salubridad general o </w:t>
      </w:r>
      <w:r>
        <w:rPr>
          <w:rFonts w:ascii="Palatino Linotype" w:eastAsiaTheme="minorEastAsia" w:hAnsi="Palatino Linotype"/>
          <w:b/>
          <w:bCs/>
        </w:rPr>
        <w:t>v)</w:t>
      </w:r>
      <w:r>
        <w:rPr>
          <w:rFonts w:ascii="Palatino Linotype" w:eastAsiaTheme="minorEastAsia" w:hAnsi="Palatino Linotype"/>
          <w:bCs/>
        </w:rPr>
        <w:t xml:space="preserve"> para proteger los derechos de terceros o cuando se transmita entre sujetos obligados en términos de los tratados y los acuerdos interinstitucionales.</w:t>
      </w:r>
    </w:p>
    <w:p w14:paraId="4A892A98" w14:textId="77777777" w:rsidR="008850F3" w:rsidRDefault="008850F3" w:rsidP="008850F3">
      <w:pPr>
        <w:spacing w:line="360" w:lineRule="auto"/>
        <w:ind w:right="49"/>
        <w:contextualSpacing/>
        <w:jc w:val="both"/>
        <w:rPr>
          <w:rFonts w:ascii="Palatino Linotype" w:eastAsiaTheme="minorEastAsia" w:hAnsi="Palatino Linotype"/>
          <w:bCs/>
        </w:rPr>
      </w:pPr>
    </w:p>
    <w:p w14:paraId="0B33F87E"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En términos de lo expuesto, la documentación y aquellos datos que se consideren confidenciales, serán una limitante del derecho de acceso a la información, siempre y cuando:</w:t>
      </w:r>
    </w:p>
    <w:p w14:paraId="63D0A322" w14:textId="77777777" w:rsidR="008850F3" w:rsidRDefault="008850F3" w:rsidP="008850F3">
      <w:pPr>
        <w:spacing w:line="360" w:lineRule="auto"/>
        <w:ind w:right="49"/>
        <w:contextualSpacing/>
        <w:jc w:val="both"/>
        <w:rPr>
          <w:rFonts w:ascii="Palatino Linotype" w:eastAsiaTheme="minorEastAsia" w:hAnsi="Palatino Linotype"/>
          <w:bCs/>
        </w:rPr>
      </w:pPr>
    </w:p>
    <w:p w14:paraId="560F3361" w14:textId="77777777" w:rsidR="008850F3" w:rsidRDefault="008850F3" w:rsidP="008850F3">
      <w:pPr>
        <w:ind w:left="851" w:right="51"/>
        <w:contextualSpacing/>
        <w:jc w:val="both"/>
        <w:rPr>
          <w:rFonts w:ascii="Palatino Linotype" w:eastAsiaTheme="minorEastAsia" w:hAnsi="Palatino Linotype"/>
          <w:bCs/>
        </w:rPr>
      </w:pPr>
      <w:r>
        <w:rPr>
          <w:rFonts w:ascii="Palatino Linotype" w:eastAsiaTheme="minorEastAsia" w:hAnsi="Palatino Linotype"/>
          <w:bCs/>
        </w:rPr>
        <w:lastRenderedPageBreak/>
        <w:t xml:space="preserve">a). Se trate de datos personales; esto es, información concerniente a una persona física y que ésta sea identificada o identificable. </w:t>
      </w:r>
    </w:p>
    <w:p w14:paraId="2032FCE3" w14:textId="77777777" w:rsidR="008850F3" w:rsidRDefault="008850F3" w:rsidP="008850F3">
      <w:pPr>
        <w:ind w:left="142" w:right="51"/>
        <w:contextualSpacing/>
        <w:jc w:val="both"/>
        <w:rPr>
          <w:rFonts w:ascii="Palatino Linotype" w:eastAsiaTheme="minorEastAsia" w:hAnsi="Palatino Linotype"/>
          <w:bCs/>
        </w:rPr>
      </w:pPr>
    </w:p>
    <w:p w14:paraId="5F1C527A" w14:textId="77777777" w:rsidR="008850F3" w:rsidRDefault="008850F3" w:rsidP="008850F3">
      <w:pPr>
        <w:ind w:left="851" w:right="51"/>
        <w:contextualSpacing/>
        <w:jc w:val="both"/>
        <w:rPr>
          <w:rFonts w:ascii="Palatino Linotype" w:eastAsiaTheme="minorEastAsia" w:hAnsi="Palatino Linotype"/>
          <w:bCs/>
        </w:rPr>
      </w:pPr>
      <w:r>
        <w:rPr>
          <w:rFonts w:ascii="Palatino Linotype" w:eastAsiaTheme="minorEastAsia" w:hAnsi="Palatino Linotype"/>
          <w:bCs/>
        </w:rPr>
        <w:t xml:space="preserve">b). Para la difusión de los datos, se requiera el consentimiento del titular. </w:t>
      </w:r>
    </w:p>
    <w:p w14:paraId="5C94ED22" w14:textId="77777777" w:rsidR="008850F3" w:rsidRDefault="008850F3" w:rsidP="008850F3">
      <w:pPr>
        <w:spacing w:line="360" w:lineRule="auto"/>
        <w:ind w:right="49"/>
        <w:contextualSpacing/>
        <w:jc w:val="both"/>
        <w:rPr>
          <w:rFonts w:ascii="Palatino Linotype" w:eastAsiaTheme="minorEastAsia" w:hAnsi="Palatino Linotype"/>
          <w:bCs/>
          <w:sz w:val="24"/>
        </w:rPr>
      </w:pPr>
    </w:p>
    <w:p w14:paraId="585A10E2"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2469EA6" w14:textId="77777777" w:rsidR="008850F3" w:rsidRDefault="008850F3" w:rsidP="008850F3">
      <w:pPr>
        <w:spacing w:line="360" w:lineRule="auto"/>
        <w:ind w:right="49"/>
        <w:contextualSpacing/>
        <w:jc w:val="both"/>
        <w:rPr>
          <w:rFonts w:ascii="Palatino Linotype" w:eastAsiaTheme="minorEastAsia" w:hAnsi="Palatino Linotype"/>
          <w:bCs/>
        </w:rPr>
      </w:pPr>
    </w:p>
    <w:p w14:paraId="3A40F30A" w14:textId="77777777" w:rsidR="008850F3" w:rsidRDefault="008850F3" w:rsidP="008850F3">
      <w:pPr>
        <w:spacing w:line="360" w:lineRule="auto"/>
        <w:ind w:right="49"/>
        <w:contextualSpacing/>
        <w:jc w:val="both"/>
        <w:rPr>
          <w:rFonts w:ascii="Palatino Linotype" w:eastAsiaTheme="minorEastAsia" w:hAnsi="Palatino Linotype"/>
          <w:bCs/>
        </w:rPr>
      </w:pPr>
      <w:r>
        <w:rPr>
          <w:rFonts w:ascii="Palatino Linotype" w:eastAsiaTheme="minorEastAsia" w:hAnsi="Palatino Linotype"/>
          <w:bCs/>
        </w:rPr>
        <w:t xml:space="preserve">Además, en el artículo 5° de dicho ordenamiento jurídico, establece que es la Ley aplicable para todo tratamiento de datos personales. </w:t>
      </w:r>
    </w:p>
    <w:p w14:paraId="68B88AF7" w14:textId="77777777" w:rsidR="008850F3" w:rsidRDefault="008850F3" w:rsidP="008850F3">
      <w:pPr>
        <w:spacing w:line="360" w:lineRule="auto"/>
        <w:ind w:right="49"/>
        <w:contextualSpacing/>
        <w:jc w:val="both"/>
        <w:rPr>
          <w:rFonts w:ascii="Palatino Linotype" w:eastAsiaTheme="minorEastAsia" w:hAnsi="Palatino Linotype"/>
        </w:rPr>
      </w:pPr>
    </w:p>
    <w:p w14:paraId="0AB818C0"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En </w:t>
      </w:r>
      <w:r>
        <w:rPr>
          <w:rFonts w:ascii="Palatino Linotype" w:eastAsiaTheme="minorEastAsia" w:hAnsi="Palatino Linotype"/>
          <w:bCs/>
        </w:rPr>
        <w:t>ese</w:t>
      </w:r>
      <w:r>
        <w:rPr>
          <w:rFonts w:ascii="Palatino Linotype" w:eastAsiaTheme="minorEastAsia" w:hAnsi="Palatino Linotype"/>
        </w:rPr>
        <w:t xml:space="preserve"> contexto, los artículos 6°, 7°, 8° y 14 de la </w:t>
      </w:r>
      <w:r>
        <w:rPr>
          <w:rFonts w:ascii="Palatino Linotype" w:eastAsiaTheme="minorEastAsia" w:hAnsi="Palatino Linotype"/>
          <w:bCs/>
        </w:rPr>
        <w:t>Ley de Protección de Datos Personales en Posesión de Sujetos Obligados del Estado de México y Municipios</w:t>
      </w:r>
      <w:r>
        <w:rPr>
          <w:rFonts w:ascii="Palatino Linotype" w:eastAsiaTheme="minorEastAsia" w:hAnsi="Palatino Linotype"/>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39A2A42" w14:textId="77777777" w:rsidR="008850F3" w:rsidRDefault="008850F3" w:rsidP="008850F3">
      <w:pPr>
        <w:spacing w:line="360" w:lineRule="auto"/>
        <w:ind w:right="49"/>
        <w:contextualSpacing/>
        <w:jc w:val="both"/>
        <w:rPr>
          <w:rFonts w:ascii="Palatino Linotype" w:eastAsiaTheme="minorEastAsia" w:hAnsi="Palatino Linotype"/>
        </w:rPr>
      </w:pPr>
    </w:p>
    <w:p w14:paraId="5C53FBC5"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lastRenderedPageBreak/>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CEE8D95" w14:textId="77777777" w:rsidR="008850F3" w:rsidRDefault="008850F3" w:rsidP="008850F3">
      <w:pPr>
        <w:spacing w:line="360" w:lineRule="auto"/>
        <w:ind w:right="49"/>
        <w:contextualSpacing/>
        <w:jc w:val="both"/>
        <w:rPr>
          <w:rFonts w:ascii="Palatino Linotype" w:eastAsiaTheme="minorEastAsia" w:hAnsi="Palatino Linotype"/>
        </w:rPr>
      </w:pPr>
    </w:p>
    <w:p w14:paraId="06BA5EE1"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En este contexto, la confidencialidad de los datos personales, tiene por objetivo establecer el límite del derecho de acceso a la información a partir del derecho a la intimidad y la vida privada de los individuos. </w:t>
      </w:r>
    </w:p>
    <w:p w14:paraId="36D697BC" w14:textId="77777777" w:rsidR="008850F3" w:rsidRDefault="008850F3" w:rsidP="008850F3">
      <w:pPr>
        <w:spacing w:line="360" w:lineRule="auto"/>
        <w:ind w:right="49"/>
        <w:contextualSpacing/>
        <w:jc w:val="both"/>
        <w:rPr>
          <w:rFonts w:ascii="Palatino Linotype" w:eastAsiaTheme="minorEastAsia" w:hAnsi="Palatino Linotype"/>
        </w:rPr>
      </w:pPr>
    </w:p>
    <w:p w14:paraId="6187D166"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De tal suerte, las instituciones públicas tienen la doble responsabilidad, por un lado, de proteger los datos personales y por otro, darle publicidad aquella información de relevancia que sea de interés público.</w:t>
      </w:r>
    </w:p>
    <w:p w14:paraId="3279288C" w14:textId="77777777" w:rsidR="008850F3" w:rsidRDefault="008850F3" w:rsidP="008850F3">
      <w:pPr>
        <w:spacing w:line="360" w:lineRule="auto"/>
        <w:ind w:right="49"/>
        <w:contextualSpacing/>
        <w:jc w:val="both"/>
        <w:rPr>
          <w:rFonts w:ascii="Palatino Linotype" w:eastAsiaTheme="minorEastAsia" w:hAnsi="Palatino Linotype"/>
        </w:rPr>
      </w:pPr>
    </w:p>
    <w:p w14:paraId="6D154B50" w14:textId="77777777" w:rsidR="008850F3" w:rsidRDefault="008850F3" w:rsidP="008850F3">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 </w:t>
      </w:r>
    </w:p>
    <w:p w14:paraId="58D3C34F" w14:textId="77777777" w:rsidR="00080416" w:rsidRDefault="00080416" w:rsidP="008850F3">
      <w:pPr>
        <w:spacing w:line="360" w:lineRule="auto"/>
        <w:jc w:val="both"/>
        <w:rPr>
          <w:rFonts w:ascii="Palatino Linotype" w:eastAsia="Calibri" w:hAnsi="Palatino Linotype" w:cs="Tahoma"/>
          <w:iCs/>
          <w:lang w:eastAsia="es-ES_tradnl"/>
        </w:rPr>
      </w:pPr>
    </w:p>
    <w:p w14:paraId="7669F3CB" w14:textId="77777777" w:rsidR="008850F3" w:rsidRDefault="008850F3" w:rsidP="008850F3">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En tales circunstancias, se considera que en la especie proporcionar el nombre, cargo y área de adscripción de los Servidores Públicos absueltos</w:t>
      </w:r>
      <w:r>
        <w:rPr>
          <w:rFonts w:ascii="Palatino Linotype" w:eastAsia="Calibri" w:hAnsi="Palatino Linotype" w:cs="Tahoma"/>
          <w:bCs/>
          <w:iCs/>
          <w:lang w:eastAsia="es-ES_tradnl"/>
        </w:rPr>
        <w:t>,</w:t>
      </w:r>
      <w:r>
        <w:rPr>
          <w:rFonts w:ascii="Palatino Linotype" w:eastAsia="Calibri" w:hAnsi="Palatino Linotype" w:cs="Tahoma"/>
          <w:b/>
          <w:iCs/>
          <w:lang w:eastAsia="es-ES_tradnl"/>
        </w:rPr>
        <w:t xml:space="preserve"> </w:t>
      </w:r>
      <w:r>
        <w:rPr>
          <w:rFonts w:ascii="Palatino Linotype" w:eastAsia="Calibri" w:hAnsi="Palatino Linotype" w:cs="Tahoma"/>
          <w:iCs/>
          <w:lang w:eastAsia="es-ES_tradnl"/>
        </w:rPr>
        <w:t>en caso de que existieran, podría afectar su honor, buen nombre y su imagen.</w:t>
      </w:r>
    </w:p>
    <w:p w14:paraId="59BAA828" w14:textId="77777777" w:rsidR="008850F3" w:rsidRDefault="008850F3" w:rsidP="008850F3">
      <w:pPr>
        <w:spacing w:line="360" w:lineRule="auto"/>
        <w:jc w:val="both"/>
        <w:rPr>
          <w:rFonts w:ascii="Palatino Linotype" w:eastAsia="Calibri" w:hAnsi="Palatino Linotype" w:cs="Tahoma"/>
          <w:b/>
          <w:iCs/>
          <w:lang w:eastAsia="es-ES_tradnl"/>
        </w:rPr>
      </w:pPr>
    </w:p>
    <w:p w14:paraId="68D1F8A5" w14:textId="77777777" w:rsidR="008850F3" w:rsidRDefault="008850F3" w:rsidP="008850F3">
      <w:pPr>
        <w:autoSpaceDE w:val="0"/>
        <w:autoSpaceDN w:val="0"/>
        <w:adjustRightInd w:val="0"/>
        <w:spacing w:line="360" w:lineRule="auto"/>
        <w:jc w:val="both"/>
        <w:rPr>
          <w:rFonts w:ascii="Palatino Linotype" w:eastAsia="Times New Roman" w:hAnsi="Palatino Linotype" w:cs="Arial"/>
          <w:lang w:eastAsia="es-ES"/>
        </w:rPr>
      </w:pPr>
      <w:r>
        <w:rPr>
          <w:rFonts w:ascii="Palatino Linotype" w:hAnsi="Palatino Linotype" w:cs="Arial"/>
        </w:rPr>
        <w:lastRenderedPageBreak/>
        <w:t>Por lo expuesto, se desprende que dar a conocer el nombre, cargo y área de adscripción del servidor público, absuelto, en su caso que existan, constituye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5A3CC448" w14:textId="77777777" w:rsidR="008850F3" w:rsidRDefault="008850F3" w:rsidP="008850F3">
      <w:pPr>
        <w:autoSpaceDE w:val="0"/>
        <w:autoSpaceDN w:val="0"/>
        <w:adjustRightInd w:val="0"/>
        <w:spacing w:line="360" w:lineRule="auto"/>
        <w:jc w:val="both"/>
        <w:rPr>
          <w:rFonts w:ascii="Palatino Linotype" w:hAnsi="Palatino Linotype" w:cs="Arial"/>
        </w:rPr>
      </w:pPr>
    </w:p>
    <w:p w14:paraId="6842DF09" w14:textId="77777777" w:rsidR="008850F3" w:rsidRDefault="008850F3" w:rsidP="008850F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rPr>
        <w:t xml:space="preserve">Por lo cual, dar a conocer el nombre del servidor público que no haya recibido una sanción por una supuesta responsabilidad que no se comprobó, la cual no causa una afectación a otros, pues como se precisó en párrafos anteriores, podría generar un juicio </w:t>
      </w:r>
      <w:r>
        <w:rPr>
          <w:rFonts w:ascii="Palatino Linotype" w:hAnsi="Palatino Linotype" w:cs="Arial"/>
          <w:i/>
        </w:rPr>
        <w:t>a priori</w:t>
      </w:r>
      <w:r>
        <w:rPr>
          <w:rFonts w:ascii="Palatino Linotype" w:hAnsi="Palatino Linotype" w:cs="Arial"/>
        </w:rPr>
        <w:t xml:space="preserve"> por parte de la sociedad, afectando su prestigio y su buen nombre, pues la sociedad podría calificar a dicho servidor público, como ineficiente o motivos de ofensas, lo cual daña si vida privada y profesional, mismas que forman parte de su intimidad; por lo que se concluye que dicha información, en caso que existiera, tiene el carácter de confidencial.</w:t>
      </w:r>
    </w:p>
    <w:p w14:paraId="6A6F5F1A" w14:textId="7BDA724A" w:rsidR="002F7CB9" w:rsidRDefault="00867791" w:rsidP="002F7CB9">
      <w:pPr>
        <w:pStyle w:val="Prrafodelista"/>
        <w:tabs>
          <w:tab w:val="left" w:pos="426"/>
        </w:tabs>
        <w:spacing w:before="240" w:after="240" w:line="360" w:lineRule="auto"/>
        <w:ind w:left="0" w:right="51"/>
        <w:jc w:val="both"/>
        <w:rPr>
          <w:rFonts w:ascii="Palatino Linotype" w:eastAsia="MS Mincho" w:hAnsi="Palatino Linotype" w:cs="Times New Roman"/>
          <w:bCs/>
          <w:lang w:val="es-ES"/>
        </w:rPr>
      </w:pPr>
      <w:r>
        <w:rPr>
          <w:rFonts w:ascii="Palatino Linotype" w:eastAsia="MS Mincho" w:hAnsi="Palatino Linotype" w:cs="Times New Roman"/>
        </w:rPr>
        <w:t>Asimismo, n</w:t>
      </w:r>
      <w:r w:rsidR="002F7CB9" w:rsidRPr="00651701">
        <w:rPr>
          <w:rFonts w:ascii="Palatino Linotype" w:eastAsia="MS Mincho" w:hAnsi="Palatino Linotype" w:cs="Times New Roman"/>
        </w:rPr>
        <w:t xml:space="preserve">o debe perderse de vista que, dentro del caso que nos ocupa, </w:t>
      </w:r>
      <w:r w:rsidR="002F7CB9" w:rsidRPr="006439A1">
        <w:rPr>
          <w:rFonts w:ascii="Palatino Linotype" w:eastAsia="MS Mincho" w:hAnsi="Palatino Linotype" w:cs="Times New Roman"/>
          <w:bCs/>
          <w:lang w:val="es-ES"/>
        </w:rPr>
        <w:t xml:space="preserve">el </w:t>
      </w:r>
      <w:r w:rsidR="002F7CB9" w:rsidRPr="006439A1">
        <w:rPr>
          <w:rFonts w:ascii="Palatino Linotype" w:eastAsia="MS Mincho" w:hAnsi="Palatino Linotype" w:cs="Times New Roman"/>
          <w:b/>
          <w:lang w:val="es-ES"/>
        </w:rPr>
        <w:t>RECURRENTE</w:t>
      </w:r>
      <w:r w:rsidR="002F7CB9" w:rsidRPr="006439A1">
        <w:rPr>
          <w:rFonts w:ascii="Palatino Linotype" w:eastAsia="MS Mincho" w:hAnsi="Palatino Linotype" w:cs="Times New Roman"/>
          <w:bCs/>
          <w:lang w:val="es-ES"/>
        </w:rPr>
        <w:t xml:space="preserve"> requiere tener acceso </w:t>
      </w:r>
      <w:r w:rsidR="002F7CB9">
        <w:rPr>
          <w:rFonts w:ascii="Palatino Linotype" w:eastAsia="MS Mincho" w:hAnsi="Palatino Linotype" w:cs="Times New Roman"/>
          <w:bCs/>
          <w:lang w:val="es-ES"/>
        </w:rPr>
        <w:t>a</w:t>
      </w:r>
      <w:r w:rsidR="002F7CB9" w:rsidRPr="002F7CB9">
        <w:rPr>
          <w:rFonts w:ascii="Palatino Linotype" w:eastAsia="MS Mincho" w:hAnsi="Palatino Linotype" w:cs="Times New Roman"/>
          <w:bCs/>
          <w:lang w:val="es-ES"/>
        </w:rPr>
        <w:t xml:space="preserve"> información respecto a un proceso administrativo de destitución de un elemento </w:t>
      </w:r>
      <w:proofErr w:type="gramStart"/>
      <w:r w:rsidR="002F7CB9" w:rsidRPr="002F7CB9">
        <w:rPr>
          <w:rFonts w:ascii="Palatino Linotype" w:eastAsia="MS Mincho" w:hAnsi="Palatino Linotype" w:cs="Times New Roman"/>
          <w:bCs/>
          <w:lang w:val="es-ES"/>
        </w:rPr>
        <w:t>de la policía</w:t>
      </w:r>
      <w:r w:rsidR="002F7CB9">
        <w:rPr>
          <w:rFonts w:ascii="Palatino Linotype" w:eastAsia="MS Mincho" w:hAnsi="Palatino Linotype" w:cs="Times New Roman"/>
          <w:bCs/>
          <w:lang w:val="es-ES"/>
        </w:rPr>
        <w:t xml:space="preserve"> adscrito</w:t>
      </w:r>
      <w:proofErr w:type="gramEnd"/>
      <w:r w:rsidR="002F7CB9">
        <w:rPr>
          <w:rFonts w:ascii="Palatino Linotype" w:eastAsia="MS Mincho" w:hAnsi="Palatino Linotype" w:cs="Times New Roman"/>
          <w:bCs/>
          <w:lang w:val="es-ES"/>
        </w:rPr>
        <w:t xml:space="preserve"> al Sujeto Obligado. </w:t>
      </w:r>
    </w:p>
    <w:p w14:paraId="0AF2204F" w14:textId="77777777" w:rsidR="002F7CB9" w:rsidRPr="00321EEE"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4DA069FF"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Al </w:t>
      </w:r>
      <w:r w:rsidRPr="006439A1">
        <w:rPr>
          <w:rFonts w:ascii="Palatino Linotype" w:hAnsi="Palatino Linotype"/>
          <w:bCs/>
          <w:color w:val="000000" w:themeColor="text1"/>
        </w:rPr>
        <w:t xml:space="preserve">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w:t>
      </w:r>
      <w:r w:rsidRPr="006439A1">
        <w:rPr>
          <w:rFonts w:ascii="Palatino Linotype" w:hAnsi="Palatino Linotype"/>
          <w:bCs/>
          <w:color w:val="000000" w:themeColor="text1"/>
        </w:rPr>
        <w:lastRenderedPageBreak/>
        <w:t>administrativas. En ese contexto, el artículo 6°, fracciones XI y XII de dicho ordenamiento jurídico, establece los siguientes conceptos:</w:t>
      </w:r>
    </w:p>
    <w:p w14:paraId="1E0F37A7" w14:textId="77777777" w:rsidR="002F7CB9" w:rsidRPr="006439A1" w:rsidRDefault="002F7CB9" w:rsidP="002F7CB9">
      <w:pPr>
        <w:pStyle w:val="Prrafodelista"/>
        <w:numPr>
          <w:ilvl w:val="1"/>
          <w:numId w:val="9"/>
        </w:numPr>
        <w:tabs>
          <w:tab w:val="left" w:pos="426"/>
        </w:tabs>
        <w:spacing w:before="240" w:after="240" w:line="360" w:lineRule="auto"/>
        <w:ind w:left="993" w:right="51"/>
        <w:jc w:val="both"/>
        <w:rPr>
          <w:rFonts w:ascii="Palatino Linotype" w:hAnsi="Palatino Linotype"/>
          <w:bCs/>
          <w:color w:val="000000" w:themeColor="text1"/>
        </w:rPr>
      </w:pPr>
      <w:r>
        <w:rPr>
          <w:rFonts w:ascii="Palatino Linotype" w:hAnsi="Palatino Linotype"/>
          <w:b/>
          <w:color w:val="000000" w:themeColor="text1"/>
        </w:rPr>
        <w:t>Instituciones Policiales:</w:t>
      </w:r>
      <w:r>
        <w:rPr>
          <w:rFonts w:ascii="Palatino Linotype" w:hAnsi="Palatino Linotype"/>
          <w:bCs/>
          <w:color w:val="000000" w:themeColor="text1"/>
        </w:rPr>
        <w:t xml:space="preserve"> Son </w:t>
      </w:r>
      <w:r w:rsidRPr="006439A1">
        <w:rPr>
          <w:rFonts w:ascii="Palatino Linotype" w:hAnsi="Palatino Linotype"/>
          <w:bCs/>
          <w:color w:val="000000" w:themeColor="text1"/>
        </w:rPr>
        <w:t xml:space="preserve">los cuerpos de policía, de vigilancia y custodia de los establecimientos penitenciarios, detención preventiva, centros de arraigo y en general, </w:t>
      </w:r>
      <w:r w:rsidRPr="006439A1">
        <w:rPr>
          <w:rFonts w:ascii="Palatino Linotype" w:hAnsi="Palatino Linotype"/>
          <w:b/>
          <w:bCs/>
          <w:color w:val="000000" w:themeColor="text1"/>
        </w:rPr>
        <w:t>todas las dependencias encargadas de la seguridad pública a nivel</w:t>
      </w:r>
      <w:r w:rsidRPr="006439A1">
        <w:rPr>
          <w:rFonts w:ascii="Palatino Linotype" w:hAnsi="Palatino Linotype"/>
          <w:bCs/>
          <w:color w:val="000000" w:themeColor="text1"/>
        </w:rPr>
        <w:t xml:space="preserve"> estatal y </w:t>
      </w:r>
      <w:r w:rsidRPr="006439A1">
        <w:rPr>
          <w:rFonts w:ascii="Palatino Linotype" w:hAnsi="Palatino Linotype"/>
          <w:b/>
          <w:bCs/>
          <w:color w:val="000000" w:themeColor="text1"/>
        </w:rPr>
        <w:t>municipal.</w:t>
      </w:r>
    </w:p>
    <w:p w14:paraId="48D6B73E" w14:textId="77777777" w:rsidR="002F7CB9" w:rsidRPr="006439A1" w:rsidRDefault="002F7CB9" w:rsidP="002F7CB9">
      <w:pPr>
        <w:pStyle w:val="Prrafodelista"/>
        <w:numPr>
          <w:ilvl w:val="1"/>
          <w:numId w:val="9"/>
        </w:numPr>
        <w:tabs>
          <w:tab w:val="left" w:pos="426"/>
        </w:tabs>
        <w:spacing w:before="240" w:after="240" w:line="360" w:lineRule="auto"/>
        <w:ind w:left="993" w:right="51"/>
        <w:jc w:val="both"/>
        <w:rPr>
          <w:rFonts w:ascii="Palatino Linotype" w:hAnsi="Palatino Linotype"/>
          <w:color w:val="000000" w:themeColor="text1"/>
        </w:rPr>
      </w:pPr>
      <w:r w:rsidRPr="006439A1">
        <w:rPr>
          <w:rFonts w:ascii="Palatino Linotype" w:hAnsi="Palatino Linotype"/>
          <w:b/>
          <w:bCs/>
          <w:color w:val="000000" w:themeColor="text1"/>
        </w:rPr>
        <w:t>Instituciones de Seguridad Pública:</w:t>
      </w:r>
      <w:r w:rsidRPr="006439A1">
        <w:rPr>
          <w:rFonts w:ascii="Palatino Linotype" w:hAnsi="Palatino Linotype"/>
          <w:bCs/>
          <w:color w:val="000000" w:themeColor="text1"/>
        </w:rPr>
        <w:t xml:space="preserve"> Instituciones Policiales, Procuración de Justicia, Sistema Penitenciario y </w:t>
      </w:r>
      <w:r w:rsidRPr="006439A1">
        <w:rPr>
          <w:rFonts w:ascii="Palatino Linotype" w:hAnsi="Palatino Linotype"/>
          <w:b/>
          <w:bCs/>
          <w:color w:val="000000" w:themeColor="text1"/>
        </w:rPr>
        <w:t xml:space="preserve">dependencias encargadas de la seguridad pública a nivel </w:t>
      </w:r>
      <w:r w:rsidRPr="006439A1">
        <w:rPr>
          <w:rFonts w:ascii="Palatino Linotype" w:hAnsi="Palatino Linotype"/>
          <w:bCs/>
          <w:color w:val="000000" w:themeColor="text1"/>
        </w:rPr>
        <w:t xml:space="preserve">estatal y </w:t>
      </w:r>
      <w:r w:rsidRPr="006439A1">
        <w:rPr>
          <w:rFonts w:ascii="Palatino Linotype" w:hAnsi="Palatino Linotype"/>
          <w:b/>
          <w:bCs/>
          <w:color w:val="000000" w:themeColor="text1"/>
        </w:rPr>
        <w:t>municipal.</w:t>
      </w:r>
    </w:p>
    <w:p w14:paraId="70409A7D"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7973ACDC" w14:textId="59744BF4"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bCs/>
          <w:color w:val="000000" w:themeColor="text1"/>
        </w:rPr>
        <w:t xml:space="preserve">Conforme </w:t>
      </w:r>
      <w:r w:rsidRPr="006439A1">
        <w:rPr>
          <w:rFonts w:ascii="Palatino Linotype" w:hAnsi="Palatino Linotype"/>
          <w:bCs/>
          <w:iCs/>
          <w:color w:val="000000" w:themeColor="text1"/>
          <w:lang w:val="es-ES"/>
        </w:rPr>
        <w:t xml:space="preserve">a lo anterior, la </w:t>
      </w:r>
      <w:r>
        <w:rPr>
          <w:rFonts w:ascii="Palatino Linotype" w:hAnsi="Palatino Linotype"/>
          <w:bCs/>
          <w:color w:val="000000" w:themeColor="text1"/>
        </w:rPr>
        <w:t>Secretaría de Seguridad</w:t>
      </w:r>
      <w:r w:rsidRPr="006439A1">
        <w:rPr>
          <w:rFonts w:ascii="Palatino Linotype" w:hAnsi="Palatino Linotype"/>
          <w:bCs/>
          <w:iCs/>
          <w:color w:val="000000" w:themeColor="text1"/>
          <w:lang w:val="es-ES"/>
        </w:rPr>
        <w:t xml:space="preserve">, </w:t>
      </w:r>
      <w:r w:rsidRPr="006439A1">
        <w:rPr>
          <w:rFonts w:ascii="Palatino Linotype" w:hAnsi="Palatino Linotype"/>
          <w:bCs/>
          <w:color w:val="000000" w:themeColor="text1"/>
        </w:rPr>
        <w:t>es una institución de seguridad pública, pues tiene como atribución principal resguardar el orden público y la paz social, la prevención de delitos y la inhibición de manifestaciones de conductas antisociales.</w:t>
      </w:r>
    </w:p>
    <w:p w14:paraId="65BB7313"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633A832E" w14:textId="3F0E3A94"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bCs/>
          <w:color w:val="000000" w:themeColor="text1"/>
        </w:rPr>
        <w:t xml:space="preserve">En </w:t>
      </w:r>
      <w:r w:rsidRPr="006439A1">
        <w:rPr>
          <w:rFonts w:ascii="Palatino Linotype" w:hAnsi="Palatino Linotype"/>
          <w:bCs/>
          <w:color w:val="000000" w:themeColor="text1"/>
        </w:rPr>
        <w:t>ese sentido, el Instructivo de llenado del Formato “Personal de Seguridad Pública”</w:t>
      </w:r>
      <w:r>
        <w:rPr>
          <w:rStyle w:val="Refdenotaalpie"/>
          <w:rFonts w:ascii="Palatino Linotype" w:hAnsi="Palatino Linotype"/>
          <w:bCs/>
          <w:color w:val="000000" w:themeColor="text1"/>
        </w:rPr>
        <w:footnoteReference w:id="3"/>
      </w:r>
      <w:r w:rsidRPr="006439A1">
        <w:rPr>
          <w:rFonts w:ascii="Palatino Linotype" w:hAnsi="Palatino Linotype"/>
          <w:bCs/>
          <w:color w:val="000000" w:themeColor="text1"/>
        </w:rPr>
        <w:t xml:space="preserve">, del Secretariado Ejecutivo del Sistema Nacional de Seguridad Pública, establece que los elementos operativos de seguridad pública, son aquellos que desempeñan funciones de campo (policiacas, especializadas o equivalentes y que no </w:t>
      </w:r>
      <w:r w:rsidRPr="006439A1">
        <w:rPr>
          <w:rFonts w:ascii="Palatino Linotype" w:hAnsi="Palatino Linotype"/>
          <w:b/>
          <w:bCs/>
          <w:color w:val="000000" w:themeColor="text1"/>
        </w:rPr>
        <w:t>desempeña funciones de mando</w:t>
      </w:r>
      <w:r w:rsidRPr="006439A1">
        <w:rPr>
          <w:rFonts w:ascii="Palatino Linotype" w:hAnsi="Palatino Linotype"/>
          <w:bCs/>
          <w:color w:val="000000" w:themeColor="text1"/>
        </w:rPr>
        <w:t xml:space="preserve">), entre los cuales, se encuentra </w:t>
      </w:r>
      <w:r>
        <w:rPr>
          <w:rFonts w:ascii="Palatino Linotype" w:hAnsi="Palatino Linotype"/>
          <w:b/>
          <w:bCs/>
          <w:color w:val="000000" w:themeColor="text1"/>
        </w:rPr>
        <w:t>los policías estatales.</w:t>
      </w:r>
    </w:p>
    <w:p w14:paraId="56C76F66"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3C098747"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bCs/>
          <w:color w:val="000000" w:themeColor="text1"/>
        </w:rPr>
        <w:t xml:space="preserve">Además, </w:t>
      </w:r>
      <w:r w:rsidRPr="00F6300E">
        <w:rPr>
          <w:rFonts w:ascii="Palatino Linotype" w:hAnsi="Palatino Linotype"/>
          <w:bCs/>
          <w:color w:val="000000" w:themeColor="text1"/>
        </w:rPr>
        <w:t xml:space="preserve">que las Instituciones Policiales, se conforman del personal administrativo, que son los trabajadores de apoyo (chofer, personal de mantenimiento, servicios generales y área secretaria); así como, el personal de mando (alto, medio y superior), que es aquel que realiza </w:t>
      </w:r>
      <w:r w:rsidRPr="00F6300E">
        <w:rPr>
          <w:rFonts w:ascii="Palatino Linotype" w:hAnsi="Palatino Linotype"/>
          <w:bCs/>
          <w:color w:val="000000" w:themeColor="text1"/>
        </w:rPr>
        <w:lastRenderedPageBreak/>
        <w:t>funciones de dirección, coordinación y supervisión, por lo cual, corresponde a aquel que tenga trabajadores a su cargo.</w:t>
      </w:r>
    </w:p>
    <w:p w14:paraId="549785DC"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53F7254F" w14:textId="065F77DF"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bCs/>
          <w:color w:val="000000" w:themeColor="text1"/>
        </w:rPr>
        <w:t xml:space="preserve">De </w:t>
      </w:r>
      <w:r w:rsidRPr="00F6300E">
        <w:rPr>
          <w:rFonts w:ascii="Palatino Linotype" w:hAnsi="Palatino Linotype"/>
          <w:bCs/>
          <w:color w:val="000000" w:themeColor="text1"/>
        </w:rPr>
        <w:t xml:space="preserve">tales circunstancias, se puede observar que la </w:t>
      </w:r>
      <w:r>
        <w:rPr>
          <w:rFonts w:ascii="Palatino Linotype" w:hAnsi="Palatino Linotype"/>
          <w:bCs/>
          <w:color w:val="000000" w:themeColor="text1"/>
        </w:rPr>
        <w:t>Secretaría de Seguridad</w:t>
      </w:r>
      <w:r w:rsidRPr="00F6300E">
        <w:rPr>
          <w:rFonts w:ascii="Palatino Linotype" w:hAnsi="Palatino Linotype"/>
          <w:bCs/>
          <w:color w:val="000000" w:themeColor="text1"/>
        </w:rPr>
        <w:t xml:space="preserve"> tiene dos clases de servidores públicos, por una parte, los operativos y por otra, los administrativos, de apoyo y personal de mando, los cuales no realizan funciones operativas.</w:t>
      </w:r>
    </w:p>
    <w:p w14:paraId="4B5F201D" w14:textId="77777777" w:rsidR="002F7CB9" w:rsidRPr="006439A1"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p>
    <w:p w14:paraId="1B5FDF44" w14:textId="193B2DE5" w:rsidR="002F7CB9" w:rsidRPr="001F4DCE" w:rsidRDefault="002F7CB9" w:rsidP="002F7CB9">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bCs/>
          <w:color w:val="000000" w:themeColor="text1"/>
        </w:rPr>
        <w:t xml:space="preserve">En </w:t>
      </w:r>
      <w:r w:rsidRPr="00F6300E">
        <w:rPr>
          <w:rFonts w:ascii="Palatino Linotype" w:hAnsi="Palatino Linotype"/>
          <w:bCs/>
          <w:color w:val="000000" w:themeColor="text1"/>
        </w:rPr>
        <w:t xml:space="preserve">ese contexto, cabe señalar que </w:t>
      </w:r>
      <w:r w:rsidRPr="00F6300E">
        <w:rPr>
          <w:rFonts w:ascii="Palatino Linotype" w:hAnsi="Palatino Linotype"/>
          <w:b/>
          <w:bCs/>
          <w:color w:val="000000" w:themeColor="text1"/>
        </w:rPr>
        <w:t xml:space="preserve">este Instituto </w:t>
      </w:r>
      <w:r w:rsidRPr="00F6300E">
        <w:rPr>
          <w:rFonts w:ascii="Palatino Linotype" w:hAnsi="Palatino Linotype"/>
          <w:b/>
          <w:bCs/>
          <w:color w:val="000000" w:themeColor="text1"/>
          <w:lang w:val="es-ES"/>
        </w:rPr>
        <w:t>ha sostenido el criterio de no dar a conocer aquellos servidores públicos que realizan funciones operativas en materia de seguridad pública, tal como es, el caso de los policías</w:t>
      </w:r>
      <w:r w:rsidRPr="00F6300E">
        <w:rPr>
          <w:rFonts w:ascii="Palatino Linotype" w:hAnsi="Palatino Linotype"/>
          <w:bCs/>
          <w:color w:val="000000" w:themeColor="text1"/>
          <w:lang w:val="es-ES"/>
        </w:rPr>
        <w:t xml:space="preserve">, pues </w:t>
      </w:r>
      <w:r w:rsidRPr="00F6300E">
        <w:rPr>
          <w:rFonts w:ascii="Palatino Linotype" w:hAnsi="Palatino Linotype"/>
          <w:bCs/>
          <w:color w:val="000000" w:themeColor="text1"/>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F6300E">
        <w:rPr>
          <w:rFonts w:ascii="Palatino Linotype" w:hAnsi="Palatino Linotype"/>
          <w:b/>
          <w:bCs/>
          <w:color w:val="000000" w:themeColor="text1"/>
        </w:rPr>
        <w:t>vulnerar la vida, seguridad o salud de dichos elementos, incluso la de sus familias o entorno social.</w:t>
      </w:r>
      <w:r w:rsidRPr="00F6300E">
        <w:rPr>
          <w:rFonts w:ascii="Palatino Linotype" w:hAnsi="Palatino Linotype"/>
          <w:bCs/>
          <w:color w:val="000000" w:themeColor="text1"/>
        </w:rPr>
        <w:t xml:space="preserve"> Además, que aumenta el riesgo de que personas ajenas a los intereses institucionales que persigue la </w:t>
      </w:r>
      <w:r>
        <w:rPr>
          <w:rFonts w:ascii="Palatino Linotype" w:hAnsi="Palatino Linotype"/>
          <w:bCs/>
          <w:color w:val="000000" w:themeColor="text1"/>
        </w:rPr>
        <w:t>Secretaría de Seguridad</w:t>
      </w:r>
      <w:r w:rsidRPr="00F6300E">
        <w:rPr>
          <w:rFonts w:ascii="Palatino Linotype" w:hAnsi="Palatino Linotype"/>
          <w:bCs/>
          <w:color w:val="000000" w:themeColor="text1"/>
        </w:rPr>
        <w:t>, intenten realizar actos tendientes a inhibir o entrometerse en las funciones de los policías municipales, lo cual causaría</w:t>
      </w:r>
      <w:r>
        <w:rPr>
          <w:rFonts w:ascii="Palatino Linotype" w:hAnsi="Palatino Linotype"/>
          <w:bCs/>
          <w:color w:val="000000" w:themeColor="text1"/>
        </w:rPr>
        <w:t xml:space="preserve"> una vulneración a la seguridad</w:t>
      </w:r>
      <w:r w:rsidRPr="00F6300E">
        <w:rPr>
          <w:rFonts w:ascii="Palatino Linotype" w:hAnsi="Palatino Linotype"/>
          <w:bCs/>
          <w:color w:val="000000" w:themeColor="text1"/>
        </w:rPr>
        <w:t xml:space="preserve">. </w:t>
      </w:r>
    </w:p>
    <w:p w14:paraId="777F3A5A" w14:textId="4DB540DE" w:rsidR="008F3200" w:rsidRPr="008F3200" w:rsidRDefault="002F7CB9" w:rsidP="00867791">
      <w:pPr>
        <w:autoSpaceDE w:val="0"/>
        <w:autoSpaceDN w:val="0"/>
        <w:adjustRightInd w:val="0"/>
        <w:spacing w:line="360" w:lineRule="auto"/>
        <w:jc w:val="both"/>
        <w:rPr>
          <w:rFonts w:ascii="Palatino Linotype" w:eastAsia="Palatino Linotype" w:hAnsi="Palatino Linotype" w:cs="Palatino Linotype"/>
        </w:rPr>
      </w:pPr>
      <w:r w:rsidRPr="002F7CB9">
        <w:rPr>
          <w:rFonts w:ascii="Palatino Linotype" w:hAnsi="Palatino Linotype"/>
          <w:bCs/>
          <w:color w:val="000000" w:themeColor="text1"/>
        </w:rPr>
        <w:t xml:space="preserve">Lo anterior tal y como se determinó en el recurso de revisión </w:t>
      </w:r>
      <w:r w:rsidRPr="002F7CB9">
        <w:rPr>
          <w:rFonts w:ascii="Palatino Linotype" w:hAnsi="Palatino Linotype"/>
          <w:b/>
          <w:bCs/>
          <w:color w:val="000000" w:themeColor="text1"/>
        </w:rPr>
        <w:t>16989/INFOEM/IP/RR/2022</w:t>
      </w:r>
      <w:r w:rsidRPr="002F7CB9">
        <w:rPr>
          <w:rFonts w:ascii="Palatino Linotype" w:hAnsi="Palatino Linotype"/>
          <w:bCs/>
          <w:color w:val="000000" w:themeColor="text1"/>
        </w:rPr>
        <w:t>, promovido</w:t>
      </w:r>
      <w:r>
        <w:rPr>
          <w:rFonts w:ascii="Palatino Linotype" w:hAnsi="Palatino Linotype"/>
          <w:bCs/>
          <w:color w:val="000000" w:themeColor="text1"/>
        </w:rPr>
        <w:t xml:space="preserve"> </w:t>
      </w:r>
      <w:r w:rsidRPr="002F7CB9">
        <w:rPr>
          <w:rFonts w:ascii="Palatino Linotype" w:hAnsi="Palatino Linotype"/>
          <w:bCs/>
          <w:color w:val="000000" w:themeColor="text1"/>
        </w:rPr>
        <w:t xml:space="preserve">en contra de </w:t>
      </w:r>
      <w:r>
        <w:rPr>
          <w:rFonts w:ascii="Palatino Linotype" w:hAnsi="Palatino Linotype"/>
          <w:bCs/>
          <w:color w:val="000000" w:themeColor="text1"/>
        </w:rPr>
        <w:t>la respuesta proporcionada por</w:t>
      </w:r>
      <w:r>
        <w:rPr>
          <w:rFonts w:ascii="Palatino Linotype" w:eastAsia="Palatino Linotype" w:hAnsi="Palatino Linotype" w:cs="Palatino Linotype"/>
        </w:rPr>
        <w:t xml:space="preserve"> la Secretaría de Seguridad del Estado de México</w:t>
      </w:r>
      <w:r w:rsidR="00867791">
        <w:rPr>
          <w:rFonts w:ascii="Palatino Linotype" w:eastAsia="Palatino Linotype" w:hAnsi="Palatino Linotype" w:cs="Palatino Linotype"/>
        </w:rPr>
        <w:t>, en el cual se solicitó “…</w:t>
      </w:r>
      <w:r w:rsidR="008F3200" w:rsidRPr="00867791">
        <w:rPr>
          <w:rFonts w:ascii="Palatino Linotype" w:eastAsia="Palatino Linotype" w:hAnsi="Palatino Linotype" w:cs="Palatino Linotype"/>
          <w:i/>
        </w:rPr>
        <w:t>saber si todavía labora como servidor público J. D. F. R. en la Dirección General de Combate al Robo de Vehículos y Transporte o en cualquiera de las áreas de la Secretaría de</w:t>
      </w:r>
      <w:r w:rsidR="00867791" w:rsidRPr="00867791">
        <w:rPr>
          <w:rFonts w:ascii="Palatino Linotype" w:eastAsia="Palatino Linotype" w:hAnsi="Palatino Linotype" w:cs="Palatino Linotype"/>
          <w:i/>
        </w:rPr>
        <w:t xml:space="preserve"> </w:t>
      </w:r>
      <w:r w:rsidR="008F3200" w:rsidRPr="00867791">
        <w:rPr>
          <w:rFonts w:ascii="Palatino Linotype" w:eastAsia="Palatino Linotype" w:hAnsi="Palatino Linotype" w:cs="Palatino Linotype"/>
          <w:i/>
        </w:rPr>
        <w:t>Seguridad de esta Entidad federativa</w:t>
      </w:r>
      <w:r w:rsidR="00867791">
        <w:rPr>
          <w:rFonts w:ascii="Palatino Linotype" w:eastAsia="Palatino Linotype" w:hAnsi="Palatino Linotype" w:cs="Palatino Linotype"/>
        </w:rPr>
        <w:t>…</w:t>
      </w:r>
      <w:r w:rsidR="008F3200" w:rsidRPr="008F3200">
        <w:rPr>
          <w:rFonts w:ascii="Palatino Linotype" w:eastAsia="Palatino Linotype" w:hAnsi="Palatino Linotype" w:cs="Palatino Linotype"/>
        </w:rPr>
        <w:t>" (Sic)</w:t>
      </w:r>
    </w:p>
    <w:p w14:paraId="2B4149CF" w14:textId="11B5A938"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lastRenderedPageBreak/>
        <w:t xml:space="preserve">En </w:t>
      </w:r>
      <w:r w:rsidR="00E62AF9">
        <w:rPr>
          <w:rFonts w:ascii="Palatino Linotype" w:eastAsia="Palatino Linotype" w:hAnsi="Palatino Linotype" w:cs="Palatino Linotype"/>
        </w:rPr>
        <w:t xml:space="preserve">respuesta el sujeto obligado indica que </w:t>
      </w:r>
      <w:r w:rsidRPr="008F3200">
        <w:rPr>
          <w:rFonts w:ascii="Palatino Linotype" w:eastAsia="Palatino Linotype" w:hAnsi="Palatino Linotype" w:cs="Palatino Linotype"/>
        </w:rPr>
        <w:t>se requirió la información al</w:t>
      </w:r>
      <w:r w:rsidR="00E62AF9">
        <w:rPr>
          <w:rFonts w:ascii="Palatino Linotype" w:eastAsia="Palatino Linotype" w:hAnsi="Palatino Linotype" w:cs="Palatino Linotype"/>
        </w:rPr>
        <w:t xml:space="preserve"> </w:t>
      </w:r>
      <w:r w:rsidRPr="008F3200">
        <w:rPr>
          <w:rFonts w:ascii="Palatino Linotype" w:eastAsia="Palatino Linotype" w:hAnsi="Palatino Linotype" w:cs="Palatino Linotype"/>
        </w:rPr>
        <w:t>Servidor Público Habilitado de Oficialía Mayor de este Sujeto Obligado, quien mediante el diverso 20603000000100S/US</w:t>
      </w:r>
      <w:r w:rsidR="00E62AF9">
        <w:rPr>
          <w:rFonts w:ascii="Palatino Linotype" w:eastAsia="Palatino Linotype" w:hAnsi="Palatino Linotype" w:cs="Palatino Linotype"/>
        </w:rPr>
        <w:t xml:space="preserve">/304/2022 remitió lo conducente, sin embargo </w:t>
      </w:r>
      <w:r w:rsidRPr="008F3200">
        <w:rPr>
          <w:rFonts w:ascii="Palatino Linotype" w:eastAsia="Palatino Linotype" w:hAnsi="Palatino Linotype" w:cs="Palatino Linotype"/>
        </w:rPr>
        <w:t>hace de su conocimiento que no es viable la entrega de la información requerida, en razón de que mediante Acuerdo SS/CT/ORD/I|1/001/2022 celebrado en la Tercera Sesión Ordinaria 2022, el Comité de Transparencia de la Secretaría de Seguridad reservó por el término de 5 años el pronunciamiento afirmativo o negativo respecto a que si la persona señalada en la Solicitud de Información 00504/SSEM/IP/2022 labora o laboró en la Secretaría de Seguridad, en términos de Artículos 4, 106, Fracción I, y 113 Fracciones | y V de la Ley General de Transparencia y Acceso a la Información Pública; 3 fracciones XX y XXIV, 47, 48, 49 fracción II, 125, 132 Fracción I, así como 140, fracciones I y IV de la Ley de Transparencia y Acceso a la Información Pública del Estado de México y Municipios; 81 Fracción III de la Ley de Seguridad del Estado de México y, Numerales Primero, Séptimo Fracción I, Décimo Octavo y Vigésimo Tercero de los Lineamientos Generales en materia de Clasificación y Desclasificación de la Información, así como para la Elaboración de Versiones</w:t>
      </w:r>
      <w:r w:rsidR="00E62AF9">
        <w:rPr>
          <w:rFonts w:ascii="Palatino Linotype" w:eastAsia="Palatino Linotype" w:hAnsi="Palatino Linotype" w:cs="Palatino Linotype"/>
        </w:rPr>
        <w:t xml:space="preserve"> </w:t>
      </w:r>
      <w:r w:rsidRPr="008F3200">
        <w:rPr>
          <w:rFonts w:ascii="Palatino Linotype" w:eastAsia="Palatino Linotype" w:hAnsi="Palatino Linotype" w:cs="Palatino Linotype"/>
        </w:rPr>
        <w:t>Públicas, a partir de la probable materialización de alguno de los riesgos siguientes:</w:t>
      </w:r>
    </w:p>
    <w:p w14:paraId="06EB28F4" w14:textId="2603FC26"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Real, radica en que la delincuencia relacionada con delitos menores ha evolucionado a estructuras criminales de mayor impacto y violencia, y realizar cualquier pronunciamiento afirmativo o negativo respecto a que si la persona señalada en la solicitud de información 00504/SSEM/P/2022 labora o laboró en la Secretaría de Seguridad, permitiría conocer su identidad, asociándolo con las actividades que realiza, el lugar donde desempeña sus labores y por ende los horarios de trabajo, lo que conllevaría a poner en riesgo su vida e integridad física.</w:t>
      </w:r>
      <w:r w:rsidRPr="008F3200">
        <w:t xml:space="preserve"> </w:t>
      </w:r>
      <w:r w:rsidRPr="008F3200">
        <w:rPr>
          <w:rFonts w:ascii="Palatino Linotype" w:eastAsia="Palatino Linotype" w:hAnsi="Palatino Linotype" w:cs="Palatino Linotype"/>
        </w:rPr>
        <w:t xml:space="preserve">Demostrable, divulgar esta información hace al personal operativo que pertenece o perteneció a la Secretaría de Seguridad un blanco a modo para la delincuencia, quien ha desarrollado estrategias de control territorial basadas en la intimidación y </w:t>
      </w:r>
      <w:r w:rsidRPr="008F3200">
        <w:rPr>
          <w:rFonts w:ascii="Palatino Linotype" w:eastAsia="Palatino Linotype" w:hAnsi="Palatino Linotype" w:cs="Palatino Linotype"/>
        </w:rPr>
        <w:lastRenderedPageBreak/>
        <w:t>corrupción, llegando a límites tales como la agresión física o la afectación de la vida de aquellas personas que sienten han transgredido sus modus operandi; e</w:t>
      </w:r>
    </w:p>
    <w:p w14:paraId="068EBF02" w14:textId="77777777"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Identificable, pues al existir en el Estado de México grupos delincuenciales que han proferido amenazas e inclusive, atentado con la vida e integridad de servidores públicos dedicados a labores de seguridad pública, surge la necesidad de realizar la clasificación de la información como reservada del pronunciamiento afirmativo o negativo respecto a que si la persona señalada en la solicitud de información 00504/SSEM/P/2022 labora o laboró en la Secretaría de Seguridad, con la finalidad de garantizar la vida e integridad física, en razón de la existencia de grupos delictivos quienes al amparo del ejercicio del derecho de acceso a la información, pretenden conocer datos sensibles para la Secretaría de Seguridad, toda vez que se pondría en riesgo el factor de mayor importancia para su buen desarrollo institucional, es decir, el capital humano del que se dispone.</w:t>
      </w:r>
    </w:p>
    <w:p w14:paraId="49CAB6E8" w14:textId="14BF801E" w:rsidR="008F3200" w:rsidRPr="008F3200" w:rsidRDefault="00733C88" w:rsidP="008F320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sentido, tenemos que</w:t>
      </w:r>
      <w:r w:rsidR="008F3200" w:rsidRPr="008F3200">
        <w:rPr>
          <w:rFonts w:ascii="Palatino Linotype" w:eastAsia="Palatino Linotype" w:hAnsi="Palatino Linotype" w:cs="Palatino Linotype"/>
        </w:rPr>
        <w:t>, la seguridad pública en términos de lo dispuesto por el noveno párrafo del Artículo 21 de la Constitución Política de los Estados Unidos Mexicanos y el numeral 2 de la Ley General del Sistema Nacional de Seguridad Pública,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y la sanción de las</w:t>
      </w:r>
      <w:r>
        <w:rPr>
          <w:rFonts w:ascii="Palatino Linotype" w:eastAsia="Palatino Linotype" w:hAnsi="Palatino Linotype" w:cs="Palatino Linotype"/>
        </w:rPr>
        <w:t xml:space="preserve"> </w:t>
      </w:r>
      <w:r w:rsidR="008F3200" w:rsidRPr="008F3200">
        <w:rPr>
          <w:rFonts w:ascii="Palatino Linotype" w:eastAsia="Palatino Linotype" w:hAnsi="Palatino Linotype" w:cs="Palatino Linotype"/>
        </w:rPr>
        <w:t>infracciones administrativas.</w:t>
      </w:r>
    </w:p>
    <w:p w14:paraId="323C406C" w14:textId="2BD0C324" w:rsid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 xml:space="preserve">De manera particular, el segundo párrafo del Artículo 2 de la Ley de Seguridad del Estado de México señala que: las acciones en el ejercicio de la función de seguridad pública tendrán como eje central a la persona humana y, por ende, contribuirán al establecimiento de la seguridad ciudadana, la cual tiene por objeto proteger a las personas; asegurar el ejercicio </w:t>
      </w:r>
      <w:r w:rsidRPr="008F3200">
        <w:rPr>
          <w:rFonts w:ascii="Palatino Linotype" w:eastAsia="Palatino Linotype" w:hAnsi="Palatino Linotype" w:cs="Palatino Linotype"/>
        </w:rPr>
        <w:lastRenderedPageBreak/>
        <w:t>de su ciudadanía, sus libertades y derechos fundamentales, establecer espacios de participación social corresponsable y armónica; propiciar la solución pacífica de los conflictos interpersonales y sociale</w:t>
      </w:r>
      <w:r w:rsidR="00733C88">
        <w:rPr>
          <w:rFonts w:ascii="Palatino Linotype" w:eastAsia="Palatino Linotype" w:hAnsi="Palatino Linotype" w:cs="Palatino Linotype"/>
        </w:rPr>
        <w:t xml:space="preserve">s </w:t>
      </w:r>
      <w:r w:rsidRPr="008F3200">
        <w:rPr>
          <w:rFonts w:ascii="Palatino Linotype" w:eastAsia="Palatino Linotype" w:hAnsi="Palatino Linotype" w:cs="Palatino Linotype"/>
        </w:rPr>
        <w:t>fortalecer a las instituciones, y propiciar condiciones durables que permitan a los ciudadanos desarrollar sus capacidades, en un ambiente de paz y democracia.</w:t>
      </w:r>
    </w:p>
    <w:p w14:paraId="02DB17A5" w14:textId="77777777" w:rsidR="00733C88" w:rsidRPr="008F3200" w:rsidRDefault="00733C88" w:rsidP="008F3200">
      <w:pPr>
        <w:spacing w:line="360" w:lineRule="auto"/>
        <w:ind w:right="51"/>
        <w:jc w:val="both"/>
        <w:rPr>
          <w:rFonts w:ascii="Palatino Linotype" w:eastAsia="Palatino Linotype" w:hAnsi="Palatino Linotype" w:cs="Palatino Linotype"/>
        </w:rPr>
      </w:pPr>
    </w:p>
    <w:p w14:paraId="4C802BB3" w14:textId="77777777"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Luego entonces, con la finalidad de cumplir los imperativos antes descritos, el personal operativo de la Secretaría de Seguridad realiza acciones tendientes a proteger y asegurar en forma inmediata el orden y la paz públicos, la integridad física de las personas y sus bienes; prevenir la comisión de delitos e infracciones administrativas; auxiliar a las autoridades competentes cuando así lo soliciten en la investigación y persecución de los delitos y concurrir, en términos de la Ley, con las autoridades en casos de siniestro o desastre; coordinar los servicios de seguridad, vigilancia y protección regional en caminos y carreteras estatales o vías primarias, zonas rurales, áreas de recreo y turísticas de competencia estatal, así como las instalaciones estratégicas del Estado; establecer y vigilar la operación, administración, seguridad, control, vigilancia y apoyo logístico del sistema penitenciario, así como de los centros de tratamiento para la atención de adolescentes.</w:t>
      </w:r>
    </w:p>
    <w:p w14:paraId="24DBCEA7" w14:textId="2CAFC4E0"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 xml:space="preserve">Por estas razones, la seguridad pública tiene características especiales en el marco de la información pública de oficio, ya que para el caso concreto divulgar información del personal operativo de la Secretaría de Seguridad puede poner en riesgo la seguridad pública, toda vez que su difusión facilitaría a células delictivas el neutralizar las acciones, implementadas o por implementar, para la preservación del orden y la paz pública, y al proporcionar la información que una institución tiene para prevenir y combatir la comisión de delitos, su personal se volvería perfectamente identificable, y posiblemente reconocibles </w:t>
      </w:r>
      <w:r w:rsidRPr="008F3200">
        <w:rPr>
          <w:rFonts w:ascii="Palatino Linotype" w:eastAsia="Palatino Linotype" w:hAnsi="Palatino Linotype" w:cs="Palatino Linotype"/>
        </w:rPr>
        <w:lastRenderedPageBreak/>
        <w:t>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vulnerar la vida, seguridad o salud de dichos elementos, incluso la de sus familias o</w:t>
      </w:r>
      <w:r w:rsidR="00733C88">
        <w:rPr>
          <w:rFonts w:ascii="Palatino Linotype" w:eastAsia="Palatino Linotype" w:hAnsi="Palatino Linotype" w:cs="Palatino Linotype"/>
        </w:rPr>
        <w:t xml:space="preserve"> </w:t>
      </w:r>
      <w:r w:rsidRPr="008F3200">
        <w:rPr>
          <w:rFonts w:ascii="Palatino Linotype" w:eastAsia="Palatino Linotype" w:hAnsi="Palatino Linotype" w:cs="Palatino Linotype"/>
        </w:rPr>
        <w:t>entorno social.</w:t>
      </w:r>
    </w:p>
    <w:p w14:paraId="124D132E" w14:textId="76FD71D1" w:rsidR="008F3200" w:rsidRPr="008F3200" w:rsidRDefault="008F3200" w:rsidP="008F3200">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 xml:space="preserve">Derivado de lo anterior, emitir un pronunciamiento afirmativo o negativo respecto a que si la persona señalada en la Solicitud de Información </w:t>
      </w:r>
      <w:r w:rsidR="00733C88">
        <w:rPr>
          <w:rFonts w:ascii="Palatino Linotype" w:eastAsia="Palatino Linotype" w:hAnsi="Palatino Linotype" w:cs="Palatino Linotype"/>
        </w:rPr>
        <w:t xml:space="preserve">cuenta con </w:t>
      </w:r>
      <w:r w:rsidR="00733C88">
        <w:rPr>
          <w:rFonts w:ascii="Palatino Linotype" w:eastAsia="Palatino Linotype" w:hAnsi="Palatino Linotype" w:cs="Palatino Linotype"/>
          <w:i/>
        </w:rPr>
        <w:t>un proceso administrativo de destitución</w:t>
      </w:r>
      <w:r w:rsidRPr="008F3200">
        <w:rPr>
          <w:rFonts w:ascii="Palatino Linotype" w:eastAsia="Palatino Linotype" w:hAnsi="Palatino Linotype" w:cs="Palatino Linotype"/>
        </w:rPr>
        <w:t xml:space="preserve">, da a conocer </w:t>
      </w:r>
      <w:r w:rsidR="00733C88">
        <w:rPr>
          <w:rFonts w:ascii="Palatino Linotype" w:eastAsia="Palatino Linotype" w:hAnsi="Palatino Linotype" w:cs="Palatino Linotype"/>
        </w:rPr>
        <w:t xml:space="preserve">que </w:t>
      </w:r>
      <w:r w:rsidRPr="008F3200">
        <w:rPr>
          <w:rFonts w:ascii="Palatino Linotype" w:eastAsia="Palatino Linotype" w:hAnsi="Palatino Linotype" w:cs="Palatino Linotype"/>
        </w:rPr>
        <w:t xml:space="preserve">se trata de un elemento operativo del Sujeto Obligado, lo cual, lo </w:t>
      </w:r>
      <w:r w:rsidR="00733C88">
        <w:rPr>
          <w:rFonts w:ascii="Palatino Linotype" w:eastAsia="Palatino Linotype" w:hAnsi="Palatino Linotype" w:cs="Palatino Linotype"/>
        </w:rPr>
        <w:t>hace</w:t>
      </w:r>
      <w:r w:rsidRPr="008F3200">
        <w:rPr>
          <w:rFonts w:ascii="Palatino Linotype" w:eastAsia="Palatino Linotype" w:hAnsi="Palatino Linotype" w:cs="Palatino Linotype"/>
        </w:rPr>
        <w:t xml:space="preserve"> en su c</w:t>
      </w:r>
      <w:r w:rsidR="00733C88">
        <w:rPr>
          <w:rFonts w:ascii="Palatino Linotype" w:eastAsia="Palatino Linotype" w:hAnsi="Palatino Linotype" w:cs="Palatino Linotype"/>
        </w:rPr>
        <w:t>aso, identificable y reconocible, por tanto da a</w:t>
      </w:r>
      <w:r w:rsidRPr="008F3200">
        <w:rPr>
          <w:rFonts w:ascii="Palatino Linotype" w:eastAsia="Palatino Linotype" w:hAnsi="Palatino Linotype" w:cs="Palatino Linotype"/>
        </w:rPr>
        <w:t xml:space="preserve"> conocer que es o fue trabajador encargado de mantener</w:t>
      </w:r>
      <w:r w:rsidR="00733C88">
        <w:rPr>
          <w:rFonts w:ascii="Palatino Linotype" w:eastAsia="Palatino Linotype" w:hAnsi="Palatino Linotype" w:cs="Palatino Linotype"/>
        </w:rPr>
        <w:t xml:space="preserve"> </w:t>
      </w:r>
      <w:r w:rsidRPr="008F3200">
        <w:rPr>
          <w:rFonts w:ascii="Palatino Linotype" w:eastAsia="Palatino Linotype" w:hAnsi="Palatino Linotype" w:cs="Palatino Linotype"/>
        </w:rPr>
        <w:t xml:space="preserve">paz y orden a nivel estatal, así como, prevenir la comisión de delitos, lo cual </w:t>
      </w:r>
      <w:r w:rsidR="00733C88" w:rsidRPr="008F3200">
        <w:rPr>
          <w:rFonts w:ascii="Palatino Linotype" w:eastAsia="Palatino Linotype" w:hAnsi="Palatino Linotype" w:cs="Palatino Linotype"/>
        </w:rPr>
        <w:t>podría</w:t>
      </w:r>
      <w:r w:rsidRPr="008F3200">
        <w:rPr>
          <w:rFonts w:ascii="Palatino Linotype" w:eastAsia="Palatino Linotype" w:hAnsi="Palatino Linotype" w:cs="Palatino Linotype"/>
        </w:rPr>
        <w:t xml:space="preserve"> ser utilizado para vulnerar su vida, seguridad o salud, incluso la de su familia o entorno social, al dar a conocer que, en su caso, es o fue elemento operativo.</w:t>
      </w:r>
    </w:p>
    <w:p w14:paraId="51A64366" w14:textId="77777777" w:rsidR="00080416" w:rsidRDefault="008F3200" w:rsidP="00080416">
      <w:pPr>
        <w:spacing w:line="360" w:lineRule="auto"/>
        <w:ind w:right="51"/>
        <w:jc w:val="both"/>
        <w:rPr>
          <w:rFonts w:ascii="Palatino Linotype" w:eastAsia="Palatino Linotype" w:hAnsi="Palatino Linotype" w:cs="Palatino Linotype"/>
        </w:rPr>
      </w:pPr>
      <w:r w:rsidRPr="008F3200">
        <w:rPr>
          <w:rFonts w:ascii="Palatino Linotype" w:eastAsia="Palatino Linotype" w:hAnsi="Palatino Linotype" w:cs="Palatino Linotype"/>
        </w:rPr>
        <w:t>Incluso, podría ocasionar que las organizaciones delictivas, quieran corromper a la persona referida en la solicitud de información, en el caso, que fuera elemento operativo, lo cual ocasionaría que lo quisieran persuadir con diversas cantidades o montos de dinero, menoscabando las actividades de seguridad pública del Estado, entre ellas operativos o investigaciones.</w:t>
      </w:r>
      <w:r w:rsidR="00080416">
        <w:rPr>
          <w:rFonts w:ascii="Palatino Linotype" w:eastAsia="Palatino Linotype" w:hAnsi="Palatino Linotype" w:cs="Palatino Linotype"/>
        </w:rPr>
        <w:t xml:space="preserve"> </w:t>
      </w:r>
    </w:p>
    <w:p w14:paraId="773331EE" w14:textId="2EB08B88" w:rsidR="00080416" w:rsidRDefault="008F3200" w:rsidP="00080416">
      <w:pPr>
        <w:spacing w:line="360" w:lineRule="auto"/>
        <w:ind w:right="51"/>
        <w:jc w:val="both"/>
        <w:rPr>
          <w:rFonts w:ascii="Palatino Linotype" w:hAnsi="Palatino Linotype" w:cs="Arial"/>
        </w:rPr>
      </w:pPr>
      <w:r w:rsidRPr="008F3200">
        <w:rPr>
          <w:rFonts w:ascii="Palatino Linotype" w:eastAsia="Palatino Linotype" w:hAnsi="Palatino Linotype" w:cs="Palatino Linotype"/>
        </w:rPr>
        <w:t xml:space="preserve">En esa tesitura, se considera </w:t>
      </w:r>
      <w:r w:rsidR="00733C88">
        <w:rPr>
          <w:rFonts w:ascii="Palatino Linotype" w:eastAsia="Palatino Linotype" w:hAnsi="Palatino Linotype" w:cs="Palatino Linotype"/>
        </w:rPr>
        <w:t xml:space="preserve">que resultaba </w:t>
      </w:r>
      <w:r w:rsidRPr="008F3200">
        <w:rPr>
          <w:rFonts w:ascii="Palatino Linotype" w:eastAsia="Palatino Linotype" w:hAnsi="Palatino Linotype" w:cs="Palatino Linotype"/>
        </w:rPr>
        <w:t xml:space="preserve">necesario clasificar como información reservada el pronunciamiento afirmativo o negativo respecto a que si la persona señalada en la solicitud de información </w:t>
      </w:r>
      <w:r w:rsidR="00733C88">
        <w:rPr>
          <w:rFonts w:ascii="Palatino Linotype" w:eastAsia="Palatino Linotype" w:hAnsi="Palatino Linotype" w:cs="Palatino Linotype"/>
        </w:rPr>
        <w:t xml:space="preserve">contaba con </w:t>
      </w:r>
      <w:r w:rsidR="00733C88">
        <w:rPr>
          <w:rFonts w:ascii="Palatino Linotype" w:eastAsia="Palatino Linotype" w:hAnsi="Palatino Linotype" w:cs="Palatino Linotype"/>
          <w:i/>
        </w:rPr>
        <w:t>un proceso administrativo de destitución de un elemento de la policía</w:t>
      </w:r>
      <w:r w:rsidRPr="008F3200">
        <w:rPr>
          <w:rFonts w:ascii="Palatino Linotype" w:eastAsia="Palatino Linotype" w:hAnsi="Palatino Linotype" w:cs="Palatino Linotype"/>
        </w:rPr>
        <w:t xml:space="preserve">, </w:t>
      </w:r>
      <w:r w:rsidR="00733C88">
        <w:rPr>
          <w:rFonts w:ascii="Palatino Linotype" w:eastAsia="Palatino Linotype" w:hAnsi="Palatino Linotype" w:cs="Palatino Linotype"/>
        </w:rPr>
        <w:t xml:space="preserve">lo hace identificable  y reconocible, y por ende vulnera su vida, seguridad o salud, incluso la de su familia o entorno social, asimismo; </w:t>
      </w:r>
      <w:r w:rsidR="00733C88">
        <w:rPr>
          <w:rFonts w:ascii="Palatino Linotype" w:hAnsi="Palatino Linotype" w:cs="Arial"/>
        </w:rPr>
        <w:t xml:space="preserve">afecta su esfera privada, puesto que podría generar una percepción negativa de éste, ocasionando un perjuicio en su honor, </w:t>
      </w:r>
      <w:r w:rsidR="00733C88">
        <w:rPr>
          <w:rFonts w:ascii="Palatino Linotype" w:hAnsi="Palatino Linotype" w:cs="Arial"/>
        </w:rPr>
        <w:lastRenderedPageBreak/>
        <w:t xml:space="preserve">intimidad y buena imagen, pues  podría generar un juicio </w:t>
      </w:r>
      <w:r w:rsidR="00733C88">
        <w:rPr>
          <w:rFonts w:ascii="Palatino Linotype" w:hAnsi="Palatino Linotype" w:cs="Arial"/>
          <w:i/>
        </w:rPr>
        <w:t>a priori</w:t>
      </w:r>
      <w:r w:rsidR="00733C88">
        <w:rPr>
          <w:rFonts w:ascii="Palatino Linotype" w:hAnsi="Palatino Linotype" w:cs="Arial"/>
        </w:rPr>
        <w:t xml:space="preserve"> por parte de la sociedad, afectando</w:t>
      </w:r>
      <w:r w:rsidR="00080416">
        <w:rPr>
          <w:rFonts w:ascii="Palatino Linotype" w:hAnsi="Palatino Linotype" w:cs="Arial"/>
        </w:rPr>
        <w:t xml:space="preserve"> su prestigio y su buen nombre.</w:t>
      </w:r>
    </w:p>
    <w:sectPr w:rsidR="00080416" w:rsidSect="002A43BC">
      <w:headerReference w:type="even" r:id="rId13"/>
      <w:headerReference w:type="default" r:id="rId14"/>
      <w:footerReference w:type="default" r:id="rId15"/>
      <w:headerReference w:type="first" r:id="rId16"/>
      <w:pgSz w:w="12240" w:h="15840" w:code="1"/>
      <w:pgMar w:top="2268" w:right="1701" w:bottom="226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CE5B1" w14:textId="77777777" w:rsidR="00C57A53" w:rsidRDefault="00C57A53" w:rsidP="002C0425">
      <w:pPr>
        <w:spacing w:after="0" w:line="240" w:lineRule="auto"/>
      </w:pPr>
      <w:r>
        <w:separator/>
      </w:r>
    </w:p>
  </w:endnote>
  <w:endnote w:type="continuationSeparator" w:id="0">
    <w:p w14:paraId="2C878BB2" w14:textId="77777777" w:rsidR="00C57A53" w:rsidRDefault="00C57A53" w:rsidP="002C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585527"/>
      <w:docPartObj>
        <w:docPartGallery w:val="Page Numbers (Bottom of Page)"/>
        <w:docPartUnique/>
      </w:docPartObj>
    </w:sdtPr>
    <w:sdtContent>
      <w:sdt>
        <w:sdtPr>
          <w:id w:val="-1769616900"/>
          <w:docPartObj>
            <w:docPartGallery w:val="Page Numbers (Top of Page)"/>
            <w:docPartUnique/>
          </w:docPartObj>
        </w:sdtPr>
        <w:sdtContent>
          <w:p w14:paraId="545B0F92" w14:textId="77777777" w:rsidR="00B84CE3" w:rsidRDefault="00B84CE3">
            <w:pPr>
              <w:pStyle w:val="Piedepgina"/>
              <w:jc w:val="right"/>
            </w:pPr>
            <w:r w:rsidRPr="0052203D">
              <w:rPr>
                <w:rFonts w:ascii="Palatino Linotype" w:hAnsi="Palatino Linotype"/>
                <w:sz w:val="20"/>
                <w:szCs w:val="20"/>
                <w:lang w:val="es-ES"/>
              </w:rPr>
              <w:t xml:space="preserve">Página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PAGE</w:instrText>
            </w:r>
            <w:r w:rsidRPr="0052203D">
              <w:rPr>
                <w:rFonts w:ascii="Palatino Linotype" w:hAnsi="Palatino Linotype"/>
                <w:b/>
                <w:bCs/>
                <w:sz w:val="20"/>
                <w:szCs w:val="20"/>
              </w:rPr>
              <w:fldChar w:fldCharType="separate"/>
            </w:r>
            <w:r w:rsidR="00080416">
              <w:rPr>
                <w:rFonts w:ascii="Palatino Linotype" w:hAnsi="Palatino Linotype"/>
                <w:b/>
                <w:bCs/>
                <w:noProof/>
                <w:sz w:val="20"/>
                <w:szCs w:val="20"/>
              </w:rPr>
              <w:t>21</w:t>
            </w:r>
            <w:r w:rsidRPr="0052203D">
              <w:rPr>
                <w:rFonts w:ascii="Palatino Linotype" w:hAnsi="Palatino Linotype"/>
                <w:b/>
                <w:bCs/>
                <w:sz w:val="20"/>
                <w:szCs w:val="20"/>
              </w:rPr>
              <w:fldChar w:fldCharType="end"/>
            </w:r>
            <w:r w:rsidRPr="0052203D">
              <w:rPr>
                <w:rFonts w:ascii="Palatino Linotype" w:hAnsi="Palatino Linotype"/>
                <w:sz w:val="20"/>
                <w:szCs w:val="20"/>
                <w:lang w:val="es-ES"/>
              </w:rPr>
              <w:t xml:space="preserve"> de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NUMPAGES</w:instrText>
            </w:r>
            <w:r w:rsidRPr="0052203D">
              <w:rPr>
                <w:rFonts w:ascii="Palatino Linotype" w:hAnsi="Palatino Linotype"/>
                <w:b/>
                <w:bCs/>
                <w:sz w:val="20"/>
                <w:szCs w:val="20"/>
              </w:rPr>
              <w:fldChar w:fldCharType="separate"/>
            </w:r>
            <w:r w:rsidR="00080416">
              <w:rPr>
                <w:rFonts w:ascii="Palatino Linotype" w:hAnsi="Palatino Linotype"/>
                <w:b/>
                <w:bCs/>
                <w:noProof/>
                <w:sz w:val="20"/>
                <w:szCs w:val="20"/>
              </w:rPr>
              <w:t>39</w:t>
            </w:r>
            <w:r w:rsidRPr="0052203D">
              <w:rPr>
                <w:rFonts w:ascii="Palatino Linotype" w:hAnsi="Palatino Linotype"/>
                <w:b/>
                <w:bCs/>
                <w:sz w:val="20"/>
                <w:szCs w:val="20"/>
              </w:rPr>
              <w:fldChar w:fldCharType="end"/>
            </w:r>
          </w:p>
        </w:sdtContent>
      </w:sdt>
    </w:sdtContent>
  </w:sdt>
  <w:p w14:paraId="447141E2" w14:textId="77777777" w:rsidR="00B84CE3" w:rsidRDefault="00B84C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12BF3" w14:textId="77777777" w:rsidR="00C57A53" w:rsidRDefault="00C57A53" w:rsidP="002C0425">
      <w:pPr>
        <w:spacing w:after="0" w:line="240" w:lineRule="auto"/>
      </w:pPr>
      <w:r>
        <w:separator/>
      </w:r>
    </w:p>
  </w:footnote>
  <w:footnote w:type="continuationSeparator" w:id="0">
    <w:p w14:paraId="5CF81547" w14:textId="77777777" w:rsidR="00C57A53" w:rsidRDefault="00C57A53" w:rsidP="002C0425">
      <w:pPr>
        <w:spacing w:after="0" w:line="240" w:lineRule="auto"/>
      </w:pPr>
      <w:r>
        <w:continuationSeparator/>
      </w:r>
    </w:p>
  </w:footnote>
  <w:footnote w:id="1">
    <w:p w14:paraId="2BE348D0" w14:textId="77777777" w:rsidR="00B84CE3" w:rsidRDefault="00B84CE3" w:rsidP="008850F3">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2">
    <w:p w14:paraId="496D1EA4" w14:textId="77777777" w:rsidR="00B84CE3" w:rsidRDefault="00B84CE3" w:rsidP="008850F3">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 w:id="3">
    <w:p w14:paraId="4804E84D" w14:textId="77777777" w:rsidR="002F7CB9" w:rsidRDefault="002F7CB9" w:rsidP="002F7CB9">
      <w:pPr>
        <w:pStyle w:val="Textonotapie"/>
      </w:pPr>
      <w:r>
        <w:rPr>
          <w:rStyle w:val="Refdenotaalpie"/>
        </w:rPr>
        <w:footnoteRef/>
      </w:r>
      <w:r>
        <w:t xml:space="preserve"> Consultable en </w:t>
      </w:r>
      <w:r w:rsidRPr="00F6300E">
        <w:t>http://secretariadoejecutivo.gob.mx/work/models/SecretariadoEjecutivo/Resource/328/1/images/instructivo_final_edo_fuerza(1).pdf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ACF4" w14:textId="77777777" w:rsidR="00B84CE3" w:rsidRDefault="00000000">
    <w:pPr>
      <w:pStyle w:val="Encabezado"/>
    </w:pPr>
    <w:r>
      <w:rPr>
        <w:noProof/>
        <w:lang w:val="en-US"/>
      </w:rPr>
      <w:pict w14:anchorId="273AB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4" o:spid="_x0000_s1026" type="#_x0000_t136" style="position:absolute;margin-left:0;margin-top:0;width:538.05pt;height:84.95pt;rotation:315;z-index:-251656192;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54C2" w14:textId="727ED9DC" w:rsidR="00B84CE3" w:rsidRPr="00E00B04" w:rsidRDefault="00B84CE3" w:rsidP="00A17BB0">
    <w:pPr>
      <w:pStyle w:val="Encabezado"/>
      <w:jc w:val="center"/>
      <w:rPr>
        <w:rFonts w:ascii="Palatino Linotype" w:hAnsi="Palatino Linotype" w:cs="Arial"/>
        <w:b/>
      </w:rPr>
    </w:pPr>
    <w:r>
      <w:rPr>
        <w:noProof/>
        <w:lang w:eastAsia="es-MX"/>
      </w:rPr>
      <w:drawing>
        <wp:anchor distT="0" distB="0" distL="114300" distR="114300" simplePos="0" relativeHeight="251662336" behindDoc="1" locked="0" layoutInCell="1" allowOverlap="1" wp14:anchorId="1FE8B2BA" wp14:editId="54BD053D">
          <wp:simplePos x="0" y="0"/>
          <wp:positionH relativeFrom="column">
            <wp:posOffset>-766445</wp:posOffset>
          </wp:positionH>
          <wp:positionV relativeFrom="paragraph">
            <wp:posOffset>-251460</wp:posOffset>
          </wp:positionV>
          <wp:extent cx="1591293" cy="935647"/>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970" t="33724" r="60240" b="53952"/>
                  <a:stretch/>
                </pic:blipFill>
                <pic:spPr bwMode="auto">
                  <a:xfrm>
                    <a:off x="0" y="0"/>
                    <a:ext cx="1591293" cy="935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Arial"/>
        <w:b/>
      </w:rPr>
      <w:t xml:space="preserve">        </w:t>
    </w:r>
    <w:r w:rsidRPr="00E00B04">
      <w:rPr>
        <w:rFonts w:ascii="Palatino Linotype" w:hAnsi="Palatino Linotype" w:cs="Arial"/>
        <w:b/>
      </w:rPr>
      <w:t xml:space="preserve">VOTO </w:t>
    </w:r>
    <w:r>
      <w:rPr>
        <w:rFonts w:ascii="Palatino Linotype" w:hAnsi="Palatino Linotype" w:cs="Arial"/>
        <w:b/>
      </w:rPr>
      <w:t>DISIDENTE</w:t>
    </w:r>
  </w:p>
  <w:p w14:paraId="3B3085BF" w14:textId="3E2A11F6" w:rsidR="00B84CE3" w:rsidRPr="00E00B04" w:rsidRDefault="00B84CE3" w:rsidP="00A17BB0">
    <w:pPr>
      <w:pStyle w:val="Encabezado"/>
      <w:jc w:val="right"/>
      <w:rPr>
        <w:rFonts w:ascii="Palatino Linotype" w:hAnsi="Palatino Linotype" w:cs="Arial"/>
        <w:b/>
        <w:bCs/>
        <w:lang w:eastAsia="es-MX"/>
      </w:rPr>
    </w:pPr>
    <w:r>
      <w:rPr>
        <w:rFonts w:ascii="Palatino Linotype" w:hAnsi="Palatino Linotype" w:cs="Arial"/>
        <w:b/>
      </w:rPr>
      <w:t>Recurso de R</w:t>
    </w:r>
    <w:r w:rsidRPr="00E00B04">
      <w:rPr>
        <w:rFonts w:ascii="Palatino Linotype" w:hAnsi="Palatino Linotype" w:cs="Arial"/>
        <w:b/>
      </w:rPr>
      <w:t>evisión</w:t>
    </w:r>
    <w:r>
      <w:rPr>
        <w:rFonts w:ascii="Palatino Linotype" w:hAnsi="Palatino Linotype" w:cs="Arial"/>
        <w:b/>
      </w:rPr>
      <w:t xml:space="preserve"> </w:t>
    </w:r>
    <w:r>
      <w:rPr>
        <w:rFonts w:ascii="Palatino Linotype" w:eastAsia="Palatino Linotype" w:hAnsi="Palatino Linotype" w:cs="Palatino Linotype"/>
        <w:b/>
      </w:rPr>
      <w:t>00824/INFOEM/IP/RR/2023</w:t>
    </w:r>
  </w:p>
  <w:p w14:paraId="2DB67C83" w14:textId="05BACC78" w:rsidR="00B84CE3" w:rsidRDefault="00000000">
    <w:pPr>
      <w:pStyle w:val="Encabezado"/>
    </w:pPr>
    <w:r>
      <w:rPr>
        <w:noProof/>
        <w:lang w:val="en-US"/>
      </w:rPr>
      <w:pict w14:anchorId="130B2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5" o:spid="_x0000_s1027" type="#_x0000_t136" style="position:absolute;margin-left:0;margin-top:0;width:538.05pt;height:84.95pt;rotation:315;z-index:-251655168;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p w14:paraId="4CD3675C" w14:textId="77777777" w:rsidR="00B84CE3" w:rsidRDefault="00B84C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2057" w14:textId="77777777" w:rsidR="00B84CE3" w:rsidRDefault="00000000">
    <w:pPr>
      <w:pStyle w:val="Encabezado"/>
    </w:pPr>
    <w:r>
      <w:rPr>
        <w:noProof/>
        <w:lang w:val="en-US"/>
      </w:rPr>
      <w:pict w14:anchorId="2D489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3" o:spid="_x0000_s1025" type="#_x0000_t136" style="position:absolute;margin-left:0;margin-top:0;width:538.05pt;height:84.95pt;rotation:315;z-index:-251657216;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DFB"/>
    <w:multiLevelType w:val="hybridMultilevel"/>
    <w:tmpl w:val="5C2EE6B6"/>
    <w:lvl w:ilvl="0" w:tplc="679EA47A">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1956DB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B1A73"/>
    <w:multiLevelType w:val="hybridMultilevel"/>
    <w:tmpl w:val="6E8084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85D08D2"/>
    <w:multiLevelType w:val="hybridMultilevel"/>
    <w:tmpl w:val="6EF2AE00"/>
    <w:lvl w:ilvl="0" w:tplc="6616D4C6">
      <w:start w:val="1"/>
      <w:numFmt w:val="lowerLetter"/>
      <w:lvlText w:val="%1)"/>
      <w:lvlJc w:val="left"/>
      <w:pPr>
        <w:ind w:left="720" w:hanging="360"/>
      </w:pPr>
      <w:rPr>
        <w:rFonts w:eastAsia="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C81620"/>
    <w:multiLevelType w:val="hybridMultilevel"/>
    <w:tmpl w:val="62F6F100"/>
    <w:lvl w:ilvl="0" w:tplc="257C80E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C722D3"/>
    <w:multiLevelType w:val="hybridMultilevel"/>
    <w:tmpl w:val="785A8D0E"/>
    <w:lvl w:ilvl="0" w:tplc="F8E4E530">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084F3C"/>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7D0697"/>
    <w:multiLevelType w:val="hybridMultilevel"/>
    <w:tmpl w:val="ABB48A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5E2F0D"/>
    <w:multiLevelType w:val="hybridMultilevel"/>
    <w:tmpl w:val="F214B2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C640A2"/>
    <w:multiLevelType w:val="hybridMultilevel"/>
    <w:tmpl w:val="A4200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27D1D"/>
    <w:multiLevelType w:val="hybridMultilevel"/>
    <w:tmpl w:val="1624CFD4"/>
    <w:lvl w:ilvl="0" w:tplc="7C0A19C8">
      <w:start w:val="10"/>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345634BA"/>
    <w:lvl w:ilvl="0" w:tplc="50A2BCFA">
      <w:start w:val="1"/>
      <w:numFmt w:val="decimal"/>
      <w:lvlText w:val="%1."/>
      <w:lvlJc w:val="left"/>
      <w:pPr>
        <w:ind w:left="5039"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3DC64492">
      <w:start w:val="5"/>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6866BDB"/>
    <w:multiLevelType w:val="hybridMultilevel"/>
    <w:tmpl w:val="EE84DF4E"/>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7" w15:restartNumberingAfterBreak="0">
    <w:nsid w:val="382533DB"/>
    <w:multiLevelType w:val="hybridMultilevel"/>
    <w:tmpl w:val="345648DA"/>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1066BC"/>
    <w:multiLevelType w:val="hybridMultilevel"/>
    <w:tmpl w:val="0B288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04D01F0"/>
    <w:multiLevelType w:val="hybridMultilevel"/>
    <w:tmpl w:val="20A010AE"/>
    <w:lvl w:ilvl="0" w:tplc="47F8579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48C61492"/>
    <w:multiLevelType w:val="hybridMultilevel"/>
    <w:tmpl w:val="CAD01DB2"/>
    <w:lvl w:ilvl="0" w:tplc="B726CFF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A85231C"/>
    <w:multiLevelType w:val="hybridMultilevel"/>
    <w:tmpl w:val="2AA8E96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4BCC06D5"/>
    <w:multiLevelType w:val="hybridMultilevel"/>
    <w:tmpl w:val="908CB0D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D35B30"/>
    <w:multiLevelType w:val="hybridMultilevel"/>
    <w:tmpl w:val="7646CFA6"/>
    <w:lvl w:ilvl="0" w:tplc="8DDCC7AA">
      <w:start w:val="4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4432D"/>
    <w:multiLevelType w:val="hybridMultilevel"/>
    <w:tmpl w:val="8EC6E7A6"/>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7202FA"/>
    <w:multiLevelType w:val="hybridMultilevel"/>
    <w:tmpl w:val="5DF84F14"/>
    <w:lvl w:ilvl="0" w:tplc="314C95F2">
      <w:start w:val="1"/>
      <w:numFmt w:val="decimal"/>
      <w:lvlText w:val="%1."/>
      <w:lvlJc w:val="left"/>
      <w:pPr>
        <w:ind w:left="36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CF6A33"/>
    <w:multiLevelType w:val="multilevel"/>
    <w:tmpl w:val="EAA44480"/>
    <w:lvl w:ilvl="0">
      <w:start w:val="5"/>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5F4779B8"/>
    <w:multiLevelType w:val="hybridMultilevel"/>
    <w:tmpl w:val="D3CE1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3102028"/>
    <w:multiLevelType w:val="hybridMultilevel"/>
    <w:tmpl w:val="F41680FE"/>
    <w:lvl w:ilvl="0" w:tplc="25CEB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0A1793"/>
    <w:multiLevelType w:val="hybridMultilevel"/>
    <w:tmpl w:val="9920C8D2"/>
    <w:lvl w:ilvl="0" w:tplc="C666EAAC">
      <w:start w:val="4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8CA"/>
    <w:multiLevelType w:val="hybridMultilevel"/>
    <w:tmpl w:val="D788F3A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5" w15:restartNumberingAfterBreak="0">
    <w:nsid w:val="678D4FB1"/>
    <w:multiLevelType w:val="hybridMultilevel"/>
    <w:tmpl w:val="0A0CCE9C"/>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B25E4A"/>
    <w:multiLevelType w:val="hybridMultilevel"/>
    <w:tmpl w:val="AC220B64"/>
    <w:lvl w:ilvl="0" w:tplc="6256DB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2E249B"/>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E82A9B"/>
    <w:multiLevelType w:val="hybridMultilevel"/>
    <w:tmpl w:val="D5363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12696129">
    <w:abstractNumId w:val="28"/>
  </w:num>
  <w:num w:numId="2" w16cid:durableId="207182319">
    <w:abstractNumId w:val="38"/>
  </w:num>
  <w:num w:numId="3" w16cid:durableId="1196116760">
    <w:abstractNumId w:val="0"/>
  </w:num>
  <w:num w:numId="4" w16cid:durableId="1868253315">
    <w:abstractNumId w:val="11"/>
  </w:num>
  <w:num w:numId="5" w16cid:durableId="1074550011">
    <w:abstractNumId w:val="29"/>
  </w:num>
  <w:num w:numId="6" w16cid:durableId="1296643211">
    <w:abstractNumId w:val="24"/>
  </w:num>
  <w:num w:numId="7" w16cid:durableId="1408305383">
    <w:abstractNumId w:val="20"/>
  </w:num>
  <w:num w:numId="8" w16cid:durableId="1560088024">
    <w:abstractNumId w:val="1"/>
  </w:num>
  <w:num w:numId="9" w16cid:durableId="934482594">
    <w:abstractNumId w:val="14"/>
  </w:num>
  <w:num w:numId="10" w16cid:durableId="18628807">
    <w:abstractNumId w:val="9"/>
  </w:num>
  <w:num w:numId="11" w16cid:durableId="514199543">
    <w:abstractNumId w:val="31"/>
  </w:num>
  <w:num w:numId="12" w16cid:durableId="424689987">
    <w:abstractNumId w:val="5"/>
  </w:num>
  <w:num w:numId="13" w16cid:durableId="1262035047">
    <w:abstractNumId w:val="21"/>
  </w:num>
  <w:num w:numId="14" w16cid:durableId="170072995">
    <w:abstractNumId w:val="16"/>
  </w:num>
  <w:num w:numId="15" w16cid:durableId="1316109833">
    <w:abstractNumId w:val="39"/>
  </w:num>
  <w:num w:numId="16" w16cid:durableId="1100219612">
    <w:abstractNumId w:val="8"/>
  </w:num>
  <w:num w:numId="17" w16cid:durableId="1665937705">
    <w:abstractNumId w:val="10"/>
  </w:num>
  <w:num w:numId="18" w16cid:durableId="1884520221">
    <w:abstractNumId w:val="40"/>
  </w:num>
  <w:num w:numId="19" w16cid:durableId="1541438661">
    <w:abstractNumId w:val="36"/>
  </w:num>
  <w:num w:numId="20" w16cid:durableId="602153359">
    <w:abstractNumId w:val="32"/>
  </w:num>
  <w:num w:numId="21" w16cid:durableId="866219166">
    <w:abstractNumId w:val="12"/>
  </w:num>
  <w:num w:numId="22" w16cid:durableId="572661889">
    <w:abstractNumId w:val="17"/>
  </w:num>
  <w:num w:numId="23" w16cid:durableId="1850244360">
    <w:abstractNumId w:val="30"/>
  </w:num>
  <w:num w:numId="24" w16cid:durableId="2001344376">
    <w:abstractNumId w:val="23"/>
  </w:num>
  <w:num w:numId="25" w16cid:durableId="275796974">
    <w:abstractNumId w:val="35"/>
  </w:num>
  <w:num w:numId="26" w16cid:durableId="1170486050">
    <w:abstractNumId w:val="27"/>
  </w:num>
  <w:num w:numId="27" w16cid:durableId="345903936">
    <w:abstractNumId w:val="3"/>
  </w:num>
  <w:num w:numId="28" w16cid:durableId="144931813">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9595381">
    <w:abstractNumId w:val="13"/>
  </w:num>
  <w:num w:numId="30" w16cid:durableId="168984498">
    <w:abstractNumId w:val="6"/>
  </w:num>
  <w:num w:numId="31" w16cid:durableId="1822236653">
    <w:abstractNumId w:val="2"/>
  </w:num>
  <w:num w:numId="32" w16cid:durableId="1863981250">
    <w:abstractNumId w:val="37"/>
  </w:num>
  <w:num w:numId="33" w16cid:durableId="360664910">
    <w:abstractNumId w:val="33"/>
  </w:num>
  <w:num w:numId="34" w16cid:durableId="173738355">
    <w:abstractNumId w:val="26"/>
  </w:num>
  <w:num w:numId="35" w16cid:durableId="1479304365">
    <w:abstractNumId w:val="18"/>
  </w:num>
  <w:num w:numId="36" w16cid:durableId="1457675459">
    <w:abstractNumId w:val="25"/>
  </w:num>
  <w:num w:numId="37" w16cid:durableId="67651612">
    <w:abstractNumId w:val="19"/>
    <w:lvlOverride w:ilvl="0">
      <w:startOverride w:val="1"/>
    </w:lvlOverride>
    <w:lvlOverride w:ilvl="1"/>
    <w:lvlOverride w:ilvl="2"/>
    <w:lvlOverride w:ilvl="3"/>
    <w:lvlOverride w:ilvl="4"/>
    <w:lvlOverride w:ilvl="5"/>
    <w:lvlOverride w:ilvl="6"/>
    <w:lvlOverride w:ilvl="7"/>
    <w:lvlOverride w:ilvl="8"/>
  </w:num>
  <w:num w:numId="38" w16cid:durableId="1509297045">
    <w:abstractNumId w:val="22"/>
  </w:num>
  <w:num w:numId="39" w16cid:durableId="399987857">
    <w:abstractNumId w:val="34"/>
  </w:num>
  <w:num w:numId="40" w16cid:durableId="655182613">
    <w:abstractNumId w:val="7"/>
  </w:num>
  <w:num w:numId="41" w16cid:durableId="17510703">
    <w:abstractNumId w:val="15"/>
  </w:num>
  <w:num w:numId="42" w16cid:durableId="852066171">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25"/>
    <w:rsid w:val="000150BA"/>
    <w:rsid w:val="00032496"/>
    <w:rsid w:val="00036132"/>
    <w:rsid w:val="0007183B"/>
    <w:rsid w:val="00080416"/>
    <w:rsid w:val="00091FA7"/>
    <w:rsid w:val="000A29FD"/>
    <w:rsid w:val="000B2316"/>
    <w:rsid w:val="000C3F66"/>
    <w:rsid w:val="000D2CB7"/>
    <w:rsid w:val="000D3249"/>
    <w:rsid w:val="000F1716"/>
    <w:rsid w:val="00100221"/>
    <w:rsid w:val="001132CB"/>
    <w:rsid w:val="00117A12"/>
    <w:rsid w:val="00122EB1"/>
    <w:rsid w:val="00141B6E"/>
    <w:rsid w:val="00147149"/>
    <w:rsid w:val="00152DB2"/>
    <w:rsid w:val="001701E1"/>
    <w:rsid w:val="00180BFE"/>
    <w:rsid w:val="00196054"/>
    <w:rsid w:val="001A1ECB"/>
    <w:rsid w:val="001B2FE3"/>
    <w:rsid w:val="001C4337"/>
    <w:rsid w:val="001E1ABF"/>
    <w:rsid w:val="00201359"/>
    <w:rsid w:val="00207CD1"/>
    <w:rsid w:val="00213603"/>
    <w:rsid w:val="00215DCF"/>
    <w:rsid w:val="00230453"/>
    <w:rsid w:val="002307C0"/>
    <w:rsid w:val="0023130B"/>
    <w:rsid w:val="0023170E"/>
    <w:rsid w:val="00250780"/>
    <w:rsid w:val="00253D8C"/>
    <w:rsid w:val="00262FC1"/>
    <w:rsid w:val="0026420F"/>
    <w:rsid w:val="00265603"/>
    <w:rsid w:val="00265760"/>
    <w:rsid w:val="0027224D"/>
    <w:rsid w:val="0027773D"/>
    <w:rsid w:val="00277FA3"/>
    <w:rsid w:val="0029152A"/>
    <w:rsid w:val="00295C51"/>
    <w:rsid w:val="002A30A3"/>
    <w:rsid w:val="002A43BC"/>
    <w:rsid w:val="002B000F"/>
    <w:rsid w:val="002B2DB8"/>
    <w:rsid w:val="002C0425"/>
    <w:rsid w:val="002E2EBD"/>
    <w:rsid w:val="002F7CB9"/>
    <w:rsid w:val="00311B32"/>
    <w:rsid w:val="0032435A"/>
    <w:rsid w:val="00325F46"/>
    <w:rsid w:val="00337AD2"/>
    <w:rsid w:val="003442F0"/>
    <w:rsid w:val="0034598D"/>
    <w:rsid w:val="003603BF"/>
    <w:rsid w:val="0039183C"/>
    <w:rsid w:val="00392B10"/>
    <w:rsid w:val="0039495E"/>
    <w:rsid w:val="003B34A8"/>
    <w:rsid w:val="003C6C75"/>
    <w:rsid w:val="003F100C"/>
    <w:rsid w:val="003F5F80"/>
    <w:rsid w:val="00401D61"/>
    <w:rsid w:val="00406B19"/>
    <w:rsid w:val="004240AA"/>
    <w:rsid w:val="0042787B"/>
    <w:rsid w:val="0043259F"/>
    <w:rsid w:val="0044193D"/>
    <w:rsid w:val="00465268"/>
    <w:rsid w:val="00466E0E"/>
    <w:rsid w:val="00490E5C"/>
    <w:rsid w:val="00494A1F"/>
    <w:rsid w:val="004971E6"/>
    <w:rsid w:val="004B4437"/>
    <w:rsid w:val="004B46C5"/>
    <w:rsid w:val="004E6086"/>
    <w:rsid w:val="004E63BF"/>
    <w:rsid w:val="004F39B9"/>
    <w:rsid w:val="004F7A40"/>
    <w:rsid w:val="005001CF"/>
    <w:rsid w:val="005002AA"/>
    <w:rsid w:val="00502CAF"/>
    <w:rsid w:val="00512D09"/>
    <w:rsid w:val="005224AF"/>
    <w:rsid w:val="00551216"/>
    <w:rsid w:val="005644FF"/>
    <w:rsid w:val="00587D1C"/>
    <w:rsid w:val="00593CC1"/>
    <w:rsid w:val="005B0502"/>
    <w:rsid w:val="005C6624"/>
    <w:rsid w:val="005C7AE6"/>
    <w:rsid w:val="005F796F"/>
    <w:rsid w:val="0060449E"/>
    <w:rsid w:val="0061369A"/>
    <w:rsid w:val="00621A70"/>
    <w:rsid w:val="00623067"/>
    <w:rsid w:val="00623C8D"/>
    <w:rsid w:val="00624117"/>
    <w:rsid w:val="006A4123"/>
    <w:rsid w:val="006A5D29"/>
    <w:rsid w:val="006B4F3E"/>
    <w:rsid w:val="006E10FC"/>
    <w:rsid w:val="006E6998"/>
    <w:rsid w:val="006F47DC"/>
    <w:rsid w:val="00703237"/>
    <w:rsid w:val="00731C1B"/>
    <w:rsid w:val="00733C88"/>
    <w:rsid w:val="0074075A"/>
    <w:rsid w:val="00742484"/>
    <w:rsid w:val="00760EFD"/>
    <w:rsid w:val="00773410"/>
    <w:rsid w:val="007813AE"/>
    <w:rsid w:val="00781609"/>
    <w:rsid w:val="0078362A"/>
    <w:rsid w:val="007846D2"/>
    <w:rsid w:val="00792890"/>
    <w:rsid w:val="007B5DDB"/>
    <w:rsid w:val="007B7418"/>
    <w:rsid w:val="007F2468"/>
    <w:rsid w:val="007F4F75"/>
    <w:rsid w:val="007F7136"/>
    <w:rsid w:val="00802AAE"/>
    <w:rsid w:val="0082021B"/>
    <w:rsid w:val="008317DA"/>
    <w:rsid w:val="0083752B"/>
    <w:rsid w:val="008421EE"/>
    <w:rsid w:val="00860F51"/>
    <w:rsid w:val="00867791"/>
    <w:rsid w:val="0087228E"/>
    <w:rsid w:val="0088136D"/>
    <w:rsid w:val="00881525"/>
    <w:rsid w:val="00883783"/>
    <w:rsid w:val="008850F3"/>
    <w:rsid w:val="008855B5"/>
    <w:rsid w:val="008957BF"/>
    <w:rsid w:val="00895986"/>
    <w:rsid w:val="008A4B0D"/>
    <w:rsid w:val="008C5C3F"/>
    <w:rsid w:val="008D0A77"/>
    <w:rsid w:val="008D7542"/>
    <w:rsid w:val="008F3200"/>
    <w:rsid w:val="0090113F"/>
    <w:rsid w:val="0090379C"/>
    <w:rsid w:val="00910ECF"/>
    <w:rsid w:val="0091171B"/>
    <w:rsid w:val="0091259D"/>
    <w:rsid w:val="00930D24"/>
    <w:rsid w:val="00935E48"/>
    <w:rsid w:val="00941C31"/>
    <w:rsid w:val="00942EE7"/>
    <w:rsid w:val="00956804"/>
    <w:rsid w:val="00956E2E"/>
    <w:rsid w:val="00957415"/>
    <w:rsid w:val="00964C1E"/>
    <w:rsid w:val="009655F8"/>
    <w:rsid w:val="00971074"/>
    <w:rsid w:val="009773F9"/>
    <w:rsid w:val="00986004"/>
    <w:rsid w:val="009956CF"/>
    <w:rsid w:val="0099743B"/>
    <w:rsid w:val="009B57E6"/>
    <w:rsid w:val="009C3593"/>
    <w:rsid w:val="009F0A19"/>
    <w:rsid w:val="009F0BC5"/>
    <w:rsid w:val="00A00825"/>
    <w:rsid w:val="00A045DD"/>
    <w:rsid w:val="00A17BB0"/>
    <w:rsid w:val="00A3574A"/>
    <w:rsid w:val="00A472F8"/>
    <w:rsid w:val="00AA2CEC"/>
    <w:rsid w:val="00AC21D4"/>
    <w:rsid w:val="00AD1A27"/>
    <w:rsid w:val="00AF53C4"/>
    <w:rsid w:val="00B00D57"/>
    <w:rsid w:val="00B0746B"/>
    <w:rsid w:val="00B14249"/>
    <w:rsid w:val="00B142A9"/>
    <w:rsid w:val="00B623D1"/>
    <w:rsid w:val="00B706FA"/>
    <w:rsid w:val="00B84CE3"/>
    <w:rsid w:val="00B90ADC"/>
    <w:rsid w:val="00B947EB"/>
    <w:rsid w:val="00BA2B5D"/>
    <w:rsid w:val="00BA448C"/>
    <w:rsid w:val="00BB518F"/>
    <w:rsid w:val="00BC08D2"/>
    <w:rsid w:val="00BC4265"/>
    <w:rsid w:val="00BC78C8"/>
    <w:rsid w:val="00C2473C"/>
    <w:rsid w:val="00C318ED"/>
    <w:rsid w:val="00C451F4"/>
    <w:rsid w:val="00C57A53"/>
    <w:rsid w:val="00C62100"/>
    <w:rsid w:val="00C70C3A"/>
    <w:rsid w:val="00C72F11"/>
    <w:rsid w:val="00C77E23"/>
    <w:rsid w:val="00C849E8"/>
    <w:rsid w:val="00C86B5D"/>
    <w:rsid w:val="00C92C05"/>
    <w:rsid w:val="00C93048"/>
    <w:rsid w:val="00CA6E2D"/>
    <w:rsid w:val="00CB2960"/>
    <w:rsid w:val="00CC2672"/>
    <w:rsid w:val="00CD2100"/>
    <w:rsid w:val="00CD5C84"/>
    <w:rsid w:val="00CF197B"/>
    <w:rsid w:val="00D05906"/>
    <w:rsid w:val="00D12B23"/>
    <w:rsid w:val="00D2011B"/>
    <w:rsid w:val="00D205C5"/>
    <w:rsid w:val="00D55CB7"/>
    <w:rsid w:val="00D573A8"/>
    <w:rsid w:val="00D61A44"/>
    <w:rsid w:val="00D835C9"/>
    <w:rsid w:val="00D87FCD"/>
    <w:rsid w:val="00D97982"/>
    <w:rsid w:val="00DB7F8E"/>
    <w:rsid w:val="00E427C6"/>
    <w:rsid w:val="00E42F7C"/>
    <w:rsid w:val="00E42F9C"/>
    <w:rsid w:val="00E5597A"/>
    <w:rsid w:val="00E579FB"/>
    <w:rsid w:val="00E62187"/>
    <w:rsid w:val="00E62AF9"/>
    <w:rsid w:val="00E65FC8"/>
    <w:rsid w:val="00E6742A"/>
    <w:rsid w:val="00E97758"/>
    <w:rsid w:val="00EC1AD4"/>
    <w:rsid w:val="00ED65F6"/>
    <w:rsid w:val="00EE19CA"/>
    <w:rsid w:val="00EE29A1"/>
    <w:rsid w:val="00EE639D"/>
    <w:rsid w:val="00F173E3"/>
    <w:rsid w:val="00F26763"/>
    <w:rsid w:val="00F46F66"/>
    <w:rsid w:val="00F579CF"/>
    <w:rsid w:val="00F644D1"/>
    <w:rsid w:val="00F74857"/>
    <w:rsid w:val="00F819D6"/>
    <w:rsid w:val="00FA7EDC"/>
    <w:rsid w:val="00FB13AE"/>
    <w:rsid w:val="00FB5CBE"/>
    <w:rsid w:val="00FC740C"/>
    <w:rsid w:val="00FE301B"/>
    <w:rsid w:val="00FF02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8A795"/>
  <w15:chartTrackingRefBased/>
  <w15:docId w15:val="{477FA421-1A48-4403-84D1-BA7738AF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758"/>
  </w:style>
  <w:style w:type="paragraph" w:styleId="Ttulo1">
    <w:name w:val="heading 1"/>
    <w:basedOn w:val="Normal"/>
    <w:next w:val="Normal"/>
    <w:link w:val="Ttulo1Car"/>
    <w:uiPriority w:val="9"/>
    <w:qFormat/>
    <w:rsid w:val="00CD5C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C042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C0425"/>
    <w:rPr>
      <w:rFonts w:ascii="Times New Roman" w:eastAsia="Arial Unicode MS" w:hAnsi="Times New Roman" w:cs="Times New Roman"/>
      <w:sz w:val="20"/>
      <w:szCs w:val="20"/>
      <w:bdr w:val="ni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f,Ref,de nota al pie,註腳內容"/>
    <w:basedOn w:val="Fuentedeprrafopredeter"/>
    <w:unhideWhenUsed/>
    <w:qFormat/>
    <w:rsid w:val="002C0425"/>
    <w:rPr>
      <w:vertAlign w:val="superscript"/>
    </w:rPr>
  </w:style>
  <w:style w:type="paragraph" w:styleId="Piedepgina">
    <w:name w:val="footer"/>
    <w:basedOn w:val="Normal"/>
    <w:link w:val="Piedepgina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PiedepginaCar">
    <w:name w:val="Pie de página Car"/>
    <w:basedOn w:val="Fuentedeprrafopredeter"/>
    <w:link w:val="Piedepgina"/>
    <w:uiPriority w:val="99"/>
    <w:rsid w:val="002C0425"/>
    <w:rPr>
      <w:rFonts w:ascii="Times New Roman" w:eastAsia="Arial Unicode MS" w:hAnsi="Times New Roman" w:cs="Times New Roman"/>
      <w:sz w:val="24"/>
      <w:szCs w:val="24"/>
      <w:bdr w:val="nil"/>
    </w:rPr>
  </w:style>
  <w:style w:type="paragraph" w:styleId="Encabezado">
    <w:name w:val="header"/>
    <w:basedOn w:val="Normal"/>
    <w:link w:val="Encabezado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EncabezadoCar">
    <w:name w:val="Encabezado Car"/>
    <w:basedOn w:val="Fuentedeprrafopredeter"/>
    <w:link w:val="Encabezado"/>
    <w:uiPriority w:val="99"/>
    <w:rsid w:val="002C0425"/>
    <w:rPr>
      <w:rFonts w:ascii="Times New Roman" w:eastAsia="Arial Unicode MS" w:hAnsi="Times New Roman" w:cs="Times New Roman"/>
      <w:sz w:val="24"/>
      <w:szCs w:val="24"/>
      <w:bdr w:val="ni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32496"/>
    <w:pPr>
      <w:ind w:left="720"/>
      <w:contextualSpacing/>
    </w:pPr>
  </w:style>
  <w:style w:type="paragraph" w:styleId="TDC1">
    <w:name w:val="toc 1"/>
    <w:basedOn w:val="Normal"/>
    <w:next w:val="Normal"/>
    <w:autoRedefine/>
    <w:uiPriority w:val="39"/>
    <w:unhideWhenUsed/>
    <w:rsid w:val="0034598D"/>
    <w:pPr>
      <w:tabs>
        <w:tab w:val="left" w:pos="440"/>
        <w:tab w:val="right" w:leader="dot" w:pos="8828"/>
      </w:tabs>
      <w:spacing w:after="0" w:line="360" w:lineRule="auto"/>
    </w:pPr>
  </w:style>
  <w:style w:type="paragraph" w:styleId="TDC2">
    <w:name w:val="toc 2"/>
    <w:basedOn w:val="Normal"/>
    <w:next w:val="Normal"/>
    <w:autoRedefine/>
    <w:uiPriority w:val="39"/>
    <w:unhideWhenUsed/>
    <w:rsid w:val="006E10FC"/>
    <w:pPr>
      <w:tabs>
        <w:tab w:val="left" w:pos="567"/>
        <w:tab w:val="right" w:leader="dot" w:pos="8828"/>
      </w:tabs>
      <w:spacing w:after="100"/>
    </w:pPr>
  </w:style>
  <w:style w:type="paragraph" w:styleId="TDC3">
    <w:name w:val="toc 3"/>
    <w:basedOn w:val="Normal"/>
    <w:next w:val="Normal"/>
    <w:autoRedefine/>
    <w:uiPriority w:val="39"/>
    <w:unhideWhenUsed/>
    <w:rsid w:val="00311B32"/>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rsid w:val="00311B3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3170E"/>
  </w:style>
  <w:style w:type="paragraph" w:styleId="Sinespaciado">
    <w:name w:val="No Spacing"/>
    <w:uiPriority w:val="1"/>
    <w:qFormat/>
    <w:rsid w:val="000150BA"/>
    <w:pPr>
      <w:spacing w:after="0" w:line="240" w:lineRule="auto"/>
    </w:pPr>
  </w:style>
  <w:style w:type="paragraph" w:styleId="Textodeglobo">
    <w:name w:val="Balloon Text"/>
    <w:basedOn w:val="Normal"/>
    <w:link w:val="TextodegloboCar"/>
    <w:uiPriority w:val="99"/>
    <w:semiHidden/>
    <w:unhideWhenUsed/>
    <w:rsid w:val="000150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0BA"/>
    <w:rPr>
      <w:rFonts w:ascii="Segoe UI" w:hAnsi="Segoe UI" w:cs="Segoe UI"/>
      <w:sz w:val="18"/>
      <w:szCs w:val="18"/>
    </w:rPr>
  </w:style>
  <w:style w:type="paragraph" w:styleId="NormalWeb">
    <w:name w:val="Normal (Web)"/>
    <w:basedOn w:val="Normal"/>
    <w:uiPriority w:val="99"/>
    <w:unhideWhenUsed/>
    <w:rsid w:val="00E977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CD5C84"/>
    <w:rPr>
      <w:rFonts w:asciiTheme="majorHAnsi" w:eastAsiaTheme="majorEastAsia" w:hAnsiTheme="majorHAnsi" w:cstheme="majorBidi"/>
      <w:color w:val="2E74B5" w:themeColor="accent1" w:themeShade="BF"/>
      <w:sz w:val="32"/>
      <w:szCs w:val="32"/>
    </w:rPr>
  </w:style>
  <w:style w:type="table" w:styleId="Tablaconcuadrcula6concolores-nfasis3">
    <w:name w:val="Grid Table 6 Colorful Accent 3"/>
    <w:basedOn w:val="Tablanormal"/>
    <w:uiPriority w:val="51"/>
    <w:rsid w:val="00CD5C84"/>
    <w:pPr>
      <w:spacing w:after="0" w:line="240" w:lineRule="auto"/>
    </w:pPr>
    <w:rPr>
      <w:color w:val="7B7B7B" w:themeColor="accent3" w:themeShade="BF"/>
      <w:lang w:val="es-ES_trad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731C1B"/>
    <w:rPr>
      <w:color w:val="605E5C"/>
      <w:shd w:val="clear" w:color="auto" w:fill="E1DFDD"/>
    </w:rPr>
  </w:style>
  <w:style w:type="table" w:customStyle="1" w:styleId="Tablaconcuadrcula1">
    <w:name w:val="Tabla con cuadrícula1"/>
    <w:basedOn w:val="Tablanormal"/>
    <w:next w:val="Tablaconcuadrcula"/>
    <w:uiPriority w:val="59"/>
    <w:rsid w:val="005F79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F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6">
      <w:bodyDiv w:val="1"/>
      <w:marLeft w:val="0"/>
      <w:marRight w:val="0"/>
      <w:marTop w:val="0"/>
      <w:marBottom w:val="0"/>
      <w:divBdr>
        <w:top w:val="none" w:sz="0" w:space="0" w:color="auto"/>
        <w:left w:val="none" w:sz="0" w:space="0" w:color="auto"/>
        <w:bottom w:val="none" w:sz="0" w:space="0" w:color="auto"/>
        <w:right w:val="none" w:sz="0" w:space="0" w:color="auto"/>
      </w:divBdr>
    </w:div>
    <w:div w:id="799691977">
      <w:bodyDiv w:val="1"/>
      <w:marLeft w:val="0"/>
      <w:marRight w:val="0"/>
      <w:marTop w:val="0"/>
      <w:marBottom w:val="0"/>
      <w:divBdr>
        <w:top w:val="none" w:sz="0" w:space="0" w:color="auto"/>
        <w:left w:val="none" w:sz="0" w:space="0" w:color="auto"/>
        <w:bottom w:val="none" w:sz="0" w:space="0" w:color="auto"/>
        <w:right w:val="none" w:sz="0" w:space="0" w:color="auto"/>
      </w:divBdr>
    </w:div>
    <w:div w:id="814178535">
      <w:bodyDiv w:val="1"/>
      <w:marLeft w:val="0"/>
      <w:marRight w:val="0"/>
      <w:marTop w:val="0"/>
      <w:marBottom w:val="0"/>
      <w:divBdr>
        <w:top w:val="none" w:sz="0" w:space="0" w:color="auto"/>
        <w:left w:val="none" w:sz="0" w:space="0" w:color="auto"/>
        <w:bottom w:val="none" w:sz="0" w:space="0" w:color="auto"/>
        <w:right w:val="none" w:sz="0" w:space="0" w:color="auto"/>
      </w:divBdr>
    </w:div>
    <w:div w:id="820848966">
      <w:bodyDiv w:val="1"/>
      <w:marLeft w:val="0"/>
      <w:marRight w:val="0"/>
      <w:marTop w:val="0"/>
      <w:marBottom w:val="0"/>
      <w:divBdr>
        <w:top w:val="none" w:sz="0" w:space="0" w:color="auto"/>
        <w:left w:val="none" w:sz="0" w:space="0" w:color="auto"/>
        <w:bottom w:val="none" w:sz="0" w:space="0" w:color="auto"/>
        <w:right w:val="none" w:sz="0" w:space="0" w:color="auto"/>
      </w:divBdr>
    </w:div>
    <w:div w:id="894894879">
      <w:bodyDiv w:val="1"/>
      <w:marLeft w:val="0"/>
      <w:marRight w:val="0"/>
      <w:marTop w:val="0"/>
      <w:marBottom w:val="0"/>
      <w:divBdr>
        <w:top w:val="none" w:sz="0" w:space="0" w:color="auto"/>
        <w:left w:val="none" w:sz="0" w:space="0" w:color="auto"/>
        <w:bottom w:val="none" w:sz="0" w:space="0" w:color="auto"/>
        <w:right w:val="none" w:sz="0" w:space="0" w:color="auto"/>
      </w:divBdr>
    </w:div>
    <w:div w:id="1171066853">
      <w:bodyDiv w:val="1"/>
      <w:marLeft w:val="0"/>
      <w:marRight w:val="0"/>
      <w:marTop w:val="0"/>
      <w:marBottom w:val="0"/>
      <w:divBdr>
        <w:top w:val="none" w:sz="0" w:space="0" w:color="auto"/>
        <w:left w:val="none" w:sz="0" w:space="0" w:color="auto"/>
        <w:bottom w:val="none" w:sz="0" w:space="0" w:color="auto"/>
        <w:right w:val="none" w:sz="0" w:space="0" w:color="auto"/>
      </w:divBdr>
    </w:div>
    <w:div w:id="1224831947">
      <w:bodyDiv w:val="1"/>
      <w:marLeft w:val="0"/>
      <w:marRight w:val="0"/>
      <w:marTop w:val="0"/>
      <w:marBottom w:val="0"/>
      <w:divBdr>
        <w:top w:val="none" w:sz="0" w:space="0" w:color="auto"/>
        <w:left w:val="none" w:sz="0" w:space="0" w:color="auto"/>
        <w:bottom w:val="none" w:sz="0" w:space="0" w:color="auto"/>
        <w:right w:val="none" w:sz="0" w:space="0" w:color="auto"/>
      </w:divBdr>
      <w:divsChild>
        <w:div w:id="220486352">
          <w:marLeft w:val="0"/>
          <w:marRight w:val="0"/>
          <w:marTop w:val="0"/>
          <w:marBottom w:val="0"/>
          <w:divBdr>
            <w:top w:val="none" w:sz="0" w:space="0" w:color="auto"/>
            <w:left w:val="none" w:sz="0" w:space="0" w:color="auto"/>
            <w:bottom w:val="none" w:sz="0" w:space="0" w:color="auto"/>
            <w:right w:val="none" w:sz="0" w:space="0" w:color="auto"/>
          </w:divBdr>
        </w:div>
        <w:div w:id="1625429602">
          <w:marLeft w:val="0"/>
          <w:marRight w:val="0"/>
          <w:marTop w:val="0"/>
          <w:marBottom w:val="0"/>
          <w:divBdr>
            <w:top w:val="none" w:sz="0" w:space="0" w:color="auto"/>
            <w:left w:val="none" w:sz="0" w:space="0" w:color="auto"/>
            <w:bottom w:val="none" w:sz="0" w:space="0" w:color="auto"/>
            <w:right w:val="none" w:sz="0" w:space="0" w:color="auto"/>
          </w:divBdr>
          <w:divsChild>
            <w:div w:id="1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2913">
      <w:bodyDiv w:val="1"/>
      <w:marLeft w:val="0"/>
      <w:marRight w:val="0"/>
      <w:marTop w:val="0"/>
      <w:marBottom w:val="0"/>
      <w:divBdr>
        <w:top w:val="none" w:sz="0" w:space="0" w:color="auto"/>
        <w:left w:val="none" w:sz="0" w:space="0" w:color="auto"/>
        <w:bottom w:val="none" w:sz="0" w:space="0" w:color="auto"/>
        <w:right w:val="none" w:sz="0" w:space="0" w:color="auto"/>
      </w:divBdr>
    </w:div>
    <w:div w:id="1596940572">
      <w:bodyDiv w:val="1"/>
      <w:marLeft w:val="0"/>
      <w:marRight w:val="0"/>
      <w:marTop w:val="0"/>
      <w:marBottom w:val="0"/>
      <w:divBdr>
        <w:top w:val="none" w:sz="0" w:space="0" w:color="auto"/>
        <w:left w:val="none" w:sz="0" w:space="0" w:color="auto"/>
        <w:bottom w:val="none" w:sz="0" w:space="0" w:color="auto"/>
        <w:right w:val="none" w:sz="0" w:space="0" w:color="auto"/>
      </w:divBdr>
    </w:div>
    <w:div w:id="1705473379">
      <w:bodyDiv w:val="1"/>
      <w:marLeft w:val="0"/>
      <w:marRight w:val="0"/>
      <w:marTop w:val="0"/>
      <w:marBottom w:val="0"/>
      <w:divBdr>
        <w:top w:val="none" w:sz="0" w:space="0" w:color="auto"/>
        <w:left w:val="none" w:sz="0" w:space="0" w:color="auto"/>
        <w:bottom w:val="none" w:sz="0" w:space="0" w:color="auto"/>
        <w:right w:val="none" w:sz="0" w:space="0" w:color="auto"/>
      </w:divBdr>
    </w:div>
    <w:div w:id="1821311975">
      <w:bodyDiv w:val="1"/>
      <w:marLeft w:val="0"/>
      <w:marRight w:val="0"/>
      <w:marTop w:val="0"/>
      <w:marBottom w:val="0"/>
      <w:divBdr>
        <w:top w:val="none" w:sz="0" w:space="0" w:color="auto"/>
        <w:left w:val="none" w:sz="0" w:space="0" w:color="auto"/>
        <w:bottom w:val="none" w:sz="0" w:space="0" w:color="auto"/>
        <w:right w:val="none" w:sz="0" w:space="0" w:color="auto"/>
      </w:divBdr>
    </w:div>
    <w:div w:id="1874803250">
      <w:bodyDiv w:val="1"/>
      <w:marLeft w:val="0"/>
      <w:marRight w:val="0"/>
      <w:marTop w:val="0"/>
      <w:marBottom w:val="0"/>
      <w:divBdr>
        <w:top w:val="none" w:sz="0" w:space="0" w:color="auto"/>
        <w:left w:val="none" w:sz="0" w:space="0" w:color="auto"/>
        <w:bottom w:val="none" w:sz="0" w:space="0" w:color="auto"/>
        <w:right w:val="none" w:sz="0" w:space="0" w:color="auto"/>
      </w:divBdr>
    </w:div>
    <w:div w:id="213143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em.org.mx/es/contenido/datos-persona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75455.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783149.page" TargetMode="External"/><Relationship Id="rId4" Type="http://schemas.openxmlformats.org/officeDocument/2006/relationships/settings" Target="settings.xml"/><Relationship Id="rId9" Type="http://schemas.openxmlformats.org/officeDocument/2006/relationships/hyperlink" Target="https://saimex.org.mx/saimex/solicitud/downloadAttach/1775455.pag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D9390-88C6-4A55-A1E8-C1511E78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39</Pages>
  <Words>9475</Words>
  <Characters>52113</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Infoem600</cp:lastModifiedBy>
  <cp:revision>6</cp:revision>
  <cp:lastPrinted>2019-10-07T23:56:00Z</cp:lastPrinted>
  <dcterms:created xsi:type="dcterms:W3CDTF">2023-05-29T16:50:00Z</dcterms:created>
  <dcterms:modified xsi:type="dcterms:W3CDTF">2024-02-02T19:21:00Z</dcterms:modified>
</cp:coreProperties>
</file>