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B7" w:rsidRPr="00994000" w:rsidRDefault="00C704B7" w:rsidP="00C704B7">
      <w:pPr>
        <w:widowControl w:val="0"/>
        <w:pBdr>
          <w:top w:val="nil"/>
          <w:left w:val="nil"/>
          <w:bottom w:val="nil"/>
          <w:right w:val="nil"/>
          <w:between w:val="nil"/>
        </w:pBdr>
        <w:spacing w:after="0" w:line="360" w:lineRule="auto"/>
        <w:jc w:val="both"/>
        <w:rPr>
          <w:rFonts w:ascii="Palatino Linotype" w:eastAsia="Palatino Linotype" w:hAnsi="Palatino Linotype" w:cs="Palatino Linotype"/>
          <w:b/>
          <w:color w:val="000000"/>
          <w:sz w:val="10"/>
          <w:szCs w:val="10"/>
        </w:rPr>
      </w:pPr>
    </w:p>
    <w:p w:rsidR="0013255E" w:rsidRDefault="00C510EA" w:rsidP="00C704B7">
      <w:pPr>
        <w:widowControl w:val="0"/>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pict w14:anchorId="50BCA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7216;visibility:hidden">
            <o:lock v:ext="edit" selection="t"/>
          </v:shape>
        </w:pict>
      </w:r>
      <w:r>
        <w:pict w14:anchorId="6F570053">
          <v:shape id="_x0000_s1026" type="#_x0000_t136" style="position:absolute;left:0;text-align:left;margin-left:0;margin-top:0;width:50pt;height:50pt;z-index:251658240;visibility:hidden">
            <o:lock v:ext="edit" selection="t"/>
          </v:shape>
        </w:pict>
      </w:r>
      <w:r w:rsidR="000C0B36">
        <w:rPr>
          <w:rFonts w:ascii="Palatino Linotype" w:eastAsia="Palatino Linotype" w:hAnsi="Palatino Linotype" w:cs="Palatino Linotype"/>
          <w:b/>
          <w:color w:val="000000"/>
          <w:sz w:val="24"/>
          <w:szCs w:val="24"/>
        </w:rPr>
        <w:t>VOTO DISIDEN</w:t>
      </w:r>
      <w:r w:rsidR="00C704B7">
        <w:rPr>
          <w:rFonts w:ascii="Palatino Linotype" w:eastAsia="Palatino Linotype" w:hAnsi="Palatino Linotype" w:cs="Palatino Linotype"/>
          <w:b/>
          <w:color w:val="000000"/>
          <w:sz w:val="24"/>
          <w:szCs w:val="24"/>
        </w:rPr>
        <w:t xml:space="preserve">TE CONCURRENTE QUE FORMULAN LOS </w:t>
      </w:r>
      <w:r w:rsidR="000C0B36">
        <w:rPr>
          <w:rFonts w:ascii="Palatino Linotype" w:eastAsia="Palatino Linotype" w:hAnsi="Palatino Linotype" w:cs="Palatino Linotype"/>
          <w:b/>
          <w:color w:val="000000"/>
          <w:sz w:val="24"/>
          <w:szCs w:val="24"/>
        </w:rPr>
        <w:t>COMISIONADOS GUADALUPE RAMÍREZ PEÑA Y LUIS GUSTAVO PARRA NORIEGA, A LA RESOLUCIÓN DEL RECURSO DE REVISIÓN 14081/INFOEM/IP/RR/2022, PROMOVIDO EN CONTRA DEL PODER LEGISLATIVO.</w:t>
      </w:r>
    </w:p>
    <w:p w:rsidR="00C704B7" w:rsidRDefault="00C704B7" w:rsidP="00C704B7">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p>
    <w:p w:rsidR="0013255E" w:rsidRDefault="000C0B36" w:rsidP="00C704B7">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Pleno del Instituto de Transparencia, Acceso a la Información Pública y Protección de Datos Personales del Estado de México resolvió por mayoría de votos, la Resolución relativa al Recurso de Revisión </w:t>
      </w:r>
      <w:r>
        <w:rPr>
          <w:rFonts w:ascii="Palatino Linotype" w:eastAsia="Palatino Linotype" w:hAnsi="Palatino Linotype" w:cs="Palatino Linotype"/>
          <w:b/>
          <w:color w:val="000000"/>
          <w:sz w:val="24"/>
          <w:szCs w:val="24"/>
        </w:rPr>
        <w:t>14081/INFOEM/IP/RR/2022</w:t>
      </w:r>
      <w:r>
        <w:rPr>
          <w:rFonts w:ascii="Palatino Linotype" w:eastAsia="Palatino Linotype" w:hAnsi="Palatino Linotype" w:cs="Palatino Linotype"/>
          <w:color w:val="000000"/>
          <w:sz w:val="24"/>
          <w:szCs w:val="24"/>
        </w:rPr>
        <w:t>, presentada por el Luis Gustavo Parra Noriega</w:t>
      </w:r>
      <w:r w:rsidR="00994000">
        <w:rPr>
          <w:rFonts w:ascii="Palatino Linotype" w:eastAsia="Palatino Linotype" w:hAnsi="Palatino Linotype" w:cs="Palatino Linotype"/>
          <w:color w:val="000000"/>
          <w:sz w:val="24"/>
          <w:szCs w:val="24"/>
        </w:rPr>
        <w:t xml:space="preserve"> conforme al criterio mayoritario del Pleno</w:t>
      </w:r>
      <w:r>
        <w:rPr>
          <w:rFonts w:ascii="Palatino Linotype" w:eastAsia="Palatino Linotype" w:hAnsi="Palatino Linotype" w:cs="Palatino Linotype"/>
          <w:color w:val="000000"/>
          <w:sz w:val="24"/>
          <w:szCs w:val="24"/>
        </w:rPr>
        <w:t xml:space="preserve">, respecto de la cual los suscritos, emiten </w:t>
      </w:r>
      <w:r w:rsidRPr="00994000">
        <w:rPr>
          <w:rFonts w:ascii="Palatino Linotype" w:eastAsia="Palatino Linotype" w:hAnsi="Palatino Linotype" w:cs="Palatino Linotype"/>
          <w:b/>
          <w:color w:val="000000"/>
          <w:sz w:val="24"/>
          <w:szCs w:val="24"/>
        </w:rPr>
        <w:t>Voto Disidente Concurrente</w:t>
      </w:r>
      <w:r>
        <w:rPr>
          <w:rFonts w:ascii="Palatino Linotype" w:eastAsia="Palatino Linotype" w:hAnsi="Palatino Linotype" w:cs="Palatino Linotype"/>
          <w:color w:val="000000"/>
          <w:sz w:val="24"/>
          <w:szCs w:val="24"/>
        </w:rPr>
        <w:t xml:space="preserve"> 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48, fracción II, de los Lineamientos para el funcionamiento del Pleno y las Comisiones del Instituto de Transparencia, Acceso a la Información Pública y Protección de Datos Personales del Estado de México y Municipios.</w:t>
      </w:r>
    </w:p>
    <w:p w:rsidR="00C704B7" w:rsidRDefault="00C704B7" w:rsidP="00C704B7">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desprende de la Resolución que nos ocupa, la persona </w:t>
      </w:r>
      <w:r w:rsidR="00C704B7">
        <w:rPr>
          <w:rFonts w:ascii="Palatino Linotype" w:eastAsia="Palatino Linotype" w:hAnsi="Palatino Linotype" w:cs="Palatino Linotype"/>
          <w:sz w:val="24"/>
          <w:szCs w:val="24"/>
        </w:rPr>
        <w:t xml:space="preserve">solicitante requirió </w:t>
      </w:r>
      <w:r>
        <w:rPr>
          <w:rFonts w:ascii="Palatino Linotype" w:eastAsia="Palatino Linotype" w:hAnsi="Palatino Linotype" w:cs="Palatino Linotype"/>
          <w:sz w:val="24"/>
          <w:szCs w:val="24"/>
        </w:rPr>
        <w:t xml:space="preserve">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la entrega de lo siguiente: </w:t>
      </w:r>
    </w:p>
    <w:p w:rsidR="00C704B7"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numPr>
          <w:ilvl w:val="0"/>
          <w:numId w:val="2"/>
        </w:numPr>
        <w:pBdr>
          <w:top w:val="nil"/>
          <w:left w:val="nil"/>
          <w:bottom w:val="nil"/>
          <w:right w:val="nil"/>
          <w:between w:val="nil"/>
        </w:pBdr>
        <w:spacing w:after="0" w:line="360" w:lineRule="auto"/>
        <w:ind w:left="426"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 los documentos remitidos al OSFEM, por el Ayuntamiento de Chimalhuacán, aquellos que den cuenta de los ingresos por derechos por el uso de la vía pública a "moto-taxistas, del periodo comprendido del primero de enero al veintiséis de agosto del dos mil veintidós.</w:t>
      </w:r>
    </w:p>
    <w:p w:rsidR="00C704B7" w:rsidRDefault="00C704B7" w:rsidP="00C704B7">
      <w:pPr>
        <w:pBdr>
          <w:top w:val="nil"/>
          <w:left w:val="nil"/>
          <w:bottom w:val="nil"/>
          <w:right w:val="nil"/>
          <w:between w:val="nil"/>
        </w:pBdr>
        <w:spacing w:after="0" w:line="360" w:lineRule="auto"/>
        <w:ind w:left="426"/>
        <w:jc w:val="both"/>
        <w:rPr>
          <w:rFonts w:ascii="Palatino Linotype" w:eastAsia="Palatino Linotype" w:hAnsi="Palatino Linotype" w:cs="Palatino Linotype"/>
          <w:color w:val="000000"/>
          <w:sz w:val="24"/>
          <w:szCs w:val="24"/>
        </w:rPr>
      </w:pPr>
    </w:p>
    <w:p w:rsidR="0013255E" w:rsidRPr="00F57BC6" w:rsidRDefault="000C0B36" w:rsidP="00C704B7">
      <w:pPr>
        <w:numPr>
          <w:ilvl w:val="0"/>
          <w:numId w:val="1"/>
        </w:numPr>
        <w:pBdr>
          <w:top w:val="nil"/>
          <w:left w:val="nil"/>
          <w:bottom w:val="nil"/>
          <w:right w:val="nil"/>
          <w:between w:val="nil"/>
        </w:pBdr>
        <w:spacing w:after="0" w:line="360" w:lineRule="auto"/>
        <w:ind w:left="426"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caso de no contar con la información, requiero el acta del comité de </w:t>
      </w:r>
      <w:r w:rsidRPr="00F57BC6">
        <w:rPr>
          <w:rFonts w:ascii="Palatino Linotype" w:eastAsia="Palatino Linotype" w:hAnsi="Palatino Linotype" w:cs="Palatino Linotype"/>
          <w:color w:val="000000"/>
          <w:sz w:val="24"/>
          <w:szCs w:val="24"/>
        </w:rPr>
        <w:t>transparencia donde se declare la inexistencia de esta.</w:t>
      </w:r>
    </w:p>
    <w:p w:rsidR="00C704B7" w:rsidRDefault="00C704B7" w:rsidP="00C704B7">
      <w:pPr>
        <w:spacing w:after="0" w:line="360" w:lineRule="auto"/>
        <w:ind w:right="-28"/>
        <w:jc w:val="both"/>
        <w:rPr>
          <w:rFonts w:ascii="Palatino Linotype" w:eastAsia="Palatino Linotype" w:hAnsi="Palatino Linotype" w:cs="Palatino Linotype"/>
          <w:sz w:val="24"/>
          <w:szCs w:val="24"/>
        </w:rPr>
      </w:pPr>
    </w:p>
    <w:p w:rsidR="00994000" w:rsidRDefault="000C0B36" w:rsidP="00C704B7">
      <w:pPr>
        <w:spacing w:after="0" w:line="360" w:lineRule="auto"/>
        <w:ind w:right="-28"/>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En respuesta, el Servidor Público Habilitado del Órgano Superior de Fiscalización del Estado de México</w:t>
      </w:r>
      <w:r w:rsidR="00994000">
        <w:rPr>
          <w:rFonts w:ascii="Palatino Linotype" w:eastAsia="Palatino Linotype" w:hAnsi="Palatino Linotype" w:cs="Palatino Linotype"/>
          <w:sz w:val="24"/>
          <w:szCs w:val="24"/>
        </w:rPr>
        <w:t>, adscrito al Poder Legislativo</w:t>
      </w:r>
      <w:r w:rsidRPr="00F57BC6">
        <w:rPr>
          <w:rFonts w:ascii="Palatino Linotype" w:eastAsia="Palatino Linotype" w:hAnsi="Palatino Linotype" w:cs="Palatino Linotype"/>
          <w:sz w:val="24"/>
          <w:szCs w:val="24"/>
        </w:rPr>
        <w:t xml:space="preserve">, manifestó ser incompetente para entregar la información solicitada, al carecer de atribuciones respecto a la fiscalización de ingresos que no se encuentran establecidos, en este caso en la Ley de Ingresos de Municipal de Chimalhuacán 2022, por lo que sugirió a la persona solicitante presentar su solicitud ante el Ayuntamiento de Chimalhuacán, </w:t>
      </w:r>
      <w:r w:rsidR="00994000">
        <w:rPr>
          <w:rFonts w:ascii="Palatino Linotype" w:eastAsia="Palatino Linotype" w:hAnsi="Palatino Linotype" w:cs="Palatino Linotype"/>
          <w:sz w:val="24"/>
          <w:szCs w:val="24"/>
        </w:rPr>
        <w:t>motivo por el cual se</w:t>
      </w:r>
      <w:r w:rsidRPr="00F57BC6">
        <w:rPr>
          <w:rFonts w:ascii="Palatino Linotype" w:eastAsia="Palatino Linotype" w:hAnsi="Palatino Linotype" w:cs="Palatino Linotype"/>
          <w:sz w:val="24"/>
          <w:szCs w:val="24"/>
        </w:rPr>
        <w:t xml:space="preserve"> present</w:t>
      </w:r>
      <w:r w:rsidR="00994000">
        <w:rPr>
          <w:rFonts w:ascii="Palatino Linotype" w:eastAsia="Palatino Linotype" w:hAnsi="Palatino Linotype" w:cs="Palatino Linotype"/>
          <w:sz w:val="24"/>
          <w:szCs w:val="24"/>
        </w:rPr>
        <w:t>ó</w:t>
      </w:r>
      <w:r w:rsidRPr="00F57BC6">
        <w:rPr>
          <w:rFonts w:ascii="Palatino Linotype" w:eastAsia="Palatino Linotype" w:hAnsi="Palatino Linotype" w:cs="Palatino Linotype"/>
          <w:sz w:val="24"/>
          <w:szCs w:val="24"/>
        </w:rPr>
        <w:t xml:space="preserve"> el recurso de revisión citado</w:t>
      </w:r>
      <w:r w:rsidR="00994000" w:rsidRPr="00994000">
        <w:rPr>
          <w:rFonts w:ascii="Palatino Linotype" w:eastAsia="Palatino Linotype" w:hAnsi="Palatino Linotype" w:cs="Palatino Linotype"/>
          <w:sz w:val="24"/>
          <w:szCs w:val="24"/>
        </w:rPr>
        <w:t xml:space="preserve"> </w:t>
      </w:r>
      <w:r w:rsidR="00994000" w:rsidRPr="00F57BC6">
        <w:rPr>
          <w:rFonts w:ascii="Palatino Linotype" w:eastAsia="Palatino Linotype" w:hAnsi="Palatino Linotype" w:cs="Palatino Linotype"/>
          <w:sz w:val="24"/>
          <w:szCs w:val="24"/>
        </w:rPr>
        <w:t>al rubro</w:t>
      </w:r>
      <w:r w:rsidRPr="00F57BC6">
        <w:rPr>
          <w:rFonts w:ascii="Palatino Linotype" w:eastAsia="Palatino Linotype" w:hAnsi="Palatino Linotype" w:cs="Palatino Linotype"/>
          <w:sz w:val="24"/>
          <w:szCs w:val="24"/>
        </w:rPr>
        <w:t>, mediante el cual</w:t>
      </w:r>
      <w:r w:rsidR="00994000">
        <w:rPr>
          <w:rFonts w:ascii="Palatino Linotype" w:eastAsia="Palatino Linotype" w:hAnsi="Palatino Linotype" w:cs="Palatino Linotype"/>
          <w:sz w:val="24"/>
          <w:szCs w:val="24"/>
        </w:rPr>
        <w:t>,</w:t>
      </w:r>
      <w:r w:rsidRPr="00F57BC6">
        <w:rPr>
          <w:rFonts w:ascii="Palatino Linotype" w:eastAsia="Palatino Linotype" w:hAnsi="Palatino Linotype" w:cs="Palatino Linotype"/>
          <w:sz w:val="24"/>
          <w:szCs w:val="24"/>
        </w:rPr>
        <w:t xml:space="preserve"> la parte </w:t>
      </w:r>
      <w:r w:rsidRPr="00F57BC6">
        <w:rPr>
          <w:rFonts w:ascii="Palatino Linotype" w:eastAsia="Palatino Linotype" w:hAnsi="Palatino Linotype" w:cs="Palatino Linotype"/>
          <w:b/>
          <w:sz w:val="24"/>
          <w:szCs w:val="24"/>
        </w:rPr>
        <w:t>Recurrente</w:t>
      </w:r>
      <w:r w:rsidRPr="00F57BC6">
        <w:rPr>
          <w:rFonts w:ascii="Palatino Linotype" w:eastAsia="Palatino Linotype" w:hAnsi="Palatino Linotype" w:cs="Palatino Linotype"/>
          <w:sz w:val="24"/>
          <w:szCs w:val="24"/>
        </w:rPr>
        <w:t xml:space="preserve"> seña</w:t>
      </w:r>
      <w:r w:rsidR="00994000">
        <w:rPr>
          <w:rFonts w:ascii="Palatino Linotype" w:eastAsia="Palatino Linotype" w:hAnsi="Palatino Linotype" w:cs="Palatino Linotype"/>
          <w:sz w:val="24"/>
          <w:szCs w:val="24"/>
        </w:rPr>
        <w:t>ló como motivo de inconformidad:</w:t>
      </w:r>
    </w:p>
    <w:p w:rsidR="00994000" w:rsidRDefault="00994000" w:rsidP="00C704B7">
      <w:pPr>
        <w:spacing w:after="0" w:line="360" w:lineRule="auto"/>
        <w:ind w:right="-28"/>
        <w:jc w:val="both"/>
        <w:rPr>
          <w:rFonts w:ascii="Palatino Linotype" w:eastAsia="Palatino Linotype" w:hAnsi="Palatino Linotype" w:cs="Palatino Linotype"/>
          <w:sz w:val="24"/>
          <w:szCs w:val="24"/>
        </w:rPr>
      </w:pPr>
    </w:p>
    <w:p w:rsidR="0013255E" w:rsidRPr="00994000" w:rsidRDefault="000C0B36" w:rsidP="00994000">
      <w:pPr>
        <w:spacing w:after="0" w:line="360" w:lineRule="auto"/>
        <w:ind w:left="567" w:right="567"/>
        <w:jc w:val="both"/>
        <w:rPr>
          <w:rFonts w:ascii="Palatino Linotype" w:eastAsia="Palatino Linotype" w:hAnsi="Palatino Linotype" w:cs="Palatino Linotype"/>
          <w:i/>
          <w:szCs w:val="24"/>
        </w:rPr>
      </w:pPr>
      <w:r w:rsidRPr="00994000">
        <w:rPr>
          <w:rFonts w:ascii="Palatino Linotype" w:eastAsia="Palatino Linotype" w:hAnsi="Palatino Linotype" w:cs="Palatino Linotype"/>
          <w:szCs w:val="24"/>
        </w:rPr>
        <w:t>“</w:t>
      </w:r>
      <w:r w:rsidRPr="00994000">
        <w:rPr>
          <w:rFonts w:ascii="Palatino Linotype" w:eastAsia="Palatino Linotype" w:hAnsi="Palatino Linotype" w:cs="Palatino Linotype"/>
          <w:i/>
          <w:szCs w:val="24"/>
        </w:rPr>
        <w:t>Se impugna la totalidad de la respuesta emitida por parte de la unidad administrativa responsable ya que la entrega de la información no corresponde con lo solicitado, es decir, ambos sujetos obligados se "se avientan la pelota", cabe señalar que, de conformidad con lo establecido en la normatividad que rige al sujeto obligado este si puede detentar la información.” (</w:t>
      </w:r>
      <w:r w:rsidR="00C704B7" w:rsidRPr="00994000">
        <w:rPr>
          <w:rFonts w:ascii="Palatino Linotype" w:eastAsia="Palatino Linotype" w:hAnsi="Palatino Linotype" w:cs="Palatino Linotype"/>
          <w:szCs w:val="24"/>
        </w:rPr>
        <w:t>S</w:t>
      </w:r>
      <w:r w:rsidRPr="00994000">
        <w:rPr>
          <w:rFonts w:ascii="Palatino Linotype" w:eastAsia="Palatino Linotype" w:hAnsi="Palatino Linotype" w:cs="Palatino Linotype"/>
          <w:szCs w:val="24"/>
        </w:rPr>
        <w:t>ic</w:t>
      </w:r>
      <w:r w:rsidRPr="00994000">
        <w:rPr>
          <w:rFonts w:ascii="Palatino Linotype" w:eastAsia="Palatino Linotype" w:hAnsi="Palatino Linotype" w:cs="Palatino Linotype"/>
          <w:i/>
          <w:szCs w:val="24"/>
        </w:rPr>
        <w:t>)</w:t>
      </w:r>
      <w:r w:rsidR="00C704B7" w:rsidRPr="00994000">
        <w:rPr>
          <w:rFonts w:ascii="Palatino Linotype" w:eastAsia="Palatino Linotype" w:hAnsi="Palatino Linotype" w:cs="Palatino Linotype"/>
          <w:i/>
          <w:szCs w:val="24"/>
        </w:rPr>
        <w:t>.</w:t>
      </w:r>
    </w:p>
    <w:p w:rsidR="00C704B7" w:rsidRPr="00F57BC6" w:rsidRDefault="00C704B7" w:rsidP="00C704B7">
      <w:pPr>
        <w:spacing w:after="0" w:line="360" w:lineRule="auto"/>
        <w:ind w:right="-28"/>
        <w:jc w:val="both"/>
        <w:rPr>
          <w:rFonts w:ascii="Palatino Linotype" w:eastAsia="Palatino Linotype" w:hAnsi="Palatino Linotype" w:cs="Palatino Linotype"/>
          <w:i/>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Una vez admitido el recurso de revisión el </w:t>
      </w:r>
      <w:r w:rsidRPr="00F57BC6">
        <w:rPr>
          <w:rFonts w:ascii="Palatino Linotype" w:eastAsia="Palatino Linotype" w:hAnsi="Palatino Linotype" w:cs="Palatino Linotype"/>
          <w:b/>
          <w:sz w:val="24"/>
          <w:szCs w:val="24"/>
        </w:rPr>
        <w:t>Sujeto Obligado</w:t>
      </w:r>
      <w:r w:rsidRPr="00F57BC6">
        <w:rPr>
          <w:rFonts w:ascii="Palatino Linotype" w:eastAsia="Palatino Linotype" w:hAnsi="Palatino Linotype" w:cs="Palatino Linotype"/>
          <w:sz w:val="24"/>
          <w:szCs w:val="24"/>
        </w:rPr>
        <w:t xml:space="preserve"> remitió su informe justificado, mediante el cual el Servidor Público Habilitado del OSFEM, reiteró que </w:t>
      </w:r>
      <w:r w:rsidRPr="00F57BC6">
        <w:rPr>
          <w:rFonts w:ascii="Palatino Linotype" w:eastAsia="Palatino Linotype" w:hAnsi="Palatino Linotype" w:cs="Palatino Linotype"/>
          <w:sz w:val="24"/>
          <w:szCs w:val="24"/>
        </w:rPr>
        <w:lastRenderedPageBreak/>
        <w:t>el Órgano Fiscalizador, carece de competencia para proporcionar la información solicitada, mientras que el Titular de la Unidad de Transparencia además de ratificar la incompetencia, arguyó que no era necesario emitir el acuerdo de incompetencia, al ser esta notoria.</w:t>
      </w:r>
    </w:p>
    <w:p w:rsidR="00994000" w:rsidRPr="00F57BC6" w:rsidRDefault="00994000" w:rsidP="00C704B7">
      <w:pPr>
        <w:spacing w:after="0" w:line="360" w:lineRule="auto"/>
        <w:jc w:val="both"/>
        <w:rPr>
          <w:rFonts w:ascii="Palatino Linotype" w:eastAsia="Palatino Linotype" w:hAnsi="Palatino Linotype" w:cs="Palatino Linotype"/>
          <w:b/>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Acotado lo anterior, es de resaltar que el Sujeto Obligado, Poder Legislativo en su respuesta </w:t>
      </w:r>
      <w:r w:rsidRPr="00F57BC6">
        <w:rPr>
          <w:rFonts w:ascii="Palatino Linotype" w:eastAsia="Palatino Linotype" w:hAnsi="Palatino Linotype" w:cs="Palatino Linotype"/>
          <w:b/>
          <w:sz w:val="24"/>
          <w:szCs w:val="24"/>
        </w:rPr>
        <w:t>no entregó ningún acuerdo de clasificación emitido por su Comité de Transparencia, en el que se fundara y motivara la restricción del derecho humano de acceso a la información</w:t>
      </w:r>
      <w:r w:rsidRPr="00F57BC6">
        <w:rPr>
          <w:rFonts w:ascii="Palatino Linotype" w:eastAsia="Palatino Linotype" w:hAnsi="Palatino Linotype" w:cs="Palatino Linotype"/>
          <w:sz w:val="24"/>
          <w:szCs w:val="24"/>
        </w:rPr>
        <w:t>, simplemente se limitó a referir que era incompetente para entregar la información solicitada, ya que esta sólo podía ser entregada por conducto del Ayuntamiento de Chimalhuacán.</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En ese contexto, </w:t>
      </w:r>
      <w:r w:rsidR="00994000">
        <w:rPr>
          <w:rFonts w:ascii="Palatino Linotype" w:eastAsia="Palatino Linotype" w:hAnsi="Palatino Linotype" w:cs="Palatino Linotype"/>
          <w:sz w:val="24"/>
          <w:szCs w:val="24"/>
        </w:rPr>
        <w:t>atento</w:t>
      </w:r>
      <w:r w:rsidRPr="00F57BC6">
        <w:rPr>
          <w:rFonts w:ascii="Palatino Linotype" w:eastAsia="Palatino Linotype" w:hAnsi="Palatino Linotype" w:cs="Palatino Linotype"/>
          <w:sz w:val="24"/>
          <w:szCs w:val="24"/>
        </w:rPr>
        <w:t xml:space="preserve"> al criterio mayoritario del Pleno, el Comisionado Ponente  consideró procedente confirmar la respuesta del </w:t>
      </w:r>
      <w:r w:rsidRPr="00F57BC6">
        <w:rPr>
          <w:rFonts w:ascii="Palatino Linotype" w:eastAsia="Palatino Linotype" w:hAnsi="Palatino Linotype" w:cs="Palatino Linotype"/>
          <w:b/>
          <w:sz w:val="24"/>
          <w:szCs w:val="24"/>
        </w:rPr>
        <w:t>Sujeto Obligado</w:t>
      </w:r>
      <w:r w:rsidRPr="00F57BC6">
        <w:rPr>
          <w:rFonts w:ascii="Palatino Linotype" w:eastAsia="Palatino Linotype" w:hAnsi="Palatino Linotype" w:cs="Palatino Linotype"/>
          <w:sz w:val="24"/>
          <w:szCs w:val="24"/>
        </w:rPr>
        <w:t xml:space="preserve">, </w:t>
      </w:r>
      <w:r w:rsidR="00994000">
        <w:rPr>
          <w:rFonts w:ascii="Palatino Linotype" w:eastAsia="Palatino Linotype" w:hAnsi="Palatino Linotype" w:cs="Palatino Linotype"/>
          <w:sz w:val="24"/>
          <w:szCs w:val="24"/>
        </w:rPr>
        <w:t>en el sentido de que</w:t>
      </w:r>
      <w:r w:rsidRPr="00F57BC6">
        <w:rPr>
          <w:rFonts w:ascii="Palatino Linotype" w:eastAsia="Palatino Linotype" w:hAnsi="Palatino Linotype" w:cs="Palatino Linotype"/>
          <w:sz w:val="24"/>
          <w:szCs w:val="24"/>
        </w:rPr>
        <w:t xml:space="preserve"> el Poder Legislativo, no es competente para responder favorablemente la solicitud de acceso a la información; sin embargo, los suscritos disentimos con el estudio y con el sentido de la resolución, en razón de que la Constitución Política de los Estado Unidos Mexicanos, en su artículo 6°, apartado A, fracción I, considera que toda la información en posesión de cualquier autoridad -Poder Legislativo incluido- es pública y sólo podrá ser reservada temporalmente por razones de interés público y seguridad nacional, en los términos que fijen las leyes, disposición legal que encuentra su homóloga en el artículo 5°, fracción I de la Constitución Política del Estado Libre y Soberano de México.</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lastRenderedPageBreak/>
        <w:t>Sobre el derecho de acceso a la información, la Ley General de Transparencia y Acceso a la Información Pública, así como la Ley de Transparencia y Acceso a la Información Pública del Estado de México y Municipios, señalan lo siguiente:</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Pr="00994000" w:rsidRDefault="000C0B36" w:rsidP="00994000">
      <w:pPr>
        <w:spacing w:after="0" w:line="360" w:lineRule="auto"/>
        <w:ind w:left="567" w:right="567"/>
        <w:jc w:val="both"/>
        <w:rPr>
          <w:rFonts w:ascii="Palatino Linotype" w:eastAsia="Palatino Linotype" w:hAnsi="Palatino Linotype" w:cs="Palatino Linotype"/>
          <w:b/>
          <w:sz w:val="20"/>
          <w:szCs w:val="20"/>
        </w:rPr>
      </w:pPr>
      <w:r w:rsidRPr="00994000">
        <w:rPr>
          <w:rFonts w:ascii="Palatino Linotype" w:eastAsia="Palatino Linotype" w:hAnsi="Palatino Linotype" w:cs="Palatino Linotype"/>
          <w:b/>
          <w:i/>
          <w:sz w:val="20"/>
          <w:szCs w:val="20"/>
        </w:rPr>
        <w:t>LEY GENERAL DE TRANSPARENCIA Y ACCESO A LA INFORMACIÓN PÚBLICA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Artículo 100</w:t>
      </w:r>
      <w:r w:rsidRPr="00994000">
        <w:rPr>
          <w:rFonts w:ascii="Palatino Linotype" w:eastAsia="Palatino Linotype" w:hAnsi="Palatino Linotype" w:cs="Palatino Linotype"/>
          <w:i/>
          <w:sz w:val="20"/>
          <w:szCs w:val="20"/>
        </w:rPr>
        <w:t xml:space="preserve">. La clasificación es el proceso mediante el cual el sujeto obligado determina que la información en su poder </w:t>
      </w:r>
      <w:proofErr w:type="spellStart"/>
      <w:r w:rsidRPr="00994000">
        <w:rPr>
          <w:rFonts w:ascii="Palatino Linotype" w:eastAsia="Palatino Linotype" w:hAnsi="Palatino Linotype" w:cs="Palatino Linotype"/>
          <w:i/>
          <w:sz w:val="20"/>
          <w:szCs w:val="20"/>
        </w:rPr>
        <w:t>actualiza</w:t>
      </w:r>
      <w:proofErr w:type="spellEnd"/>
      <w:r w:rsidRPr="00994000">
        <w:rPr>
          <w:rFonts w:ascii="Palatino Linotype" w:eastAsia="Palatino Linotype" w:hAnsi="Palatino Linotype" w:cs="Palatino Linotype"/>
          <w:i/>
          <w:sz w:val="20"/>
          <w:szCs w:val="20"/>
        </w:rPr>
        <w:t xml:space="preserve"> alguno de los supuestos de reserva o confidencialidad, de conformidad con lo dispuesto en el presente Título.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Los supuestos de reserva o confidencialidad previstos en las leyes deberán ser acordes con las bases, principios y disposiciones establecidos en esta Ley y, en ningún caso, podrán contravenirla.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Los titulares de las Áreas de los sujetos obligados serán los responsables de clasificar la información, de conformidad con lo dispuesto en esta Ley, la Ley Federal y de las Entidades Federativas.</w:t>
      </w:r>
    </w:p>
    <w:p w:rsidR="00C704B7" w:rsidRPr="00994000" w:rsidRDefault="00C704B7" w:rsidP="00994000">
      <w:pPr>
        <w:spacing w:after="0" w:line="360" w:lineRule="auto"/>
        <w:ind w:left="567" w:right="567"/>
        <w:jc w:val="both"/>
        <w:rPr>
          <w:rFonts w:ascii="Palatino Linotype" w:eastAsia="Palatino Linotype" w:hAnsi="Palatino Linotype" w:cs="Palatino Linotype"/>
          <w:b/>
          <w:i/>
          <w:sz w:val="20"/>
          <w:szCs w:val="20"/>
        </w:rPr>
      </w:pP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Artículo 113</w:t>
      </w:r>
      <w:r w:rsidRPr="00994000">
        <w:rPr>
          <w:rFonts w:ascii="Palatino Linotype" w:eastAsia="Palatino Linotype" w:hAnsi="Palatino Linotype" w:cs="Palatino Linotype"/>
          <w:i/>
          <w:sz w:val="20"/>
          <w:szCs w:val="20"/>
        </w:rPr>
        <w:t>. Como información reservada podrá clasificarse aquella cuya publicación:</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w:t>
      </w:r>
      <w:r w:rsidRPr="00994000">
        <w:rPr>
          <w:rFonts w:ascii="Palatino Linotype" w:eastAsia="Palatino Linotype" w:hAnsi="Palatino Linotype" w:cs="Palatino Linotype"/>
          <w:i/>
          <w:sz w:val="20"/>
          <w:szCs w:val="20"/>
        </w:rPr>
        <w:t xml:space="preserve"> Comprometa la seguridad nacional, la seguridad pública o la defensa nacional y cuente con un propósito genuino y un efecto demostrable;</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II</w:t>
      </w:r>
      <w:r w:rsidRPr="00994000">
        <w:rPr>
          <w:rFonts w:ascii="Palatino Linotype" w:eastAsia="Palatino Linotype" w:hAnsi="Palatino Linotype" w:cs="Palatino Linotype"/>
          <w:i/>
          <w:sz w:val="20"/>
          <w:szCs w:val="20"/>
        </w:rPr>
        <w:t xml:space="preserve">. Pueda menoscabar la conducción de las negociaciones y relaciones internacionales; </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III.</w:t>
      </w:r>
      <w:r w:rsidRPr="00994000">
        <w:rPr>
          <w:rFonts w:ascii="Palatino Linotype" w:eastAsia="Palatino Linotype" w:hAnsi="Palatino Linotype" w:cs="Palatino Linotype"/>
          <w:i/>
          <w:sz w:val="20"/>
          <w:szCs w:val="20"/>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IV.</w:t>
      </w:r>
      <w:r w:rsidRPr="00994000">
        <w:rPr>
          <w:rFonts w:ascii="Palatino Linotype" w:eastAsia="Palatino Linotype" w:hAnsi="Palatino Linotype" w:cs="Palatino Linotype"/>
          <w:i/>
          <w:sz w:val="20"/>
          <w:szCs w:val="20"/>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V.</w:t>
      </w:r>
      <w:r w:rsidRPr="00994000">
        <w:rPr>
          <w:rFonts w:ascii="Palatino Linotype" w:eastAsia="Palatino Linotype" w:hAnsi="Palatino Linotype" w:cs="Palatino Linotype"/>
          <w:i/>
          <w:sz w:val="20"/>
          <w:szCs w:val="20"/>
        </w:rPr>
        <w:t xml:space="preserve"> Pueda poner en riesgo la vida, seguridad o salud de una persona física;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lastRenderedPageBreak/>
        <w:t>VI</w:t>
      </w:r>
      <w:r w:rsidRPr="00994000">
        <w:rPr>
          <w:rFonts w:ascii="Palatino Linotype" w:eastAsia="Palatino Linotype" w:hAnsi="Palatino Linotype" w:cs="Palatino Linotype"/>
          <w:i/>
          <w:sz w:val="20"/>
          <w:szCs w:val="20"/>
        </w:rPr>
        <w:t>. Obstruya las actividades de verificación, inspección y auditoría relativas al cumplimiento de las leyes o afecte la recaudación de contribuciones;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VII</w:t>
      </w:r>
      <w:r w:rsidRPr="00994000">
        <w:rPr>
          <w:rFonts w:ascii="Palatino Linotype" w:eastAsia="Palatino Linotype" w:hAnsi="Palatino Linotype" w:cs="Palatino Linotype"/>
          <w:i/>
          <w:sz w:val="20"/>
          <w:szCs w:val="20"/>
        </w:rPr>
        <w:t>. Obstruya la prevención o persecución de los delitos;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VIII.</w:t>
      </w:r>
      <w:r w:rsidRPr="00994000">
        <w:rPr>
          <w:rFonts w:ascii="Palatino Linotype" w:eastAsia="Palatino Linotype" w:hAnsi="Palatino Linotype" w:cs="Palatino Linotype"/>
          <w:i/>
          <w:sz w:val="20"/>
          <w:szCs w:val="20"/>
        </w:rPr>
        <w:t xml:space="preserve"> La que contenga las opiniones, recomendaciones o puntos de vista que formen parte del proceso deliberativo de los servidores públicos, hasta en tanto no sea adoptada la decisión definitiva, la cual deberá estar documentada;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IX.</w:t>
      </w:r>
      <w:r w:rsidRPr="00994000">
        <w:rPr>
          <w:rFonts w:ascii="Palatino Linotype" w:eastAsia="Palatino Linotype" w:hAnsi="Palatino Linotype" w:cs="Palatino Linotype"/>
          <w:i/>
          <w:sz w:val="20"/>
          <w:szCs w:val="20"/>
        </w:rPr>
        <w:t xml:space="preserve"> Obstruya los procedimientos para fincar responsabilidad a los Servidores Públicos, en tanto no se haya dictado la resolución administrativa;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X</w:t>
      </w:r>
      <w:r w:rsidRPr="00994000">
        <w:rPr>
          <w:rFonts w:ascii="Palatino Linotype" w:eastAsia="Palatino Linotype" w:hAnsi="Palatino Linotype" w:cs="Palatino Linotype"/>
          <w:i/>
          <w:sz w:val="20"/>
          <w:szCs w:val="20"/>
        </w:rPr>
        <w:t>. Afecte los derechos del debido proceso;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XI.</w:t>
      </w:r>
      <w:r w:rsidRPr="00994000">
        <w:rPr>
          <w:rFonts w:ascii="Palatino Linotype" w:eastAsia="Palatino Linotype" w:hAnsi="Palatino Linotype" w:cs="Palatino Linotype"/>
          <w:i/>
          <w:sz w:val="20"/>
          <w:szCs w:val="20"/>
        </w:rPr>
        <w:t xml:space="preserve"> Vulnere la conducción de los Expedientes judiciales o de los procedimientos administrativos seguidos en forma de juicio, en tanto no hayan causado estado;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XII</w:t>
      </w:r>
      <w:r w:rsidRPr="00994000">
        <w:rPr>
          <w:rFonts w:ascii="Palatino Linotype" w:eastAsia="Palatino Linotype" w:hAnsi="Palatino Linotype" w:cs="Palatino Linotype"/>
          <w:i/>
          <w:sz w:val="20"/>
          <w:szCs w:val="20"/>
        </w:rPr>
        <w:t>. Se encuentre contenida dentro de las investigaciones de hechos que la ley señale como delitos y se tramiten ante el Ministerio Público, y</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XIII</w:t>
      </w:r>
      <w:r w:rsidRPr="00994000">
        <w:rPr>
          <w:rFonts w:ascii="Palatino Linotype" w:eastAsia="Palatino Linotype" w:hAnsi="Palatino Linotype" w:cs="Palatino Linotype"/>
          <w:i/>
          <w:sz w:val="20"/>
          <w:szCs w:val="20"/>
        </w:rPr>
        <w:t>. Las que por disposición expresa de una ley tengan tal carácter, siempre que sean acordes con las bases, principios y disposiciones establecidos en esta Ley y no la contravengan; así como las previstas en tratados internacionales.</w:t>
      </w:r>
    </w:p>
    <w:p w:rsidR="00C704B7" w:rsidRPr="00994000" w:rsidRDefault="00C704B7" w:rsidP="00994000">
      <w:pPr>
        <w:spacing w:after="0" w:line="360" w:lineRule="auto"/>
        <w:ind w:left="567" w:right="567"/>
        <w:jc w:val="both"/>
        <w:rPr>
          <w:rFonts w:ascii="Palatino Linotype" w:eastAsia="Palatino Linotype" w:hAnsi="Palatino Linotype" w:cs="Palatino Linotype"/>
          <w:b/>
          <w:i/>
          <w:sz w:val="20"/>
          <w:szCs w:val="20"/>
        </w:rPr>
      </w:pP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Artículo 116</w:t>
      </w:r>
      <w:r w:rsidRPr="00994000">
        <w:rPr>
          <w:rFonts w:ascii="Palatino Linotype" w:eastAsia="Palatino Linotype" w:hAnsi="Palatino Linotype" w:cs="Palatino Linotype"/>
          <w:i/>
          <w:sz w:val="20"/>
          <w:szCs w:val="20"/>
        </w:rPr>
        <w:t>. Se considera información confidencial la que contiene datos personales concernientes a una persona identificada o identificable.</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La información confidencial no estará sujeta a temporalidad alguna y sólo podrán tener acceso a ella los titulares de la misma, sus representantes y los Servidores Públicos facultados para ello.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Asimismo, será información confidencial aquella que presenten los particulares a los sujetos obligados, siempre que tengan el derecho a ello, de conformidad con lo dispuesto por las leyes o los tratados internacionales.</w:t>
      </w:r>
    </w:p>
    <w:p w:rsidR="0013255E" w:rsidRPr="00994000" w:rsidRDefault="0013255E" w:rsidP="00994000">
      <w:pPr>
        <w:spacing w:after="0" w:line="360" w:lineRule="auto"/>
        <w:ind w:left="567" w:right="567"/>
        <w:jc w:val="both"/>
        <w:rPr>
          <w:rFonts w:ascii="Palatino Linotype" w:eastAsia="Palatino Linotype" w:hAnsi="Palatino Linotype" w:cs="Palatino Linotype"/>
          <w:i/>
          <w:sz w:val="20"/>
          <w:szCs w:val="20"/>
        </w:rPr>
      </w:pPr>
    </w:p>
    <w:p w:rsidR="0013255E" w:rsidRPr="00994000" w:rsidRDefault="000C0B36" w:rsidP="00994000">
      <w:pPr>
        <w:spacing w:after="0" w:line="360" w:lineRule="auto"/>
        <w:ind w:left="567" w:right="567"/>
        <w:jc w:val="both"/>
        <w:rPr>
          <w:rFonts w:ascii="Palatino Linotype" w:eastAsia="Palatino Linotype" w:hAnsi="Palatino Linotype" w:cs="Palatino Linotype"/>
          <w:b/>
          <w:i/>
          <w:sz w:val="20"/>
          <w:szCs w:val="20"/>
        </w:rPr>
      </w:pPr>
      <w:r w:rsidRPr="00994000">
        <w:rPr>
          <w:rFonts w:ascii="Palatino Linotype" w:eastAsia="Palatino Linotype" w:hAnsi="Palatino Linotype" w:cs="Palatino Linotype"/>
          <w:b/>
          <w:i/>
          <w:sz w:val="20"/>
          <w:szCs w:val="20"/>
        </w:rPr>
        <w:lastRenderedPageBreak/>
        <w:t>LEY DE TRANSPARENCIA Y ACCESO A LA INFORMACIÓN PÚBLICA DEL ESTADO DE MÉXICO Y MUNICIPIOS.</w:t>
      </w:r>
    </w:p>
    <w:p w:rsidR="00C704B7" w:rsidRPr="00994000" w:rsidRDefault="00C704B7" w:rsidP="00994000">
      <w:pPr>
        <w:spacing w:after="0" w:line="360" w:lineRule="auto"/>
        <w:ind w:left="567" w:right="567"/>
        <w:jc w:val="both"/>
        <w:rPr>
          <w:rFonts w:ascii="Palatino Linotype" w:eastAsia="Palatino Linotype" w:hAnsi="Palatino Linotype" w:cs="Palatino Linotype"/>
          <w:b/>
          <w:i/>
          <w:sz w:val="20"/>
          <w:szCs w:val="20"/>
        </w:rPr>
      </w:pP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Artículo 122</w:t>
      </w:r>
      <w:r w:rsidRPr="00994000">
        <w:rPr>
          <w:rFonts w:ascii="Palatino Linotype" w:eastAsia="Palatino Linotype" w:hAnsi="Palatino Linotype" w:cs="Palatino Linotype"/>
          <w:i/>
          <w:sz w:val="20"/>
          <w:szCs w:val="20"/>
        </w:rPr>
        <w:t xml:space="preserve">. La clasificación es el proceso mediante el cual el sujeto obligado determina que la información en su poder </w:t>
      </w:r>
      <w:proofErr w:type="spellStart"/>
      <w:r w:rsidRPr="00994000">
        <w:rPr>
          <w:rFonts w:ascii="Palatino Linotype" w:eastAsia="Palatino Linotype" w:hAnsi="Palatino Linotype" w:cs="Palatino Linotype"/>
          <w:i/>
          <w:sz w:val="20"/>
          <w:szCs w:val="20"/>
        </w:rPr>
        <w:t>actualiza</w:t>
      </w:r>
      <w:proofErr w:type="spellEnd"/>
      <w:r w:rsidRPr="00994000">
        <w:rPr>
          <w:rFonts w:ascii="Palatino Linotype" w:eastAsia="Palatino Linotype" w:hAnsi="Palatino Linotype" w:cs="Palatino Linotype"/>
          <w:i/>
          <w:sz w:val="20"/>
          <w:szCs w:val="20"/>
        </w:rPr>
        <w:t xml:space="preserve"> alguno de los supuestos de reserva o confidencialidad, de conformidad con lo dispuesto en el presente título.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 xml:space="preserve">Los supuestos de reserva o confidencialidad previstos en las leyes deberán ser acordes con las bases, principios y disposiciones establecidos en la Ley General y, en ningún caso, podrán contravenirla. </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Los titulares de las áreas de los sujetos obligados serán los responsables de clasificar la información, de conformidad con lo dispuesto en la presente Ley y demás disposiciones jurídicas aplicables.</w:t>
      </w:r>
    </w:p>
    <w:p w:rsidR="00C704B7" w:rsidRPr="00994000" w:rsidRDefault="00C704B7" w:rsidP="00994000">
      <w:pPr>
        <w:spacing w:after="0" w:line="360" w:lineRule="auto"/>
        <w:ind w:left="567" w:right="567"/>
        <w:jc w:val="both"/>
        <w:rPr>
          <w:rFonts w:ascii="Palatino Linotype" w:eastAsia="Palatino Linotype" w:hAnsi="Palatino Linotype" w:cs="Palatino Linotype"/>
          <w:b/>
          <w:i/>
          <w:sz w:val="20"/>
          <w:szCs w:val="20"/>
        </w:rPr>
      </w:pP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Artículo 140.</w:t>
      </w:r>
      <w:r w:rsidRPr="00994000">
        <w:rPr>
          <w:rFonts w:ascii="Palatino Linotype" w:eastAsia="Palatino Linotype" w:hAnsi="Palatino Linotype" w:cs="Palatino Linotype"/>
          <w:i/>
          <w:sz w:val="20"/>
          <w:szCs w:val="20"/>
        </w:rPr>
        <w:t xml:space="preserve"> El acceso a la información pública será restringido excepcionalmente, cuando por razones de interés público, ésta sea clasificada como reservada, conforme a los criterios siguientes: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w:t>
      </w:r>
      <w:r w:rsidRPr="00994000">
        <w:rPr>
          <w:rFonts w:ascii="Palatino Linotype" w:eastAsia="Palatino Linotype" w:hAnsi="Palatino Linotype" w:cs="Palatino Linotype"/>
          <w:i/>
          <w:sz w:val="20"/>
          <w:szCs w:val="20"/>
        </w:rPr>
        <w:t xml:space="preserve"> Comprometa la seguridad pública y cuente con un propósito genuino y un efecto demostrable;</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II.</w:t>
      </w:r>
      <w:r w:rsidRPr="00994000">
        <w:rPr>
          <w:rFonts w:ascii="Palatino Linotype" w:eastAsia="Palatino Linotype" w:hAnsi="Palatino Linotype" w:cs="Palatino Linotype"/>
          <w:i/>
          <w:sz w:val="20"/>
          <w:szCs w:val="20"/>
        </w:rPr>
        <w:t xml:space="preserve"> Pueda menoscabar la conducción de las negociaciones y relaciones internacionales;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III.</w:t>
      </w:r>
      <w:r w:rsidRPr="00994000">
        <w:rPr>
          <w:rFonts w:ascii="Palatino Linotype" w:eastAsia="Palatino Linotype" w:hAnsi="Palatino Linotype" w:cs="Palatino Linotype"/>
          <w:i/>
          <w:sz w:val="20"/>
          <w:szCs w:val="2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IV.</w:t>
      </w:r>
      <w:r w:rsidRPr="00994000">
        <w:rPr>
          <w:rFonts w:ascii="Palatino Linotype" w:eastAsia="Palatino Linotype" w:hAnsi="Palatino Linotype" w:cs="Palatino Linotype"/>
          <w:i/>
          <w:sz w:val="20"/>
          <w:szCs w:val="20"/>
        </w:rPr>
        <w:t xml:space="preserve"> Ponga en riesgo la vida, la seguridad o la salud de una persona física;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V</w:t>
      </w:r>
      <w:r w:rsidRPr="00994000">
        <w:rPr>
          <w:rFonts w:ascii="Palatino Linotype" w:eastAsia="Palatino Linotype" w:hAnsi="Palatino Linotype" w:cs="Palatino Linotype"/>
          <w:i/>
          <w:sz w:val="20"/>
          <w:szCs w:val="20"/>
        </w:rPr>
        <w:t>. Aquella cuya divulgación obstruya o pueda causar un serio perjuicio 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1</w:t>
      </w:r>
      <w:r w:rsidRPr="00994000">
        <w:rPr>
          <w:rFonts w:ascii="Palatino Linotype" w:eastAsia="Palatino Linotype" w:hAnsi="Palatino Linotype" w:cs="Palatino Linotype"/>
          <w:i/>
          <w:sz w:val="20"/>
          <w:szCs w:val="20"/>
        </w:rPr>
        <w:t>. Las actividades de fiscalización, verificación, inspección, comprobación y auditoría sobre el cumplimiento de las Leyes; 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2.</w:t>
      </w:r>
      <w:r w:rsidRPr="00994000">
        <w:rPr>
          <w:rFonts w:ascii="Palatino Linotype" w:eastAsia="Palatino Linotype" w:hAnsi="Palatino Linotype" w:cs="Palatino Linotype"/>
          <w:i/>
          <w:sz w:val="20"/>
          <w:szCs w:val="20"/>
        </w:rPr>
        <w:t xml:space="preserve"> La recaudación de las contribuciones.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VI</w:t>
      </w:r>
      <w:r w:rsidRPr="00994000">
        <w:rPr>
          <w:rFonts w:ascii="Palatino Linotype" w:eastAsia="Palatino Linotype" w:hAnsi="Palatino Linotype" w:cs="Palatino Linotype"/>
          <w:i/>
          <w:sz w:val="20"/>
          <w:szCs w:val="2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w:t>
      </w:r>
      <w:r w:rsidRPr="00994000">
        <w:rPr>
          <w:rFonts w:ascii="Palatino Linotype" w:eastAsia="Palatino Linotype" w:hAnsi="Palatino Linotype" w:cs="Palatino Linotype"/>
          <w:i/>
          <w:sz w:val="20"/>
          <w:szCs w:val="20"/>
        </w:rPr>
        <w:lastRenderedPageBreak/>
        <w:t>quedado firmes o afecte la administración de justicia o la seguridad de un denunciante, querellante o testigo, así como sus familias, en los términos de las disposiciones jurídicas aplicables;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VII</w:t>
      </w:r>
      <w:r w:rsidRPr="00994000">
        <w:rPr>
          <w:rFonts w:ascii="Palatino Linotype" w:eastAsia="Palatino Linotype" w:hAnsi="Palatino Linotype" w:cs="Palatino Linotype"/>
          <w:i/>
          <w:sz w:val="20"/>
          <w:szCs w:val="20"/>
        </w:rPr>
        <w:t>. La que contengan las opiniones, recomendaciones o puntos de vista que formen parte del proceso deliberativo de los servidores públicos, hasta en tanto sea adoptada la decisión definitiva, la cual deberá estar documentada;</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VIII</w:t>
      </w:r>
      <w:r w:rsidRPr="00994000">
        <w:rPr>
          <w:rFonts w:ascii="Palatino Linotype" w:eastAsia="Palatino Linotype" w:hAnsi="Palatino Linotype" w:cs="Palatino Linotype"/>
          <w:i/>
          <w:sz w:val="20"/>
          <w:szCs w:val="20"/>
        </w:rPr>
        <w:t>. Vulnere la conducción de los expedientes judiciales o de los procedimientos administrativos seguidos en forma de juicio, en tanto no hayan quedado firmes;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IX</w:t>
      </w:r>
      <w:r w:rsidRPr="00994000">
        <w:rPr>
          <w:rFonts w:ascii="Palatino Linotype" w:eastAsia="Palatino Linotype" w:hAnsi="Palatino Linotype" w:cs="Palatino Linotype"/>
          <w:i/>
          <w:sz w:val="20"/>
          <w:szCs w:val="20"/>
        </w:rPr>
        <w:t>. Se encuentre contenida dentro de las investigaciones de hechos que la Ley señale como delitos y se tramiten ante el Ministerio Público;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X.</w:t>
      </w:r>
      <w:r w:rsidRPr="00994000">
        <w:rPr>
          <w:rFonts w:ascii="Palatino Linotype" w:eastAsia="Palatino Linotype" w:hAnsi="Palatino Linotype" w:cs="Palatino Linotype"/>
          <w:i/>
          <w:sz w:val="20"/>
          <w:szCs w:val="2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XI.</w:t>
      </w:r>
      <w:r w:rsidRPr="00994000">
        <w:rPr>
          <w:rFonts w:ascii="Palatino Linotype" w:eastAsia="Palatino Linotype" w:hAnsi="Palatino Linotype" w:cs="Palatino Linotype"/>
          <w:i/>
          <w:sz w:val="20"/>
          <w:szCs w:val="20"/>
        </w:rPr>
        <w:t xml:space="preserve"> Las que por disposición expresa de una ley tengan tal carácter, siempre que sean acordes con las bases, principios y disposiciones establecidos en esta Ley y no la contravengan; así como las previstas en tratados internacionales.</w:t>
      </w:r>
    </w:p>
    <w:p w:rsidR="00C704B7" w:rsidRPr="00994000" w:rsidRDefault="00C704B7" w:rsidP="00994000">
      <w:pPr>
        <w:spacing w:after="0" w:line="360" w:lineRule="auto"/>
        <w:ind w:left="567" w:right="567"/>
        <w:jc w:val="both"/>
        <w:rPr>
          <w:rFonts w:ascii="Palatino Linotype" w:eastAsia="Palatino Linotype" w:hAnsi="Palatino Linotype" w:cs="Palatino Linotype"/>
          <w:b/>
          <w:i/>
          <w:sz w:val="20"/>
          <w:szCs w:val="20"/>
        </w:rPr>
      </w:pP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Artículo 143.</w:t>
      </w:r>
      <w:r w:rsidRPr="00994000">
        <w:rPr>
          <w:rFonts w:ascii="Palatino Linotype" w:eastAsia="Palatino Linotype" w:hAnsi="Palatino Linotype" w:cs="Palatino Linotype"/>
          <w:i/>
          <w:sz w:val="20"/>
          <w:szCs w:val="20"/>
        </w:rPr>
        <w:t xml:space="preserve"> Para los efectos de esta Ley se considera información confidencial, la clasificada como tal, de manera permanente, por su naturaleza, cuando: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w:t>
      </w:r>
      <w:r w:rsidRPr="00994000">
        <w:rPr>
          <w:rFonts w:ascii="Palatino Linotype" w:eastAsia="Palatino Linotype" w:hAnsi="Palatino Linotype" w:cs="Palatino Linotype"/>
          <w:i/>
          <w:sz w:val="20"/>
          <w:szCs w:val="20"/>
        </w:rPr>
        <w:t>. Se refiera a la información privada y los datos personales concernientes a una persona física o</w:t>
      </w:r>
      <w:r w:rsidR="00C704B7" w:rsidRPr="00994000">
        <w:rPr>
          <w:rFonts w:ascii="Palatino Linotype" w:eastAsia="Palatino Linotype" w:hAnsi="Palatino Linotype" w:cs="Palatino Linotype"/>
          <w:i/>
          <w:sz w:val="20"/>
          <w:szCs w:val="20"/>
        </w:rPr>
        <w:t xml:space="preserve"> </w:t>
      </w:r>
      <w:proofErr w:type="gramStart"/>
      <w:r w:rsidRPr="00994000">
        <w:rPr>
          <w:rFonts w:ascii="Palatino Linotype" w:eastAsia="Palatino Linotype" w:hAnsi="Palatino Linotype" w:cs="Palatino Linotype"/>
          <w:i/>
          <w:sz w:val="20"/>
          <w:szCs w:val="20"/>
        </w:rPr>
        <w:t>jurídico</w:t>
      </w:r>
      <w:proofErr w:type="gramEnd"/>
      <w:r w:rsidRPr="00994000">
        <w:rPr>
          <w:rFonts w:ascii="Palatino Linotype" w:eastAsia="Palatino Linotype" w:hAnsi="Palatino Linotype" w:cs="Palatino Linotype"/>
          <w:i/>
          <w:sz w:val="20"/>
          <w:szCs w:val="20"/>
        </w:rPr>
        <w:t xml:space="preserve"> colectiva identificada o identificable;</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t>II.</w:t>
      </w:r>
      <w:r w:rsidRPr="00994000">
        <w:rPr>
          <w:rFonts w:ascii="Palatino Linotype" w:eastAsia="Palatino Linotype" w:hAnsi="Palatino Linotype" w:cs="Palatino Linotype"/>
          <w:i/>
          <w:sz w:val="20"/>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b/>
          <w:i/>
          <w:sz w:val="20"/>
          <w:szCs w:val="20"/>
        </w:rPr>
        <w:lastRenderedPageBreak/>
        <w:t>III.</w:t>
      </w:r>
      <w:r w:rsidRPr="00994000">
        <w:rPr>
          <w:rFonts w:ascii="Palatino Linotype" w:eastAsia="Palatino Linotype" w:hAnsi="Palatino Linotype" w:cs="Palatino Linotype"/>
          <w:i/>
          <w:sz w:val="20"/>
          <w:szCs w:val="20"/>
        </w:rPr>
        <w:t xml:space="preserve"> La que presenten los particulares a los sujetos obligados, de conformidad con lo dispuesto por las leyes o los tratados internacionales.</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La información confidencial no estará sujeta a temporalidad alguna y sólo podrán tener acceso a ella los titulares de la misma, sus representantes y los servidores públicos facultados para ello.</w:t>
      </w:r>
    </w:p>
    <w:p w:rsidR="0013255E" w:rsidRPr="00994000" w:rsidRDefault="000C0B36" w:rsidP="00994000">
      <w:pPr>
        <w:spacing w:after="0" w:line="360" w:lineRule="auto"/>
        <w:ind w:left="567" w:right="567"/>
        <w:jc w:val="both"/>
        <w:rPr>
          <w:rFonts w:ascii="Palatino Linotype" w:eastAsia="Palatino Linotype" w:hAnsi="Palatino Linotype" w:cs="Palatino Linotype"/>
          <w:i/>
          <w:sz w:val="20"/>
          <w:szCs w:val="20"/>
        </w:rPr>
      </w:pPr>
      <w:r w:rsidRPr="00994000">
        <w:rPr>
          <w:rFonts w:ascii="Palatino Linotype" w:eastAsia="Palatino Linotype" w:hAnsi="Palatino Linotype" w:cs="Palatino Linotype"/>
          <w:i/>
          <w:sz w:val="20"/>
          <w:szCs w:val="20"/>
        </w:rPr>
        <w:t>No se considerará confidencial la información que se encuentre en los registros públicos o en fuentes de acceso público, ni tampoco la que sea considerada por la presente ley como información pública.</w:t>
      </w:r>
    </w:p>
    <w:p w:rsidR="00994000" w:rsidRDefault="00994000" w:rsidP="00C704B7">
      <w:pPr>
        <w:spacing w:after="0" w:line="360" w:lineRule="auto"/>
        <w:jc w:val="both"/>
        <w:rPr>
          <w:rFonts w:ascii="Palatino Linotype" w:eastAsia="Palatino Linotype" w:hAnsi="Palatino Linotype" w:cs="Palatino Linotype"/>
          <w:sz w:val="24"/>
          <w:szCs w:val="24"/>
        </w:rPr>
      </w:pPr>
    </w:p>
    <w:p w:rsidR="0013255E" w:rsidRPr="00F57BC6"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Así, toda la información en poder de los Sujetos Obligados, -como el Poder Legislativo-, es de naturaleza pública, sin la distinción de que la tengan en su poder, a partir de que la hayan generado, obtenido, adquirido, transformado o administrado, bastará con que esté en su posesión y solo podrá ser limitada bajo dos supuestos</w:t>
      </w:r>
      <w:r w:rsidR="00994000">
        <w:rPr>
          <w:rFonts w:ascii="Palatino Linotype" w:eastAsia="Palatino Linotype" w:hAnsi="Palatino Linotype" w:cs="Palatino Linotype"/>
          <w:sz w:val="24"/>
          <w:szCs w:val="24"/>
        </w:rPr>
        <w:t>,</w:t>
      </w:r>
      <w:r w:rsidRPr="00F57BC6">
        <w:rPr>
          <w:rFonts w:ascii="Palatino Linotype" w:eastAsia="Palatino Linotype" w:hAnsi="Palatino Linotype" w:cs="Palatino Linotype"/>
          <w:sz w:val="24"/>
          <w:szCs w:val="24"/>
        </w:rPr>
        <w:t xml:space="preserve"> la reserva y la confidencialidad.</w:t>
      </w:r>
    </w:p>
    <w:p w:rsidR="00C704B7" w:rsidRDefault="00C704B7" w:rsidP="00C704B7">
      <w:pPr>
        <w:spacing w:after="0" w:line="360" w:lineRule="auto"/>
        <w:jc w:val="both"/>
        <w:rPr>
          <w:rFonts w:ascii="Palatino Linotype" w:eastAsia="Palatino Linotype" w:hAnsi="Palatino Linotype" w:cs="Palatino Linotype"/>
          <w:sz w:val="24"/>
          <w:szCs w:val="24"/>
        </w:rPr>
      </w:pPr>
    </w:p>
    <w:p w:rsidR="0013255E" w:rsidRPr="00F57BC6"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E</w:t>
      </w:r>
      <w:r w:rsidR="00994000">
        <w:rPr>
          <w:rFonts w:ascii="Palatino Linotype" w:eastAsia="Palatino Linotype" w:hAnsi="Palatino Linotype" w:cs="Palatino Linotype"/>
          <w:sz w:val="24"/>
          <w:szCs w:val="24"/>
        </w:rPr>
        <w:t>n este sentido, e</w:t>
      </w:r>
      <w:r w:rsidRPr="00F57BC6">
        <w:rPr>
          <w:rFonts w:ascii="Palatino Linotype" w:eastAsia="Palatino Linotype" w:hAnsi="Palatino Linotype" w:cs="Palatino Linotype"/>
          <w:sz w:val="24"/>
          <w:szCs w:val="24"/>
        </w:rPr>
        <w:t xml:space="preserve">s necesario determinar la competencia del Sujeto Obligado para poseer información y, por ende, la fuente obligacional de proporcionarla; </w:t>
      </w:r>
      <w:r w:rsidR="00994000">
        <w:rPr>
          <w:rFonts w:ascii="Palatino Linotype" w:eastAsia="Palatino Linotype" w:hAnsi="Palatino Linotype" w:cs="Palatino Linotype"/>
          <w:sz w:val="24"/>
          <w:szCs w:val="24"/>
        </w:rPr>
        <w:t>tal es el caso de</w:t>
      </w:r>
      <w:r w:rsidRPr="00F57BC6">
        <w:rPr>
          <w:rFonts w:ascii="Palatino Linotype" w:eastAsia="Palatino Linotype" w:hAnsi="Palatino Linotype" w:cs="Palatino Linotype"/>
          <w:sz w:val="24"/>
          <w:szCs w:val="24"/>
        </w:rPr>
        <w:t>l artículo 61, fracción XXXII de la Constitución Política del Estado Libre y Soberano de México, precisa que la Legislatura podrá revisar, fiscalizar y calificar las cuentas públicas del Estado y los Municipios, del año anterior y para tal efecto contará con un Órgano Superior de Fiscalización.</w:t>
      </w:r>
    </w:p>
    <w:p w:rsidR="00C704B7" w:rsidRDefault="00C704B7" w:rsidP="00C704B7">
      <w:pPr>
        <w:spacing w:after="0" w:line="360" w:lineRule="auto"/>
        <w:jc w:val="both"/>
        <w:rPr>
          <w:rFonts w:ascii="Palatino Linotype" w:eastAsia="Palatino Linotype" w:hAnsi="Palatino Linotype" w:cs="Palatino Linotype"/>
          <w:sz w:val="24"/>
          <w:szCs w:val="24"/>
        </w:rPr>
      </w:pPr>
    </w:p>
    <w:p w:rsidR="0013255E" w:rsidRPr="00F57BC6"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Por su parte, los artículos 94, fracción I y 95 de la Ley Orgánica del Poder Legislativo del Estado Libre y Soberano de México, establecen que para el control, fiscalización y revisión del ingreso y del gasto público de los entes públicos que manejen recursos del Estado y Municipios la Legislatura dispondrá del Órgano Superior de </w:t>
      </w:r>
      <w:r w:rsidRPr="00F57BC6">
        <w:rPr>
          <w:rFonts w:ascii="Palatino Linotype" w:eastAsia="Palatino Linotype" w:hAnsi="Palatino Linotype" w:cs="Palatino Linotype"/>
          <w:sz w:val="24"/>
          <w:szCs w:val="24"/>
        </w:rPr>
        <w:lastRenderedPageBreak/>
        <w:t>Fiscalización, cuya organización y funcionamiento se regirá por la Ley de Fiscalización Superior del Estado de México y su Reglamento Interior.</w:t>
      </w:r>
    </w:p>
    <w:p w:rsidR="00C704B7" w:rsidRDefault="00C704B7" w:rsidP="00C704B7">
      <w:pPr>
        <w:spacing w:after="0" w:line="360" w:lineRule="auto"/>
        <w:jc w:val="both"/>
        <w:rPr>
          <w:rFonts w:ascii="Palatino Linotype" w:eastAsia="Palatino Linotype" w:hAnsi="Palatino Linotype" w:cs="Palatino Linotype"/>
          <w:sz w:val="24"/>
          <w:szCs w:val="24"/>
        </w:rPr>
      </w:pPr>
    </w:p>
    <w:p w:rsidR="0013255E" w:rsidRPr="00F57BC6"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En ese orden de ideas, los artículos 2º, fracción XI y 32, párrafo primero de la Ley de Fiscalización Superior del Estado de México, se desprende que los Informes Trimestrales son el documento físico y/o electrónico que trimestralmente presentan las entidades fiscalizables sobre la situación económica y en su caso deuda pública y se deberá presentar dentro de los veinte días hábiles posteriores al término del trimestre correspondiente al Órgano Superior para su análisis.</w:t>
      </w:r>
    </w:p>
    <w:p w:rsidR="00C704B7"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Así, </w:t>
      </w:r>
      <w:r w:rsidRPr="00F57BC6">
        <w:rPr>
          <w:rFonts w:ascii="Palatino Linotype" w:eastAsia="Palatino Linotype" w:hAnsi="Palatino Linotype" w:cs="Palatino Linotype"/>
          <w:b/>
          <w:sz w:val="24"/>
          <w:szCs w:val="24"/>
        </w:rPr>
        <w:t>el Poder Legislativo, es poseedor de la información por lo que la única manera de restringir el derecho de acceso a la información mediante la clasificación de información</w:t>
      </w:r>
      <w:r w:rsidRPr="00F57BC6">
        <w:rPr>
          <w:rFonts w:ascii="Palatino Linotype" w:eastAsia="Palatino Linotype" w:hAnsi="Palatino Linotype" w:cs="Palatino Linotype"/>
          <w:sz w:val="24"/>
          <w:szCs w:val="24"/>
        </w:rPr>
        <w:t xml:space="preserve"> con la emisión de un acuerdo, aprobado por el Comité de Transparencia del Sujeto Obligado, debidamente fundado y motivado, que en apego a los preceptor de clasificación antes invocados, exprese en la especie, cuáles son los supuestos de clasificación que se actualizan en el caso que nos ocupa, situación que no aconteció, pues el Poder Legislativo únicamente se limitó a referir que el Órgano Superior de Fiscalización se encuentra impedido a proporcionar la información y</w:t>
      </w:r>
      <w:r>
        <w:rPr>
          <w:rFonts w:ascii="Palatino Linotype" w:eastAsia="Palatino Linotype" w:hAnsi="Palatino Linotype" w:cs="Palatino Linotype"/>
          <w:sz w:val="24"/>
          <w:szCs w:val="24"/>
        </w:rPr>
        <w:t xml:space="preserve"> orientó al particular a efecto de solicitar la información ante el Ayuntamiento de Chimalhuacán, al considerar que este es el generador de la información.</w:t>
      </w:r>
    </w:p>
    <w:p w:rsidR="00994000" w:rsidRDefault="00994000"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shd w:val="clear" w:color="auto" w:fill="8E7CC3"/>
        </w:rPr>
      </w:pPr>
      <w:r w:rsidRPr="008C40AC">
        <w:rPr>
          <w:rFonts w:ascii="Palatino Linotype" w:eastAsia="Palatino Linotype" w:hAnsi="Palatino Linotype" w:cs="Palatino Linotype"/>
          <w:sz w:val="24"/>
          <w:szCs w:val="24"/>
        </w:rPr>
        <w:t xml:space="preserve">Como puede advertirse, la respuesta del servidor público habilitado del Órgano Superior de Fiscalización es contradictoria, </w:t>
      </w:r>
      <w:r w:rsidR="00994000" w:rsidRPr="008C40AC">
        <w:rPr>
          <w:rFonts w:ascii="Palatino Linotype" w:eastAsia="Palatino Linotype" w:hAnsi="Palatino Linotype" w:cs="Palatino Linotype"/>
          <w:sz w:val="24"/>
          <w:szCs w:val="24"/>
        </w:rPr>
        <w:t>y</w:t>
      </w:r>
      <w:r w:rsidRPr="008C40AC">
        <w:rPr>
          <w:rFonts w:ascii="Palatino Linotype" w:eastAsia="Palatino Linotype" w:hAnsi="Palatino Linotype" w:cs="Palatino Linotype"/>
          <w:sz w:val="24"/>
          <w:szCs w:val="24"/>
        </w:rPr>
        <w:t>a que por un lado</w:t>
      </w:r>
      <w:r w:rsidR="00994000" w:rsidRPr="008C40AC">
        <w:rPr>
          <w:rFonts w:ascii="Palatino Linotype" w:eastAsia="Palatino Linotype" w:hAnsi="Palatino Linotype" w:cs="Palatino Linotype"/>
          <w:sz w:val="24"/>
          <w:szCs w:val="24"/>
        </w:rPr>
        <w:t>,</w:t>
      </w:r>
      <w:r w:rsidRPr="008C40AC">
        <w:rPr>
          <w:rFonts w:ascii="Palatino Linotype" w:eastAsia="Palatino Linotype" w:hAnsi="Palatino Linotype" w:cs="Palatino Linotype"/>
          <w:sz w:val="24"/>
          <w:szCs w:val="24"/>
        </w:rPr>
        <w:t xml:space="preserve"> declara que no cuenta con atribuciones para fiscalizar ingresos que no estén legalmente establecidos y</w:t>
      </w:r>
      <w:r w:rsidR="00994000" w:rsidRPr="008C40AC">
        <w:rPr>
          <w:rFonts w:ascii="Palatino Linotype" w:eastAsia="Palatino Linotype" w:hAnsi="Palatino Linotype" w:cs="Palatino Linotype"/>
          <w:sz w:val="24"/>
          <w:szCs w:val="24"/>
        </w:rPr>
        <w:t>,</w:t>
      </w:r>
      <w:r w:rsidRPr="008C40AC">
        <w:rPr>
          <w:rFonts w:ascii="Palatino Linotype" w:eastAsia="Palatino Linotype" w:hAnsi="Palatino Linotype" w:cs="Palatino Linotype"/>
          <w:sz w:val="24"/>
          <w:szCs w:val="24"/>
        </w:rPr>
        <w:t xml:space="preserve"> por otro, dirige al particular ante el Ayuntamiento de Chimalhuacán con la </w:t>
      </w:r>
      <w:r w:rsidR="00994000" w:rsidRPr="008C40AC">
        <w:rPr>
          <w:rFonts w:ascii="Palatino Linotype" w:eastAsia="Palatino Linotype" w:hAnsi="Palatino Linotype" w:cs="Palatino Linotype"/>
          <w:sz w:val="24"/>
          <w:szCs w:val="24"/>
        </w:rPr>
        <w:lastRenderedPageBreak/>
        <w:t>fiabilidad de que sea e</w:t>
      </w:r>
      <w:r w:rsidRPr="008C40AC">
        <w:rPr>
          <w:rFonts w:ascii="Palatino Linotype" w:eastAsia="Palatino Linotype" w:hAnsi="Palatino Linotype" w:cs="Palatino Linotype"/>
          <w:sz w:val="24"/>
          <w:szCs w:val="24"/>
        </w:rPr>
        <w:t xml:space="preserve">ste quien proporcione la información, </w:t>
      </w:r>
      <w:r w:rsidR="00994000" w:rsidRPr="008C40AC">
        <w:rPr>
          <w:rFonts w:ascii="Palatino Linotype" w:eastAsia="Palatino Linotype" w:hAnsi="Palatino Linotype" w:cs="Palatino Linotype"/>
          <w:sz w:val="24"/>
          <w:szCs w:val="24"/>
        </w:rPr>
        <w:t xml:space="preserve">lo que </w:t>
      </w:r>
      <w:r w:rsidRPr="008C40AC">
        <w:rPr>
          <w:rFonts w:ascii="Palatino Linotype" w:eastAsia="Palatino Linotype" w:hAnsi="Palatino Linotype" w:cs="Palatino Linotype"/>
          <w:sz w:val="24"/>
          <w:szCs w:val="24"/>
        </w:rPr>
        <w:t xml:space="preserve">genera incertidumbre respecto de la posibilidad de que la información materia de la solicitud obre en los archivos del </w:t>
      </w:r>
      <w:r w:rsidRPr="008C40AC">
        <w:rPr>
          <w:rFonts w:ascii="Palatino Linotype" w:eastAsia="Palatino Linotype" w:hAnsi="Palatino Linotype" w:cs="Palatino Linotype"/>
          <w:b/>
          <w:sz w:val="24"/>
          <w:szCs w:val="24"/>
        </w:rPr>
        <w:t>Sujeto Obligado</w:t>
      </w:r>
      <w:r w:rsidRPr="008C40AC">
        <w:rPr>
          <w:rFonts w:ascii="Palatino Linotype" w:eastAsia="Palatino Linotype" w:hAnsi="Palatino Linotype" w:cs="Palatino Linotype"/>
          <w:sz w:val="24"/>
          <w:szCs w:val="24"/>
        </w:rPr>
        <w:t>, información que al relacionarse con ingresos necesariamente deben ser fiscalizados, por lo que, en caso de generarse en el Ayuntamiento, también debe obrar en poder del OSFEM.</w:t>
      </w:r>
    </w:p>
    <w:p w:rsidR="00C704B7" w:rsidRDefault="00C704B7" w:rsidP="00C704B7">
      <w:pPr>
        <w:spacing w:after="0" w:line="360" w:lineRule="auto"/>
        <w:jc w:val="both"/>
        <w:rPr>
          <w:rFonts w:ascii="Palatino Linotype" w:eastAsia="Palatino Linotype" w:hAnsi="Palatino Linotype" w:cs="Palatino Linotype"/>
          <w:sz w:val="24"/>
          <w:szCs w:val="24"/>
          <w:shd w:val="clear" w:color="auto" w:fill="8E7CC3"/>
        </w:rPr>
      </w:pPr>
    </w:p>
    <w:p w:rsidR="0013255E" w:rsidRDefault="000C0B36" w:rsidP="00C704B7">
      <w:pPr>
        <w:spacing w:after="0" w:line="360" w:lineRule="auto"/>
        <w:jc w:val="both"/>
        <w:rPr>
          <w:rFonts w:ascii="Palatino Linotype" w:eastAsia="Palatino Linotype" w:hAnsi="Palatino Linotype" w:cs="Palatino Linotype"/>
          <w:sz w:val="24"/>
          <w:szCs w:val="24"/>
          <w:shd w:val="clear" w:color="auto" w:fill="8E7CC3"/>
        </w:rPr>
      </w:pPr>
      <w:r w:rsidRPr="008C40AC">
        <w:rPr>
          <w:rFonts w:ascii="Palatino Linotype" w:eastAsia="Palatino Linotype" w:hAnsi="Palatino Linotype" w:cs="Palatino Linotype"/>
          <w:sz w:val="24"/>
          <w:szCs w:val="24"/>
        </w:rPr>
        <w:t>Asimismo, no obsta mencionar que de conformidad con el artículo 157 del Código Financiero del Estado de México, los condu</w:t>
      </w:r>
      <w:r w:rsidR="00994000" w:rsidRPr="008C40AC">
        <w:rPr>
          <w:rFonts w:ascii="Palatino Linotype" w:eastAsia="Palatino Linotype" w:hAnsi="Palatino Linotype" w:cs="Palatino Linotype"/>
          <w:sz w:val="24"/>
          <w:szCs w:val="24"/>
        </w:rPr>
        <w:t>ctores de vehículos automotores</w:t>
      </w:r>
      <w:r w:rsidRPr="008C40AC">
        <w:rPr>
          <w:rFonts w:ascii="Palatino Linotype" w:eastAsia="Palatino Linotype" w:hAnsi="Palatino Linotype" w:cs="Palatino Linotype"/>
          <w:sz w:val="24"/>
          <w:szCs w:val="24"/>
        </w:rPr>
        <w:t xml:space="preserve"> que ocupen la vía pública y los lugares de uso común de los centros de población como estacionamiento para base de taxis, calles y sitios que conforme a las disposiciones legales aplicables determine la autoridad; así como personas físicas y jurídicas colectivas propietarias de establecimientos comerciales o de servicios, que en beneficio de sí o de sus clientes aprovechen los lugares autorizados para estacionarse en la vía pública pagarán derechos,</w:t>
      </w:r>
      <w:r w:rsidR="00994000" w:rsidRPr="008C40AC">
        <w:rPr>
          <w:rFonts w:ascii="Palatino Linotype" w:eastAsia="Palatino Linotype" w:hAnsi="Palatino Linotype" w:cs="Palatino Linotype"/>
          <w:sz w:val="24"/>
          <w:szCs w:val="24"/>
        </w:rPr>
        <w:t xml:space="preserve"> por lo que actualizan </w:t>
      </w:r>
      <w:r w:rsidR="00F57BC6" w:rsidRPr="008C40AC">
        <w:rPr>
          <w:rFonts w:ascii="Palatino Linotype" w:eastAsia="Palatino Linotype" w:hAnsi="Palatino Linotype" w:cs="Palatino Linotype"/>
          <w:sz w:val="24"/>
          <w:szCs w:val="24"/>
        </w:rPr>
        <w:t>la fracción II de</w:t>
      </w:r>
      <w:r w:rsidRPr="008C40AC">
        <w:rPr>
          <w:rFonts w:ascii="Palatino Linotype" w:eastAsia="Palatino Linotype" w:hAnsi="Palatino Linotype" w:cs="Palatino Linotype"/>
          <w:sz w:val="24"/>
          <w:szCs w:val="24"/>
        </w:rPr>
        <w:t xml:space="preserve"> dicho precepto</w:t>
      </w:r>
      <w:r w:rsidR="00994000" w:rsidRPr="008C40AC">
        <w:rPr>
          <w:rFonts w:ascii="Palatino Linotype" w:eastAsia="Palatino Linotype" w:hAnsi="Palatino Linotype" w:cs="Palatino Linotype"/>
          <w:sz w:val="24"/>
          <w:szCs w:val="24"/>
        </w:rPr>
        <w:t xml:space="preserve">, </w:t>
      </w:r>
      <w:r w:rsidRPr="008C40AC">
        <w:rPr>
          <w:rFonts w:ascii="Palatino Linotype" w:eastAsia="Palatino Linotype" w:hAnsi="Palatino Linotype" w:cs="Palatino Linotype"/>
          <w:sz w:val="24"/>
          <w:szCs w:val="24"/>
        </w:rPr>
        <w:t>como se advierte enseguida:</w:t>
      </w:r>
    </w:p>
    <w:p w:rsidR="0013255E" w:rsidRDefault="000C0B36" w:rsidP="00C704B7">
      <w:pPr>
        <w:spacing w:after="0" w:line="360" w:lineRule="auto"/>
        <w:jc w:val="both"/>
        <w:rPr>
          <w:rFonts w:ascii="Palatino Linotype" w:eastAsia="Palatino Linotype" w:hAnsi="Palatino Linotype" w:cs="Palatino Linotype"/>
          <w:sz w:val="24"/>
          <w:szCs w:val="24"/>
          <w:shd w:val="clear" w:color="auto" w:fill="8E7CC3"/>
        </w:rPr>
      </w:pPr>
      <w:r>
        <w:rPr>
          <w:rFonts w:ascii="Palatino Linotype" w:eastAsia="Palatino Linotype" w:hAnsi="Palatino Linotype" w:cs="Palatino Linotype"/>
          <w:noProof/>
          <w:sz w:val="24"/>
          <w:szCs w:val="24"/>
          <w:shd w:val="clear" w:color="auto" w:fill="8E7CC3"/>
          <w:lang w:val="es-MX"/>
        </w:rPr>
        <w:drawing>
          <wp:inline distT="114300" distB="114300" distL="114300" distR="114300">
            <wp:extent cx="5612130" cy="2133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133600"/>
                    </a:xfrm>
                    <a:prstGeom prst="rect">
                      <a:avLst/>
                    </a:prstGeom>
                    <a:ln/>
                  </pic:spPr>
                </pic:pic>
              </a:graphicData>
            </a:graphic>
          </wp:inline>
        </w:drawing>
      </w:r>
    </w:p>
    <w:p w:rsidR="0013255E" w:rsidRDefault="000C0B36" w:rsidP="00C704B7">
      <w:pPr>
        <w:spacing w:after="0" w:line="360" w:lineRule="auto"/>
        <w:jc w:val="both"/>
        <w:rPr>
          <w:rFonts w:ascii="Palatino Linotype" w:eastAsia="Palatino Linotype" w:hAnsi="Palatino Linotype" w:cs="Palatino Linotype"/>
          <w:sz w:val="24"/>
          <w:szCs w:val="24"/>
          <w:shd w:val="clear" w:color="auto" w:fill="8E7CC3"/>
        </w:rPr>
      </w:pPr>
      <w:r w:rsidRPr="008C40AC">
        <w:rPr>
          <w:rFonts w:ascii="Palatino Linotype" w:eastAsia="Palatino Linotype" w:hAnsi="Palatino Linotype" w:cs="Palatino Linotype"/>
          <w:sz w:val="24"/>
          <w:szCs w:val="24"/>
        </w:rPr>
        <w:t>El pago de derechos correspondiente debe realizarse dentro de los primeros diez días de cada mes, a</w:t>
      </w:r>
      <w:r w:rsidRPr="008C40AC">
        <w:rPr>
          <w:rFonts w:ascii="Palatino Linotype" w:eastAsia="Palatino Linotype" w:hAnsi="Palatino Linotype" w:cs="Palatino Linotype"/>
          <w:b/>
          <w:sz w:val="24"/>
          <w:szCs w:val="24"/>
        </w:rPr>
        <w:t xml:space="preserve">nte la tesorería municipal, </w:t>
      </w:r>
      <w:r w:rsidRPr="008C40AC">
        <w:rPr>
          <w:rFonts w:ascii="Palatino Linotype" w:eastAsia="Palatino Linotype" w:hAnsi="Palatino Linotype" w:cs="Palatino Linotype"/>
          <w:sz w:val="24"/>
          <w:szCs w:val="24"/>
        </w:rPr>
        <w:t xml:space="preserve">por lo que, para proceder al cobro de </w:t>
      </w:r>
      <w:r w:rsidRPr="008C40AC">
        <w:rPr>
          <w:rFonts w:ascii="Palatino Linotype" w:eastAsia="Palatino Linotype" w:hAnsi="Palatino Linotype" w:cs="Palatino Linotype"/>
          <w:sz w:val="24"/>
          <w:szCs w:val="24"/>
        </w:rPr>
        <w:lastRenderedPageBreak/>
        <w:t>este derecho la autoridad municipal deberá emitir las disposiciones administrativas que delimiten el uso de los cajones de estacionamiento por los que se hayan realizado los pagos de derechos en términos de la fracción II de este artículo, así como propiciar la correcta señalización y uso de la vía pública, de conformidad con el reglamento que para tal fin emita la propia autoridad.</w:t>
      </w:r>
    </w:p>
    <w:p w:rsidR="00C704B7" w:rsidRDefault="00C704B7" w:rsidP="00C704B7">
      <w:pPr>
        <w:spacing w:after="0" w:line="360" w:lineRule="auto"/>
        <w:jc w:val="both"/>
        <w:rPr>
          <w:rFonts w:ascii="Palatino Linotype" w:eastAsia="Palatino Linotype" w:hAnsi="Palatino Linotype" w:cs="Palatino Linotype"/>
          <w:sz w:val="24"/>
          <w:szCs w:val="24"/>
          <w:shd w:val="clear" w:color="auto" w:fill="8E7CC3"/>
        </w:rPr>
      </w:pPr>
    </w:p>
    <w:p w:rsidR="0013255E" w:rsidRDefault="000C0B36" w:rsidP="00C704B7">
      <w:pPr>
        <w:spacing w:after="0" w:line="360" w:lineRule="auto"/>
        <w:jc w:val="both"/>
        <w:rPr>
          <w:rFonts w:ascii="Palatino Linotype" w:eastAsia="Palatino Linotype" w:hAnsi="Palatino Linotype" w:cs="Palatino Linotype"/>
          <w:sz w:val="24"/>
          <w:szCs w:val="24"/>
          <w:shd w:val="clear" w:color="auto" w:fill="8E7CC3"/>
        </w:rPr>
      </w:pPr>
      <w:r w:rsidRPr="008C40AC">
        <w:rPr>
          <w:rFonts w:ascii="Palatino Linotype" w:eastAsia="Palatino Linotype" w:hAnsi="Palatino Linotype" w:cs="Palatino Linotype"/>
          <w:sz w:val="24"/>
          <w:szCs w:val="24"/>
        </w:rPr>
        <w:t xml:space="preserve">En el mismo tenor, el artículo 156 del Bando Municipal de Chimalhuacán, en su parte conducente señala que la ocupación de la vía pública perteneciente a la infraestructura vial local a cargo del Municipio, </w:t>
      </w:r>
      <w:r w:rsidRPr="008C40AC">
        <w:rPr>
          <w:rFonts w:ascii="Palatino Linotype" w:eastAsia="Palatino Linotype" w:hAnsi="Palatino Linotype" w:cs="Palatino Linotype"/>
          <w:b/>
          <w:sz w:val="24"/>
          <w:szCs w:val="24"/>
        </w:rPr>
        <w:t>mediante el uso o utilización de espacios de estacionamiento y la asignación de número de los mismos para vehículos de servicio público de transporte, requerirá de la autorización para la ocupación de la vía pública correspondiente, emitida por de la Dirección General de Obras Públicas</w:t>
      </w:r>
      <w:r w:rsidRPr="008C40AC">
        <w:rPr>
          <w:rFonts w:ascii="Palatino Linotype" w:eastAsia="Palatino Linotype" w:hAnsi="Palatino Linotype" w:cs="Palatino Linotype"/>
          <w:sz w:val="24"/>
          <w:szCs w:val="24"/>
        </w:rPr>
        <w:t>, en términos de las disposiciones reglamentarias aplicables de la materia.</w:t>
      </w:r>
    </w:p>
    <w:p w:rsidR="00C704B7" w:rsidRDefault="00C704B7" w:rsidP="00C704B7">
      <w:pPr>
        <w:spacing w:after="0" w:line="360" w:lineRule="auto"/>
        <w:jc w:val="both"/>
        <w:rPr>
          <w:rFonts w:ascii="Palatino Linotype" w:eastAsia="Palatino Linotype" w:hAnsi="Palatino Linotype" w:cs="Palatino Linotype"/>
          <w:sz w:val="24"/>
          <w:szCs w:val="24"/>
          <w:shd w:val="clear" w:color="auto" w:fill="8E7CC3"/>
        </w:rPr>
      </w:pPr>
    </w:p>
    <w:p w:rsidR="0013255E" w:rsidRDefault="000C0B36" w:rsidP="00C704B7">
      <w:pPr>
        <w:spacing w:after="0" w:line="360" w:lineRule="auto"/>
        <w:jc w:val="both"/>
        <w:rPr>
          <w:rFonts w:ascii="Palatino Linotype" w:eastAsia="Palatino Linotype" w:hAnsi="Palatino Linotype" w:cs="Palatino Linotype"/>
          <w:sz w:val="24"/>
          <w:szCs w:val="24"/>
          <w:shd w:val="clear" w:color="auto" w:fill="8E7CC3"/>
        </w:rPr>
      </w:pPr>
      <w:r w:rsidRPr="008C40AC">
        <w:rPr>
          <w:rFonts w:ascii="Palatino Linotype" w:eastAsia="Palatino Linotype" w:hAnsi="Palatino Linotype" w:cs="Palatino Linotype"/>
          <w:sz w:val="24"/>
          <w:szCs w:val="24"/>
        </w:rPr>
        <w:t>Asimismo, el precepto en cita dispone que las marcas sobre el arroyo vehicular, así como el señalamiento horizontal, vertical o cualquier otro elemento o dispositivo que determine ocupación en forma exclusiva de la vía pública en la infraestructura vial local a cargo del Municipio, para la prestación del servicio de transporte, requerirá de la autorización para la ocupación de la vía pública correspondiente, emitida por la Dirección General de Obras Públicas, en términos de las disposiciones reglamentarias aplicables en la materia</w:t>
      </w:r>
      <w:r w:rsidR="008C40AC">
        <w:rPr>
          <w:rFonts w:ascii="Palatino Linotype" w:eastAsia="Palatino Linotype" w:hAnsi="Palatino Linotype" w:cs="Palatino Linotype"/>
          <w:sz w:val="24"/>
          <w:szCs w:val="24"/>
        </w:rPr>
        <w:t>.</w:t>
      </w:r>
    </w:p>
    <w:p w:rsidR="00C704B7" w:rsidRDefault="00C704B7" w:rsidP="00C704B7">
      <w:pPr>
        <w:spacing w:after="0" w:line="360" w:lineRule="auto"/>
        <w:jc w:val="both"/>
        <w:rPr>
          <w:rFonts w:ascii="Palatino Linotype" w:eastAsia="Palatino Linotype" w:hAnsi="Palatino Linotype" w:cs="Palatino Linotype"/>
          <w:sz w:val="24"/>
          <w:szCs w:val="24"/>
          <w:shd w:val="clear" w:color="auto" w:fill="8E7CC3"/>
        </w:rPr>
      </w:pPr>
    </w:p>
    <w:p w:rsidR="0013255E" w:rsidRDefault="000C0B36" w:rsidP="00C704B7">
      <w:pPr>
        <w:spacing w:after="0" w:line="360" w:lineRule="auto"/>
        <w:jc w:val="both"/>
        <w:rPr>
          <w:rFonts w:ascii="Palatino Linotype" w:eastAsia="Palatino Linotype" w:hAnsi="Palatino Linotype" w:cs="Palatino Linotype"/>
          <w:sz w:val="24"/>
          <w:szCs w:val="24"/>
          <w:shd w:val="clear" w:color="auto" w:fill="8E7CC3"/>
        </w:rPr>
      </w:pPr>
      <w:r w:rsidRPr="008C40AC">
        <w:rPr>
          <w:rFonts w:ascii="Palatino Linotype" w:eastAsia="Palatino Linotype" w:hAnsi="Palatino Linotype" w:cs="Palatino Linotype"/>
          <w:sz w:val="24"/>
          <w:szCs w:val="24"/>
        </w:rPr>
        <w:t xml:space="preserve">De tal suerte que, en el presente caso si bien el </w:t>
      </w:r>
      <w:r w:rsidRPr="008C40AC">
        <w:rPr>
          <w:rFonts w:ascii="Palatino Linotype" w:eastAsia="Palatino Linotype" w:hAnsi="Palatino Linotype" w:cs="Palatino Linotype"/>
          <w:b/>
          <w:sz w:val="24"/>
          <w:szCs w:val="24"/>
        </w:rPr>
        <w:t>Sujeto Obligado</w:t>
      </w:r>
      <w:r w:rsidRPr="008C40AC">
        <w:rPr>
          <w:rFonts w:ascii="Palatino Linotype" w:eastAsia="Palatino Linotype" w:hAnsi="Palatino Linotype" w:cs="Palatino Linotype"/>
          <w:sz w:val="24"/>
          <w:szCs w:val="24"/>
        </w:rPr>
        <w:t xml:space="preserve"> pudiera no contar con la información al grado de detalle que requiere la persona solicitante, lo cierto </w:t>
      </w:r>
      <w:r w:rsidRPr="008C40AC">
        <w:rPr>
          <w:rFonts w:ascii="Palatino Linotype" w:eastAsia="Palatino Linotype" w:hAnsi="Palatino Linotype" w:cs="Palatino Linotype"/>
          <w:sz w:val="24"/>
          <w:szCs w:val="24"/>
        </w:rPr>
        <w:lastRenderedPageBreak/>
        <w:t xml:space="preserve">es que no </w:t>
      </w:r>
      <w:r w:rsidR="00C704B7" w:rsidRPr="008C40AC">
        <w:rPr>
          <w:rFonts w:ascii="Palatino Linotype" w:eastAsia="Palatino Linotype" w:hAnsi="Palatino Linotype" w:cs="Palatino Linotype"/>
          <w:sz w:val="24"/>
          <w:szCs w:val="24"/>
        </w:rPr>
        <w:t>está</w:t>
      </w:r>
      <w:r w:rsidRPr="008C40AC">
        <w:rPr>
          <w:rFonts w:ascii="Palatino Linotype" w:eastAsia="Palatino Linotype" w:hAnsi="Palatino Linotype" w:cs="Palatino Linotype"/>
          <w:sz w:val="24"/>
          <w:szCs w:val="24"/>
        </w:rPr>
        <w:t xml:space="preserve"> imposibilitado para fiscalizar los ingresos provenientes por el cobro de derechos por el uso u ocupación de la vía pública, por vehículos automotores de servicio público, encontrándose las motocicletas contempladas dentro de la definición de vehículo automotor, de conformidad con el Diccionario de la Lengua Española de la Real Academia Española.</w:t>
      </w:r>
    </w:p>
    <w:p w:rsidR="00994000" w:rsidRDefault="00994000" w:rsidP="00C704B7">
      <w:pPr>
        <w:spacing w:after="0" w:line="360" w:lineRule="auto"/>
        <w:jc w:val="both"/>
        <w:rPr>
          <w:rFonts w:ascii="Palatino Linotype" w:eastAsia="Palatino Linotype" w:hAnsi="Palatino Linotype" w:cs="Palatino Linotype"/>
          <w:sz w:val="24"/>
          <w:szCs w:val="24"/>
          <w:shd w:val="clear" w:color="auto" w:fill="8E7CC3"/>
        </w:rPr>
      </w:pPr>
    </w:p>
    <w:p w:rsidR="0013255E" w:rsidRDefault="000C0B36" w:rsidP="00C704B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Atento a lo anterior, se considera que para restringir el acceso a documentos que </w:t>
      </w:r>
      <w:r w:rsidRPr="00F57BC6">
        <w:rPr>
          <w:rFonts w:ascii="Palatino Linotype" w:eastAsia="Palatino Linotype" w:hAnsi="Palatino Linotype" w:cs="Palatino Linotype"/>
          <w:sz w:val="24"/>
          <w:szCs w:val="24"/>
        </w:rPr>
        <w:t>obran en sus archivos, debió acreditar que se trata de información clasificada.</w:t>
      </w:r>
      <w:r w:rsidR="00C704B7">
        <w:rPr>
          <w:rFonts w:ascii="Palatino Linotype" w:eastAsia="Palatino Linotype" w:hAnsi="Palatino Linotype" w:cs="Palatino Linotype"/>
          <w:sz w:val="24"/>
          <w:szCs w:val="24"/>
        </w:rPr>
        <w:t xml:space="preserve"> </w:t>
      </w:r>
      <w:r w:rsidRPr="00F57BC6">
        <w:rPr>
          <w:rFonts w:ascii="Palatino Linotype" w:eastAsia="Palatino Linotype" w:hAnsi="Palatino Linotype" w:cs="Palatino Linotype"/>
          <w:sz w:val="24"/>
          <w:szCs w:val="24"/>
        </w:rPr>
        <w:t>Es decir, para limitar el acceso a información los Sujetos Obligados, deben emitir un acuerdo, que, de manera fundada y motivada, otorgue a los solicitantes certeza de que la información que no se le entrega, es porque su divulgación, podría genera una afectación o bien, por ser información que por su propia naturaleza no es divulgable, como pueden ser datos personales, secreto bancario, fiduciario, comercial o bien, cuando se entregue a los Sujetos Obligados con naturaleza confidencial.</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En tal sentido, no se argumentó que la información solicitada actualice alguna causal de confidencialidad o de reserva, y en contexto, cuando no se acredita esta limitación a la entrega de información los sujetos obligados están constreñidos a entregar toda la información que por cualquier motivo obre en sus archivos, por lo que justificar una restricción al derecho humano de acceso a la información, únicamente porque la información fue generada por otro sujeto obligado o porque dicha información también obra en los archivos de ese sujeto obligado distinto, va en contra del derecho de acceso a la información, de tal suerte que, la resolución que nos ocupa, debió indicar que los documentos que se remiten por las instituciones públicas al OSFEM, </w:t>
      </w:r>
      <w:r w:rsidRPr="00F57BC6">
        <w:rPr>
          <w:rFonts w:ascii="Palatino Linotype" w:eastAsia="Palatino Linotype" w:hAnsi="Palatino Linotype" w:cs="Palatino Linotype"/>
          <w:sz w:val="24"/>
          <w:szCs w:val="24"/>
        </w:rPr>
        <w:lastRenderedPageBreak/>
        <w:t>son documentos finales, esto quiere decir, que son actos consumados por las instituciones públicas y lo que la ley permite al OSFEM es clasificar la información que ellos generan derivado de las revisiones que realizan y que podrían dar cuenta de las observaciones hasta en tanto no estén acreditadas o solventadas, por lo que incluso el argumento de que los documentos están siendo fiscalizados, no es suficiente para restringir el derecho de acceso a la información.</w:t>
      </w:r>
    </w:p>
    <w:p w:rsidR="00994000" w:rsidRPr="00F57BC6" w:rsidRDefault="00994000"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No se deja de lado que, el Poder Legislativo en ningún momento argumentó como justificación de la restricción del derecho de acceso a la información que los documentos fueran clasificados, simplemente indicó que es incompetente para hacer la entrega en virtud de que fueron generados por un sujeto obligado distinto y es este quien debe entregarlos, dejando de lado que la información sí obra en los archivos del Poder Legislativo, por tratarse de ingresos fiscalizables.</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Conforme a lo anterior, consideramos que se debió haber ordenado la entrega de la información en versión pública, toda vez que los informes trimestrales obran dentro de los archivos del </w:t>
      </w:r>
      <w:r w:rsidRPr="00F57BC6">
        <w:rPr>
          <w:rFonts w:ascii="Palatino Linotype" w:eastAsia="Palatino Linotype" w:hAnsi="Palatino Linotype" w:cs="Palatino Linotype"/>
          <w:b/>
          <w:sz w:val="24"/>
          <w:szCs w:val="24"/>
        </w:rPr>
        <w:t>Sujeto Obligado</w:t>
      </w:r>
      <w:r w:rsidRPr="00F57BC6">
        <w:rPr>
          <w:rFonts w:ascii="Palatino Linotype" w:eastAsia="Palatino Linotype" w:hAnsi="Palatino Linotype" w:cs="Palatino Linotype"/>
          <w:sz w:val="24"/>
          <w:szCs w:val="24"/>
        </w:rPr>
        <w:t>, además son los documentos que favorecen la transparencia y la rendición de cuentas, por lo que resulta importante tener acceso a los documentos que el Ayuntamiento de Chimalhuacán entrega al Órgano Superior de Fiscalización.</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994000">
        <w:rPr>
          <w:rFonts w:ascii="Palatino Linotype" w:eastAsia="Palatino Linotype" w:hAnsi="Palatino Linotype" w:cs="Palatino Linotype"/>
          <w:sz w:val="24"/>
          <w:szCs w:val="24"/>
        </w:rPr>
        <w:t xml:space="preserve">Robustece lo anterior, la nota periodística denominada “El </w:t>
      </w:r>
      <w:proofErr w:type="spellStart"/>
      <w:r w:rsidRPr="00994000">
        <w:rPr>
          <w:rFonts w:ascii="Palatino Linotype" w:eastAsia="Palatino Linotype" w:hAnsi="Palatino Linotype" w:cs="Palatino Linotype"/>
          <w:sz w:val="24"/>
          <w:szCs w:val="24"/>
        </w:rPr>
        <w:t>Infoem</w:t>
      </w:r>
      <w:proofErr w:type="spellEnd"/>
      <w:r w:rsidRPr="00994000">
        <w:rPr>
          <w:rFonts w:ascii="Palatino Linotype" w:eastAsia="Palatino Linotype" w:hAnsi="Palatino Linotype" w:cs="Palatino Linotype"/>
          <w:sz w:val="24"/>
          <w:szCs w:val="24"/>
        </w:rPr>
        <w:t xml:space="preserve"> firmó convenio interinstitucional con el OSFEM” del cinco de julio de dos mil veintidós, consultable en</w:t>
      </w:r>
      <w:r w:rsidR="004A2BB2" w:rsidRPr="00994000">
        <w:rPr>
          <w:rFonts w:ascii="Palatino Linotype" w:eastAsia="Palatino Linotype" w:hAnsi="Palatino Linotype" w:cs="Palatino Linotype"/>
          <w:sz w:val="24"/>
          <w:szCs w:val="24"/>
        </w:rPr>
        <w:t xml:space="preserve"> </w:t>
      </w:r>
      <w:hyperlink r:id="rId10">
        <w:r w:rsidRPr="00994000">
          <w:rPr>
            <w:rFonts w:ascii="Palatino Linotype" w:eastAsia="Palatino Linotype" w:hAnsi="Palatino Linotype" w:cs="Palatino Linotype"/>
            <w:i/>
            <w:color w:val="0563C1"/>
            <w:sz w:val="24"/>
            <w:szCs w:val="24"/>
            <w:u w:val="single"/>
          </w:rPr>
          <w:t>https://www.infoem.org.mx/es/contenido/noticias/el-infoem-firm%C3%B3-conveniointerinstitucional-con-el-osfem</w:t>
        </w:r>
      </w:hyperlink>
      <w:r w:rsidRPr="00994000">
        <w:rPr>
          <w:rFonts w:ascii="Palatino Linotype" w:eastAsia="Palatino Linotype" w:hAnsi="Palatino Linotype" w:cs="Palatino Linotype"/>
          <w:sz w:val="24"/>
          <w:szCs w:val="24"/>
        </w:rPr>
        <w:t>, por medio de la cual se señala la revisión</w:t>
      </w:r>
      <w:r w:rsidRPr="00F57BC6">
        <w:rPr>
          <w:rFonts w:ascii="Palatino Linotype" w:eastAsia="Palatino Linotype" w:hAnsi="Palatino Linotype" w:cs="Palatino Linotype"/>
          <w:sz w:val="24"/>
          <w:szCs w:val="24"/>
        </w:rPr>
        <w:t xml:space="preserve"> y </w:t>
      </w:r>
      <w:r w:rsidRPr="00F57BC6">
        <w:rPr>
          <w:rFonts w:ascii="Palatino Linotype" w:eastAsia="Palatino Linotype" w:hAnsi="Palatino Linotype" w:cs="Palatino Linotype"/>
          <w:sz w:val="24"/>
          <w:szCs w:val="24"/>
        </w:rPr>
        <w:lastRenderedPageBreak/>
        <w:t>análisis entre la posible disparidad o incongruencia de la información que las instituciones publican en sus portales de transparencia , a través del Sistema de Información Pública de Oficio Mexiquense (</w:t>
      </w:r>
      <w:proofErr w:type="spellStart"/>
      <w:r w:rsidRPr="00F57BC6">
        <w:rPr>
          <w:rFonts w:ascii="Palatino Linotype" w:eastAsia="Palatino Linotype" w:hAnsi="Palatino Linotype" w:cs="Palatino Linotype"/>
          <w:sz w:val="24"/>
          <w:szCs w:val="24"/>
        </w:rPr>
        <w:t>Ipomex</w:t>
      </w:r>
      <w:proofErr w:type="spellEnd"/>
      <w:r w:rsidRPr="00F57BC6">
        <w:rPr>
          <w:rFonts w:ascii="Palatino Linotype" w:eastAsia="Palatino Linotype" w:hAnsi="Palatino Linotype" w:cs="Palatino Linotype"/>
          <w:sz w:val="24"/>
          <w:szCs w:val="24"/>
        </w:rPr>
        <w:t>) y aquella que reportan al Órgano Superior de Fiscalización, con el fin de iniciar de manera más eficiente, los procedimientos de responsabilidad administrativa que puedan existir y disminuir los índices de corrupción en servicio estatal y municipal.</w:t>
      </w:r>
    </w:p>
    <w:p w:rsidR="00994000" w:rsidRPr="00F57BC6" w:rsidRDefault="00994000"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Es valioso señalar que la afirmación, de que la información es localizable en el Ayuntamiento de Chimalhuacán, no es falsa, pues en efecto, es el Sujeto Obligado generador de la información, lo que no exime al Poder Legislativo a contar con ella en sus archivos, al respecto, el Instituto Nacional de Transparencia, Acceso a la Información Pública y Protección de Datos Personales (INAI), a través de su criterio histórico, con clave de control SO/015/2013, contempla la existencia de competencias concurrentes, en los siguientes términos:</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994000">
      <w:pPr>
        <w:spacing w:after="0" w:line="360" w:lineRule="auto"/>
        <w:ind w:left="567" w:right="567"/>
        <w:jc w:val="both"/>
        <w:rPr>
          <w:rFonts w:ascii="Palatino Linotype" w:eastAsia="Palatino Linotype" w:hAnsi="Palatino Linotype" w:cs="Palatino Linotype"/>
          <w:i/>
        </w:rPr>
      </w:pPr>
      <w:r w:rsidRPr="00F57BC6">
        <w:rPr>
          <w:rFonts w:ascii="Palatino Linotype" w:eastAsia="Palatino Linotype" w:hAnsi="Palatino Linotype" w:cs="Palatino Linotype"/>
          <w:b/>
          <w:i/>
        </w:rPr>
        <w:t>“Competencia concurrente. Los sujetos obligados deberán proporcionar la información con la que cuenten y orientar al particular a las otras autoridades competentes</w:t>
      </w:r>
      <w:r w:rsidRPr="00F57BC6">
        <w:rPr>
          <w:rFonts w:ascii="Palatino Linotype" w:eastAsia="Palatino Linotype" w:hAnsi="Palatino Linotype" w:cs="Palatino Linotype"/>
          <w:i/>
        </w:rPr>
        <w:t xml:space="preserve">. 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deberá agotar el procedimiento de búsqueda de la información y </w:t>
      </w:r>
      <w:r w:rsidRPr="00F57BC6">
        <w:rPr>
          <w:rFonts w:ascii="Palatino Linotype" w:eastAsia="Palatino Linotype" w:hAnsi="Palatino Linotype" w:cs="Palatino Linotype"/>
          <w:i/>
        </w:rPr>
        <w:lastRenderedPageBreak/>
        <w:t>proporcionar aquélla con la que cuente o, de no contar con ésta, deberá declarar formalmente la inexistencia y, en su caso, orientar al particular para que, de así considerarlo, presente su solicitud ante la dependencia o entidad que también tengan competencia para conocer de la información.”</w:t>
      </w:r>
    </w:p>
    <w:p w:rsidR="00C704B7" w:rsidRPr="00F57BC6" w:rsidRDefault="00C704B7" w:rsidP="00C704B7">
      <w:pPr>
        <w:spacing w:after="0" w:line="360" w:lineRule="auto"/>
        <w:ind w:left="851" w:right="902"/>
        <w:jc w:val="both"/>
        <w:rPr>
          <w:rFonts w:ascii="Palatino Linotype" w:eastAsia="Palatino Linotype" w:hAnsi="Palatino Linotype" w:cs="Palatino Linotype"/>
          <w:i/>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De lo anterior, se logra vislumbrar el interés legítimo del Particular en acceder a la información tanto en posesión del Ayuntamiento como la del Órgano Superior de Fiscalización, a fin de verificar el cumplimiento de las obligaciones y que permiten a la ciudadanía involucrarse de manera activa en la rendición de cuentas y combate a la corrupción, de tal manera que en el presente caso debió prevalecer el principio de máxima publicidad y ordenar al Órgano Superior de Fiscalización, la entrega del Informe Trimestral con la documentación de interés del particular y que satisfacen el derecho de acceso a la información de la persona solicitante, y no confirmar la incompetencia de poseer la información.</w:t>
      </w:r>
    </w:p>
    <w:p w:rsidR="00C704B7" w:rsidRPr="00F57BC6" w:rsidRDefault="00C704B7" w:rsidP="00C704B7">
      <w:pPr>
        <w:spacing w:after="0" w:line="360" w:lineRule="auto"/>
        <w:jc w:val="both"/>
        <w:rPr>
          <w:rFonts w:ascii="Palatino Linotype" w:eastAsia="Palatino Linotype" w:hAnsi="Palatino Linotype" w:cs="Palatino Linotype"/>
          <w:sz w:val="24"/>
          <w:szCs w:val="24"/>
        </w:rPr>
      </w:pPr>
    </w:p>
    <w:p w:rsidR="0013255E" w:rsidRDefault="000C0B36" w:rsidP="00C704B7">
      <w:pPr>
        <w:spacing w:after="0" w:line="360" w:lineRule="auto"/>
        <w:jc w:val="both"/>
        <w:rPr>
          <w:rFonts w:ascii="Palatino Linotype" w:eastAsia="Palatino Linotype" w:hAnsi="Palatino Linotype" w:cs="Palatino Linotype"/>
          <w:sz w:val="24"/>
          <w:szCs w:val="24"/>
        </w:rPr>
      </w:pPr>
      <w:r w:rsidRPr="00F57BC6">
        <w:rPr>
          <w:rFonts w:ascii="Palatino Linotype" w:eastAsia="Palatino Linotype" w:hAnsi="Palatino Linotype" w:cs="Palatino Linotype"/>
          <w:sz w:val="24"/>
          <w:szCs w:val="24"/>
        </w:rPr>
        <w:t xml:space="preserve">Así, con base en los razonamientos expuestos, </w:t>
      </w:r>
      <w:r w:rsidRPr="00F57BC6">
        <w:rPr>
          <w:rFonts w:ascii="Palatino Linotype" w:eastAsia="Palatino Linotype" w:hAnsi="Palatino Linotype" w:cs="Palatino Linotype"/>
          <w:b/>
          <w:sz w:val="24"/>
          <w:szCs w:val="24"/>
        </w:rPr>
        <w:t>se emite el presente Voto Disidente Concurrente</w:t>
      </w:r>
      <w:r w:rsidRPr="00F57BC6">
        <w:rPr>
          <w:rFonts w:ascii="Palatino Linotype" w:eastAsia="Palatino Linotype" w:hAnsi="Palatino Linotype" w:cs="Palatino Linotype"/>
          <w:sz w:val="24"/>
          <w:szCs w:val="24"/>
        </w:rPr>
        <w:t>.</w:t>
      </w:r>
      <w:r w:rsidR="00C704B7">
        <w:rPr>
          <w:rFonts w:ascii="Palatino Linotype" w:eastAsia="Palatino Linotype" w:hAnsi="Palatino Linotype" w:cs="Palatino Linotype"/>
          <w:sz w:val="24"/>
          <w:szCs w:val="24"/>
        </w:rPr>
        <w:t xml:space="preserve"> ------------------------------------------------------------------------------------------------------------------------------------------------------------------------------------------------------------------------------------------------------------------------------------------------------------------------</w:t>
      </w:r>
    </w:p>
    <w:p w:rsidR="0013255E" w:rsidRDefault="0013255E" w:rsidP="00C704B7">
      <w:pPr>
        <w:spacing w:after="0" w:line="360" w:lineRule="auto"/>
        <w:rPr>
          <w:rFonts w:ascii="Palatino Linotype" w:eastAsia="Palatino Linotype" w:hAnsi="Palatino Linotype" w:cs="Palatino Linotype"/>
          <w:sz w:val="24"/>
          <w:szCs w:val="24"/>
        </w:rPr>
      </w:pPr>
    </w:p>
    <w:p w:rsidR="0013255E" w:rsidRDefault="0013255E" w:rsidP="00C704B7">
      <w:pPr>
        <w:spacing w:after="0" w:line="360" w:lineRule="auto"/>
        <w:rPr>
          <w:rFonts w:ascii="Palatino Linotype" w:eastAsia="Palatino Linotype" w:hAnsi="Palatino Linotype" w:cs="Palatino Linotype"/>
          <w:sz w:val="24"/>
          <w:szCs w:val="24"/>
        </w:rPr>
      </w:pPr>
    </w:p>
    <w:p w:rsidR="0013255E" w:rsidRDefault="0013255E" w:rsidP="00C704B7">
      <w:pPr>
        <w:spacing w:after="0" w:line="360" w:lineRule="auto"/>
        <w:rPr>
          <w:rFonts w:ascii="Palatino Linotype" w:eastAsia="Palatino Linotype" w:hAnsi="Palatino Linotype" w:cs="Palatino Linotype"/>
          <w:sz w:val="24"/>
          <w:szCs w:val="24"/>
        </w:rPr>
      </w:pPr>
    </w:p>
    <w:p w:rsidR="0013255E" w:rsidRDefault="0013255E" w:rsidP="00C704B7">
      <w:pPr>
        <w:spacing w:after="0" w:line="360" w:lineRule="auto"/>
        <w:rPr>
          <w:rFonts w:ascii="Palatino Linotype" w:eastAsia="Palatino Linotype" w:hAnsi="Palatino Linotype" w:cs="Palatino Linotype"/>
          <w:sz w:val="24"/>
          <w:szCs w:val="24"/>
        </w:rPr>
      </w:pPr>
    </w:p>
    <w:p w:rsidR="0013255E" w:rsidRDefault="0013255E" w:rsidP="00C704B7">
      <w:pPr>
        <w:spacing w:after="0" w:line="360" w:lineRule="auto"/>
        <w:rPr>
          <w:rFonts w:ascii="Palatino Linotype" w:eastAsia="Palatino Linotype" w:hAnsi="Palatino Linotype" w:cs="Palatino Linotype"/>
          <w:sz w:val="24"/>
          <w:szCs w:val="24"/>
        </w:rPr>
      </w:pPr>
    </w:p>
    <w:p w:rsidR="00C704B7" w:rsidRDefault="00C704B7">
      <w:pPr>
        <w:spacing w:after="0" w:line="360" w:lineRule="auto"/>
        <w:rPr>
          <w:rFonts w:ascii="Palatino Linotype" w:eastAsia="Palatino Linotype" w:hAnsi="Palatino Linotype" w:cs="Palatino Linotype"/>
          <w:sz w:val="24"/>
          <w:szCs w:val="24"/>
        </w:rPr>
      </w:pPr>
      <w:bookmarkStart w:id="0" w:name="_GoBack"/>
      <w:bookmarkEnd w:id="0"/>
    </w:p>
    <w:sectPr w:rsidR="00C704B7" w:rsidSect="00C704B7">
      <w:headerReference w:type="even" r:id="rId11"/>
      <w:headerReference w:type="default" r:id="rId12"/>
      <w:footerReference w:type="default" r:id="rId13"/>
      <w:headerReference w:type="first" r:id="rId14"/>
      <w:pgSz w:w="12240" w:h="15840"/>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EA" w:rsidRDefault="00C510EA">
      <w:pPr>
        <w:spacing w:after="0" w:line="240" w:lineRule="auto"/>
      </w:pPr>
      <w:r>
        <w:separator/>
      </w:r>
    </w:p>
  </w:endnote>
  <w:endnote w:type="continuationSeparator" w:id="0">
    <w:p w:rsidR="00C510EA" w:rsidRDefault="00C5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E" w:rsidRDefault="000C0B36">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16A5">
      <w:rPr>
        <w:b/>
        <w:noProof/>
        <w:color w:val="000000"/>
        <w:sz w:val="24"/>
        <w:szCs w:val="24"/>
      </w:rPr>
      <w:t>14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16A5">
      <w:rPr>
        <w:b/>
        <w:noProof/>
        <w:color w:val="000000"/>
        <w:sz w:val="24"/>
        <w:szCs w:val="24"/>
      </w:rPr>
      <w:t>15</w:t>
    </w:r>
    <w:r>
      <w:rPr>
        <w:b/>
        <w:color w:val="000000"/>
        <w:sz w:val="24"/>
        <w:szCs w:val="24"/>
      </w:rPr>
      <w:fldChar w:fldCharType="end"/>
    </w:r>
  </w:p>
  <w:p w:rsidR="0013255E" w:rsidRDefault="0013255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EA" w:rsidRDefault="00C510EA">
      <w:pPr>
        <w:spacing w:after="0" w:line="240" w:lineRule="auto"/>
      </w:pPr>
      <w:r>
        <w:separator/>
      </w:r>
    </w:p>
  </w:footnote>
  <w:footnote w:type="continuationSeparator" w:id="0">
    <w:p w:rsidR="00C510EA" w:rsidRDefault="00C51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E" w:rsidRDefault="00C510E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1.8pt;height:81.25pt;rotation:315;z-index:-251658240;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E" w:rsidRDefault="0013255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13255E">
      <w:trPr>
        <w:trHeight w:val="1843"/>
      </w:trPr>
      <w:tc>
        <w:tcPr>
          <w:tcW w:w="3686" w:type="dxa"/>
          <w:vAlign w:val="bottom"/>
        </w:tcPr>
        <w:p w:rsidR="0013255E" w:rsidRDefault="000C0B36">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extent cx="1873633" cy="112654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rsidR="0013255E" w:rsidRDefault="0013255E">
          <w:pPr>
            <w:pBdr>
              <w:top w:val="nil"/>
              <w:left w:val="nil"/>
              <w:bottom w:val="nil"/>
              <w:right w:val="nil"/>
              <w:between w:val="nil"/>
            </w:pBdr>
            <w:tabs>
              <w:tab w:val="center" w:pos="4252"/>
              <w:tab w:val="right" w:pos="8504"/>
              <w:tab w:val="center" w:pos="2614"/>
            </w:tabs>
            <w:ind w:left="-255"/>
            <w:rPr>
              <w:color w:val="000000"/>
            </w:rPr>
          </w:pPr>
        </w:p>
      </w:tc>
      <w:tc>
        <w:tcPr>
          <w:tcW w:w="5528" w:type="dxa"/>
          <w:vAlign w:val="center"/>
        </w:tcPr>
        <w:p w:rsidR="0013255E" w:rsidRDefault="0013255E">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13255E" w:rsidRDefault="000C0B36">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Disidente Concurrente</w:t>
          </w:r>
        </w:p>
        <w:p w:rsidR="0013255E" w:rsidRDefault="000C0B36">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14081/INFOEM/IP/RR/2022</w:t>
          </w:r>
        </w:p>
        <w:p w:rsidR="0013255E" w:rsidRDefault="000C0B36">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Poder Legislativo</w:t>
          </w:r>
        </w:p>
        <w:p w:rsidR="0013255E" w:rsidRDefault="000C0B36">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 xml:space="preserve"> Luis Gustavo Parra Noriega</w:t>
          </w:r>
        </w:p>
      </w:tc>
    </w:tr>
  </w:tbl>
  <w:p w:rsidR="0013255E" w:rsidRDefault="0013255E">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5E" w:rsidRDefault="00C510EA">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1.8pt;height:81.25pt;rotation:315;z-index:-251659264;visibility:visible;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53C0D"/>
    <w:multiLevelType w:val="multilevel"/>
    <w:tmpl w:val="E654B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DA6BCE"/>
    <w:multiLevelType w:val="multilevel"/>
    <w:tmpl w:val="F4A87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5E"/>
    <w:rsid w:val="00013404"/>
    <w:rsid w:val="000816A5"/>
    <w:rsid w:val="000C0B36"/>
    <w:rsid w:val="0013255E"/>
    <w:rsid w:val="00334BD9"/>
    <w:rsid w:val="003A5C71"/>
    <w:rsid w:val="004863B0"/>
    <w:rsid w:val="004A2BB2"/>
    <w:rsid w:val="008C40AC"/>
    <w:rsid w:val="00994000"/>
    <w:rsid w:val="00C510EA"/>
    <w:rsid w:val="00C704B7"/>
    <w:rsid w:val="00F357E4"/>
    <w:rsid w:val="00F57B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F58A665-1A12-4F3F-B855-F69C0336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customStyle="1" w:styleId="Mencinsinresolver1">
    <w:name w:val="Mención sin resolver1"/>
    <w:basedOn w:val="Fuentedeprrafopredeter"/>
    <w:uiPriority w:val="99"/>
    <w:semiHidden/>
    <w:unhideWhenUsed/>
    <w:rsid w:val="00990E2D"/>
    <w:rPr>
      <w:color w:val="605E5C"/>
      <w:shd w:val="clear" w:color="auto" w:fill="E1DFDD"/>
    </w:rPr>
  </w:style>
  <w:style w:type="character" w:customStyle="1" w:styleId="Mencinsinresolver2">
    <w:name w:val="Mención sin resolver2"/>
    <w:basedOn w:val="Fuentedeprrafopredeter"/>
    <w:uiPriority w:val="99"/>
    <w:semiHidden/>
    <w:unhideWhenUsed/>
    <w:rsid w:val="00B760CA"/>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01006"/>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006"/>
    <w:pPr>
      <w:spacing w:after="0" w:line="240" w:lineRule="auto"/>
      <w:ind w:left="720"/>
      <w:contextualSpacing/>
    </w:pPr>
    <w:rPr>
      <w:rFonts w:ascii="Century Gothic" w:eastAsia="Times New Roman" w:hAnsi="Century Gothic" w:cs="Times New Roman"/>
      <w:szCs w:val="24"/>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nfoem.org.mx/es/contenido/noticias/el-infoem-firm%C3%B3-conveniointerinstitucional-con-el-osfe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poQVkpw/7Y1vW1WWUiciqmv/qQ==">AMUW2mVuktq6Fh5ADR+L5FUaOqS47hrRAOa5ShaBGuipHnW4wxtXe8yPkSn3l+bgMDJtHf3e+kWzKsMfnWQRUf8cwKdGbPQx/w8hsiphVXFfbeki6gXwUnk=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F0DC99-850C-4A5B-9185-C57BA422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3991</Words>
  <Characters>21951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INFOEM415</cp:lastModifiedBy>
  <cp:revision>3</cp:revision>
  <dcterms:created xsi:type="dcterms:W3CDTF">2023-05-19T19:57:00Z</dcterms:created>
  <dcterms:modified xsi:type="dcterms:W3CDTF">2025-02-11T15:48:00Z</dcterms:modified>
</cp:coreProperties>
</file>