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B6" w:rsidRDefault="005B2F4B">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w:t>
      </w:r>
      <w:r w:rsidR="00C51880">
        <w:rPr>
          <w:rFonts w:ascii="Palatino Linotype" w:eastAsia="Palatino Linotype" w:hAnsi="Palatino Linotype" w:cs="Palatino Linotype"/>
          <w:b/>
          <w:sz w:val="24"/>
          <w:szCs w:val="24"/>
        </w:rPr>
        <w:t>QUINTA SESIÓN ORDINARIA DEL NUEVE</w:t>
      </w:r>
      <w:r>
        <w:rPr>
          <w:rFonts w:ascii="Palatino Linotype" w:eastAsia="Palatino Linotype" w:hAnsi="Palatino Linotype" w:cs="Palatino Linotype"/>
          <w:b/>
          <w:sz w:val="24"/>
          <w:szCs w:val="24"/>
        </w:rPr>
        <w:t xml:space="preserve"> DE FEBRERO DE DOS MIL VEINTITRÉS, EN EL RECURSO DE REVISIÓN 1</w:t>
      </w:r>
      <w:r w:rsidR="00C51880">
        <w:rPr>
          <w:rFonts w:ascii="Palatino Linotype" w:eastAsia="Palatino Linotype" w:hAnsi="Palatino Linotype" w:cs="Palatino Linotype"/>
          <w:b/>
          <w:sz w:val="24"/>
          <w:szCs w:val="24"/>
        </w:rPr>
        <w:t>5605</w:t>
      </w:r>
      <w:r>
        <w:rPr>
          <w:rFonts w:ascii="Palatino Linotype" w:eastAsia="Palatino Linotype" w:hAnsi="Palatino Linotype" w:cs="Palatino Linotype"/>
          <w:b/>
          <w:sz w:val="24"/>
          <w:szCs w:val="24"/>
        </w:rPr>
        <w:t xml:space="preserve">/INFOEM/IP/RR/2022. </w:t>
      </w:r>
    </w:p>
    <w:p w:rsidR="00B314B6" w:rsidRDefault="005B2F4B">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sidR="00C51880">
        <w:rPr>
          <w:rFonts w:ascii="Palatino Linotype" w:eastAsia="Palatino Linotype" w:hAnsi="Palatino Linotype" w:cs="Palatino Linotype"/>
          <w:b/>
          <w:sz w:val="24"/>
          <w:szCs w:val="24"/>
        </w:rPr>
        <w:t>15605</w:t>
      </w:r>
      <w:r>
        <w:rPr>
          <w:rFonts w:ascii="Palatino Linotype" w:eastAsia="Palatino Linotype" w:hAnsi="Palatino Linotype" w:cs="Palatino Linotype"/>
          <w:b/>
          <w:sz w:val="24"/>
          <w:szCs w:val="24"/>
        </w:rPr>
        <w:t xml:space="preserve">/INFOEM/IP/RR/2022 </w:t>
      </w:r>
      <w:r>
        <w:rPr>
          <w:rFonts w:ascii="Palatino Linotype" w:eastAsia="Palatino Linotype" w:hAnsi="Palatino Linotype" w:cs="Palatino Linotype"/>
          <w:sz w:val="24"/>
          <w:szCs w:val="24"/>
        </w:rPr>
        <w:t>pronunciada por el Pleno de este Instituto an</w:t>
      </w:r>
      <w:r w:rsidR="00C51880">
        <w:rPr>
          <w:rFonts w:ascii="Palatino Linotype" w:eastAsia="Palatino Linotype" w:hAnsi="Palatino Linotype" w:cs="Palatino Linotype"/>
          <w:sz w:val="24"/>
          <w:szCs w:val="24"/>
        </w:rPr>
        <w:t>te el proyecto presentado por el</w:t>
      </w:r>
      <w:r>
        <w:rPr>
          <w:rFonts w:ascii="Palatino Linotype" w:eastAsia="Palatino Linotype" w:hAnsi="Palatino Linotype" w:cs="Palatino Linotype"/>
          <w:sz w:val="24"/>
          <w:szCs w:val="24"/>
        </w:rPr>
        <w:t xml:space="preserve"> Comisionado </w:t>
      </w:r>
      <w:r w:rsidR="00C51880">
        <w:rPr>
          <w:rFonts w:ascii="Palatino Linotype" w:eastAsia="Palatino Linotype" w:hAnsi="Palatino Linotype" w:cs="Palatino Linotype"/>
          <w:sz w:val="24"/>
          <w:szCs w:val="24"/>
        </w:rPr>
        <w:t>Presidente José Martínez Vilchis</w:t>
      </w:r>
      <w:r>
        <w:rPr>
          <w:rFonts w:ascii="Palatino Linotype" w:eastAsia="Palatino Linotype" w:hAnsi="Palatino Linotype" w:cs="Palatino Linotype"/>
          <w:sz w:val="24"/>
          <w:szCs w:val="24"/>
        </w:rPr>
        <w:t>, el cual se formuló, conforme al tenor siguiente:</w:t>
      </w:r>
    </w:p>
    <w:p w:rsidR="00B314B6" w:rsidRDefault="005B2F4B">
      <w:pPr>
        <w:numPr>
          <w:ilvl w:val="0"/>
          <w:numId w:val="1"/>
        </w:numPr>
        <w:spacing w:before="240" w:after="24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bookmarkStart w:id="1" w:name="_GoBack"/>
      <w:bookmarkEnd w:id="1"/>
    </w:p>
    <w:p w:rsidR="00B314B6" w:rsidRDefault="005B2F4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lo siguiente:</w:t>
      </w:r>
    </w:p>
    <w:p w:rsidR="00B314B6" w:rsidRPr="00C3368C" w:rsidRDefault="005B2F4B">
      <w:pPr>
        <w:spacing w:before="240" w:after="240" w:line="360" w:lineRule="auto"/>
        <w:ind w:left="567"/>
        <w:jc w:val="both"/>
        <w:rPr>
          <w:rFonts w:ascii="Palatino Linotype" w:eastAsia="Palatino Linotype" w:hAnsi="Palatino Linotype" w:cs="Palatino Linotype"/>
          <w:sz w:val="24"/>
          <w:szCs w:val="24"/>
        </w:rPr>
      </w:pPr>
      <w:r w:rsidRPr="00C3368C">
        <w:rPr>
          <w:rFonts w:ascii="Palatino Linotype" w:eastAsia="Palatino Linotype" w:hAnsi="Palatino Linotype" w:cs="Palatino Linotype"/>
          <w:sz w:val="24"/>
          <w:szCs w:val="24"/>
        </w:rPr>
        <w:t xml:space="preserve">1. </w:t>
      </w:r>
      <w:r w:rsidR="00C51880" w:rsidRPr="00C3368C">
        <w:rPr>
          <w:rFonts w:ascii="Palatino Linotype" w:eastAsia="Palatino Linotype" w:hAnsi="Palatino Linotype" w:cs="Palatino Linotype"/>
          <w:sz w:val="24"/>
          <w:szCs w:val="24"/>
        </w:rPr>
        <w:t>Facturas, anexos y todo lo que compruebe el gasto erogado en la partida de comunicación ya que tuvo una ampliación de más del 200% en este trimestre</w:t>
      </w:r>
      <w:r w:rsidRPr="00C3368C">
        <w:rPr>
          <w:rFonts w:ascii="Palatino Linotype" w:eastAsia="Palatino Linotype" w:hAnsi="Palatino Linotype" w:cs="Palatino Linotype"/>
          <w:sz w:val="24"/>
          <w:szCs w:val="24"/>
        </w:rPr>
        <w:t>.</w:t>
      </w:r>
    </w:p>
    <w:p w:rsidR="00C51880" w:rsidRDefault="00C3368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su respuesta</w:t>
      </w:r>
      <w:r w:rsidR="005B2F4B">
        <w:rPr>
          <w:rFonts w:ascii="Palatino Linotype" w:eastAsia="Palatino Linotype" w:hAnsi="Palatino Linotype" w:cs="Palatino Linotype"/>
          <w:sz w:val="24"/>
          <w:szCs w:val="24"/>
        </w:rPr>
        <w:t xml:space="preserve">, el </w:t>
      </w:r>
      <w:r w:rsidR="005B2F4B">
        <w:rPr>
          <w:rFonts w:ascii="Palatino Linotype" w:eastAsia="Palatino Linotype" w:hAnsi="Palatino Linotype" w:cs="Palatino Linotype"/>
          <w:b/>
          <w:sz w:val="24"/>
          <w:szCs w:val="24"/>
        </w:rPr>
        <w:t xml:space="preserve">Sujeto Obligado, </w:t>
      </w:r>
      <w:r w:rsidR="005B2F4B">
        <w:rPr>
          <w:rFonts w:ascii="Palatino Linotype" w:eastAsia="Palatino Linotype" w:hAnsi="Palatino Linotype" w:cs="Palatino Linotype"/>
          <w:sz w:val="24"/>
          <w:szCs w:val="24"/>
        </w:rPr>
        <w:t xml:space="preserve">a través de la Titular de la Unidad de Transparencia, </w:t>
      </w:r>
      <w:r w:rsidR="00C51880" w:rsidRPr="00C51880">
        <w:rPr>
          <w:rFonts w:ascii="Palatino Linotype" w:eastAsia="Palatino Linotype" w:hAnsi="Palatino Linotype" w:cs="Palatino Linotype"/>
          <w:sz w:val="24"/>
          <w:szCs w:val="24"/>
        </w:rPr>
        <w:t>informó que se realizó una búsqueda exhaustiva y razonable en los archivos de la Dirección de Recursos Financieros, adscrita a la Coordinación de Administración y Finanzas, sin que se identificara documento alguno en el que se especifique que el Sujeto Obligado haya realizado gasto alguno en publicidad y comunicación social de los programas sociales que tiene a su cargo</w:t>
      </w:r>
      <w:r w:rsidR="00C51880">
        <w:rPr>
          <w:rFonts w:ascii="Palatino Linotype" w:eastAsia="Palatino Linotype" w:hAnsi="Palatino Linotype" w:cs="Palatino Linotype"/>
          <w:sz w:val="24"/>
          <w:szCs w:val="24"/>
        </w:rPr>
        <w:t>.</w:t>
      </w:r>
    </w:p>
    <w:p w:rsidR="00B314B6" w:rsidRDefault="005B2F4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sidR="00C3368C">
        <w:rPr>
          <w:rFonts w:ascii="Palatino Linotype" w:eastAsia="Palatino Linotype" w:hAnsi="Palatino Linotype" w:cs="Palatino Linotype"/>
          <w:sz w:val="24"/>
          <w:szCs w:val="24"/>
        </w:rPr>
        <w:t xml:space="preserve"> interpuso el</w:t>
      </w:r>
      <w:r>
        <w:rPr>
          <w:rFonts w:ascii="Palatino Linotype" w:eastAsia="Palatino Linotype" w:hAnsi="Palatino Linotype" w:cs="Palatino Linotype"/>
          <w:sz w:val="24"/>
          <w:szCs w:val="24"/>
        </w:rPr>
        <w:t xml:space="preserve"> medio</w:t>
      </w:r>
      <w:r w:rsidR="00C3368C">
        <w:rPr>
          <w:rFonts w:ascii="Palatino Linotype" w:eastAsia="Palatino Linotype" w:hAnsi="Palatino Linotype" w:cs="Palatino Linotype"/>
          <w:sz w:val="24"/>
          <w:szCs w:val="24"/>
        </w:rPr>
        <w:t xml:space="preserve"> de impugnación citado</w:t>
      </w:r>
      <w:r>
        <w:rPr>
          <w:rFonts w:ascii="Palatino Linotype" w:eastAsia="Palatino Linotype" w:hAnsi="Palatino Linotype" w:cs="Palatino Linotype"/>
          <w:sz w:val="24"/>
          <w:szCs w:val="24"/>
        </w:rPr>
        <w:t xml:space="preserve"> al rubro, manifestado como motivo de inconformidad, lo siguiente: </w:t>
      </w:r>
    </w:p>
    <w:p w:rsidR="00B314B6" w:rsidRDefault="005B2F4B" w:rsidP="00C3368C">
      <w:pP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w:t>
      </w:r>
      <w:r w:rsidR="00C51880" w:rsidRPr="00C51880">
        <w:rPr>
          <w:rFonts w:ascii="Palatino Linotype" w:eastAsia="Palatino Linotype" w:hAnsi="Palatino Linotype" w:cs="Palatino Linotype"/>
          <w:i/>
        </w:rPr>
        <w:t>Niegan intencionalmente la información pese a que hay eventos en dónde se nota que realizan el gasto cómo por ejemplo en este artículo https://www.24-horas.mx/2022/06/23/acerca-secretaria-de-desarrollo-social-servicios-medicos-y-apoyos-como-despensas-y-aparatos-funcionales-a-familias-de-atlacomulco/?amp=1 Allí se ve una lona que es un gasto por el concepto requerido. Solicito la información requerida con documentos oficiales</w:t>
      </w:r>
      <w:r>
        <w:rPr>
          <w:rFonts w:ascii="Palatino Linotype" w:eastAsia="Palatino Linotype" w:hAnsi="Palatino Linotype" w:cs="Palatino Linotype"/>
          <w:i/>
        </w:rPr>
        <w:t>.” [sic]</w:t>
      </w:r>
    </w:p>
    <w:p w:rsidR="00C51880" w:rsidRDefault="00C51880" w:rsidP="00C51880">
      <w:pPr>
        <w:pBdr>
          <w:top w:val="nil"/>
          <w:left w:val="nil"/>
          <w:bottom w:val="nil"/>
          <w:right w:val="nil"/>
          <w:between w:val="nil"/>
        </w:pBdr>
        <w:spacing w:line="360" w:lineRule="auto"/>
        <w:jc w:val="both"/>
        <w:rPr>
          <w:rFonts w:ascii="Palatino Linotype" w:eastAsia="Palatino Linotype" w:hAnsi="Palatino Linotype" w:cs="Palatino Linotype"/>
        </w:rPr>
      </w:pPr>
    </w:p>
    <w:p w:rsidR="00C51880" w:rsidRPr="00C51880" w:rsidRDefault="005B2F4B" w:rsidP="00C51880">
      <w:pPr>
        <w:pBdr>
          <w:top w:val="nil"/>
          <w:left w:val="nil"/>
          <w:bottom w:val="nil"/>
          <w:right w:val="nil"/>
          <w:between w:val="nil"/>
        </w:pBdr>
        <w:spacing w:line="360" w:lineRule="auto"/>
        <w:jc w:val="both"/>
        <w:rPr>
          <w:rFonts w:ascii="Palatino Linotype" w:hAnsi="Palatino Linotype"/>
          <w:sz w:val="24"/>
          <w:szCs w:val="24"/>
        </w:rPr>
      </w:pPr>
      <w:r w:rsidRPr="00C51880">
        <w:rPr>
          <w:rFonts w:ascii="Palatino Linotype" w:eastAsia="Palatino Linotype" w:hAnsi="Palatino Linotype" w:cs="Palatino Linotype"/>
          <w:sz w:val="24"/>
          <w:szCs w:val="24"/>
        </w:rPr>
        <w:t xml:space="preserve">Una vez interpuesto el recurso de revisión, de las constancias que obran en </w:t>
      </w:r>
      <w:r w:rsidR="00C51880">
        <w:rPr>
          <w:rFonts w:ascii="Palatino Linotype" w:eastAsia="Palatino Linotype" w:hAnsi="Palatino Linotype" w:cs="Palatino Linotype"/>
          <w:sz w:val="24"/>
          <w:szCs w:val="24"/>
        </w:rPr>
        <w:t>el expediente</w:t>
      </w:r>
      <w:r w:rsidRPr="00C51880">
        <w:rPr>
          <w:rFonts w:ascii="Palatino Linotype" w:eastAsia="Palatino Linotype" w:hAnsi="Palatino Linotype" w:cs="Palatino Linotype"/>
          <w:sz w:val="24"/>
          <w:szCs w:val="24"/>
        </w:rPr>
        <w:t xml:space="preserve"> en el SAIMEX, se advierte que el </w:t>
      </w:r>
      <w:r w:rsidRPr="00C51880">
        <w:rPr>
          <w:rFonts w:ascii="Palatino Linotype" w:eastAsia="Palatino Linotype" w:hAnsi="Palatino Linotype" w:cs="Palatino Linotype"/>
          <w:b/>
          <w:sz w:val="24"/>
          <w:szCs w:val="24"/>
        </w:rPr>
        <w:t>Sujeto Obligado</w:t>
      </w:r>
      <w:r w:rsidR="00C3368C">
        <w:rPr>
          <w:rFonts w:ascii="Palatino Linotype" w:eastAsia="Palatino Linotype" w:hAnsi="Palatino Linotype" w:cs="Palatino Linotype"/>
          <w:sz w:val="24"/>
          <w:szCs w:val="24"/>
        </w:rPr>
        <w:t xml:space="preserve"> </w:t>
      </w:r>
      <w:r w:rsidR="00C51880" w:rsidRPr="00C51880">
        <w:rPr>
          <w:rFonts w:ascii="Palatino Linotype" w:eastAsia="Palatino Linotype" w:hAnsi="Palatino Linotype" w:cs="Palatino Linotype"/>
          <w:sz w:val="24"/>
          <w:szCs w:val="24"/>
        </w:rPr>
        <w:t xml:space="preserve">rindió informe justificado </w:t>
      </w:r>
      <w:r w:rsidR="00C51880" w:rsidRPr="00C51880">
        <w:rPr>
          <w:rFonts w:ascii="Palatino Linotype" w:hAnsi="Palatino Linotype"/>
          <w:sz w:val="24"/>
          <w:szCs w:val="24"/>
        </w:rPr>
        <w:t xml:space="preserve">remitido por Jefe de la Unidad de Información, Planeación, Programación y Evaluación y Titular de la Unidad de Transparencia, mediante el cual se reiteró </w:t>
      </w:r>
      <w:r w:rsidR="00C51880">
        <w:rPr>
          <w:rFonts w:ascii="Palatino Linotype" w:hAnsi="Palatino Linotype"/>
          <w:sz w:val="24"/>
          <w:szCs w:val="24"/>
        </w:rPr>
        <w:t>la respuesta y orientó</w:t>
      </w:r>
      <w:r w:rsidR="00C51880" w:rsidRPr="00C51880">
        <w:rPr>
          <w:rFonts w:ascii="Palatino Linotype" w:hAnsi="Palatino Linotype"/>
          <w:sz w:val="24"/>
          <w:szCs w:val="24"/>
        </w:rPr>
        <w:t xml:space="preserve"> al solicitante que se dirigiera la solicitud a la Coordinación General de Comunicación Social, indicando la dirección y teléfono de atención.</w:t>
      </w:r>
    </w:p>
    <w:p w:rsidR="00B314B6" w:rsidRDefault="00B314B6">
      <w:pPr>
        <w:tabs>
          <w:tab w:val="left" w:pos="284"/>
        </w:tabs>
        <w:spacing w:before="240" w:after="240" w:line="360" w:lineRule="auto"/>
        <w:jc w:val="both"/>
        <w:rPr>
          <w:rFonts w:ascii="Palatino Linotype" w:eastAsia="Palatino Linotype" w:hAnsi="Palatino Linotype" w:cs="Palatino Linotype"/>
          <w:sz w:val="18"/>
          <w:szCs w:val="18"/>
        </w:rPr>
      </w:pPr>
    </w:p>
    <w:p w:rsidR="00B314B6" w:rsidRDefault="005B2F4B">
      <w:pPr>
        <w:spacing w:before="240" w:after="240" w:line="360" w:lineRule="auto"/>
        <w:ind w:right="-6"/>
        <w:jc w:val="both"/>
        <w:rPr>
          <w:rFonts w:ascii="Palatino Linotype" w:eastAsia="Palatino Linotype" w:hAnsi="Palatino Linotype" w:cs="Palatino Linotype"/>
          <w:i/>
        </w:rPr>
      </w:pPr>
      <w:r>
        <w:rPr>
          <w:rFonts w:ascii="Palatino Linotype" w:eastAsia="Palatino Linotype" w:hAnsi="Palatino Linotype" w:cs="Palatino Linotype"/>
          <w:sz w:val="24"/>
          <w:szCs w:val="24"/>
        </w:rPr>
        <w:lastRenderedPageBreak/>
        <w:t xml:space="preserve">Asimismo,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realizó manifestaciones, no formuló alegatos, ni ofreció algún medio de prueba. </w:t>
      </w:r>
    </w:p>
    <w:p w:rsidR="00B314B6" w:rsidRDefault="005B2F4B">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el Comisionado Ponente consideró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resultan</w:t>
      </w:r>
      <w:r w:rsidR="000B7742">
        <w:rPr>
          <w:rFonts w:ascii="Palatino Linotype" w:eastAsia="Palatino Linotype" w:hAnsi="Palatino Linotype" w:cs="Palatino Linotype"/>
          <w:sz w:val="24"/>
          <w:szCs w:val="24"/>
        </w:rPr>
        <w:t xml:space="preserve"> parcialmente</w:t>
      </w:r>
      <w:r>
        <w:rPr>
          <w:rFonts w:ascii="Palatino Linotype" w:eastAsia="Palatino Linotype" w:hAnsi="Palatino Linotype" w:cs="Palatino Linotype"/>
          <w:sz w:val="24"/>
          <w:szCs w:val="24"/>
        </w:rPr>
        <w:t xml:space="preserve">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0B7742" w:rsidRPr="000B7742" w:rsidRDefault="005B2F4B" w:rsidP="000B7742">
      <w:pPr>
        <w:pBdr>
          <w:top w:val="nil"/>
          <w:left w:val="nil"/>
          <w:bottom w:val="nil"/>
          <w:right w:val="nil"/>
          <w:between w:val="nil"/>
        </w:pBdr>
        <w:spacing w:line="276" w:lineRule="auto"/>
        <w:ind w:left="851" w:right="706"/>
        <w:rPr>
          <w:rFonts w:ascii="Palatino Linotype" w:eastAsia="Palatino Linotype" w:hAnsi="Palatino Linotype" w:cs="Palatino Linotype"/>
          <w:i/>
          <w:color w:val="000000"/>
          <w:szCs w:val="24"/>
        </w:rPr>
      </w:pPr>
      <w:bookmarkStart w:id="2" w:name="_heading=h.30j0zll" w:colFirst="0" w:colLast="0"/>
      <w:bookmarkEnd w:id="2"/>
      <w:r w:rsidRPr="000B7742">
        <w:rPr>
          <w:rFonts w:ascii="Palatino Linotype" w:eastAsia="Palatino Linotype" w:hAnsi="Palatino Linotype" w:cs="Palatino Linotype"/>
          <w:b/>
          <w:i/>
        </w:rPr>
        <w:t>“</w:t>
      </w:r>
      <w:r w:rsidR="000B7742" w:rsidRPr="000B7742">
        <w:rPr>
          <w:rFonts w:ascii="Palatino Linotype" w:eastAsia="Palatino Linotype" w:hAnsi="Palatino Linotype" w:cs="Palatino Linotype"/>
          <w:b/>
          <w:i/>
          <w:color w:val="000000"/>
          <w:szCs w:val="24"/>
        </w:rPr>
        <w:t>SEGUNDO.</w:t>
      </w:r>
      <w:r w:rsidR="000B7742" w:rsidRPr="000B7742">
        <w:rPr>
          <w:rFonts w:ascii="Palatino Linotype" w:eastAsia="Palatino Linotype" w:hAnsi="Palatino Linotype" w:cs="Palatino Linotype"/>
          <w:i/>
          <w:color w:val="000000"/>
          <w:szCs w:val="24"/>
        </w:rPr>
        <w:t xml:space="preserve"> Se </w:t>
      </w:r>
      <w:r w:rsidR="000B7742" w:rsidRPr="000B7742">
        <w:rPr>
          <w:rFonts w:ascii="Palatino Linotype" w:eastAsia="Palatino Linotype" w:hAnsi="Palatino Linotype" w:cs="Palatino Linotype"/>
          <w:b/>
          <w:i/>
          <w:color w:val="000000"/>
          <w:szCs w:val="24"/>
        </w:rPr>
        <w:t>ORDENA</w:t>
      </w:r>
      <w:r w:rsidR="000B7742" w:rsidRPr="000B7742">
        <w:rPr>
          <w:rFonts w:ascii="Palatino Linotype" w:eastAsia="Palatino Linotype" w:hAnsi="Palatino Linotype" w:cs="Palatino Linotype"/>
          <w:i/>
          <w:color w:val="000000"/>
          <w:szCs w:val="24"/>
        </w:rPr>
        <w:t xml:space="preserve"> al Sujeto Obligado que haga entrega al Recurrente mediante el Sistema de Acceso a la Información Mexiquense (SAIMEX) y en términos del </w:t>
      </w:r>
      <w:r w:rsidR="000B7742" w:rsidRPr="000B7742">
        <w:rPr>
          <w:rFonts w:ascii="Palatino Linotype" w:eastAsia="Palatino Linotype" w:hAnsi="Palatino Linotype" w:cs="Palatino Linotype"/>
          <w:b/>
          <w:i/>
          <w:color w:val="000000"/>
          <w:szCs w:val="24"/>
        </w:rPr>
        <w:t>Considerando QUINTO</w:t>
      </w:r>
      <w:r w:rsidR="000B7742" w:rsidRPr="000B7742">
        <w:rPr>
          <w:rFonts w:ascii="Palatino Linotype" w:eastAsia="Palatino Linotype" w:hAnsi="Palatino Linotype" w:cs="Palatino Linotype"/>
          <w:i/>
          <w:color w:val="000000"/>
          <w:szCs w:val="24"/>
        </w:rPr>
        <w:t xml:space="preserve">, de lo siguiente: </w:t>
      </w:r>
    </w:p>
    <w:p w:rsidR="000B7742" w:rsidRPr="000B7742" w:rsidRDefault="000B7742" w:rsidP="000B7742">
      <w:pPr>
        <w:pBdr>
          <w:top w:val="nil"/>
          <w:left w:val="nil"/>
          <w:bottom w:val="nil"/>
          <w:right w:val="nil"/>
          <w:between w:val="nil"/>
        </w:pBdr>
        <w:spacing w:line="276" w:lineRule="auto"/>
        <w:ind w:left="851" w:right="706"/>
        <w:rPr>
          <w:rFonts w:ascii="Palatino Linotype" w:eastAsia="Palatino Linotype" w:hAnsi="Palatino Linotype" w:cs="Palatino Linotype"/>
          <w:i/>
          <w:color w:val="000000"/>
          <w:szCs w:val="24"/>
        </w:rPr>
      </w:pPr>
    </w:p>
    <w:p w:rsidR="00B314B6" w:rsidRPr="000B7742" w:rsidRDefault="000B7742" w:rsidP="000B7742">
      <w:pPr>
        <w:numPr>
          <w:ilvl w:val="0"/>
          <w:numId w:val="3"/>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szCs w:val="24"/>
        </w:rPr>
      </w:pPr>
      <w:r w:rsidRPr="000B7742">
        <w:rPr>
          <w:rFonts w:ascii="Palatino Linotype" w:eastAsia="Palatino Linotype" w:hAnsi="Palatino Linotype" w:cs="Palatino Linotype"/>
          <w:i/>
          <w:color w:val="000000"/>
          <w:szCs w:val="24"/>
        </w:rPr>
        <w:t>El Acuerdo emitido por el Comité de Transparencia mediante el cual se declara la incompetencia del Sujeto Obligado</w:t>
      </w:r>
      <w:r w:rsidR="005B2F4B" w:rsidRPr="000B7742">
        <w:rPr>
          <w:rFonts w:ascii="Palatino Linotype" w:eastAsia="Palatino Linotype" w:hAnsi="Palatino Linotype" w:cs="Palatino Linotype"/>
          <w:i/>
        </w:rPr>
        <w:t>.”</w:t>
      </w:r>
    </w:p>
    <w:p w:rsidR="000B7742" w:rsidRPr="000B7742" w:rsidRDefault="000B7742" w:rsidP="000B7742">
      <w:pPr>
        <w:pBdr>
          <w:top w:val="nil"/>
          <w:left w:val="nil"/>
          <w:bottom w:val="nil"/>
          <w:right w:val="nil"/>
          <w:between w:val="nil"/>
        </w:pBdr>
        <w:spacing w:after="0" w:line="240" w:lineRule="auto"/>
        <w:ind w:left="851"/>
        <w:jc w:val="both"/>
        <w:rPr>
          <w:rFonts w:eastAsia="Palatino Linotype" w:cs="Palatino Linotype"/>
          <w:color w:val="000000"/>
          <w:szCs w:val="24"/>
        </w:rPr>
      </w:pPr>
    </w:p>
    <w:p w:rsidR="00B314B6" w:rsidRDefault="005B2F4B">
      <w:pPr>
        <w:numPr>
          <w:ilvl w:val="0"/>
          <w:numId w:val="1"/>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disidente.</w:t>
      </w:r>
    </w:p>
    <w:p w:rsidR="00B314B6" w:rsidRDefault="005B2F4B">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el sentido de la resolución, por los argumentos que se exponen a continuación:</w:t>
      </w:r>
    </w:p>
    <w:p w:rsidR="00B314B6" w:rsidRDefault="005B2F4B">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a la Declaración de Incompetencia la Ley de Transparencia y Acceso a la Información Pública del Estado de México, establece, en los artículos 49, fracción II y 167, lo siguiente: </w:t>
      </w:r>
    </w:p>
    <w:p w:rsidR="00B314B6" w:rsidRDefault="005B2F4B">
      <w:pPr>
        <w:tabs>
          <w:tab w:val="left" w:pos="142"/>
          <w:tab w:val="left" w:pos="284"/>
        </w:tabs>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B314B6" w:rsidRDefault="005B2F4B">
      <w:pPr>
        <w:tabs>
          <w:tab w:val="left" w:pos="142"/>
          <w:tab w:val="left" w:pos="284"/>
        </w:tabs>
        <w:spacing w:before="120" w:after="120" w:line="240" w:lineRule="auto"/>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B314B6" w:rsidRDefault="005B2F4B">
      <w:pPr>
        <w:tabs>
          <w:tab w:val="left" w:pos="142"/>
          <w:tab w:val="left" w:pos="284"/>
        </w:tabs>
        <w:spacing w:before="120" w:after="120" w:line="240" w:lineRule="auto"/>
        <w:ind w:left="1134"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respuesta, clasificación de la información </w:t>
      </w:r>
      <w:r>
        <w:rPr>
          <w:rFonts w:ascii="Palatino Linotype" w:eastAsia="Palatino Linotype" w:hAnsi="Palatino Linotype" w:cs="Palatino Linotype"/>
          <w:b/>
          <w:i/>
        </w:rPr>
        <w:t xml:space="preserve">y </w:t>
      </w:r>
      <w:r>
        <w:rPr>
          <w:rFonts w:ascii="Palatino Linotype" w:eastAsia="Palatino Linotype" w:hAnsi="Palatino Linotype" w:cs="Palatino Linotype"/>
          <w:b/>
          <w:i/>
        </w:rPr>
        <w:lastRenderedPageBreak/>
        <w:t>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B314B6" w:rsidRDefault="005B2F4B">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B314B6" w:rsidRDefault="005B2F4B">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B314B6" w:rsidRDefault="00B314B6">
      <w:pPr>
        <w:spacing w:before="120" w:after="120" w:line="240" w:lineRule="auto"/>
        <w:ind w:left="851" w:right="902"/>
        <w:jc w:val="both"/>
        <w:rPr>
          <w:rFonts w:ascii="Palatino Linotype" w:eastAsia="Palatino Linotype" w:hAnsi="Palatino Linotype" w:cs="Palatino Linotype"/>
        </w:rPr>
      </w:pPr>
    </w:p>
    <w:p w:rsidR="00B314B6" w:rsidRDefault="005B2F4B">
      <w:pPr>
        <w:tabs>
          <w:tab w:val="left" w:pos="142"/>
          <w:tab w:val="left" w:pos="284"/>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incompetencia, </w:t>
      </w:r>
      <w:r>
        <w:rPr>
          <w:rFonts w:ascii="Palatino Linotype" w:eastAsia="Palatino Linotype" w:hAnsi="Palatino Linotype" w:cs="Palatino Linotype"/>
          <w:b/>
          <w:sz w:val="24"/>
          <w:szCs w:val="24"/>
        </w:rPr>
        <w:t xml:space="preserve">en aquellos casos en los que no se trate de una notoria incompetencia. </w:t>
      </w:r>
    </w:p>
    <w:p w:rsidR="00B314B6" w:rsidRDefault="005B2F4B">
      <w:pPr>
        <w:tabs>
          <w:tab w:val="left" w:pos="142"/>
          <w:tab w:val="left" w:pos="284"/>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w:t>
      </w:r>
      <w:r w:rsidR="000B7742">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de información siga siendo notoria. </w:t>
      </w:r>
    </w:p>
    <w:p w:rsidR="00B314B6" w:rsidRDefault="005B2F4B">
      <w:pPr>
        <w:tabs>
          <w:tab w:val="left" w:pos="142"/>
          <w:tab w:val="left" w:pos="284"/>
        </w:tabs>
        <w:spacing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rsidR="00B314B6" w:rsidRDefault="005B2F4B">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lastRenderedPageBreak/>
        <w:t xml:space="preserve">Como sustento de lo anterior, resulta aplicable el Criterio 20/20, emitido por el </w:t>
      </w:r>
      <w:r>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Pr>
          <w:rFonts w:ascii="Palatino Linotype" w:eastAsia="Palatino Linotype" w:hAnsi="Palatino Linotype" w:cs="Palatino Linotype"/>
          <w:sz w:val="24"/>
          <w:szCs w:val="24"/>
        </w:rPr>
        <w:t xml:space="preserve"> </w:t>
      </w:r>
    </w:p>
    <w:p w:rsidR="00B314B6" w:rsidRDefault="005B2F4B">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“Declaración de incompetencia por parte del Comité, cuando no sea notoria o manifiesta.</w:t>
      </w:r>
      <w:r>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B314B6" w:rsidRDefault="005B2F4B">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documento materia de la solicitud de información</w:t>
      </w:r>
      <w:r>
        <w:rPr>
          <w:rFonts w:ascii="Palatino Linotype" w:eastAsia="Palatino Linotype" w:hAnsi="Palatino Linotype" w:cs="Palatino Linotype"/>
          <w:sz w:val="24"/>
          <w:szCs w:val="24"/>
        </w:rPr>
        <w:t>, como se lee enseguida:</w:t>
      </w:r>
    </w:p>
    <w:p w:rsidR="00B314B6" w:rsidRDefault="005B2F4B">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 xml:space="preserve">o; en virtud de ello, en aras de disipar toda duda razonable </w:t>
      </w:r>
      <w:r>
        <w:rPr>
          <w:rFonts w:ascii="Palatino Linotype" w:eastAsia="Palatino Linotype" w:hAnsi="Palatino Linotype" w:cs="Palatino Linotype"/>
          <w:i/>
        </w:rPr>
        <w:lastRenderedPageBreak/>
        <w:t>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B314B6" w:rsidRDefault="005B2F4B">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la Ponencia que resolvió, en el proyecto señaló de manera textual lo siguiente: </w:t>
      </w:r>
    </w:p>
    <w:p w:rsidR="000B7742" w:rsidRPr="000B7742" w:rsidRDefault="005B2F4B" w:rsidP="000B7742">
      <w:pPr>
        <w:ind w:left="851" w:right="706"/>
        <w:jc w:val="both"/>
        <w:rPr>
          <w:rFonts w:ascii="Palatino Linotype" w:eastAsia="Palatino Linotype" w:hAnsi="Palatino Linotype" w:cs="Palatino Linotype"/>
          <w:i/>
          <w:szCs w:val="24"/>
        </w:rPr>
      </w:pPr>
      <w:r w:rsidRPr="000B7742">
        <w:rPr>
          <w:rFonts w:ascii="Palatino Linotype" w:eastAsia="Palatino Linotype" w:hAnsi="Palatino Linotype" w:cs="Palatino Linotype"/>
          <w:i/>
        </w:rPr>
        <w:t>“...</w:t>
      </w:r>
      <w:r w:rsidR="000B7742" w:rsidRPr="000B7742">
        <w:rPr>
          <w:rFonts w:ascii="Palatino Linotype" w:hAnsi="Palatino Linotype"/>
          <w:bCs/>
          <w:i/>
        </w:rPr>
        <w:t>las dependencias del Poder Ejecutivo del Estado de México no están facultadas para efectuar directamente gastos de publicidad y comunicación social, conforme lo señalado en Presupuesto de Egresos del Gobierno del Estado de México para el Ejercicio Fiscal 2022, publicado el treinta y uno de enero de dos mil veintidós, que en su artículo 47 establece lo siguiente:</w:t>
      </w:r>
    </w:p>
    <w:p w:rsidR="000B7742" w:rsidRPr="000B7742" w:rsidRDefault="000B7742" w:rsidP="000B7742">
      <w:pPr>
        <w:ind w:left="851" w:right="706"/>
        <w:jc w:val="both"/>
        <w:rPr>
          <w:rFonts w:ascii="Palatino Linotype" w:eastAsia="Palatino Linotype" w:hAnsi="Palatino Linotype" w:cs="Palatino Linotype"/>
          <w:i/>
          <w:szCs w:val="24"/>
        </w:rPr>
      </w:pPr>
    </w:p>
    <w:p w:rsidR="000B7742" w:rsidRPr="000B7742" w:rsidRDefault="000B7742" w:rsidP="000B7742">
      <w:pPr>
        <w:pStyle w:val="Fundamentos"/>
        <w:ind w:left="851" w:right="706"/>
      </w:pPr>
      <w:r w:rsidRPr="000B7742">
        <w:rPr>
          <w:b/>
        </w:rPr>
        <w:t xml:space="preserve">Artículo 47. </w:t>
      </w:r>
      <w:r w:rsidRPr="000B7742">
        <w:rPr>
          <w:b/>
          <w:u w:val="single"/>
        </w:rPr>
        <w:t>Las Dependencias y Entidades Públicas, en la ejecución de sus presupuestos aprobados para el Ejercicio Fiscal 2022, no podrán efectuar directamente gastos de publicidad y comunicación social, debiendo cumplir con las normas y políticas en materia de difusión que para éste efecto establezca la Coordinación General de Comunicación Social</w:t>
      </w:r>
      <w:r w:rsidRPr="000B7742">
        <w:t xml:space="preserve">; optimizando los recursos destinados a este rubro. </w:t>
      </w:r>
    </w:p>
    <w:p w:rsidR="000B7742" w:rsidRPr="000B7742" w:rsidRDefault="000B7742" w:rsidP="000B7742">
      <w:pPr>
        <w:pStyle w:val="Fundamentos"/>
        <w:ind w:left="851" w:right="706"/>
      </w:pPr>
      <w:r w:rsidRPr="000B7742">
        <w:t>(…)</w:t>
      </w:r>
    </w:p>
    <w:p w:rsidR="000B7742" w:rsidRPr="000B7742" w:rsidRDefault="000B7742" w:rsidP="000B7742">
      <w:pPr>
        <w:ind w:left="851" w:right="706"/>
        <w:jc w:val="both"/>
        <w:rPr>
          <w:rFonts w:ascii="Palatino Linotype" w:eastAsia="Palatino Linotype" w:hAnsi="Palatino Linotype" w:cs="Palatino Linotype"/>
          <w:i/>
          <w:szCs w:val="24"/>
        </w:rPr>
      </w:pPr>
    </w:p>
    <w:p w:rsidR="000B7742" w:rsidRPr="000B7742" w:rsidRDefault="000B7742" w:rsidP="000B7742">
      <w:pPr>
        <w:ind w:left="851" w:right="706"/>
        <w:jc w:val="both"/>
        <w:rPr>
          <w:rFonts w:ascii="Palatino Linotype" w:eastAsia="Palatino Linotype" w:hAnsi="Palatino Linotype" w:cs="Palatino Linotype"/>
          <w:i/>
          <w:szCs w:val="24"/>
        </w:rPr>
      </w:pPr>
      <w:r w:rsidRPr="000B7742">
        <w:rPr>
          <w:rFonts w:ascii="Palatino Linotype" w:eastAsia="Palatino Linotype" w:hAnsi="Palatino Linotype" w:cs="Palatino Linotype"/>
          <w:i/>
          <w:szCs w:val="24"/>
        </w:rPr>
        <w:t xml:space="preserve">Del precepto legal en cita se desprende que, efectivamente, el Sujeto Obligado no está facultado para efectuar directamente gastos de publicidad y comunicación social, </w:t>
      </w:r>
      <w:r w:rsidRPr="000B7742">
        <w:rPr>
          <w:rFonts w:ascii="Palatino Linotype" w:eastAsia="Palatino Linotype" w:hAnsi="Palatino Linotype" w:cs="Palatino Linotype"/>
          <w:i/>
          <w:szCs w:val="24"/>
        </w:rPr>
        <w:lastRenderedPageBreak/>
        <w:t>pues dicha atribución le corresponde a la Coordinación General de Comunicación Social.</w:t>
      </w:r>
    </w:p>
    <w:p w:rsidR="000B7742" w:rsidRDefault="000B7742" w:rsidP="000B7742">
      <w:pPr>
        <w:ind w:left="851" w:right="706"/>
        <w:jc w:val="both"/>
        <w:rPr>
          <w:rFonts w:ascii="Palatino Linotype" w:eastAsia="Palatino Linotype" w:hAnsi="Palatino Linotype" w:cs="Palatino Linotype"/>
          <w:i/>
          <w:szCs w:val="24"/>
        </w:rPr>
      </w:pPr>
      <w:r>
        <w:rPr>
          <w:rFonts w:ascii="Palatino Linotype" w:eastAsia="Palatino Linotype" w:hAnsi="Palatino Linotype" w:cs="Palatino Linotype"/>
          <w:i/>
          <w:szCs w:val="24"/>
        </w:rPr>
        <w:t>…</w:t>
      </w:r>
    </w:p>
    <w:p w:rsidR="00B314B6" w:rsidRPr="000B7742" w:rsidRDefault="000B7742" w:rsidP="000B7742">
      <w:pPr>
        <w:ind w:left="851" w:right="706"/>
        <w:jc w:val="both"/>
        <w:rPr>
          <w:rFonts w:ascii="Palatino Linotype" w:eastAsia="Palatino Linotype" w:hAnsi="Palatino Linotype" w:cs="Palatino Linotype"/>
          <w:i/>
          <w:szCs w:val="24"/>
        </w:rPr>
      </w:pPr>
      <w:r w:rsidRPr="000B7742">
        <w:rPr>
          <w:rFonts w:ascii="Palatino Linotype" w:eastAsia="Palatino Linotype" w:hAnsi="Palatino Linotype" w:cs="Palatino Linotype"/>
          <w:i/>
          <w:szCs w:val="24"/>
        </w:rPr>
        <w:t>De lo anterior se desprende que el Sujeto Obligado sólo proporcionará la información que obra en sus archivos, lo que a contrario sensu significa que no está obligado a proporcionar lo que no obre en sus archivos, pues no cuenta con las facultade</w:t>
      </w:r>
      <w:r>
        <w:rPr>
          <w:rFonts w:ascii="Palatino Linotype" w:eastAsia="Palatino Linotype" w:hAnsi="Palatino Linotype" w:cs="Palatino Linotype"/>
          <w:i/>
          <w:szCs w:val="24"/>
        </w:rPr>
        <w:t>s o atribuciones para generarlo</w:t>
      </w:r>
      <w:r>
        <w:rPr>
          <w:rFonts w:ascii="Palatino Linotype" w:eastAsia="Palatino Linotype" w:hAnsi="Palatino Linotype" w:cs="Palatino Linotype"/>
          <w:i/>
        </w:rPr>
        <w:t xml:space="preserve">.” </w:t>
      </w:r>
    </w:p>
    <w:p w:rsidR="00B314B6" w:rsidRDefault="005B2F4B">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Advirtiéndole que </w:t>
      </w:r>
      <w:r w:rsidR="000B7742">
        <w:rPr>
          <w:rFonts w:ascii="Palatino Linotype" w:eastAsia="Palatino Linotype" w:hAnsi="Palatino Linotype" w:cs="Palatino Linotype"/>
          <w:sz w:val="24"/>
          <w:szCs w:val="24"/>
        </w:rPr>
        <w:t xml:space="preserve">la Secretaría de Desarrollo Social no es competente para conocer sobre la comprobación de los gastos relacionados con comunicación social, ya que como se refiere en el estudio la Coordinación General de Comunicación Social del Gobierno del Estado de México, es la dependencia competente para </w:t>
      </w:r>
      <w:r w:rsidR="00C3368C" w:rsidRPr="00C3368C">
        <w:rPr>
          <w:rFonts w:ascii="Palatino Linotype" w:eastAsia="Palatino Linotype" w:hAnsi="Palatino Linotype" w:cs="Palatino Linotype"/>
          <w:sz w:val="24"/>
          <w:szCs w:val="24"/>
        </w:rPr>
        <w:t>efectuar directamente gastos de publicidad y comunicación social</w:t>
      </w:r>
      <w:r w:rsidR="000B7742" w:rsidRPr="00C3368C">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por ello la Suscrita estima que no resultaba procedente ordenar la emisión del acuerdo de incompetencia</w:t>
      </w:r>
      <w:r>
        <w:rPr>
          <w:rFonts w:ascii="Palatino Linotype" w:eastAsia="Palatino Linotype" w:hAnsi="Palatino Linotype" w:cs="Palatino Linotype"/>
          <w:sz w:val="18"/>
          <w:szCs w:val="18"/>
        </w:rPr>
        <w:t>,</w:t>
      </w:r>
      <w:r>
        <w:rPr>
          <w:rFonts w:ascii="Palatino Linotype" w:eastAsia="Palatino Linotype" w:hAnsi="Palatino Linotype" w:cs="Palatino Linotype"/>
          <w:sz w:val="24"/>
          <w:szCs w:val="24"/>
        </w:rPr>
        <w:t xml:space="preserve"> aun cuando la Unidad de Transparencia  efectuó la declaración de la notoria incompetencia por parte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atender favorablemente la solicitud de información, de manera posterior a los tres días de haberse recibido la solicitud de información.</w:t>
      </w:r>
    </w:p>
    <w:p w:rsidR="00B314B6" w:rsidRDefault="005B2F4B">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por ésta vía, en virtud de que la propia ponencia ha determinado que </w:t>
      </w:r>
      <w:r>
        <w:rPr>
          <w:rFonts w:ascii="Palatino Linotype" w:eastAsia="Palatino Linotype" w:hAnsi="Palatino Linotype" w:cs="Palatino Linotype"/>
          <w:b/>
          <w:i/>
          <w:sz w:val="24"/>
          <w:szCs w:val="24"/>
          <w:u w:val="single"/>
        </w:rPr>
        <w:t xml:space="preserve">el Sujeto Obligado no cuenta con competencia para atender los </w:t>
      </w:r>
      <w:r>
        <w:rPr>
          <w:rFonts w:ascii="Palatino Linotype" w:eastAsia="Palatino Linotype" w:hAnsi="Palatino Linotype" w:cs="Palatino Linotype"/>
          <w:b/>
          <w:i/>
          <w:sz w:val="24"/>
          <w:szCs w:val="24"/>
          <w:u w:val="single"/>
        </w:rPr>
        <w:lastRenderedPageBreak/>
        <w:t>requerimientos señalados por el particular, por ende no se</w:t>
      </w:r>
      <w:r>
        <w:rPr>
          <w:b/>
          <w:i/>
          <w:sz w:val="24"/>
          <w:szCs w:val="24"/>
          <w:u w:val="single"/>
        </w:rPr>
        <w:t xml:space="preserve"> </w:t>
      </w:r>
      <w:r>
        <w:rPr>
          <w:rFonts w:ascii="Palatino Linotype" w:eastAsia="Palatino Linotype" w:hAnsi="Palatino Linotype" w:cs="Palatino Linotype"/>
          <w:b/>
          <w:i/>
          <w:sz w:val="24"/>
          <w:szCs w:val="24"/>
          <w:u w:val="single"/>
        </w:rPr>
        <w:t xml:space="preserve">encuentra constreñido a entregar la información requerida ante la falta de atribuciones para generar, poseer o administrar lo solicitado. </w:t>
      </w:r>
    </w:p>
    <w:p w:rsidR="00B314B6" w:rsidRDefault="005B2F4B">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B314B6" w:rsidRDefault="005B2F4B">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anteriores que la Suscrita no comparte el sentido de la resolución, y formula el presente voto disidente.</w:t>
      </w: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5B2F4B" w:rsidRDefault="005B2F4B">
      <w:pPr>
        <w:spacing w:before="240" w:after="240" w:line="360" w:lineRule="auto"/>
        <w:ind w:right="139"/>
        <w:jc w:val="both"/>
        <w:rPr>
          <w:rFonts w:ascii="Palatino Linotype" w:eastAsia="Palatino Linotype" w:hAnsi="Palatino Linotype" w:cs="Palatino Linotype"/>
          <w:sz w:val="24"/>
          <w:szCs w:val="24"/>
        </w:rPr>
      </w:pPr>
    </w:p>
    <w:p w:rsidR="00B314B6" w:rsidRDefault="00B314B6">
      <w:pPr>
        <w:spacing w:before="240" w:after="240" w:line="360" w:lineRule="auto"/>
        <w:ind w:right="139"/>
        <w:jc w:val="both"/>
        <w:rPr>
          <w:rFonts w:ascii="Palatino Linotype" w:eastAsia="Palatino Linotype" w:hAnsi="Palatino Linotype" w:cs="Palatino Linotype"/>
          <w:sz w:val="24"/>
          <w:szCs w:val="24"/>
        </w:rPr>
      </w:pPr>
    </w:p>
    <w:p w:rsidR="00B314B6" w:rsidRDefault="00B314B6">
      <w:pPr>
        <w:spacing w:before="240" w:after="240" w:line="360" w:lineRule="auto"/>
        <w:ind w:right="139"/>
        <w:jc w:val="both"/>
        <w:rPr>
          <w:rFonts w:ascii="Palatino Linotype" w:eastAsia="Palatino Linotype" w:hAnsi="Palatino Linotype" w:cs="Palatino Linotype"/>
          <w:sz w:val="24"/>
          <w:szCs w:val="24"/>
        </w:rPr>
      </w:pPr>
    </w:p>
    <w:p w:rsidR="00B314B6" w:rsidRDefault="00B314B6">
      <w:pPr>
        <w:spacing w:before="240" w:after="240" w:line="360" w:lineRule="auto"/>
        <w:ind w:right="139"/>
        <w:jc w:val="both"/>
        <w:rPr>
          <w:rFonts w:ascii="Palatino Linotype" w:eastAsia="Palatino Linotype" w:hAnsi="Palatino Linotype" w:cs="Palatino Linotype"/>
          <w:sz w:val="24"/>
          <w:szCs w:val="24"/>
        </w:rPr>
      </w:pPr>
    </w:p>
    <w:p w:rsidR="00B314B6" w:rsidRDefault="00B314B6">
      <w:pPr>
        <w:spacing w:before="240" w:after="240" w:line="360" w:lineRule="auto"/>
        <w:ind w:right="139"/>
        <w:jc w:val="both"/>
        <w:rPr>
          <w:rFonts w:ascii="Palatino Linotype" w:eastAsia="Palatino Linotype" w:hAnsi="Palatino Linotype" w:cs="Palatino Linotype"/>
          <w:sz w:val="24"/>
          <w:szCs w:val="24"/>
        </w:rPr>
      </w:pPr>
    </w:p>
    <w:sectPr w:rsidR="00B314B6">
      <w:headerReference w:type="default" r:id="rId8"/>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306" w:rsidRDefault="00FA7306">
      <w:pPr>
        <w:spacing w:after="0" w:line="240" w:lineRule="auto"/>
      </w:pPr>
      <w:r>
        <w:separator/>
      </w:r>
    </w:p>
  </w:endnote>
  <w:endnote w:type="continuationSeparator" w:id="0">
    <w:p w:rsidR="00FA7306" w:rsidRDefault="00FA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306" w:rsidRDefault="00FA7306">
      <w:pPr>
        <w:spacing w:after="0" w:line="240" w:lineRule="auto"/>
      </w:pPr>
      <w:r>
        <w:separator/>
      </w:r>
    </w:p>
  </w:footnote>
  <w:footnote w:type="continuationSeparator" w:id="0">
    <w:p w:rsidR="00FA7306" w:rsidRDefault="00FA7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B6" w:rsidRDefault="005B2F4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-1341753</wp:posOffset>
          </wp:positionH>
          <wp:positionV relativeFrom="paragraph">
            <wp:posOffset>-453388</wp:posOffset>
          </wp:positionV>
          <wp:extent cx="7510145" cy="9883775"/>
          <wp:effectExtent l="0" t="0" r="0" b="0"/>
          <wp:wrapNone/>
          <wp:docPr id="9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B314B6" w:rsidRDefault="005B2F4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B314B6" w:rsidRDefault="005B2F4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RECURSOS DE REVISIÓN: 1</w:t>
    </w:r>
    <w:r w:rsidR="00C51880">
      <w:rPr>
        <w:rFonts w:ascii="Palatino Linotype" w:eastAsia="Palatino Linotype" w:hAnsi="Palatino Linotype" w:cs="Palatino Linotype"/>
        <w:b/>
        <w:color w:val="000000"/>
        <w:sz w:val="20"/>
        <w:szCs w:val="20"/>
      </w:rPr>
      <w:t>5605</w:t>
    </w:r>
    <w:r>
      <w:rPr>
        <w:rFonts w:ascii="Palatino Linotype" w:eastAsia="Palatino Linotype" w:hAnsi="Palatino Linotype" w:cs="Palatino Linotype"/>
        <w:b/>
        <w:color w:val="000000"/>
        <w:sz w:val="20"/>
        <w:szCs w:val="20"/>
      </w:rPr>
      <w:t xml:space="preserve">/INFOEM/IP/RR/2022 </w:t>
    </w:r>
  </w:p>
  <w:p w:rsidR="00B314B6" w:rsidRDefault="00B314B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E4F43A3"/>
    <w:multiLevelType w:val="multilevel"/>
    <w:tmpl w:val="F9B662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B44E0C"/>
    <w:multiLevelType w:val="hybridMultilevel"/>
    <w:tmpl w:val="A85C754A"/>
    <w:lvl w:ilvl="0" w:tplc="1554BC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B6"/>
    <w:rsid w:val="000B7742"/>
    <w:rsid w:val="0041474B"/>
    <w:rsid w:val="005B2F4B"/>
    <w:rsid w:val="00783700"/>
    <w:rsid w:val="0088134F"/>
    <w:rsid w:val="00B314B6"/>
    <w:rsid w:val="00C3368C"/>
    <w:rsid w:val="00C51880"/>
    <w:rsid w:val="00FA73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3249F-1399-44DD-9A1A-99425D52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0B7742"/>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BDYVTjjSsyV46oUqwIT5jpZb8Q==">AMUW2mXYRDQx8pSnscLWTo119Em8MU/U3S5YBUsiW+LnrO8mQ7eOSMumgETAIobNzZTyNIDIsxFxdtrsB6tnTAwxjAraltUG/3WjR3JV0cyyZcYJFoApWLzk0YN3ngbQ9ikOmik7s0fpPhbvY4JyMCk9l+pQia4Bqg==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1856</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dcterms:created xsi:type="dcterms:W3CDTF">2023-02-13T22:36:00Z</dcterms:created>
  <dcterms:modified xsi:type="dcterms:W3CDTF">2023-02-13T22:36:00Z</dcterms:modified>
</cp:coreProperties>
</file>