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56" w:rsidRPr="00544EDA" w:rsidRDefault="00D42B53">
      <w:pPr>
        <w:spacing w:before="240" w:after="240" w:line="360" w:lineRule="auto"/>
        <w:ind w:right="139"/>
        <w:jc w:val="both"/>
        <w:rPr>
          <w:rFonts w:ascii="Palatino Linotype" w:eastAsia="Palatino Linotype" w:hAnsi="Palatino Linotype" w:cs="Palatino Linotype"/>
          <w:b/>
        </w:rPr>
      </w:pPr>
      <w:bookmarkStart w:id="0" w:name="_heading=h.30j0zll" w:colFirst="0" w:colLast="0"/>
      <w:bookmarkEnd w:id="0"/>
      <w:r w:rsidRPr="00544EDA">
        <w:rPr>
          <w:rFonts w:ascii="Palatino Linotype" w:eastAsia="Palatino Linotype" w:hAnsi="Palatino Linotype" w:cs="Palatino Linotype"/>
          <w:b/>
        </w:rPr>
        <w:t>V</w:t>
      </w:r>
      <w:r w:rsidR="00E41C39">
        <w:rPr>
          <w:rFonts w:ascii="Palatino Linotype" w:eastAsia="Palatino Linotype" w:hAnsi="Palatino Linotype" w:cs="Palatino Linotype"/>
          <w:b/>
        </w:rPr>
        <w:t>OTO DISIDENTE</w:t>
      </w:r>
      <w:r w:rsidRPr="00544EDA">
        <w:rPr>
          <w:rFonts w:ascii="Palatino Linotype" w:eastAsia="Palatino Linotype" w:hAnsi="Palatino Linotype" w:cs="Palatino Linotype"/>
          <w:b/>
        </w:rPr>
        <w:t xml:space="preserve"> QUE FORMULA LA COMISIONADA GUADALUPE RAMÍREZ PEÑA, EN RELACIÓN CON LA RESOLUCIÓN DICTADA POR EL PLENO DEL INSTITUTO DE TRANSPARENCIA, ACCESO A LA INFORMACIÓN PÚBLICA Y PROTECCIÓN DE DATOS PERSONALES DEL ESTADO DE MÉXICO Y MUNICIPIOS, EN LA </w:t>
      </w:r>
      <w:r w:rsidR="00E41C39">
        <w:rPr>
          <w:rFonts w:ascii="Palatino Linotype" w:eastAsia="Palatino Linotype" w:hAnsi="Palatino Linotype" w:cs="Palatino Linotype"/>
          <w:b/>
        </w:rPr>
        <w:t xml:space="preserve">QUINTA </w:t>
      </w:r>
      <w:r w:rsidRPr="00544EDA">
        <w:rPr>
          <w:rFonts w:ascii="Palatino Linotype" w:eastAsia="Palatino Linotype" w:hAnsi="Palatino Linotype" w:cs="Palatino Linotype"/>
          <w:b/>
        </w:rPr>
        <w:t>SESIÓN O</w:t>
      </w:r>
      <w:r w:rsidR="00E41C39">
        <w:rPr>
          <w:rFonts w:ascii="Palatino Linotype" w:eastAsia="Palatino Linotype" w:hAnsi="Palatino Linotype" w:cs="Palatino Linotype"/>
          <w:b/>
        </w:rPr>
        <w:t>RDINARIA CELEBRADA EL NUEVE DE FEBRERO DE DOS MIL VEINTITRÉS</w:t>
      </w:r>
      <w:r w:rsidRPr="00544EDA">
        <w:rPr>
          <w:rFonts w:ascii="Palatino Linotype" w:eastAsia="Palatino Linotype" w:hAnsi="Palatino Linotype" w:cs="Palatino Linotype"/>
          <w:b/>
        </w:rPr>
        <w:t>,</w:t>
      </w:r>
      <w:r w:rsidR="00E41C39">
        <w:rPr>
          <w:rFonts w:ascii="Palatino Linotype" w:eastAsia="Palatino Linotype" w:hAnsi="Palatino Linotype" w:cs="Palatino Linotype"/>
          <w:b/>
        </w:rPr>
        <w:t xml:space="preserve"> EN EL RECURSO DE REVISIÓN 17026</w:t>
      </w:r>
      <w:r w:rsidRPr="00544EDA">
        <w:rPr>
          <w:rFonts w:ascii="Palatino Linotype" w:eastAsia="Palatino Linotype" w:hAnsi="Palatino Linotype" w:cs="Palatino Linotype"/>
          <w:b/>
        </w:rPr>
        <w:t>/INFOEM/IP/RR/2022.</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sidR="00E41C39">
        <w:rPr>
          <w:rFonts w:ascii="Palatino Linotype" w:eastAsia="Palatino Linotype" w:hAnsi="Palatino Linotype" w:cs="Palatino Linotype"/>
          <w:b/>
        </w:rPr>
        <w:t>VOTO DISIDENTE</w:t>
      </w:r>
      <w:r w:rsidRPr="00544EDA">
        <w:rPr>
          <w:rFonts w:ascii="Palatino Linotype" w:eastAsia="Palatino Linotype" w:hAnsi="Palatino Linotype" w:cs="Palatino Linotype"/>
        </w:rPr>
        <w:t xml:space="preserve"> respecto a la resolución dictada en el recurso de revisión número </w:t>
      </w:r>
      <w:r w:rsidR="00E41C39">
        <w:rPr>
          <w:rFonts w:ascii="Palatino Linotype" w:eastAsia="Palatino Linotype" w:hAnsi="Palatino Linotype" w:cs="Palatino Linotype"/>
          <w:b/>
        </w:rPr>
        <w:t>17026</w:t>
      </w:r>
      <w:r w:rsidRPr="00544EDA">
        <w:rPr>
          <w:rFonts w:ascii="Palatino Linotype" w:eastAsia="Palatino Linotype" w:hAnsi="Palatino Linotype" w:cs="Palatino Linotype"/>
          <w:b/>
        </w:rPr>
        <w:t>/INFOEM/IP/RR/2022</w:t>
      </w:r>
      <w:r w:rsidRPr="00544EDA">
        <w:rPr>
          <w:rFonts w:ascii="Palatino Linotype" w:eastAsia="Palatino Linotype" w:hAnsi="Palatino Linotype" w:cs="Palatino Linotype"/>
        </w:rPr>
        <w:t xml:space="preserve">, pronunciada por el Pleno de este Instituto ante el proyecto presentado por el Comisionado Luis Gustavo Parra Noriega, al tenor siguiente: </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b/>
        </w:rPr>
        <w:t>I. Antecedentes.</w:t>
      </w:r>
    </w:p>
    <w:p w:rsidR="002B3056" w:rsidRDefault="00D42B53" w:rsidP="00E41C39">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Como quedó debidamente asentado en la resolución, materia del presente voto particular, la persona </w:t>
      </w:r>
      <w:r w:rsidR="00E41C39">
        <w:rPr>
          <w:rFonts w:ascii="Palatino Linotype" w:eastAsia="Palatino Linotype" w:hAnsi="Palatino Linotype" w:cs="Palatino Linotype"/>
        </w:rPr>
        <w:t>solicitante requirió a la Secretaría de Salud del Estado de México,</w:t>
      </w:r>
      <w:r w:rsidR="00E41C39" w:rsidRPr="00544EDA">
        <w:rPr>
          <w:rFonts w:ascii="Palatino Linotype" w:eastAsia="Palatino Linotype" w:hAnsi="Palatino Linotype" w:cs="Palatino Linotype"/>
        </w:rPr>
        <w:t xml:space="preserve"> </w:t>
      </w:r>
      <w:r w:rsidRPr="00544EDA">
        <w:rPr>
          <w:rFonts w:ascii="Palatino Linotype" w:eastAsia="Palatino Linotype" w:hAnsi="Palatino Linotype" w:cs="Palatino Linotype"/>
        </w:rPr>
        <w:t xml:space="preserve">conocer </w:t>
      </w:r>
      <w:r w:rsidR="00E41C39">
        <w:rPr>
          <w:rFonts w:ascii="Palatino Linotype" w:eastAsia="Palatino Linotype" w:hAnsi="Palatino Linotype" w:cs="Palatino Linotype"/>
        </w:rPr>
        <w:t>la siguiente información:</w:t>
      </w:r>
    </w:p>
    <w:p w:rsidR="00E41C39" w:rsidRPr="00E41C39" w:rsidRDefault="00E41C39" w:rsidP="00E41C39">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w:t>
      </w:r>
      <w:r w:rsidRPr="00E41C39">
        <w:rPr>
          <w:rFonts w:ascii="Palatino Linotype" w:eastAsia="Palatino Linotype" w:hAnsi="Palatino Linotype" w:cs="Palatino Linotype"/>
        </w:rPr>
        <w:t xml:space="preserve">nómina general del 1 de enero de 2022 al 31 de octubre de 2022 lista de raya, pago por honorarios </w:t>
      </w:r>
      <w:proofErr w:type="spellStart"/>
      <w:r w:rsidRPr="00E41C39">
        <w:rPr>
          <w:rFonts w:ascii="Palatino Linotype" w:eastAsia="Palatino Linotype" w:hAnsi="Palatino Linotype" w:cs="Palatino Linotype"/>
        </w:rPr>
        <w:t>asi</w:t>
      </w:r>
      <w:proofErr w:type="spellEnd"/>
      <w:r w:rsidRPr="00E41C39">
        <w:rPr>
          <w:rFonts w:ascii="Palatino Linotype" w:eastAsia="Palatino Linotype" w:hAnsi="Palatino Linotype" w:cs="Palatino Linotype"/>
        </w:rPr>
        <w:t xml:space="preserve"> como cualquier otro método de pago que se le realice a los trabajadores del hospital incluyendo doctores, especialistas, enfermeras, trabajadoras sociales y personal de intendencia, del </w:t>
      </w:r>
      <w:r w:rsidRPr="00E41C39">
        <w:rPr>
          <w:rFonts w:ascii="Palatino Linotype" w:eastAsia="Palatino Linotype" w:hAnsi="Palatino Linotype" w:cs="Palatino Linotype"/>
          <w:b/>
        </w:rPr>
        <w:t>Hospital general de Atlacomulco</w:t>
      </w:r>
      <w:r w:rsidRPr="00E41C39">
        <w:rPr>
          <w:rFonts w:ascii="Palatino Linotype" w:eastAsia="Palatino Linotype" w:hAnsi="Palatino Linotype" w:cs="Palatino Linotype"/>
        </w:rPr>
        <w:t>.(Sic)</w:t>
      </w:r>
    </w:p>
    <w:p w:rsidR="00E41C39" w:rsidRPr="00E41C39" w:rsidRDefault="00D42B53" w:rsidP="00E41C39">
      <w:pPr>
        <w:pStyle w:val="Prrafodelista"/>
        <w:tabs>
          <w:tab w:val="left" w:pos="567"/>
        </w:tabs>
        <w:spacing w:line="360" w:lineRule="auto"/>
        <w:ind w:left="0"/>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 xml:space="preserve">En respuesta, 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 xml:space="preserve"> a través de su </w:t>
      </w:r>
      <w:r w:rsidR="00E41C39" w:rsidRPr="00E41C39">
        <w:rPr>
          <w:rFonts w:ascii="Palatino Linotype" w:eastAsia="Palatino Linotype" w:hAnsi="Palatino Linotype" w:cs="Palatino Linotype"/>
        </w:rPr>
        <w:t xml:space="preserve">el Jefe de la Unidad de Información, Planeación, Programación y Evaluación, dirigido al Solicitante, </w:t>
      </w:r>
      <w:r w:rsidR="00E41C39">
        <w:rPr>
          <w:rFonts w:ascii="Palatino Linotype" w:eastAsia="Palatino Linotype" w:hAnsi="Palatino Linotype" w:cs="Palatino Linotype"/>
        </w:rPr>
        <w:t>mediante el cual informó:</w:t>
      </w:r>
    </w:p>
    <w:p w:rsidR="00E41C39" w:rsidRDefault="00E41C39" w:rsidP="00E41C39">
      <w:pPr>
        <w:spacing w:after="0" w:line="360" w:lineRule="auto"/>
        <w:ind w:left="567" w:right="567"/>
        <w:rPr>
          <w:rFonts w:cs="Tahoma"/>
          <w:b/>
          <w:i/>
          <w:iCs/>
          <w:sz w:val="20"/>
          <w:szCs w:val="20"/>
        </w:rPr>
      </w:pPr>
    </w:p>
    <w:p w:rsidR="00E41C39" w:rsidRPr="00E67F34" w:rsidRDefault="00E41C39" w:rsidP="00E41C39">
      <w:pPr>
        <w:spacing w:after="0" w:line="360" w:lineRule="auto"/>
        <w:ind w:left="567" w:right="567"/>
        <w:jc w:val="both"/>
        <w:rPr>
          <w:rFonts w:cs="Tahoma"/>
          <w:bCs/>
          <w:i/>
          <w:iCs/>
          <w:sz w:val="20"/>
          <w:szCs w:val="20"/>
        </w:rPr>
      </w:pPr>
      <w:r w:rsidRPr="00E67F34">
        <w:rPr>
          <w:rFonts w:cs="Tahoma"/>
          <w:bCs/>
          <w:i/>
          <w:iCs/>
          <w:sz w:val="20"/>
          <w:szCs w:val="20"/>
        </w:rPr>
        <w:t>“…</w:t>
      </w:r>
    </w:p>
    <w:p w:rsidR="00E41C39" w:rsidRPr="00E67F34" w:rsidRDefault="00E41C39" w:rsidP="00E41C39">
      <w:pPr>
        <w:spacing w:after="0" w:line="360" w:lineRule="auto"/>
        <w:ind w:left="567" w:right="567"/>
        <w:jc w:val="both"/>
        <w:rPr>
          <w:rFonts w:cs="Tahoma"/>
          <w:bCs/>
          <w:i/>
          <w:iCs/>
          <w:sz w:val="20"/>
          <w:szCs w:val="20"/>
        </w:rPr>
      </w:pPr>
      <w:r w:rsidRPr="00E67F34">
        <w:rPr>
          <w:i/>
          <w:iCs/>
          <w:sz w:val="20"/>
          <w:szCs w:val="20"/>
        </w:rPr>
        <w:t xml:space="preserve">Derivado del análisis realizado, </w:t>
      </w:r>
      <w:r w:rsidRPr="00E67F34">
        <w:rPr>
          <w:b/>
          <w:bCs/>
          <w:i/>
          <w:iCs/>
          <w:sz w:val="20"/>
          <w:szCs w:val="20"/>
        </w:rPr>
        <w:t>se identificó que la información que describe, no es administrada por unidades administrativas u órganos desconcentrados pertenecientes a esta Secretaría de Salud del Estado de México,</w:t>
      </w:r>
      <w:r w:rsidRPr="00E67F34">
        <w:rPr>
          <w:i/>
          <w:iCs/>
          <w:sz w:val="20"/>
          <w:szCs w:val="20"/>
        </w:rPr>
        <w:t xml:space="preserve">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razón de que la unidad administrativa a la que se hace referencia, forma parte de la infraestructura en salud del Instituto de Salud del Estado de México (ISEM).</w:t>
      </w:r>
      <w:r w:rsidRPr="00E67F34">
        <w:rPr>
          <w:rFonts w:cs="Tahoma"/>
          <w:bCs/>
          <w:i/>
          <w:iCs/>
          <w:sz w:val="20"/>
          <w:szCs w:val="20"/>
        </w:rPr>
        <w:t>.</w:t>
      </w:r>
    </w:p>
    <w:p w:rsidR="00E41C39" w:rsidRPr="00E67F34" w:rsidRDefault="00E41C39" w:rsidP="00E41C39">
      <w:pPr>
        <w:spacing w:after="0" w:line="360" w:lineRule="auto"/>
        <w:ind w:left="567" w:right="567"/>
        <w:jc w:val="both"/>
        <w:rPr>
          <w:rFonts w:cs="Tahoma"/>
          <w:bCs/>
          <w:i/>
          <w:iCs/>
          <w:sz w:val="20"/>
          <w:szCs w:val="20"/>
        </w:rPr>
      </w:pPr>
    </w:p>
    <w:p w:rsidR="00E41C39" w:rsidRPr="00DA168A" w:rsidRDefault="00E41C39" w:rsidP="00E41C39">
      <w:pPr>
        <w:spacing w:after="0" w:line="360" w:lineRule="auto"/>
        <w:ind w:left="567" w:right="567"/>
        <w:jc w:val="both"/>
        <w:rPr>
          <w:rFonts w:cs="Tahoma"/>
          <w:bCs/>
          <w:i/>
          <w:iCs/>
          <w:sz w:val="20"/>
          <w:szCs w:val="20"/>
        </w:rPr>
      </w:pPr>
      <w:r w:rsidRPr="00E67F34">
        <w:rPr>
          <w:i/>
          <w:iCs/>
          <w:sz w:val="20"/>
          <w:szCs w:val="20"/>
        </w:rPr>
        <w:t xml:space="preserve">Por tal motivo y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w:t>
      </w:r>
      <w:r w:rsidRPr="00753BC0">
        <w:rPr>
          <w:b/>
          <w:bCs/>
          <w:i/>
          <w:iCs/>
          <w:sz w:val="20"/>
          <w:szCs w:val="20"/>
        </w:rPr>
        <w:t>https://salud.edomex.gob.mx/isem/home.html</w:t>
      </w:r>
      <w:r w:rsidRPr="00E67F34">
        <w:rPr>
          <w:i/>
          <w:iCs/>
          <w:sz w:val="20"/>
          <w:szCs w:val="20"/>
        </w:rPr>
        <w:t>, o en modo presencial en el Módulo de Acceso a la Información Pública del ISEM, ubicado en Avenida Independencia Oriente número 1009, Colonia Reforma y Ferrocarriles Nacionales, Toluca Estado de México, C.P.</w:t>
      </w:r>
      <w:r>
        <w:rPr>
          <w:i/>
          <w:iCs/>
          <w:sz w:val="20"/>
          <w:szCs w:val="20"/>
        </w:rPr>
        <w:t xml:space="preserve"> 50070, en días y horas hábiles</w:t>
      </w:r>
      <w:r w:rsidRPr="00DA168A">
        <w:rPr>
          <w:rFonts w:cs="Tahoma"/>
          <w:bCs/>
          <w:i/>
          <w:iCs/>
          <w:sz w:val="20"/>
          <w:szCs w:val="20"/>
        </w:rPr>
        <w:t>…”</w:t>
      </w:r>
    </w:p>
    <w:p w:rsidR="00E41C39" w:rsidRDefault="00D42B53" w:rsidP="00E41C39">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 </w:t>
      </w:r>
    </w:p>
    <w:p w:rsidR="002B3056" w:rsidRPr="00544EDA" w:rsidRDefault="00D42B53" w:rsidP="00E41C39">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 xml:space="preserve">Una vez conocida la respuesta del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 la parte</w:t>
      </w:r>
      <w:r w:rsidRPr="00544EDA">
        <w:rPr>
          <w:rFonts w:ascii="Palatino Linotype" w:eastAsia="Palatino Linotype" w:hAnsi="Palatino Linotype" w:cs="Palatino Linotype"/>
          <w:b/>
        </w:rPr>
        <w:t xml:space="preserve"> Recurrente</w:t>
      </w:r>
      <w:r w:rsidRPr="00544EDA">
        <w:rPr>
          <w:rFonts w:ascii="Palatino Linotype" w:eastAsia="Palatino Linotype" w:hAnsi="Palatino Linotype" w:cs="Palatino Linotype"/>
        </w:rPr>
        <w:t xml:space="preserve"> interpuso el medio de impugnación citado al rubro, expresando lo siguiente: </w:t>
      </w:r>
    </w:p>
    <w:p w:rsidR="002B3056" w:rsidRPr="00544EDA" w:rsidRDefault="00E41C39">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i/>
        </w:rPr>
      </w:pPr>
      <w:r>
        <w:rPr>
          <w:rFonts w:ascii="Palatino Linotype" w:eastAsia="Palatino Linotype" w:hAnsi="Palatino Linotype" w:cs="Palatino Linotype"/>
          <w:i/>
        </w:rPr>
        <w:t>“</w:t>
      </w:r>
      <w:r w:rsidRPr="00E41C39">
        <w:rPr>
          <w:rFonts w:ascii="Palatino Linotype" w:eastAsia="Palatino Linotype" w:hAnsi="Palatino Linotype" w:cs="Palatino Linotype"/>
          <w:i/>
        </w:rPr>
        <w:t xml:space="preserve">mala orientación. </w:t>
      </w:r>
      <w:proofErr w:type="gramStart"/>
      <w:r w:rsidRPr="00E41C39">
        <w:rPr>
          <w:rFonts w:ascii="Palatino Linotype" w:eastAsia="Palatino Linotype" w:hAnsi="Palatino Linotype" w:cs="Palatino Linotype"/>
          <w:i/>
        </w:rPr>
        <w:t>negativa</w:t>
      </w:r>
      <w:proofErr w:type="gramEnd"/>
      <w:r w:rsidRPr="00E41C39">
        <w:rPr>
          <w:rFonts w:ascii="Palatino Linotype" w:eastAsia="Palatino Linotype" w:hAnsi="Palatino Linotype" w:cs="Palatino Linotype"/>
          <w:i/>
        </w:rPr>
        <w:t xml:space="preserve"> de la información</w:t>
      </w:r>
      <w:r w:rsidR="00D42B53" w:rsidRPr="00544EDA">
        <w:rPr>
          <w:rFonts w:ascii="Palatino Linotype" w:eastAsia="Palatino Linotype" w:hAnsi="Palatino Linotype" w:cs="Palatino Linotype"/>
          <w:i/>
        </w:rPr>
        <w:t>”(Sic)</w:t>
      </w:r>
    </w:p>
    <w:p w:rsidR="002B3056" w:rsidRPr="00544EDA" w:rsidRDefault="00D42B53">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sidRPr="00544EDA">
        <w:rPr>
          <w:rFonts w:ascii="Palatino Linotype" w:eastAsia="Palatino Linotype" w:hAnsi="Palatino Linotype" w:cs="Palatino Linotype"/>
        </w:rPr>
        <w:t>Admitido el recurso de revisión, en términos del artículo 185 fracción II</w:t>
      </w:r>
      <w:r w:rsidRPr="00544EDA">
        <w:rPr>
          <w:rFonts w:ascii="Palatino Linotype" w:eastAsia="Palatino Linotype" w:hAnsi="Palatino Linotype" w:cs="Palatino Linotype"/>
          <w:vertAlign w:val="superscript"/>
        </w:rPr>
        <w:footnoteReference w:id="1"/>
      </w:r>
      <w:r w:rsidRPr="00544ED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RPr="00544EDA">
        <w:rPr>
          <w:rFonts w:ascii="Palatino Linotype" w:eastAsia="Palatino Linotype" w:hAnsi="Palatino Linotype" w:cs="Palatino Linotype"/>
          <w:b/>
        </w:rPr>
        <w:t>EL SUJETO OBLIGADO</w:t>
      </w:r>
      <w:r w:rsidRPr="00544EDA">
        <w:rPr>
          <w:rFonts w:ascii="Palatino Linotype" w:eastAsia="Palatino Linotype" w:hAnsi="Palatino Linotype" w:cs="Palatino Linotype"/>
        </w:rPr>
        <w:t xml:space="preserve">, </w:t>
      </w:r>
      <w:r w:rsidR="00E41C39">
        <w:rPr>
          <w:rFonts w:ascii="Palatino Linotype" w:eastAsia="Palatino Linotype" w:hAnsi="Palatino Linotype" w:cs="Palatino Linotype"/>
        </w:rPr>
        <w:t>fue omiso en rendir su informe justificado</w:t>
      </w:r>
      <w:r w:rsidRPr="00544EDA">
        <w:rPr>
          <w:rFonts w:ascii="Palatino Linotype" w:eastAsia="Palatino Linotype" w:hAnsi="Palatino Linotype" w:cs="Palatino Linotype"/>
        </w:rPr>
        <w:t xml:space="preserve">, por lo que respecta a la parte </w:t>
      </w:r>
      <w:r w:rsidRPr="00544EDA">
        <w:rPr>
          <w:rFonts w:ascii="Palatino Linotype" w:eastAsia="Palatino Linotype" w:hAnsi="Palatino Linotype" w:cs="Palatino Linotype"/>
          <w:b/>
        </w:rPr>
        <w:t>RECURRENTE</w:t>
      </w:r>
      <w:r w:rsidRPr="00544EDA">
        <w:rPr>
          <w:rFonts w:ascii="Palatino Linotype" w:eastAsia="Palatino Linotype" w:hAnsi="Palatino Linotype" w:cs="Palatino Linotype"/>
        </w:rPr>
        <w:t xml:space="preserve"> resultó omiso de emitir manifestaciones. </w:t>
      </w:r>
    </w:p>
    <w:p w:rsidR="002B3056" w:rsidRPr="00544EDA" w:rsidRDefault="002B3056">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2B3056" w:rsidRPr="00544EDA" w:rsidRDefault="00D42B53">
      <w:pPr>
        <w:pBdr>
          <w:top w:val="nil"/>
          <w:left w:val="nil"/>
          <w:bottom w:val="nil"/>
          <w:right w:val="nil"/>
          <w:between w:val="nil"/>
        </w:pBdr>
        <w:spacing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En tal sentido, derivado del análisis efectuado, consideró que los motivos de inconformidad aducidos por la persona solicitante resultaban </w:t>
      </w:r>
      <w:r w:rsidR="00E41C39">
        <w:rPr>
          <w:rFonts w:ascii="Palatino Linotype" w:eastAsia="Palatino Linotype" w:hAnsi="Palatino Linotype" w:cs="Palatino Linotype"/>
        </w:rPr>
        <w:t xml:space="preserve">parcialmente </w:t>
      </w:r>
      <w:r w:rsidRPr="00544EDA">
        <w:rPr>
          <w:rFonts w:ascii="Palatino Linotype" w:eastAsia="Palatino Linotype" w:hAnsi="Palatino Linotype" w:cs="Palatino Linotype"/>
        </w:rPr>
        <w:t>fundados, y determinó modificar la respuesta emitida, procediendo a ordenar la entrega de lo siguiente:</w:t>
      </w:r>
    </w:p>
    <w:p w:rsidR="00E41C39" w:rsidRPr="00E41C39" w:rsidRDefault="00E41C39" w:rsidP="00E41C39">
      <w:pPr>
        <w:pStyle w:val="Prrafodelista"/>
        <w:numPr>
          <w:ilvl w:val="0"/>
          <w:numId w:val="5"/>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i/>
        </w:rPr>
      </w:pPr>
      <w:r w:rsidRPr="00E41C39">
        <w:rPr>
          <w:rFonts w:ascii="Palatino Linotype" w:eastAsia="Palatino Linotype" w:hAnsi="Palatino Linotype" w:cs="Palatino Linotype"/>
          <w:i/>
        </w:rPr>
        <w:t>El Acuerdo emitido por el Comité de Transparencia del Ente Recurrido, a efecto de confirmar la incompetencia para conocer de las remuneraciones del personal adscrito al del Hospital General de Atlacomulco.</w:t>
      </w:r>
    </w:p>
    <w:p w:rsidR="002B3056" w:rsidRPr="00544EDA" w:rsidRDefault="00D42B53">
      <w:pPr>
        <w:spacing w:before="240" w:after="240" w:line="360" w:lineRule="auto"/>
        <w:ind w:right="139"/>
        <w:jc w:val="both"/>
        <w:rPr>
          <w:rFonts w:ascii="Palatino Linotype" w:eastAsia="Palatino Linotype" w:hAnsi="Palatino Linotype" w:cs="Palatino Linotype"/>
          <w:b/>
          <w:highlight w:val="red"/>
        </w:rPr>
      </w:pPr>
      <w:r w:rsidRPr="00544EDA">
        <w:rPr>
          <w:rFonts w:ascii="Palatino Linotype" w:eastAsia="Palatino Linotype" w:hAnsi="Palatino Linotype" w:cs="Palatino Linotype"/>
          <w:b/>
        </w:rPr>
        <w:t>I</w:t>
      </w:r>
      <w:r w:rsidR="00E41C39">
        <w:rPr>
          <w:rFonts w:ascii="Palatino Linotype" w:eastAsia="Palatino Linotype" w:hAnsi="Palatino Linotype" w:cs="Palatino Linotype"/>
          <w:b/>
        </w:rPr>
        <w:t>I. Razones del Voto Disidente</w:t>
      </w:r>
      <w:r w:rsidRPr="00544EDA">
        <w:rPr>
          <w:rFonts w:ascii="Palatino Linotype" w:eastAsia="Palatino Linotype" w:hAnsi="Palatino Linotype" w:cs="Palatino Linotype"/>
          <w:b/>
        </w:rPr>
        <w:t>.</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 xml:space="preserve">En términos generales </w:t>
      </w:r>
      <w:r w:rsidR="006B10F3">
        <w:rPr>
          <w:rFonts w:ascii="Palatino Linotype" w:eastAsia="Palatino Linotype" w:hAnsi="Palatino Linotype" w:cs="Palatino Linotype"/>
        </w:rPr>
        <w:t xml:space="preserve">no se comparte el sentido de la resolución, </w:t>
      </w:r>
      <w:r w:rsidRPr="00544EDA">
        <w:rPr>
          <w:rFonts w:ascii="Palatino Linotype" w:eastAsia="Palatino Linotype" w:hAnsi="Palatino Linotype" w:cs="Palatino Linotype"/>
        </w:rPr>
        <w:t>sobre el acuerdo de incompetencia que se ordena, por los argumentos que se exponen a continuación:</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Respecto a la Declaración de Incompetencia la Ley de Transparencia y Acceso a la Información Pública del Estado de México, establece, en los artículos 49, fracción II y 167, lo siguiente: </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i/>
        </w:rPr>
      </w:pPr>
      <w:r w:rsidRPr="00544EDA">
        <w:rPr>
          <w:rFonts w:ascii="Palatino Linotype" w:eastAsia="Palatino Linotype" w:hAnsi="Palatino Linotype" w:cs="Palatino Linotype"/>
          <w:i/>
        </w:rPr>
        <w:t>“</w:t>
      </w:r>
      <w:r w:rsidRPr="00544EDA">
        <w:rPr>
          <w:rFonts w:ascii="Palatino Linotype" w:eastAsia="Palatino Linotype" w:hAnsi="Palatino Linotype" w:cs="Palatino Linotype"/>
          <w:b/>
          <w:i/>
        </w:rPr>
        <w:t>Artículo 49.</w:t>
      </w:r>
      <w:r w:rsidRPr="00544EDA">
        <w:rPr>
          <w:rFonts w:ascii="Palatino Linotype" w:eastAsia="Palatino Linotype" w:hAnsi="Palatino Linotype" w:cs="Palatino Linotype"/>
          <w:i/>
        </w:rPr>
        <w:t xml:space="preserve"> </w:t>
      </w:r>
      <w:r w:rsidRPr="00544EDA">
        <w:rPr>
          <w:rFonts w:ascii="Palatino Linotype" w:eastAsia="Palatino Linotype" w:hAnsi="Palatino Linotype" w:cs="Palatino Linotype"/>
          <w:b/>
          <w:i/>
        </w:rPr>
        <w:t>Los Comités de Transparencia</w:t>
      </w:r>
      <w:r w:rsidRPr="00544EDA">
        <w:rPr>
          <w:rFonts w:ascii="Palatino Linotype" w:eastAsia="Palatino Linotype" w:hAnsi="Palatino Linotype" w:cs="Palatino Linotype"/>
          <w:i/>
        </w:rPr>
        <w:t xml:space="preserve"> tendrán las siguientes atribuciones:</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rPr>
      </w:pPr>
      <w:r w:rsidRPr="00544EDA">
        <w:rPr>
          <w:rFonts w:ascii="Palatino Linotype" w:eastAsia="Palatino Linotype" w:hAnsi="Palatino Linotype" w:cs="Palatino Linotype"/>
          <w:b/>
          <w:i/>
        </w:rPr>
        <w:t>...</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u w:val="single"/>
        </w:rPr>
      </w:pPr>
      <w:r w:rsidRPr="00544EDA">
        <w:rPr>
          <w:rFonts w:ascii="Palatino Linotype" w:eastAsia="Palatino Linotype" w:hAnsi="Palatino Linotype" w:cs="Palatino Linotype"/>
          <w:b/>
          <w:i/>
        </w:rPr>
        <w:t>II.</w:t>
      </w:r>
      <w:r w:rsidRPr="00544EDA">
        <w:t xml:space="preserve"> </w:t>
      </w:r>
      <w:r w:rsidRPr="00544EDA">
        <w:rPr>
          <w:rFonts w:ascii="Palatino Linotype" w:eastAsia="Palatino Linotype" w:hAnsi="Palatino Linotype" w:cs="Palatino Linotype"/>
          <w:b/>
          <w:i/>
        </w:rPr>
        <w:t>Confirmar, modificar o revocar</w:t>
      </w:r>
      <w:r w:rsidRPr="00544EDA">
        <w:rPr>
          <w:rFonts w:ascii="Palatino Linotype" w:eastAsia="Palatino Linotype" w:hAnsi="Palatino Linotype" w:cs="Palatino Linotype"/>
          <w:i/>
        </w:rPr>
        <w:t xml:space="preserve"> las determinaciones que en materia de ampliación del plazo de respuesta, clasificación de la información </w:t>
      </w:r>
      <w:r w:rsidRPr="00544EDA">
        <w:rPr>
          <w:rFonts w:ascii="Palatino Linotype" w:eastAsia="Palatino Linotype" w:hAnsi="Palatino Linotype" w:cs="Palatino Linotype"/>
          <w:b/>
          <w:i/>
        </w:rPr>
        <w:t>y declaración</w:t>
      </w:r>
      <w:r w:rsidRPr="00544EDA">
        <w:rPr>
          <w:rFonts w:ascii="Palatino Linotype" w:eastAsia="Palatino Linotype" w:hAnsi="Palatino Linotype" w:cs="Palatino Linotype"/>
          <w:i/>
        </w:rPr>
        <w:t xml:space="preserve"> de inexistencia o </w:t>
      </w:r>
      <w:r w:rsidRPr="00544EDA">
        <w:rPr>
          <w:rFonts w:ascii="Palatino Linotype" w:eastAsia="Palatino Linotype" w:hAnsi="Palatino Linotype" w:cs="Palatino Linotype"/>
          <w:b/>
          <w:i/>
        </w:rPr>
        <w:t>de incompetencia realicen los titulares de las áreas de los sujetos obligados;</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rPr>
      </w:pPr>
      <w:r w:rsidRPr="00544EDA">
        <w:rPr>
          <w:rFonts w:ascii="Palatino Linotype" w:eastAsia="Palatino Linotype" w:hAnsi="Palatino Linotype" w:cs="Palatino Linotype"/>
          <w:b/>
          <w:i/>
        </w:rPr>
        <w:t>...</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rPr>
      </w:pPr>
      <w:r w:rsidRPr="00544EDA">
        <w:rPr>
          <w:rFonts w:ascii="Palatino Linotype" w:eastAsia="Palatino Linotype" w:hAnsi="Palatino Linotype" w:cs="Palatino Linotype"/>
          <w:b/>
          <w:i/>
        </w:rPr>
        <w:t>Artículo 167</w:t>
      </w:r>
      <w:r w:rsidRPr="00544EDA">
        <w:rPr>
          <w:rFonts w:ascii="Palatino Linotype" w:eastAsia="Palatino Linotype" w:hAnsi="Palatino Linotype" w:cs="Palatino Linotype"/>
          <w:i/>
        </w:rPr>
        <w:t xml:space="preserve">. </w:t>
      </w:r>
      <w:r w:rsidRPr="00544EDA">
        <w:rPr>
          <w:rFonts w:ascii="Palatino Linotype" w:eastAsia="Palatino Linotype" w:hAnsi="Palatino Linotype" w:cs="Palatino Linotype"/>
          <w:b/>
          <w:i/>
        </w:rPr>
        <w:t>Cuando las unidades de transparencia determinen la notoria incompetencia</w:t>
      </w:r>
      <w:r w:rsidRPr="00544EDA">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544EDA">
        <w:rPr>
          <w:rFonts w:ascii="Palatino Linotype" w:eastAsia="Palatino Linotype" w:hAnsi="Palatino Linotype" w:cs="Palatino Linotype"/>
          <w:b/>
          <w:i/>
        </w:rPr>
        <w:t>deberán comunicarlo al solicitante, dentro de los tres días hábiles posteriores a la recepción de la solicitud</w:t>
      </w:r>
      <w:r w:rsidRPr="00544EDA">
        <w:rPr>
          <w:rFonts w:ascii="Palatino Linotype" w:eastAsia="Palatino Linotype" w:hAnsi="Palatino Linotype" w:cs="Palatino Linotype"/>
          <w:i/>
        </w:rPr>
        <w:t xml:space="preserve"> y, </w:t>
      </w:r>
      <w:r w:rsidRPr="00544EDA">
        <w:rPr>
          <w:rFonts w:ascii="Palatino Linotype" w:eastAsia="Palatino Linotype" w:hAnsi="Palatino Linotype" w:cs="Palatino Linotype"/>
          <w:b/>
          <w:i/>
        </w:rPr>
        <w:t>en su caso orientar al solicitante, el o los sujetos obligados competentes.” (Sic)</w:t>
      </w:r>
    </w:p>
    <w:p w:rsidR="002B3056" w:rsidRPr="00544EDA" w:rsidRDefault="002B3056">
      <w:pPr>
        <w:spacing w:before="120" w:after="120" w:line="240" w:lineRule="auto"/>
        <w:ind w:left="851" w:right="902"/>
        <w:jc w:val="both"/>
        <w:rPr>
          <w:rFonts w:ascii="Palatino Linotype" w:eastAsia="Palatino Linotype" w:hAnsi="Palatino Linotype" w:cs="Palatino Linotype"/>
        </w:rPr>
      </w:pPr>
    </w:p>
    <w:p w:rsidR="002B3056" w:rsidRPr="00544EDA" w:rsidRDefault="00D42B53">
      <w:pPr>
        <w:tabs>
          <w:tab w:val="left" w:pos="142"/>
          <w:tab w:val="left" w:pos="284"/>
        </w:tabs>
        <w:spacing w:line="360" w:lineRule="auto"/>
        <w:jc w:val="both"/>
        <w:rPr>
          <w:rFonts w:ascii="Palatino Linotype" w:eastAsia="Palatino Linotype" w:hAnsi="Palatino Linotype" w:cs="Palatino Linotype"/>
          <w:b/>
        </w:rPr>
      </w:pPr>
      <w:r w:rsidRPr="00544EDA">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544EDA">
        <w:rPr>
          <w:rFonts w:ascii="Palatino Linotype" w:eastAsia="Palatino Linotype" w:hAnsi="Palatino Linotype" w:cs="Palatino Linotype"/>
          <w:b/>
        </w:rPr>
        <w:t xml:space="preserve"> en aquellos casos en los que no se trate de una notoria incompetencia. </w:t>
      </w:r>
    </w:p>
    <w:p w:rsidR="002B3056" w:rsidRPr="00544EDA" w:rsidRDefault="00D42B53">
      <w:pPr>
        <w:tabs>
          <w:tab w:val="left" w:pos="142"/>
          <w:tab w:val="left" w:pos="284"/>
        </w:tabs>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w:t>
      </w:r>
      <w:r w:rsidRPr="00544EDA">
        <w:rPr>
          <w:rFonts w:ascii="Palatino Linotype" w:eastAsia="Palatino Linotype" w:hAnsi="Palatino Linotype" w:cs="Palatino Linotype"/>
        </w:rPr>
        <w:lastRenderedPageBreak/>
        <w:t xml:space="preserve">no fue respetado dicho plazo, ello no cambia la circunstancia de que la incompetencia de </w:t>
      </w:r>
      <w:r w:rsidR="006B10F3" w:rsidRPr="006B10F3">
        <w:rPr>
          <w:rFonts w:ascii="Palatino Linotype" w:eastAsia="Palatino Linotype" w:hAnsi="Palatino Linotype" w:cs="Palatino Linotype"/>
          <w:b/>
        </w:rPr>
        <w:t>Sujeto Obligado</w:t>
      </w:r>
      <w:r w:rsidR="006B10F3" w:rsidRPr="00544EDA">
        <w:rPr>
          <w:rFonts w:ascii="Palatino Linotype" w:eastAsia="Palatino Linotype" w:hAnsi="Palatino Linotype" w:cs="Palatino Linotype"/>
        </w:rPr>
        <w:t xml:space="preserve"> </w:t>
      </w:r>
      <w:r w:rsidRPr="00544EDA">
        <w:rPr>
          <w:rFonts w:ascii="Palatino Linotype" w:eastAsia="Palatino Linotype" w:hAnsi="Palatino Linotype" w:cs="Palatino Linotype"/>
        </w:rPr>
        <w:t xml:space="preserve">para dar atención a la solicitud de información siga siendo notoria. </w:t>
      </w:r>
    </w:p>
    <w:p w:rsidR="002B3056" w:rsidRPr="00544EDA" w:rsidRDefault="00D42B53">
      <w:pPr>
        <w:tabs>
          <w:tab w:val="left" w:pos="142"/>
          <w:tab w:val="left" w:pos="284"/>
        </w:tabs>
        <w:spacing w:line="360" w:lineRule="auto"/>
        <w:jc w:val="both"/>
        <w:rPr>
          <w:rFonts w:ascii="Palatino Linotype" w:eastAsia="Palatino Linotype" w:hAnsi="Palatino Linotype" w:cs="Palatino Linotype"/>
          <w:u w:val="single"/>
        </w:rPr>
      </w:pPr>
      <w:r w:rsidRPr="00544EDA">
        <w:rPr>
          <w:rFonts w:ascii="Palatino Linotype" w:eastAsia="Palatino Linotype" w:hAnsi="Palatino Linotype" w:cs="Palatino Linotype"/>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544EDA">
        <w:rPr>
          <w:rFonts w:ascii="Palatino Linotype" w:eastAsia="Palatino Linotype" w:hAnsi="Palatino Linotype" w:cs="Palatino Linotype"/>
          <w:u w:val="single"/>
        </w:rPr>
        <w:t xml:space="preserve">para su aprobación. </w:t>
      </w:r>
    </w:p>
    <w:p w:rsidR="002B3056" w:rsidRPr="00544EDA" w:rsidRDefault="00D42B53">
      <w:pPr>
        <w:spacing w:before="240" w:after="360" w:line="360" w:lineRule="auto"/>
        <w:ind w:right="18"/>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2B3056" w:rsidRPr="00544EDA" w:rsidRDefault="00D42B53">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b/>
          <w:i/>
          <w:color w:val="000000"/>
        </w:rPr>
        <w:t>“Declaración de incompetencia por parte del Comité, cuando no sea notoria o manifiesta.</w:t>
      </w:r>
      <w:r w:rsidRPr="00544EDA">
        <w:rPr>
          <w:rFonts w:ascii="Palatino Linotype" w:eastAsia="Palatino Linotype" w:hAnsi="Palatino Linotype" w:cs="Palatino Linotype"/>
          <w:i/>
          <w:color w:val="00000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544EDA">
        <w:rPr>
          <w:rFonts w:ascii="Palatino Linotype" w:eastAsia="Palatino Linotype" w:hAnsi="Palatino Linotype" w:cs="Palatino Linotype"/>
          <w:b/>
        </w:rPr>
        <w:t xml:space="preserve"> </w:t>
      </w:r>
      <w:r w:rsidRPr="00544EDA">
        <w:rPr>
          <w:rFonts w:ascii="Palatino Linotype" w:eastAsia="Palatino Linotype" w:hAnsi="Palatino Linotype" w:cs="Palatino Linotype"/>
          <w:b/>
          <w:u w:val="single"/>
        </w:rPr>
        <w:t>duda razonable sobre la administración del documento materia de la solicitud de información</w:t>
      </w:r>
      <w:r w:rsidRPr="00544EDA">
        <w:rPr>
          <w:rFonts w:ascii="Palatino Linotype" w:eastAsia="Palatino Linotype" w:hAnsi="Palatino Linotype" w:cs="Palatino Linotype"/>
        </w:rPr>
        <w:t>, como se lee enseguida:</w:t>
      </w:r>
    </w:p>
    <w:p w:rsidR="002B3056" w:rsidRPr="00544EDA" w:rsidRDefault="00D42B53">
      <w:pPr>
        <w:ind w:left="851" w:right="900"/>
        <w:jc w:val="both"/>
        <w:rPr>
          <w:rFonts w:ascii="Palatino Linotype" w:eastAsia="Palatino Linotype" w:hAnsi="Palatino Linotype" w:cs="Palatino Linotype"/>
          <w:i/>
        </w:rPr>
      </w:pPr>
      <w:r w:rsidRPr="00544EDA">
        <w:rPr>
          <w:rFonts w:ascii="Palatino Linotype" w:eastAsia="Palatino Linotype" w:hAnsi="Palatino Linotype" w:cs="Palatino Linotype"/>
          <w:b/>
          <w:i/>
        </w:rPr>
        <w:t xml:space="preserve">“DECLARATORIA DE INCOMPETENCIA DEL SUJETO OBLIGADO. SUPUESTO PARA CONFIRMARLA POR ACUERDO DEL COMITÉ DE </w:t>
      </w:r>
      <w:r w:rsidRPr="00544EDA">
        <w:rPr>
          <w:rFonts w:ascii="Palatino Linotype" w:eastAsia="Palatino Linotype" w:hAnsi="Palatino Linotype" w:cs="Palatino Linotype"/>
          <w:b/>
          <w:i/>
        </w:rPr>
        <w:lastRenderedPageBreak/>
        <w:t xml:space="preserve">TRANSPARENCIA. </w:t>
      </w:r>
      <w:r w:rsidRPr="00544EDA">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544EDA">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544EDA">
        <w:rPr>
          <w:rFonts w:ascii="Palatino Linotype" w:eastAsia="Palatino Linotype" w:hAnsi="Palatino Linotype" w:cs="Palatino Linotype"/>
          <w:b/>
          <w:i/>
          <w:u w:val="single"/>
        </w:rPr>
        <w:t>impiden determinar dentro del término legal de tres días hábiles</w:t>
      </w:r>
      <w:r w:rsidRPr="00544EDA">
        <w:rPr>
          <w:rFonts w:ascii="Palatino Linotype" w:eastAsia="Palatino Linotype" w:hAnsi="Palatino Linotype" w:cs="Palatino Linotype"/>
          <w:b/>
          <w:i/>
        </w:rPr>
        <w:t>, si se posee o no la información por el Sujeto Obligado requerid</w:t>
      </w:r>
      <w:r w:rsidRPr="00544EDA">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En el caso particular en la resolución de mérito se señaló de manera textual lo siguiente:</w:t>
      </w:r>
    </w:p>
    <w:p w:rsidR="006B10F3" w:rsidRPr="006B10F3" w:rsidRDefault="00D42B53" w:rsidP="006B10F3">
      <w:pPr>
        <w:ind w:left="851" w:right="900"/>
        <w:jc w:val="both"/>
        <w:rPr>
          <w:rFonts w:ascii="Palatino Linotype" w:eastAsia="Palatino Linotype" w:hAnsi="Palatino Linotype" w:cs="Palatino Linotype"/>
          <w:i/>
        </w:rPr>
      </w:pPr>
      <w:r w:rsidRPr="006B10F3">
        <w:rPr>
          <w:rFonts w:ascii="Palatino Linotype" w:eastAsia="Palatino Linotype" w:hAnsi="Palatino Linotype" w:cs="Palatino Linotype"/>
          <w:i/>
        </w:rPr>
        <w:t>“</w:t>
      </w:r>
      <w:r w:rsidR="006B10F3" w:rsidRPr="006B10F3">
        <w:rPr>
          <w:rFonts w:ascii="Palatino Linotype" w:eastAsia="Palatino Linotype" w:hAnsi="Palatino Linotype" w:cs="Palatino Linotype"/>
          <w:i/>
        </w:rPr>
        <w:t xml:space="preserve">Ahora bien, es necesario traer a colación el Criterio de Interpretación, de la Segunda Época, con clave de control SO/002/2020, emitido por el Instituto Nacional de Transparencia, Acceso a la Información y Protección de Datos Personales, que precisa que cuando la incompetencia no sea manifestada por el Sujeto Obligado, o bien, que se necesite efectuar un análisis mayor, a la </w:t>
      </w:r>
      <w:r w:rsidR="006B10F3" w:rsidRPr="006B10F3">
        <w:rPr>
          <w:rFonts w:ascii="Palatino Linotype" w:eastAsia="Palatino Linotype" w:hAnsi="Palatino Linotype" w:cs="Palatino Linotype"/>
          <w:i/>
        </w:rPr>
        <w:lastRenderedPageBreak/>
        <w:t>verificación de atribuciones, será necesario que sea declarada por el Comité de Transparencia.</w:t>
      </w:r>
    </w:p>
    <w:p w:rsidR="006B10F3" w:rsidRPr="006B10F3" w:rsidRDefault="006B10F3" w:rsidP="006B10F3">
      <w:pPr>
        <w:ind w:left="851" w:right="900"/>
        <w:jc w:val="both"/>
        <w:rPr>
          <w:rFonts w:ascii="Palatino Linotype" w:eastAsia="Palatino Linotype" w:hAnsi="Palatino Linotype" w:cs="Palatino Linotype"/>
          <w:i/>
        </w:rPr>
      </w:pPr>
    </w:p>
    <w:p w:rsidR="006B10F3" w:rsidRPr="006B10F3" w:rsidRDefault="006B10F3" w:rsidP="006B10F3">
      <w:pPr>
        <w:ind w:left="851" w:right="900"/>
        <w:jc w:val="both"/>
        <w:rPr>
          <w:rFonts w:ascii="Palatino Linotype" w:eastAsia="Palatino Linotype" w:hAnsi="Palatino Linotype" w:cs="Palatino Linotype"/>
          <w:i/>
        </w:rPr>
      </w:pPr>
      <w:r w:rsidRPr="006B10F3">
        <w:rPr>
          <w:rFonts w:ascii="Palatino Linotype" w:eastAsia="Palatino Linotype" w:hAnsi="Palatino Linotype" w:cs="Palatino Linotype"/>
          <w:i/>
        </w:rPr>
        <w:t xml:space="preserve">Al respecto, en el presente caso, si bien la incompetencia es notoria, pues de las atribuciones del Ente Recurrido, no se localizó ninguna donde se advierta que pueda contar con lo peticionado, también lo es que la Secretaría de Salud, no manifestó su incompetencia dentro del plazo establecido en la ley, lo cual da como resultado que el agravio sea PARCIALMENTE FUNDADO. </w:t>
      </w:r>
    </w:p>
    <w:p w:rsidR="006B10F3" w:rsidRPr="006B10F3" w:rsidRDefault="006B10F3" w:rsidP="006B10F3">
      <w:pPr>
        <w:ind w:left="851" w:right="900"/>
        <w:jc w:val="both"/>
        <w:rPr>
          <w:rFonts w:ascii="Palatino Linotype" w:eastAsia="Palatino Linotype" w:hAnsi="Palatino Linotype" w:cs="Palatino Linotype"/>
          <w:i/>
        </w:rPr>
      </w:pPr>
    </w:p>
    <w:p w:rsidR="002B3056" w:rsidRDefault="006B10F3" w:rsidP="006B10F3">
      <w:pPr>
        <w:ind w:left="851" w:right="900"/>
        <w:jc w:val="both"/>
        <w:rPr>
          <w:rFonts w:ascii="Palatino Linotype" w:eastAsia="Palatino Linotype" w:hAnsi="Palatino Linotype" w:cs="Palatino Linotype"/>
          <w:i/>
        </w:rPr>
      </w:pPr>
      <w:r w:rsidRPr="006B10F3">
        <w:rPr>
          <w:rFonts w:ascii="Palatino Linotype" w:eastAsia="Palatino Linotype" w:hAnsi="Palatino Linotype" w:cs="Palatino Linotype"/>
          <w:i/>
        </w:rPr>
        <w:t>Por lo cual, para dar por atendida la solicitud de acceso a la información, se considera procedente ordenar la entrega del Acuerdo emitido por el Comité de Transparencia del Ente Recurrido, a efecto de confirmar la incompetencia para conocer de las remuneraciones del personal adscrito al del Hospital General de Atlacomulco.</w:t>
      </w:r>
      <w:r w:rsidR="00D42B53" w:rsidRPr="00544EDA">
        <w:rPr>
          <w:rFonts w:ascii="Palatino Linotype" w:eastAsia="Palatino Linotype" w:hAnsi="Palatino Linotype" w:cs="Palatino Linotype"/>
          <w:i/>
        </w:rPr>
        <w:t>” (Sic)</w:t>
      </w:r>
    </w:p>
    <w:p w:rsidR="006B10F3" w:rsidRPr="00544EDA" w:rsidRDefault="006B10F3" w:rsidP="006B10F3">
      <w:pPr>
        <w:ind w:left="851" w:right="900"/>
        <w:jc w:val="both"/>
        <w:rPr>
          <w:rFonts w:ascii="Palatino Linotype" w:eastAsia="Palatino Linotype" w:hAnsi="Palatino Linotype" w:cs="Palatino Linotype"/>
          <w:i/>
        </w:rPr>
      </w:pPr>
    </w:p>
    <w:p w:rsidR="002B3056" w:rsidRPr="00544EDA" w:rsidRDefault="00D42B53">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A</w:t>
      </w:r>
      <w:r w:rsidR="006B10F3">
        <w:rPr>
          <w:rFonts w:ascii="Palatino Linotype" w:eastAsia="Palatino Linotype" w:hAnsi="Palatino Linotype" w:cs="Palatino Linotype"/>
        </w:rPr>
        <w:t>dvirtiéndose que</w:t>
      </w:r>
      <w:r w:rsidRPr="00544EDA">
        <w:rPr>
          <w:rFonts w:ascii="Palatino Linotype" w:eastAsia="Palatino Linotype" w:hAnsi="Palatino Linotype" w:cs="Palatino Linotype"/>
        </w:rPr>
        <w:t xml:space="preserve"> </w:t>
      </w:r>
      <w:r w:rsidR="006B10F3">
        <w:rPr>
          <w:rFonts w:ascii="Palatino Linotype" w:eastAsia="Palatino Linotype" w:hAnsi="Palatino Linotype" w:cs="Palatino Linotype"/>
        </w:rPr>
        <w:t xml:space="preserve">no se localizó </w:t>
      </w:r>
      <w:r w:rsidR="006B10F3" w:rsidRPr="006B10F3">
        <w:rPr>
          <w:rFonts w:ascii="Palatino Linotype" w:eastAsia="Palatino Linotype" w:hAnsi="Palatino Linotype" w:cs="Palatino Linotype"/>
        </w:rPr>
        <w:t xml:space="preserve">atribuciones </w:t>
      </w:r>
      <w:r w:rsidR="006B10F3">
        <w:rPr>
          <w:rFonts w:ascii="Palatino Linotype" w:eastAsia="Palatino Linotype" w:hAnsi="Palatino Linotype" w:cs="Palatino Linotype"/>
        </w:rPr>
        <w:t>de la Secretaría de Salud</w:t>
      </w:r>
      <w:r w:rsidR="006B10F3" w:rsidRPr="006B10F3">
        <w:rPr>
          <w:rFonts w:ascii="Palatino Linotype" w:eastAsia="Palatino Linotype" w:hAnsi="Palatino Linotype" w:cs="Palatino Linotype"/>
        </w:rPr>
        <w:t xml:space="preserve">, </w:t>
      </w:r>
      <w:r w:rsidR="006B10F3">
        <w:rPr>
          <w:rFonts w:ascii="Palatino Linotype" w:eastAsia="Palatino Linotype" w:hAnsi="Palatino Linotype" w:cs="Palatino Linotype"/>
        </w:rPr>
        <w:t xml:space="preserve">que </w:t>
      </w:r>
      <w:r w:rsidR="006B10F3" w:rsidRPr="006B10F3">
        <w:rPr>
          <w:rFonts w:ascii="Palatino Linotype" w:eastAsia="Palatino Linotype" w:hAnsi="Palatino Linotype" w:cs="Palatino Linotype"/>
        </w:rPr>
        <w:t>advierta que pueda contar con lo peticionado</w:t>
      </w:r>
      <w:r w:rsidRPr="00544EDA">
        <w:rPr>
          <w:rFonts w:ascii="Palatino Linotype" w:eastAsia="Palatino Linotype" w:hAnsi="Palatino Linotype" w:cs="Palatino Linotype"/>
        </w:rPr>
        <w:t xml:space="preserve">, por consiguiente el </w:t>
      </w:r>
      <w:r w:rsidRPr="00544EDA">
        <w:rPr>
          <w:rFonts w:ascii="Palatino Linotype" w:eastAsia="Palatino Linotype" w:hAnsi="Palatino Linotype" w:cs="Palatino Linotype"/>
          <w:b/>
        </w:rPr>
        <w:t xml:space="preserve">SUJETO OBLIGADO, </w:t>
      </w:r>
      <w:r w:rsidRPr="00544EDA">
        <w:rPr>
          <w:rFonts w:ascii="Palatino Linotype" w:eastAsia="Palatino Linotype" w:hAnsi="Palatino Linotype" w:cs="Palatino Linotype"/>
        </w:rPr>
        <w:t>resulta incompetente para tener en sus archivos la información relativa a</w:t>
      </w:r>
      <w:r w:rsidR="006B10F3">
        <w:rPr>
          <w:rFonts w:ascii="Palatino Linotype" w:eastAsia="Palatino Linotype" w:hAnsi="Palatino Linotype" w:cs="Palatino Linotype"/>
        </w:rPr>
        <w:t xml:space="preserve"> la </w:t>
      </w:r>
      <w:r w:rsidR="006B10F3" w:rsidRPr="006B10F3">
        <w:rPr>
          <w:rFonts w:ascii="Palatino Linotype" w:eastAsia="Palatino Linotype" w:hAnsi="Palatino Linotype" w:cs="Palatino Linotype"/>
        </w:rPr>
        <w:t xml:space="preserve">nómina general </w:t>
      </w:r>
      <w:r w:rsidR="006B10F3">
        <w:rPr>
          <w:rFonts w:ascii="Palatino Linotype" w:eastAsia="Palatino Linotype" w:hAnsi="Palatino Linotype" w:cs="Palatino Linotype"/>
        </w:rPr>
        <w:t>de</w:t>
      </w:r>
      <w:r w:rsidR="006B10F3" w:rsidRPr="006B10F3">
        <w:rPr>
          <w:rFonts w:ascii="Palatino Linotype" w:eastAsia="Palatino Linotype" w:hAnsi="Palatino Linotype" w:cs="Palatino Linotype"/>
        </w:rPr>
        <w:t xml:space="preserve"> los trabajadores del </w:t>
      </w:r>
      <w:r w:rsidR="006B10F3">
        <w:rPr>
          <w:rFonts w:ascii="Palatino Linotype" w:eastAsia="Palatino Linotype" w:hAnsi="Palatino Linotype" w:cs="Palatino Linotype"/>
        </w:rPr>
        <w:t>Hospital general de Atlacomulco</w:t>
      </w:r>
      <w:r w:rsidRPr="00544EDA">
        <w:rPr>
          <w:rFonts w:ascii="Palatino Linotype" w:eastAsia="Palatino Linotype" w:hAnsi="Palatino Linotype" w:cs="Palatino Linotype"/>
        </w:rPr>
        <w:t>, por ello la Suscrita estima que no resultaba procedente ordenar la emisión del acuerdo de incompetencia, aun cuando que ya hubo un pronunciamiento por parte de</w:t>
      </w:r>
      <w:r w:rsidR="006B10F3">
        <w:rPr>
          <w:rFonts w:ascii="Palatino Linotype" w:eastAsia="Palatino Linotype" w:hAnsi="Palatino Linotype" w:cs="Palatino Linotype"/>
        </w:rPr>
        <w:t xml:space="preserve">l </w:t>
      </w:r>
      <w:r w:rsidR="006B10F3" w:rsidRPr="00E41C39">
        <w:rPr>
          <w:rFonts w:ascii="Palatino Linotype" w:eastAsia="Palatino Linotype" w:hAnsi="Palatino Linotype" w:cs="Palatino Linotype"/>
        </w:rPr>
        <w:t>Jefe de la Unidad de Información, Planeación, Programación y Evaluación</w:t>
      </w:r>
      <w:r w:rsidR="006B10F3">
        <w:rPr>
          <w:rFonts w:ascii="Palatino Linotype" w:eastAsia="Palatino Linotype" w:hAnsi="Palatino Linotype" w:cs="Palatino Linotype"/>
        </w:rPr>
        <w:t xml:space="preserve"> donde se declaró incompetente para conocer de la información orientando que es el Instituto de Salud del Estado de México</w:t>
      </w:r>
      <w:r w:rsidRPr="00544EDA">
        <w:rPr>
          <w:rFonts w:ascii="Palatino Linotype" w:eastAsia="Palatino Linotype" w:hAnsi="Palatino Linotype" w:cs="Palatino Linotype"/>
        </w:rPr>
        <w:t>, motivo por el cual, no proporciona la información solicitada.</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 xml:space="preserve">Lo anterior se estima así, en virtud de que, desde mi perspectiva, ordenar al Comité de Transparencia del </w:t>
      </w:r>
      <w:r w:rsidRPr="006B10F3">
        <w:rPr>
          <w:rFonts w:ascii="Palatino Linotype" w:eastAsia="Palatino Linotype" w:hAnsi="Palatino Linotype" w:cs="Palatino Linotype"/>
          <w:b/>
        </w:rPr>
        <w:t>Sujeto Obligado</w:t>
      </w:r>
      <w:r w:rsidRPr="00544EDA">
        <w:rPr>
          <w:rFonts w:ascii="Palatino Linotype" w:eastAsia="Palatino Linotype" w:hAnsi="Palatino Linotype" w:cs="Palatino Linotype"/>
        </w:rPr>
        <w:t xml:space="preserve">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información que es de su interés por ésta vía, en virtud de que la propia ponencia ha determinado que </w:t>
      </w:r>
      <w:r w:rsidRPr="00544EDA">
        <w:rPr>
          <w:rFonts w:ascii="Palatino Linotype" w:eastAsia="Palatino Linotype" w:hAnsi="Palatino Linotype" w:cs="Palatino Linotype"/>
          <w:b/>
          <w:i/>
          <w:u w:val="single"/>
        </w:rPr>
        <w:t>el Sujeto Obligado no cuenta con competencia para atender los requerimientos señalados por el particular, por ende no se</w:t>
      </w:r>
      <w:r w:rsidRPr="00544EDA">
        <w:rPr>
          <w:b/>
          <w:i/>
          <w:u w:val="single"/>
        </w:rPr>
        <w:t xml:space="preserve"> </w:t>
      </w:r>
      <w:r w:rsidRPr="00544EDA">
        <w:rPr>
          <w:rFonts w:ascii="Palatino Linotype" w:eastAsia="Palatino Linotype" w:hAnsi="Palatino Linotype" w:cs="Palatino Linotype"/>
          <w:b/>
          <w:i/>
          <w:u w:val="single"/>
        </w:rPr>
        <w:t xml:space="preserve">encuentra constreñido a entregar la información requerida ante la falta de atribuciones para generar, poseer o administrar lo solicitado. </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Por ello, instruir al Comité de Transparencia para que sesione y emita una resolución en la que se confirme una notoria incompetencia que ya fue declarada por el </w:t>
      </w:r>
      <w:r w:rsidRPr="006B10F3">
        <w:rPr>
          <w:rFonts w:ascii="Palatino Linotype" w:eastAsia="Palatino Linotype" w:hAnsi="Palatino Linotype" w:cs="Palatino Linotype"/>
          <w:b/>
        </w:rPr>
        <w:t>Sujeto Obligado</w:t>
      </w:r>
      <w:r w:rsidRPr="00544EDA">
        <w:rPr>
          <w:rFonts w:ascii="Palatino Linotype" w:eastAsia="Palatino Linotype" w:hAnsi="Palatino Linotype" w:cs="Palatino Linotype"/>
        </w:rPr>
        <w:t xml:space="preserve"> y analizada por este Organismo Garante, se aparta de los principios de sencillez y rapidez establecidos por la Ley de Transparencia y Acceso a la Información Pública del Estado de México y Municipios, en sus artículos 2, fracciones II y III, 21 y 150. </w:t>
      </w:r>
    </w:p>
    <w:p w:rsidR="00B604A1" w:rsidRPr="00544EDA" w:rsidRDefault="00B604A1" w:rsidP="00B604A1">
      <w:pPr>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6463B0" w:rsidRDefault="00D42B53" w:rsidP="006463B0">
      <w:pPr>
        <w:spacing w:before="240" w:after="240" w:line="360" w:lineRule="auto"/>
        <w:ind w:right="139"/>
        <w:jc w:val="both"/>
        <w:rPr>
          <w:rFonts w:ascii="Palatino Linotype" w:eastAsia="Palatino Linotype" w:hAnsi="Palatino Linotype" w:cs="Palatino Linotype"/>
        </w:rPr>
        <w:sectPr w:rsidR="006463B0">
          <w:headerReference w:type="default" r:id="rId9"/>
          <w:footerReference w:type="default" r:id="rId10"/>
          <w:pgSz w:w="12240" w:h="15840"/>
          <w:pgMar w:top="2438" w:right="1701" w:bottom="2778" w:left="1701" w:header="1134" w:footer="1134" w:gutter="0"/>
          <w:pgNumType w:start="1"/>
          <w:cols w:space="720"/>
        </w:sectPr>
      </w:pPr>
      <w:bookmarkStart w:id="1" w:name="_heading=h.1fob9te" w:colFirst="0" w:colLast="0"/>
      <w:bookmarkEnd w:id="1"/>
      <w:r w:rsidRPr="00544EDA">
        <w:rPr>
          <w:rFonts w:ascii="Palatino Linotype" w:eastAsia="Palatino Linotype" w:hAnsi="Palatino Linotype" w:cs="Palatino Linotype"/>
        </w:rPr>
        <w:t xml:space="preserve">Es por todo lo vertido en líneas anteriores que la Suscrita no comparte el sentido de la resolución </w:t>
      </w:r>
      <w:r w:rsidR="004F1E68">
        <w:rPr>
          <w:rFonts w:ascii="Palatino Linotype" w:eastAsia="Palatino Linotype" w:hAnsi="Palatino Linotype" w:cs="Palatino Linotype"/>
        </w:rPr>
        <w:t>en cuanto</w:t>
      </w:r>
      <w:r w:rsidRPr="00544EDA">
        <w:rPr>
          <w:rFonts w:ascii="Palatino Linotype" w:eastAsia="Palatino Linotype" w:hAnsi="Palatino Linotype" w:cs="Palatino Linotype"/>
        </w:rPr>
        <w:t xml:space="preserve"> al acuerdo de incompetencia</w:t>
      </w:r>
      <w:r w:rsidR="00544EDA">
        <w:rPr>
          <w:rFonts w:ascii="Palatino Linotype" w:eastAsia="Palatino Linotype" w:hAnsi="Palatino Linotype" w:cs="Palatino Linotype"/>
        </w:rPr>
        <w:t xml:space="preserve"> que se ordena </w:t>
      </w:r>
      <w:r w:rsidRPr="00544EDA">
        <w:rPr>
          <w:rFonts w:ascii="Palatino Linotype" w:eastAsia="Palatino Linotype" w:hAnsi="Palatino Linotype" w:cs="Palatino Linotype"/>
        </w:rPr>
        <w:t>y for</w:t>
      </w:r>
      <w:r w:rsidR="004F1E68">
        <w:rPr>
          <w:rFonts w:ascii="Palatino Linotype" w:eastAsia="Palatino Linotype" w:hAnsi="Palatino Linotype" w:cs="Palatino Linotype"/>
        </w:rPr>
        <w:t>mula el presente voto disidente</w:t>
      </w:r>
      <w:r w:rsidRPr="00544EDA">
        <w:rPr>
          <w:rFonts w:ascii="Palatino Linotype" w:eastAsia="Palatino Linotype" w:hAnsi="Palatino Linotype" w:cs="Palatino Linotype"/>
        </w:rPr>
        <w:t>.</w:t>
      </w:r>
      <w:bookmarkStart w:id="2" w:name="_GoBack"/>
      <w:bookmarkEnd w:id="2"/>
    </w:p>
    <w:p w:rsidR="002B3056" w:rsidRPr="00544EDA" w:rsidRDefault="002B3056" w:rsidP="006463B0">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bookmarkStart w:id="3" w:name="_heading=h.gjdgxs" w:colFirst="0" w:colLast="0"/>
      <w:bookmarkEnd w:id="3"/>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sectPr w:rsidR="002B3056" w:rsidRPr="00544EDA">
      <w:headerReference w:type="default" r:id="rId11"/>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F73" w:rsidRDefault="009D2F73">
      <w:pPr>
        <w:spacing w:after="0" w:line="240" w:lineRule="auto"/>
      </w:pPr>
      <w:r>
        <w:separator/>
      </w:r>
    </w:p>
  </w:endnote>
  <w:endnote w:type="continuationSeparator" w:id="0">
    <w:p w:rsidR="009D2F73" w:rsidRDefault="009D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56" w:rsidRDefault="00D42B5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sidR="006463B0">
      <w:rPr>
        <w:rFonts w:ascii="Times New Roman" w:eastAsia="Times New Roman" w:hAnsi="Times New Roman" w:cs="Times New Roman"/>
        <w:b/>
        <w:color w:val="000000"/>
        <w:sz w:val="20"/>
        <w:szCs w:val="20"/>
      </w:rPr>
      <w:t>9</w:t>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6463B0">
      <w:rPr>
        <w:rFonts w:ascii="Times New Roman" w:eastAsia="Times New Roman" w:hAnsi="Times New Roman" w:cs="Times New Roman"/>
        <w:b/>
        <w:noProof/>
        <w:color w:val="000000"/>
        <w:sz w:val="20"/>
        <w:szCs w:val="20"/>
      </w:rPr>
      <w:t>9</w:t>
    </w:r>
    <w:r>
      <w:rPr>
        <w:rFonts w:ascii="Times New Roman" w:eastAsia="Times New Roman" w:hAnsi="Times New Roman" w:cs="Times New Roman"/>
        <w:b/>
        <w:color w:val="000000"/>
        <w:sz w:val="20"/>
        <w:szCs w:val="20"/>
      </w:rPr>
      <w:fldChar w:fldCharType="end"/>
    </w:r>
  </w:p>
  <w:p w:rsidR="002B3056" w:rsidRDefault="002B305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F73" w:rsidRDefault="009D2F73">
      <w:pPr>
        <w:spacing w:after="0" w:line="240" w:lineRule="auto"/>
      </w:pPr>
      <w:r>
        <w:separator/>
      </w:r>
    </w:p>
  </w:footnote>
  <w:footnote w:type="continuationSeparator" w:id="0">
    <w:p w:rsidR="009D2F73" w:rsidRDefault="009D2F73">
      <w:pPr>
        <w:spacing w:after="0" w:line="240" w:lineRule="auto"/>
      </w:pPr>
      <w:r>
        <w:continuationSeparator/>
      </w:r>
    </w:p>
  </w:footnote>
  <w:footnote w:id="1">
    <w:p w:rsidR="002B3056" w:rsidRDefault="00D42B53">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2B3056" w:rsidRDefault="00D42B5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56" w:rsidRDefault="00E41C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 xml:space="preserve">VOTO </w:t>
    </w:r>
    <w:r w:rsidR="00D42B53">
      <w:rPr>
        <w:noProof/>
      </w:rPr>
      <w:drawing>
        <wp:anchor distT="0" distB="0" distL="0" distR="0" simplePos="0" relativeHeight="251658240" behindDoc="1" locked="0" layoutInCell="1" hidden="0" allowOverlap="1">
          <wp:simplePos x="0" y="0"/>
          <wp:positionH relativeFrom="column">
            <wp:posOffset>-952495</wp:posOffset>
          </wp:positionH>
          <wp:positionV relativeFrom="paragraph">
            <wp:posOffset>-568956</wp:posOffset>
          </wp:positionV>
          <wp:extent cx="7510628" cy="988377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Pr>
        <w:rFonts w:ascii="Palatino Linotype" w:eastAsia="Palatino Linotype" w:hAnsi="Palatino Linotype" w:cs="Palatino Linotype"/>
        <w:b/>
        <w:color w:val="000000"/>
        <w:sz w:val="20"/>
        <w:szCs w:val="20"/>
      </w:rPr>
      <w:t>DISIDENTE</w:t>
    </w:r>
  </w:p>
  <w:p w:rsidR="002B3056" w:rsidRDefault="00E41C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17026</w:t>
    </w:r>
    <w:r w:rsidR="00D42B53">
      <w:rPr>
        <w:rFonts w:ascii="Palatino Linotype" w:eastAsia="Palatino Linotype" w:hAnsi="Palatino Linotype" w:cs="Palatino Linotype"/>
        <w:b/>
        <w:color w:val="000000"/>
        <w:sz w:val="20"/>
        <w:szCs w:val="20"/>
      </w:rPr>
      <w:t>/INFOEM/IP/RR/2022</w:t>
    </w:r>
  </w:p>
  <w:p w:rsidR="002B3056" w:rsidRDefault="002B305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B0" w:rsidRDefault="006463B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52697"/>
    <w:multiLevelType w:val="hybridMultilevel"/>
    <w:tmpl w:val="6F7EA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AA1A71"/>
    <w:multiLevelType w:val="multilevel"/>
    <w:tmpl w:val="1A14C4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595C9F"/>
    <w:multiLevelType w:val="hybridMultilevel"/>
    <w:tmpl w:val="DEAE5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FF55DB"/>
    <w:multiLevelType w:val="multilevel"/>
    <w:tmpl w:val="00808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56"/>
    <w:rsid w:val="000F3BF5"/>
    <w:rsid w:val="002B3056"/>
    <w:rsid w:val="004F1E68"/>
    <w:rsid w:val="00544EDA"/>
    <w:rsid w:val="006463B0"/>
    <w:rsid w:val="006B10F3"/>
    <w:rsid w:val="009D2F73"/>
    <w:rsid w:val="00A16E5D"/>
    <w:rsid w:val="00B604A1"/>
    <w:rsid w:val="00D42B53"/>
    <w:rsid w:val="00E41C39"/>
    <w:rsid w:val="00EF0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094F5-38B3-4669-9FCF-5EB1323E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3">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KG2ClW1uu0WFbiXZ3bKAJOOng==">AMUW2mXMVEDiwGGXXhw415ef7jAacwwSI6OjEHbrFJsSopH/uYaxgd5PUJu6UXbEeQ0k7KtEIEM/VhVhT0L5JPMAX47KMcQJ2d98Z8I5N0jBoLJD6hSEdgZf3gUBLDmwInGGSSna3vp4mKyvL8CDOMPT2Rhi7YTlpw==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877F10-0750-4E13-98F7-94B70FA4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2062</Words>
  <Characters>11346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4</cp:revision>
  <cp:lastPrinted>2023-02-13T21:50:00Z</cp:lastPrinted>
  <dcterms:created xsi:type="dcterms:W3CDTF">2023-02-10T20:14:00Z</dcterms:created>
  <dcterms:modified xsi:type="dcterms:W3CDTF">2023-02-13T21:51:00Z</dcterms:modified>
</cp:coreProperties>
</file>