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VOTO DISIDENTE QUE FORMULA LA COMISIONADA GUADALUPE RAMÍREZ PEÑA, EN RELACIÓN CON LA RESOLUCIÓN DICTADA POR EL PLENO DEL INSTITUTO DE TRANSPARENCIA, ACCESO A LA INFORMACIÓN PÚBLICA Y PROTECCIÓN DE DATOS PERSONALES DEL ESTADO DE MÉXICO Y MUNICIPIOS, EN LA TRIGÉSIMO TERCERA SESIÓN ORDINARIA DEL TRECE DE SEPTIEMBRE DE DOS MIL VEINTITRÉS, EN LOS RECURSOS DE REVISIÓN 04006/INFOEM/IP/RR/2023 Y ACUMULADO.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Con fundamento en lo dispuesto por el artículo 14, fracciones X y XI, del Reglamento del Instituto de Transparencia, Acceso a la Información Pública y Protección de Datos Personales del Estado de México, la Comisionada Guadalupe Ramírez Peña, emite </w:t>
      </w:r>
      <w:r w:rsidDel="00000000" w:rsidR="00000000" w:rsidRPr="00000000">
        <w:rPr>
          <w:rFonts w:ascii="Palatino Linotype" w:cs="Palatino Linotype" w:eastAsia="Palatino Linotype" w:hAnsi="Palatino Linotype"/>
          <w:b w:val="1"/>
          <w:sz w:val="24"/>
          <w:szCs w:val="24"/>
          <w:rtl w:val="0"/>
        </w:rPr>
        <w:t xml:space="preserve">VOTO DISIDENTE </w:t>
      </w:r>
      <w:r w:rsidDel="00000000" w:rsidR="00000000" w:rsidRPr="00000000">
        <w:rPr>
          <w:rFonts w:ascii="Palatino Linotype" w:cs="Palatino Linotype" w:eastAsia="Palatino Linotype" w:hAnsi="Palatino Linotype"/>
          <w:sz w:val="24"/>
          <w:szCs w:val="24"/>
          <w:rtl w:val="0"/>
        </w:rPr>
        <w:t xml:space="preserve">respecto a la resolución dictada en los recursos de revisión con número </w:t>
      </w:r>
      <w:r w:rsidDel="00000000" w:rsidR="00000000" w:rsidRPr="00000000">
        <w:rPr>
          <w:rFonts w:ascii="Palatino Linotype" w:cs="Palatino Linotype" w:eastAsia="Palatino Linotype" w:hAnsi="Palatino Linotype"/>
          <w:b w:val="1"/>
          <w:sz w:val="24"/>
          <w:szCs w:val="24"/>
          <w:rtl w:val="0"/>
        </w:rPr>
        <w:t xml:space="preserve">04006/INFOEM/IP/RR/2023 y 04007/INFOEM/IP/RR/2023, acumulados, </w:t>
      </w:r>
      <w:r w:rsidDel="00000000" w:rsidR="00000000" w:rsidRPr="00000000">
        <w:rPr>
          <w:rFonts w:ascii="Palatino Linotype" w:cs="Palatino Linotype" w:eastAsia="Palatino Linotype" w:hAnsi="Palatino Linotype"/>
          <w:sz w:val="24"/>
          <w:szCs w:val="24"/>
          <w:rtl w:val="0"/>
        </w:rPr>
        <w:t xml:space="preserve">pronunciada por el Pleno de este Instituto ante el proyecto presentado por el Comisionado Luis Gustavo Parra Noriega, el cual se formuló, conforme al tenor siguiente:</w:t>
      </w:r>
      <w:r w:rsidDel="00000000" w:rsidR="00000000" w:rsidRPr="00000000">
        <w:rPr>
          <w:rtl w:val="0"/>
        </w:rPr>
      </w:r>
    </w:p>
    <w:p w:rsidR="00000000" w:rsidDel="00000000" w:rsidP="00000000" w:rsidRDefault="00000000" w:rsidRPr="00000000" w14:paraId="00000003">
      <w:pPr>
        <w:numPr>
          <w:ilvl w:val="0"/>
          <w:numId w:val="1"/>
        </w:numPr>
        <w:spacing w:after="240" w:before="240" w:line="360" w:lineRule="auto"/>
        <w:ind w:left="567" w:hanging="14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Antecedentes.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el asunto que nos ocupa,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solicitó al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le proporcionara la siguiente información: </w:t>
      </w:r>
    </w:p>
    <w:p w:rsidR="00000000" w:rsidDel="00000000" w:rsidP="00000000" w:rsidRDefault="00000000" w:rsidRPr="00000000" w14:paraId="00000005">
      <w:pPr>
        <w:spacing w:after="240" w:before="24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6">
      <w:pPr>
        <w:tabs>
          <w:tab w:val="left" w:leader="none" w:pos="1134"/>
        </w:tabs>
        <w:spacing w:after="120" w:before="120" w:line="240" w:lineRule="auto"/>
        <w:ind w:left="851" w:right="992"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00098/OASCUATIZC/IP/2023 </w:t>
      </w:r>
    </w:p>
    <w:p w:rsidR="00000000" w:rsidDel="00000000" w:rsidP="00000000" w:rsidRDefault="00000000" w:rsidRPr="00000000" w14:paraId="00000007">
      <w:pPr>
        <w:tabs>
          <w:tab w:val="left" w:leader="none" w:pos="1134"/>
        </w:tabs>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“Solicito certificación de la persona que está como titular de transparencia, su ficha curricular y último recibo de nómina” (Sic)</w:t>
      </w:r>
    </w:p>
    <w:p w:rsidR="00000000" w:rsidDel="00000000" w:rsidP="00000000" w:rsidRDefault="00000000" w:rsidRPr="00000000" w14:paraId="00000008">
      <w:pPr>
        <w:tabs>
          <w:tab w:val="left" w:leader="none" w:pos="1134"/>
        </w:tabs>
        <w:spacing w:after="120" w:before="120" w:line="240" w:lineRule="auto"/>
        <w:ind w:left="851" w:right="992"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00101/OASCUATIZC/IP/2023 </w:t>
      </w:r>
    </w:p>
    <w:p w:rsidR="00000000" w:rsidDel="00000000" w:rsidP="00000000" w:rsidRDefault="00000000" w:rsidRPr="00000000" w14:paraId="00000009">
      <w:pPr>
        <w:tabs>
          <w:tab w:val="left" w:leader="none" w:pos="1134"/>
        </w:tabs>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“Solicito expediente laboral de la persona que está colo titular des unidad de transparencia” (Sic)</w:t>
      </w:r>
    </w:p>
    <w:p w:rsidR="00000000" w:rsidDel="00000000" w:rsidP="00000000" w:rsidRDefault="00000000" w:rsidRPr="00000000" w14:paraId="0000000A">
      <w:pPr>
        <w:spacing w:after="240" w:before="240" w:line="360" w:lineRule="auto"/>
        <w:ind w:right="992"/>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respuesta,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adjuntó lo siguiente:</w:t>
      </w:r>
    </w:p>
    <w:p w:rsidR="00000000" w:rsidDel="00000000" w:rsidP="00000000" w:rsidRDefault="00000000" w:rsidRPr="00000000" w14:paraId="0000000B">
      <w:pPr>
        <w:tabs>
          <w:tab w:val="left" w:leader="none" w:pos="1134"/>
        </w:tabs>
        <w:spacing w:after="120" w:before="120" w:line="360" w:lineRule="auto"/>
        <w:ind w:left="284" w:right="-3"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00098/OASCUATIZC/IP/2023 </w:t>
      </w:r>
    </w:p>
    <w:p w:rsidR="00000000" w:rsidDel="00000000" w:rsidP="00000000" w:rsidRDefault="00000000" w:rsidRPr="00000000" w14:paraId="0000000C">
      <w:pPr>
        <w:spacing w:after="120" w:before="120" w:line="360" w:lineRule="auto"/>
        <w:ind w:left="284" w:right="-3" w:firstLine="0"/>
        <w:jc w:val="both"/>
        <w:rPr>
          <w:rFonts w:ascii="Palatino Linotype" w:cs="Palatino Linotype" w:eastAsia="Palatino Linotype" w:hAnsi="Palatino Linotype"/>
          <w:sz w:val="24"/>
          <w:szCs w:val="24"/>
        </w:rPr>
      </w:pPr>
      <w:bookmarkStart w:colFirst="0" w:colLast="0" w:name="_heading=h.3znysh7" w:id="0"/>
      <w:bookmarkEnd w:id="0"/>
      <w:r w:rsidDel="00000000" w:rsidR="00000000" w:rsidRPr="00000000">
        <w:rPr>
          <w:rFonts w:ascii="Palatino Linotype" w:cs="Palatino Linotype" w:eastAsia="Palatino Linotype" w:hAnsi="Palatino Linotype"/>
          <w:sz w:val="24"/>
          <w:szCs w:val="24"/>
          <w:rtl w:val="0"/>
        </w:rPr>
        <w:t xml:space="preserve">i) Oficio número DAF/370/2023, del cinco de julio de dos mil veintitrés, signado por el Director de Administración y Finanzas y dirigido a la Coordinadora de Transparencia y Archivo, por medio del cual manifestó anexar la certificación, ficha curricular y último recibo de nómina del Titular de Transparencia en versión pública. </w:t>
      </w:r>
    </w:p>
    <w:p w:rsidR="00000000" w:rsidDel="00000000" w:rsidP="00000000" w:rsidRDefault="00000000" w:rsidRPr="00000000" w14:paraId="0000000D">
      <w:pPr>
        <w:spacing w:after="120" w:before="120" w:line="360" w:lineRule="auto"/>
        <w:ind w:left="284"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ii) Adjuntó la digitalización del certificado de competencia laboral en el estándar de competencia “Garantizar el Derecho de Acceso a la Información Pública”, currículum vitae, y recibo de nómina correspondiente a la primera quincena de junio de dos mil veintitrés, todo en versión pública, correspondiente a Carlos González Sandoval. </w:t>
      </w:r>
    </w:p>
    <w:p w:rsidR="00000000" w:rsidDel="00000000" w:rsidP="00000000" w:rsidRDefault="00000000" w:rsidRPr="00000000" w14:paraId="0000000E">
      <w:pPr>
        <w:spacing w:after="120" w:before="120" w:line="360" w:lineRule="auto"/>
        <w:ind w:left="284" w:right="-3" w:firstLine="0"/>
        <w:jc w:val="both"/>
        <w:rPr>
          <w:rFonts w:ascii="Palatino Linotype" w:cs="Palatino Linotype" w:eastAsia="Palatino Linotype" w:hAnsi="Palatino Linotype"/>
          <w:sz w:val="24"/>
          <w:szCs w:val="24"/>
        </w:rPr>
      </w:pPr>
      <w:bookmarkStart w:colFirst="0" w:colLast="0" w:name="_heading=h.tyjcwt" w:id="1"/>
      <w:bookmarkEnd w:id="1"/>
      <w:r w:rsidDel="00000000" w:rsidR="00000000" w:rsidRPr="00000000">
        <w:rPr>
          <w:rFonts w:ascii="Palatino Linotype" w:cs="Palatino Linotype" w:eastAsia="Palatino Linotype" w:hAnsi="Palatino Linotype"/>
          <w:sz w:val="24"/>
          <w:szCs w:val="24"/>
          <w:rtl w:val="0"/>
        </w:rPr>
        <w:t xml:space="preserve">iii) Acta de la Novena Sesión Extraordinaria del Comité de Transparencia del Organismo Público Descentralizado para la prestación de los servicios de Agua Potable.</w:t>
      </w:r>
    </w:p>
    <w:p w:rsidR="00000000" w:rsidDel="00000000" w:rsidP="00000000" w:rsidRDefault="00000000" w:rsidRPr="00000000" w14:paraId="0000000F">
      <w:pPr>
        <w:tabs>
          <w:tab w:val="left" w:leader="none" w:pos="1134"/>
        </w:tabs>
        <w:spacing w:after="120" w:before="120" w:line="360" w:lineRule="auto"/>
        <w:ind w:left="284" w:right="-3" w:firstLine="0"/>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00101/OASCUATIZC/IP/2023 </w:t>
      </w:r>
    </w:p>
    <w:p w:rsidR="00000000" w:rsidDel="00000000" w:rsidP="00000000" w:rsidRDefault="00000000" w:rsidRPr="00000000" w14:paraId="00000010">
      <w:pPr>
        <w:spacing w:after="120" w:before="120" w:line="360" w:lineRule="auto"/>
        <w:ind w:left="284"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 Oficio número DAF/371/2023, del cinco de julio de dos mil veintitrés, signado por el Director de Administración y Finanzas y dirigido a la Coordinadora de Transparencia y Archivo, por medio del cual manifestó anexar el expediente laboral del Titular de Transparencia en versión pública </w:t>
      </w:r>
    </w:p>
    <w:p w:rsidR="00000000" w:rsidDel="00000000" w:rsidP="00000000" w:rsidRDefault="00000000" w:rsidRPr="00000000" w14:paraId="00000011">
      <w:pPr>
        <w:spacing w:after="120" w:before="120" w:line="360" w:lineRule="auto"/>
        <w:ind w:left="284" w:right="-3"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ii) Adjuntó la versión pública de los siguientes documentos: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Acta de Nacimiento</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Credencial para Votar </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Constancia de la Clave Única de Registro de Población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Currículum Vitae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Certificado de competencia laboral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Título Profesional Electrónico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Certificado de Bachillerato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Informe de No Antecedentes Penales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Solicitud de Empleo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Constancia de No Inhabilitación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Aviso de Movimiento ISSEMyM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Constancia de situación Fiscal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567" w:right="-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Carta de Conocimiento </w:t>
      </w:r>
    </w:p>
    <w:p w:rsidR="00000000" w:rsidDel="00000000" w:rsidP="00000000" w:rsidRDefault="00000000" w:rsidRPr="00000000" w14:paraId="0000001F">
      <w:pPr>
        <w:tabs>
          <w:tab w:val="left" w:leader="none" w:pos="1134"/>
        </w:tabs>
        <w:spacing w:after="120" w:before="120" w:line="360" w:lineRule="auto"/>
        <w:ind w:left="284" w:right="-3" w:firstLine="0"/>
        <w:jc w:val="both"/>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sz w:val="24"/>
          <w:szCs w:val="24"/>
          <w:rtl w:val="0"/>
        </w:rPr>
        <w:t xml:space="preserve">iii) Acta de la Novena Sesión Extraordinaria del comité de Transparencia del Organismo Público Descentralizado para la prestación de los servicios de Agua Potable.</w:t>
      </w:r>
      <w:r w:rsidDel="00000000" w:rsidR="00000000" w:rsidRPr="00000000">
        <w:rPr>
          <w:rtl w:val="0"/>
        </w:rPr>
      </w:r>
    </w:p>
    <w:p w:rsidR="00000000" w:rsidDel="00000000" w:rsidP="00000000" w:rsidRDefault="00000000" w:rsidRPr="00000000" w14:paraId="00000020">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Conocidas las respuestas emitidas por el </w:t>
      </w:r>
      <w:r w:rsidDel="00000000" w:rsidR="00000000" w:rsidRPr="00000000">
        <w:rPr>
          <w:rFonts w:ascii="Palatino Linotype" w:cs="Palatino Linotype" w:eastAsia="Palatino Linotype" w:hAnsi="Palatino Linotype"/>
          <w:b w:val="1"/>
          <w:sz w:val="24"/>
          <w:szCs w:val="24"/>
          <w:rtl w:val="0"/>
        </w:rPr>
        <w:t xml:space="preserve">Sujeto Obligado, </w:t>
      </w:r>
      <w:r w:rsidDel="00000000" w:rsidR="00000000" w:rsidRPr="00000000">
        <w:rPr>
          <w:rFonts w:ascii="Palatino Linotype" w:cs="Palatino Linotype" w:eastAsia="Palatino Linotype" w:hAnsi="Palatino Linotype"/>
          <w:sz w:val="24"/>
          <w:szCs w:val="24"/>
          <w:rtl w:val="0"/>
        </w:rPr>
        <w:t xml:space="preserve">al no estar conforme con los términos de las mismas, la persona solicitante presentó los recursos de revisión al rubro citados, mediante los cuales, señaló como motivo de inconformidad lo siguiente:</w:t>
      </w:r>
    </w:p>
    <w:p w:rsidR="00000000" w:rsidDel="00000000" w:rsidP="00000000" w:rsidRDefault="00000000" w:rsidRPr="00000000" w14:paraId="00000021">
      <w:pPr>
        <w:spacing w:after="120" w:before="120" w:line="240" w:lineRule="auto"/>
        <w:ind w:left="851" w:right="992"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04006/INFOEM/IP/RR/2023</w:t>
      </w:r>
    </w:p>
    <w:p w:rsidR="00000000" w:rsidDel="00000000" w:rsidP="00000000" w:rsidRDefault="00000000" w:rsidRPr="00000000" w14:paraId="00000022">
      <w:pPr>
        <w:spacing w:after="120" w:before="120" w:line="240" w:lineRule="auto"/>
        <w:ind w:left="851" w:right="99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“Remiten información del anterior titular y de la persona actual llamada Viridiana según el oficio, no mandan la información” (sic)</w:t>
      </w:r>
      <w:r w:rsidDel="00000000" w:rsidR="00000000" w:rsidRPr="00000000">
        <w:rPr>
          <w:rtl w:val="0"/>
        </w:rPr>
      </w:r>
    </w:p>
    <w:p w:rsidR="00000000" w:rsidDel="00000000" w:rsidP="00000000" w:rsidRDefault="00000000" w:rsidRPr="00000000" w14:paraId="00000023">
      <w:pPr>
        <w:spacing w:after="120" w:before="120" w:line="240" w:lineRule="auto"/>
        <w:ind w:left="851" w:right="992"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04007/INFOEM/IP/RR/2023</w:t>
      </w:r>
    </w:p>
    <w:p w:rsidR="00000000" w:rsidDel="00000000" w:rsidP="00000000" w:rsidRDefault="00000000" w:rsidRPr="00000000" w14:paraId="00000024">
      <w:pPr>
        <w:spacing w:after="120" w:before="120" w:line="240" w:lineRule="auto"/>
        <w:ind w:left="851" w:right="99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“La persona actual conforme el oficio se llama Viridiana, por lo que no mandan lo solicitado Yo no pedí documentos confidenciales ni ver información considerada como confidencial solicito den vista a protección de datos personales por la vulneración de su sistema de base de datos personales” (sic)</w:t>
      </w:r>
      <w:r w:rsidDel="00000000" w:rsidR="00000000" w:rsidRPr="00000000">
        <w:rPr>
          <w:rtl w:val="0"/>
        </w:rPr>
      </w:r>
    </w:p>
    <w:p w:rsidR="00000000" w:rsidDel="00000000" w:rsidP="00000000" w:rsidRDefault="00000000" w:rsidRPr="00000000" w14:paraId="00000025">
      <w:pPr>
        <w:widowControl w:val="0"/>
        <w:tabs>
          <w:tab w:val="left" w:leader="none" w:pos="0"/>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Una vez admitidos los recursos de revisión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través del Director de Administración y Finanzas, ratificó en lo sustancial la respuesta emitida en primera instancia a las solicitudes, al referir que la solicitud de información fue recibida el día dieciséis de junio de dos mil veintitrés y en ese momento la persona que ocupaba el cargo de Coordinador de Transparencia era el C. Carlos González Sandoval.</w:t>
      </w:r>
    </w:p>
    <w:p w:rsidR="00000000" w:rsidDel="00000000" w:rsidP="00000000" w:rsidRDefault="00000000" w:rsidRPr="00000000" w14:paraId="00000026">
      <w:pPr>
        <w:widowControl w:val="0"/>
        <w:tabs>
          <w:tab w:val="left" w:leader="none" w:pos="0"/>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Mediante alcance al informe justificado la Coordinadora de Transparencia y Archivo manifestó en lo medular lo siguiente:</w:t>
      </w:r>
    </w:p>
    <w:p w:rsidR="00000000" w:rsidDel="00000000" w:rsidP="00000000" w:rsidRDefault="00000000" w:rsidRPr="00000000" w14:paraId="00000027">
      <w:pPr>
        <w:widowControl w:val="0"/>
        <w:spacing w:after="120" w:before="120" w:line="240" w:lineRule="auto"/>
        <w:ind w:left="992"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“...le comunico se envió la información del titular que en ese momento era el Coordinador del área, y que dicho cargo feneció el 30 de junio del 2023 y la solicitud llego el 16 de junio y el ex titular entrego el área el 03 de julio del presente año, por lo tanto se entregó la información del ex titular Lic. Carlos Sandoval González, que era el Servidor Público que ocupaba ese cargo, cuando llegó la solicitud en comento.</w:t>
      </w:r>
    </w:p>
    <w:p w:rsidR="00000000" w:rsidDel="00000000" w:rsidP="00000000" w:rsidRDefault="00000000" w:rsidRPr="00000000" w14:paraId="00000028">
      <w:pPr>
        <w:widowControl w:val="0"/>
        <w:spacing w:after="120" w:before="120" w:line="240" w:lineRule="auto"/>
        <w:ind w:left="992"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También le informo que en la parte de arriba de deducciones del lado izquierdo del recibo de nómina la Dirección de Administración y Finanzas testó los “días laborados”. </w:t>
      </w:r>
    </w:p>
    <w:p w:rsidR="00000000" w:rsidDel="00000000" w:rsidP="00000000" w:rsidRDefault="00000000" w:rsidRPr="00000000" w14:paraId="00000029">
      <w:pPr>
        <w:widowControl w:val="0"/>
        <w:spacing w:after="120" w:before="120" w:line="240" w:lineRule="auto"/>
        <w:ind w:left="992"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Referente a la impugnación "Yo no pedí documentos confidenciales ni ver información considerada como confidencial solicito den vista a protección de datos personales por la vulneración de su sistema de base de datos personales" (SIC) le informo que el expediente laboral que solicitó lleva los documentos que se sometieron al Comité de Transparencia para salvaguardar los datos personales que estos contienen.”</w:t>
      </w:r>
    </w:p>
    <w:p w:rsidR="00000000" w:rsidDel="00000000" w:rsidP="00000000" w:rsidRDefault="00000000" w:rsidRPr="00000000" w14:paraId="0000002A">
      <w:pPr>
        <w:widowControl w:val="0"/>
        <w:tabs>
          <w:tab w:val="left" w:leader="none" w:pos="0"/>
        </w:tabs>
        <w:spacing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Derivado del estudio efectuado, la ponencia que resolvió consideró que los motivos de inconformidad aducidos por la parte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resultan parcialmente fundados, y determinó modificar la respuesta, para ordenar la entrega de lo siguiente:</w:t>
      </w:r>
    </w:p>
    <w:p w:rsidR="00000000" w:rsidDel="00000000" w:rsidP="00000000" w:rsidRDefault="00000000" w:rsidRPr="00000000" w14:paraId="0000002B">
      <w:pPr>
        <w:widowControl w:val="0"/>
        <w:spacing w:after="120" w:before="120" w:line="240" w:lineRule="auto"/>
        <w:ind w:left="851" w:right="992" w:firstLine="0"/>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“SEGUNDO. </w:t>
      </w:r>
      <w:r w:rsidDel="00000000" w:rsidR="00000000" w:rsidRPr="00000000">
        <w:rPr>
          <w:rFonts w:ascii="Palatino Linotype" w:cs="Palatino Linotype" w:eastAsia="Palatino Linotype" w:hAnsi="Palatino Linotype"/>
          <w:i w:val="1"/>
          <w:rtl w:val="0"/>
        </w:rPr>
        <w:t xml:space="preserve">Se </w:t>
      </w:r>
      <w:r w:rsidDel="00000000" w:rsidR="00000000" w:rsidRPr="00000000">
        <w:rPr>
          <w:rFonts w:ascii="Palatino Linotype" w:cs="Palatino Linotype" w:eastAsia="Palatino Linotype" w:hAnsi="Palatino Linotype"/>
          <w:b w:val="1"/>
          <w:i w:val="1"/>
          <w:rtl w:val="0"/>
        </w:rPr>
        <w:t xml:space="preserve">ORDENA </w:t>
      </w:r>
      <w:r w:rsidDel="00000000" w:rsidR="00000000" w:rsidRPr="00000000">
        <w:rPr>
          <w:rFonts w:ascii="Palatino Linotype" w:cs="Palatino Linotype" w:eastAsia="Palatino Linotype" w:hAnsi="Palatino Linotype"/>
          <w:i w:val="1"/>
          <w:rtl w:val="0"/>
        </w:rPr>
        <w:t xml:space="preserve">al Ente Recurrido, a efecto de que, entregue, a través del Sistema de Acceso a la Información Mexiquense (SAIMEX), respecto al Coordinador de Transparencia y Archivo referido en respuesta, en su caso, en versión pública, lo siguiente: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Recibo de nómina de la primera quincena de junio de dos mil veintitrés;</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Currículum Vitae (en versión íntegra);</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Título profesional electrónico;</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Certificado de bachillerato;</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Informe de antecedentes no penales;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Solicitud de empleo;</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Constancia de no inhabilitación;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Aviso de Movimiento Alta del Instituto de Seguridad Social del Estado de México y Municipios;</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Carta de Conocimiento, y</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1134" w:right="99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Acuerdo de Clasificación debidamente fundado y motivado, donde el Comité de Transparencia, confirme la eliminación de los datos, en la versión pública del certificado de competencia laboral del Coordinador de Transparencia y Archivo entregado en respuesta, así como los datos testados de los documentos de los puntos 1 y del 3 al 9, así como, la clasificación total del Acta del Nacimiento, de la credencial para votar, de la constancia de la Clave Única de Registro de Población y la constancia de situación fiscal, de conformidad con los artículos 49, fracciones II y VIII y 132, fracción II de la Ley de Transparencia y Acceso a la Información Pública del Estado de México y Municipios.”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992"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120" w:line="360" w:lineRule="auto"/>
        <w:ind w:left="567" w:hanging="283"/>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Razones del Voto disidente.</w:t>
      </w:r>
    </w:p>
    <w:p w:rsidR="00000000" w:rsidDel="00000000" w:rsidP="00000000" w:rsidRDefault="00000000" w:rsidRPr="00000000" w14:paraId="00000038">
      <w:pPr>
        <w:spacing w:before="120" w:line="360" w:lineRule="auto"/>
        <w:ind w:right="13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sz w:val="24"/>
          <w:szCs w:val="24"/>
          <w:rtl w:val="0"/>
        </w:rPr>
        <w:t xml:space="preserve">Las razones que motivan el presente voto radican en que la Suscrita no comparte el sentido de la resolución, </w:t>
      </w:r>
      <w:r w:rsidDel="00000000" w:rsidR="00000000" w:rsidRPr="00000000">
        <w:rPr>
          <w:rFonts w:ascii="Palatino Linotype" w:cs="Palatino Linotype" w:eastAsia="Palatino Linotype" w:hAnsi="Palatino Linotype"/>
          <w:color w:val="000000"/>
          <w:sz w:val="24"/>
          <w:szCs w:val="24"/>
          <w:rtl w:val="0"/>
        </w:rPr>
        <w:t xml:space="preserve">pues desde mi punto de vista los motivos de inconformidad aducidos por la parte </w:t>
      </w:r>
      <w:r w:rsidDel="00000000" w:rsidR="00000000" w:rsidRPr="00000000">
        <w:rPr>
          <w:rFonts w:ascii="Palatino Linotype" w:cs="Palatino Linotype" w:eastAsia="Palatino Linotype" w:hAnsi="Palatino Linotype"/>
          <w:b w:val="1"/>
          <w:color w:val="000000"/>
          <w:sz w:val="24"/>
          <w:szCs w:val="24"/>
          <w:rtl w:val="0"/>
        </w:rPr>
        <w:t xml:space="preserve">Recurrente</w:t>
      </w:r>
      <w:r w:rsidDel="00000000" w:rsidR="00000000" w:rsidRPr="00000000">
        <w:rPr>
          <w:rFonts w:ascii="Palatino Linotype" w:cs="Palatino Linotype" w:eastAsia="Palatino Linotype" w:hAnsi="Palatino Linotype"/>
          <w:color w:val="000000"/>
          <w:sz w:val="24"/>
          <w:szCs w:val="24"/>
          <w:rtl w:val="0"/>
        </w:rPr>
        <w:t xml:space="preserve"> actualizaban la causal de sobreseimiento prevista en el artículo 192 fracción IV, en relación con el artículo 191 fracciones III y VII, ambos de la Ley de Transparencia y Acceso a la Información Pública del Estado de México y Municipios, que son del tenor literal siguiente:</w:t>
      </w:r>
    </w:p>
    <w:p w:rsidR="00000000" w:rsidDel="00000000" w:rsidP="00000000" w:rsidRDefault="00000000" w:rsidRPr="00000000" w14:paraId="00000039">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color w:val="000000"/>
          <w:rtl w:val="0"/>
        </w:rPr>
        <w:t xml:space="preserve">“</w:t>
      </w:r>
      <w:r w:rsidDel="00000000" w:rsidR="00000000" w:rsidRPr="00000000">
        <w:rPr>
          <w:rFonts w:ascii="Palatino Linotype" w:cs="Palatino Linotype" w:eastAsia="Palatino Linotype" w:hAnsi="Palatino Linotype"/>
          <w:b w:val="1"/>
          <w:i w:val="1"/>
          <w:rtl w:val="0"/>
        </w:rPr>
        <w:t xml:space="preserve">Artículo 191</w:t>
      </w:r>
      <w:r w:rsidDel="00000000" w:rsidR="00000000" w:rsidRPr="00000000">
        <w:rPr>
          <w:rFonts w:ascii="Palatino Linotype" w:cs="Palatino Linotype" w:eastAsia="Palatino Linotype" w:hAnsi="Palatino Linotype"/>
          <w:i w:val="1"/>
          <w:rtl w:val="0"/>
        </w:rPr>
        <w:t xml:space="preserve">. El recurso será desechado por improcedente cuando:</w:t>
      </w:r>
    </w:p>
    <w:p w:rsidR="00000000" w:rsidDel="00000000" w:rsidP="00000000" w:rsidRDefault="00000000" w:rsidRPr="00000000" w14:paraId="0000003A">
      <w:pPr>
        <w:spacing w:after="120" w:before="120" w:line="240" w:lineRule="auto"/>
        <w:ind w:left="1134"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No actualice alguno de los supuestos previstos en la presente Ley;</w:t>
      </w:r>
    </w:p>
    <w:p w:rsidR="00000000" w:rsidDel="00000000" w:rsidP="00000000" w:rsidRDefault="00000000" w:rsidRPr="00000000" w14:paraId="0000003B">
      <w:pPr>
        <w:spacing w:after="120" w:before="120" w:line="240" w:lineRule="auto"/>
        <w:ind w:left="1134" w:right="99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3C">
      <w:pPr>
        <w:spacing w:after="120" w:before="120" w:line="240" w:lineRule="auto"/>
        <w:ind w:left="1134"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El recurrente amplíe su solicitud en el recurso de revisión, únicamente respecto de los nuevos contenidos.”</w:t>
      </w:r>
    </w:p>
    <w:p w:rsidR="00000000" w:rsidDel="00000000" w:rsidP="00000000" w:rsidRDefault="00000000" w:rsidRPr="00000000" w14:paraId="0000003D">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3E">
      <w:pPr>
        <w:spacing w:after="120" w:before="120" w:line="240" w:lineRule="auto"/>
        <w:ind w:left="851" w:right="99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192</w:t>
      </w:r>
      <w:r w:rsidDel="00000000" w:rsidR="00000000" w:rsidRPr="00000000">
        <w:rPr>
          <w:rFonts w:ascii="Palatino Linotype" w:cs="Palatino Linotype" w:eastAsia="Palatino Linotype" w:hAnsi="Palatino Linotype"/>
          <w:i w:val="1"/>
          <w:rtl w:val="0"/>
        </w:rPr>
        <w:t xml:space="preserve">. El recurso será sobreseído, en todo o en parte, cuando una vez admitido, se actualicen alguno de los siguientes supuestos:</w:t>
      </w:r>
    </w:p>
    <w:p w:rsidR="00000000" w:rsidDel="00000000" w:rsidP="00000000" w:rsidRDefault="00000000" w:rsidRPr="00000000" w14:paraId="0000003F">
      <w:pPr>
        <w:spacing w:after="120" w:before="120" w:line="240" w:lineRule="auto"/>
        <w:ind w:left="1134" w:right="99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i w:val="1"/>
          <w:color w:val="000000"/>
          <w:rtl w:val="0"/>
        </w:rPr>
        <w:t xml:space="preserve">...</w:t>
      </w:r>
    </w:p>
    <w:p w:rsidR="00000000" w:rsidDel="00000000" w:rsidP="00000000" w:rsidRDefault="00000000" w:rsidRPr="00000000" w14:paraId="00000040">
      <w:pPr>
        <w:spacing w:after="120" w:before="120" w:line="240" w:lineRule="auto"/>
        <w:ind w:left="1134" w:right="992" w:firstLine="0"/>
        <w:jc w:val="both"/>
        <w:rPr>
          <w:rFonts w:ascii="Palatino Linotype" w:cs="Palatino Linotype" w:eastAsia="Palatino Linotype" w:hAnsi="Palatino Linotype"/>
          <w:i w:val="1"/>
          <w:color w:val="000000"/>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Admitido el recurso de revisión, aparezca alguna causal de improcedencia en los términos de la presente Ley; y”</w:t>
      </w:r>
      <w:r w:rsidDel="00000000" w:rsidR="00000000" w:rsidRPr="00000000">
        <w:rPr>
          <w:rtl w:val="0"/>
        </w:rPr>
      </w:r>
    </w:p>
    <w:p w:rsidR="00000000" w:rsidDel="00000000" w:rsidP="00000000" w:rsidRDefault="00000000" w:rsidRPr="00000000" w14:paraId="00000041">
      <w:pPr>
        <w:spacing w:before="120" w:line="360" w:lineRule="auto"/>
        <w:ind w:right="13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Para sustentar lo anterior, es indispensable recordar que la persona solicitante, a través de sus solicitudes, requirió información de la persona Titular de la Unidad de Transparencia, consistente en la certificación de competencia laboral, su ficha curricular, el último recibo de nómina, así como su expediente laboral, y, para atender dicha prerrogativa, el </w:t>
      </w:r>
      <w:r w:rsidDel="00000000" w:rsidR="00000000" w:rsidRPr="00000000">
        <w:rPr>
          <w:rFonts w:ascii="Palatino Linotype" w:cs="Palatino Linotype" w:eastAsia="Palatino Linotype" w:hAnsi="Palatino Linotype"/>
          <w:b w:val="1"/>
          <w:color w:val="000000"/>
          <w:sz w:val="24"/>
          <w:szCs w:val="24"/>
          <w:rtl w:val="0"/>
        </w:rPr>
        <w:t xml:space="preserve">Sujeto Obligado, </w:t>
      </w:r>
      <w:r w:rsidDel="00000000" w:rsidR="00000000" w:rsidRPr="00000000">
        <w:rPr>
          <w:rFonts w:ascii="Palatino Linotype" w:cs="Palatino Linotype" w:eastAsia="Palatino Linotype" w:hAnsi="Palatino Linotype"/>
          <w:color w:val="000000"/>
          <w:sz w:val="24"/>
          <w:szCs w:val="24"/>
          <w:rtl w:val="0"/>
        </w:rPr>
        <w:t xml:space="preserve">a través de la Coordinación de Transparencia y Archivo, proporcionó el soporte documental correspondiente.</w:t>
      </w:r>
    </w:p>
    <w:p w:rsidR="00000000" w:rsidDel="00000000" w:rsidP="00000000" w:rsidRDefault="00000000" w:rsidRPr="00000000" w14:paraId="00000042">
      <w:pPr>
        <w:spacing w:before="120" w:line="360" w:lineRule="auto"/>
        <w:ind w:right="13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No obstante, la persona solicitante advirtió que la información remitida no correspondía con la persona que se ostentaba como Titular de la Coordinación de Transparencia y Archivo, al momento de dar respuesta a la solicitud, sino que ésta se refería al anterior Titular, en tal virtud, consideró no se </w:t>
      </w:r>
      <w:r w:rsidDel="00000000" w:rsidR="00000000" w:rsidRPr="00000000">
        <w:rPr>
          <w:rFonts w:ascii="Palatino Linotype" w:cs="Palatino Linotype" w:eastAsia="Palatino Linotype" w:hAnsi="Palatino Linotype"/>
          <w:sz w:val="24"/>
          <w:szCs w:val="24"/>
          <w:rtl w:val="0"/>
        </w:rPr>
        <w:t xml:space="preserve">le</w:t>
      </w:r>
      <w:r w:rsidDel="00000000" w:rsidR="00000000" w:rsidRPr="00000000">
        <w:rPr>
          <w:rFonts w:ascii="Palatino Linotype" w:cs="Palatino Linotype" w:eastAsia="Palatino Linotype" w:hAnsi="Palatino Linotype"/>
          <w:color w:val="000000"/>
          <w:sz w:val="24"/>
          <w:szCs w:val="24"/>
          <w:rtl w:val="0"/>
        </w:rPr>
        <w:t xml:space="preserve"> entregó lo solicitado e interpuso los recursos de revisión que se resolvieron.</w:t>
      </w:r>
    </w:p>
    <w:p w:rsidR="00000000" w:rsidDel="00000000" w:rsidP="00000000" w:rsidRDefault="00000000" w:rsidRPr="00000000" w14:paraId="00000043">
      <w:pPr>
        <w:spacing w:before="120" w:line="360" w:lineRule="auto"/>
        <w:ind w:right="139"/>
        <w:jc w:val="both"/>
        <w:rPr>
          <w:rFonts w:ascii="Palatino Linotype" w:cs="Palatino Linotype" w:eastAsia="Palatino Linotype" w:hAnsi="Palatino Linotype"/>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En esta tesitura, si bien, la apreciación de la persona solicitante es correcta, es decir, que se le proporcionó información del anterior Titular de la Coordinación de Transparencia y Archivo, y no de la persona que ostenta actualmente el cargo, no debe perderse de vista que la atención de las solicitudes debe ceñirse a la información que los entes públicos hubieran generado, administren o posean </w:t>
      </w:r>
      <w:r w:rsidDel="00000000" w:rsidR="00000000" w:rsidRPr="00000000">
        <w:rPr>
          <w:rFonts w:ascii="Palatino Linotype" w:cs="Palatino Linotype" w:eastAsia="Palatino Linotype" w:hAnsi="Palatino Linotype"/>
          <w:b w:val="1"/>
          <w:color w:val="000000"/>
          <w:sz w:val="24"/>
          <w:szCs w:val="24"/>
          <w:rtl w:val="0"/>
        </w:rPr>
        <w:t xml:space="preserve">al momento de recibirse las solicitudes de información, </w:t>
      </w:r>
      <w:r w:rsidDel="00000000" w:rsidR="00000000" w:rsidRPr="00000000">
        <w:rPr>
          <w:rFonts w:ascii="Palatino Linotype" w:cs="Palatino Linotype" w:eastAsia="Palatino Linotype" w:hAnsi="Palatino Linotype"/>
          <w:color w:val="000000"/>
          <w:sz w:val="24"/>
          <w:szCs w:val="24"/>
          <w:rtl w:val="0"/>
        </w:rPr>
        <w:t xml:space="preserve">no así a la información que generen o adquieran con posterioridad a la recepción de las mismas, pues los Sujetos Obligados se encontrarían en desventaja al tener que allegarse de información que no poseen, o bien se encontrarían en la necesidad de generar información o practicar investigaciones con la finalidad de atender las solicitudes en los términos que los solicitantes requieren, cuando la normativa no les faculta para ello. </w:t>
      </w:r>
    </w:p>
    <w:p w:rsidR="00000000" w:rsidDel="00000000" w:rsidP="00000000" w:rsidRDefault="00000000" w:rsidRPr="00000000" w14:paraId="00000044">
      <w:pPr>
        <w:spacing w:before="120" w:line="360" w:lineRule="auto"/>
        <w:ind w:right="139"/>
        <w:jc w:val="both"/>
        <w:rPr>
          <w:rFonts w:ascii="Palatino Linotype" w:cs="Palatino Linotype" w:eastAsia="Palatino Linotype" w:hAnsi="Palatino Linotype"/>
          <w:b w:val="1"/>
          <w:color w:val="000000"/>
          <w:sz w:val="24"/>
          <w:szCs w:val="24"/>
        </w:rPr>
      </w:pPr>
      <w:r w:rsidDel="00000000" w:rsidR="00000000" w:rsidRPr="00000000">
        <w:rPr>
          <w:rFonts w:ascii="Palatino Linotype" w:cs="Palatino Linotype" w:eastAsia="Palatino Linotype" w:hAnsi="Palatino Linotype"/>
          <w:color w:val="000000"/>
          <w:sz w:val="24"/>
          <w:szCs w:val="24"/>
          <w:rtl w:val="0"/>
        </w:rPr>
        <w:t xml:space="preserve">En el caso concreto, como bien se desprende de la Acta de la Novena Sesión Extraordinaria del Comité de Transparencia del Organismo Público Descentralizado para la prestación de los servicios de Agua Potable, celebrada el seis de julio de dos mil veintitrés, el cambio de Titular de la Coordinación de Transparencia y Archivo, tuvo lugar el uno de julio de dos mil veintitrés, mientras que las solicitudes de información se tuvieron por presentadas el dieciséis de junio de dos mil veintitrés, es decir, </w:t>
      </w:r>
      <w:r w:rsidDel="00000000" w:rsidR="00000000" w:rsidRPr="00000000">
        <w:rPr>
          <w:rFonts w:ascii="Palatino Linotype" w:cs="Palatino Linotype" w:eastAsia="Palatino Linotype" w:hAnsi="Palatino Linotype"/>
          <w:b w:val="1"/>
          <w:color w:val="000000"/>
          <w:sz w:val="24"/>
          <w:szCs w:val="24"/>
          <w:rtl w:val="0"/>
        </w:rPr>
        <w:t xml:space="preserve">trece días hábiles antes del cambio de Titular, </w:t>
      </w:r>
      <w:r w:rsidDel="00000000" w:rsidR="00000000" w:rsidRPr="00000000">
        <w:rPr>
          <w:rFonts w:ascii="Palatino Linotype" w:cs="Palatino Linotype" w:eastAsia="Palatino Linotype" w:hAnsi="Palatino Linotype"/>
          <w:color w:val="000000"/>
          <w:sz w:val="24"/>
          <w:szCs w:val="24"/>
          <w:rtl w:val="0"/>
        </w:rPr>
        <w:t xml:space="preserve">siendo evidente que la entrega de información se constriñe a la persona que ostentaba el cargo de Titular en ese momento, tal  y como lo hizo el </w:t>
      </w:r>
      <w:r w:rsidDel="00000000" w:rsidR="00000000" w:rsidRPr="00000000">
        <w:rPr>
          <w:rFonts w:ascii="Palatino Linotype" w:cs="Palatino Linotype" w:eastAsia="Palatino Linotype" w:hAnsi="Palatino Linotype"/>
          <w:b w:val="1"/>
          <w:color w:val="000000"/>
          <w:sz w:val="24"/>
          <w:szCs w:val="24"/>
          <w:rtl w:val="0"/>
        </w:rPr>
        <w:t xml:space="preserve">Sujeto Obligado.</w:t>
      </w:r>
    </w:p>
    <w:p w:rsidR="00000000" w:rsidDel="00000000" w:rsidP="00000000" w:rsidRDefault="00000000" w:rsidRPr="00000000" w14:paraId="00000045">
      <w:pPr>
        <w:spacing w:before="12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color w:val="000000"/>
          <w:sz w:val="24"/>
          <w:szCs w:val="24"/>
          <w:rtl w:val="0"/>
        </w:rPr>
        <w:t xml:space="preserve">En este tenor, de la interpretación de los motivos de inconformidad alegados por la parte </w:t>
      </w:r>
      <w:r w:rsidDel="00000000" w:rsidR="00000000" w:rsidRPr="00000000">
        <w:rPr>
          <w:rFonts w:ascii="Palatino Linotype" w:cs="Palatino Linotype" w:eastAsia="Palatino Linotype" w:hAnsi="Palatino Linotype"/>
          <w:b w:val="1"/>
          <w:color w:val="000000"/>
          <w:sz w:val="24"/>
          <w:szCs w:val="24"/>
          <w:rtl w:val="0"/>
        </w:rPr>
        <w:t xml:space="preserve">Recurrente</w:t>
      </w:r>
      <w:r w:rsidDel="00000000" w:rsidR="00000000" w:rsidRPr="00000000">
        <w:rPr>
          <w:rFonts w:ascii="Palatino Linotype" w:cs="Palatino Linotype" w:eastAsia="Palatino Linotype" w:hAnsi="Palatino Linotype"/>
          <w:color w:val="000000"/>
          <w:sz w:val="24"/>
          <w:szCs w:val="24"/>
          <w:rtl w:val="0"/>
        </w:rPr>
        <w:t xml:space="preserve">, la Suscrita advierte se inconforma por que la información que se le proporcionó corresponde con el anterior Titular y no con la persona que actualmente se ostenta como Titular de la Coordinación de Transparencia y Archivo, es decir, mediante los recursos de revisión pretende se le haga entrega de información de la persona que actualmente ocupa el cargo de Titular de la Coordinación de Transparencia y Archivo, lo cual, a mi consideración constituye una ampliación a su solicitud, es decir, una </w:t>
      </w:r>
      <w:r w:rsidDel="00000000" w:rsidR="00000000" w:rsidRPr="00000000">
        <w:rPr>
          <w:rFonts w:ascii="Palatino Linotype" w:cs="Palatino Linotype" w:eastAsia="Palatino Linotype" w:hAnsi="Palatino Linotype"/>
          <w:i w:val="1"/>
          <w:sz w:val="24"/>
          <w:szCs w:val="24"/>
          <w:rtl w:val="0"/>
        </w:rPr>
        <w:t xml:space="preserve">plus petitio, </w:t>
      </w:r>
      <w:r w:rsidDel="00000000" w:rsidR="00000000" w:rsidRPr="00000000">
        <w:rPr>
          <w:rFonts w:ascii="Palatino Linotype" w:cs="Palatino Linotype" w:eastAsia="Palatino Linotype" w:hAnsi="Palatino Linotype"/>
          <w:sz w:val="24"/>
          <w:szCs w:val="24"/>
          <w:rtl w:val="0"/>
        </w:rPr>
        <w:t xml:space="preserve">que es inatendible a través del recurso de revisión, pues como ha quedado expuesto, el cambio de Titular tuvo lugar después de la recepción de la solicitud de información, por ello 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proporcionó información que se adecua a la temporalidad de la solicitud.</w:t>
      </w:r>
    </w:p>
    <w:p w:rsidR="00000000" w:rsidDel="00000000" w:rsidP="00000000" w:rsidRDefault="00000000" w:rsidRPr="00000000" w14:paraId="00000046">
      <w:pPr>
        <w:spacing w:after="240" w:before="24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este orden de ideas, es indispensable señalar que una vez formuladas las solicitudes iniciales,</w:t>
      </w:r>
      <w:r w:rsidDel="00000000" w:rsidR="00000000" w:rsidRPr="00000000">
        <w:rPr>
          <w:rFonts w:ascii="Palatino Linotype" w:cs="Palatino Linotype" w:eastAsia="Palatino Linotype" w:hAnsi="Palatino Linotype"/>
          <w:i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las personas solicitantes no pueden modificarlas o ampliarlas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Robustece lo anterior lo plasmado en el criterio orientador número 01/17 emitido por el Instituto Nacional de Transparencia, Acceso a la Información y Protección de Datos Personales, INAI, que lleva por rubro y texto lo que a continuación se transcribe:</w:t>
      </w:r>
    </w:p>
    <w:p w:rsidR="00000000" w:rsidDel="00000000" w:rsidP="00000000" w:rsidRDefault="00000000" w:rsidRPr="00000000" w14:paraId="00000048">
      <w:pPr>
        <w:spacing w:after="240" w:before="240" w:lineRule="auto"/>
        <w:ind w:left="851"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Es improcedente ampliar las solicitudes de acceso a información, a través de la interposición del recurso de revisión. </w:t>
      </w:r>
      <w:r w:rsidDel="00000000" w:rsidR="00000000" w:rsidRPr="00000000">
        <w:rPr>
          <w:rFonts w:ascii="Palatino Linotype" w:cs="Palatino Linotype" w:eastAsia="Palatino Linotype" w:hAnsi="Palatino Linotype"/>
          <w:i w:val="1"/>
          <w:rtl w:val="0"/>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w:t>
      </w:r>
      <w:r w:rsidDel="00000000" w:rsidR="00000000" w:rsidRPr="00000000">
        <w:rPr>
          <w:rtl w:val="0"/>
        </w:rPr>
      </w:r>
    </w:p>
    <w:p w:rsidR="00000000" w:rsidDel="00000000" w:rsidP="00000000" w:rsidRDefault="00000000" w:rsidRPr="00000000" w14:paraId="00000049">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4"/>
          <w:szCs w:val="24"/>
          <w:rtl w:val="0"/>
        </w:rPr>
        <w:t xml:space="preserve">Por otro lado, respecto del recurso de revisión 04007/INFOEM/IP/RR/2023, además, la parte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manifestó que </w:t>
      </w:r>
      <w:r w:rsidDel="00000000" w:rsidR="00000000" w:rsidRPr="00000000">
        <w:rPr>
          <w:rFonts w:ascii="Palatino Linotype" w:cs="Palatino Linotype" w:eastAsia="Palatino Linotype" w:hAnsi="Palatino Linotype"/>
          <w:i w:val="1"/>
          <w:sz w:val="24"/>
          <w:szCs w:val="24"/>
          <w:rtl w:val="0"/>
        </w:rPr>
        <w:t xml:space="preserve">no pidió documentos confidenciales, ni ver información considerada como confidencial</w:t>
      </w:r>
      <w:r w:rsidDel="00000000" w:rsidR="00000000" w:rsidRPr="00000000">
        <w:rPr>
          <w:rFonts w:ascii="Palatino Linotype" w:cs="Palatino Linotype" w:eastAsia="Palatino Linotype" w:hAnsi="Palatino Linotype"/>
          <w:sz w:val="24"/>
          <w:szCs w:val="24"/>
          <w:rtl w:val="0"/>
        </w:rPr>
        <w:t xml:space="preserve">, sin embargo, es de señalar que, del análisis a dicho motivo de inconformidad, no se advierte que actualice una de las causales de procedencia del recurso de revisión, previstas en el artículo 179 de la Ley de Transparencia y Acceso a la Información Pública del Estado de México y Municipios, a saber:</w:t>
      </w:r>
      <w:r w:rsidDel="00000000" w:rsidR="00000000" w:rsidRPr="00000000">
        <w:rPr>
          <w:rtl w:val="0"/>
        </w:rPr>
      </w:r>
    </w:p>
    <w:p w:rsidR="00000000" w:rsidDel="00000000" w:rsidP="00000000" w:rsidRDefault="00000000" w:rsidRPr="00000000" w14:paraId="0000004A">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179</w:t>
      </w:r>
      <w:r w:rsidDel="00000000" w:rsidR="00000000" w:rsidRPr="00000000">
        <w:rPr>
          <w:rFonts w:ascii="Palatino Linotype" w:cs="Palatino Linotype" w:eastAsia="Palatino Linotype" w:hAnsi="Palatino Linotype"/>
          <w:i w:val="1"/>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4B">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w:t>
      </w:r>
      <w:r w:rsidDel="00000000" w:rsidR="00000000" w:rsidRPr="00000000">
        <w:rPr>
          <w:rFonts w:ascii="Palatino Linotype" w:cs="Palatino Linotype" w:eastAsia="Palatino Linotype" w:hAnsi="Palatino Linotype"/>
          <w:i w:val="1"/>
          <w:rtl w:val="0"/>
        </w:rPr>
        <w:t xml:space="preserve"> La negativa a la información solicitada;</w:t>
      </w:r>
    </w:p>
    <w:p w:rsidR="00000000" w:rsidDel="00000000" w:rsidP="00000000" w:rsidRDefault="00000000" w:rsidRPr="00000000" w14:paraId="0000004C">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w:t>
      </w:r>
      <w:r w:rsidDel="00000000" w:rsidR="00000000" w:rsidRPr="00000000">
        <w:rPr>
          <w:rFonts w:ascii="Palatino Linotype" w:cs="Palatino Linotype" w:eastAsia="Palatino Linotype" w:hAnsi="Palatino Linotype"/>
          <w:i w:val="1"/>
          <w:rtl w:val="0"/>
        </w:rPr>
        <w:t xml:space="preserve">. La clasificación de la información;</w:t>
      </w:r>
    </w:p>
    <w:p w:rsidR="00000000" w:rsidDel="00000000" w:rsidP="00000000" w:rsidRDefault="00000000" w:rsidRPr="00000000" w14:paraId="0000004D">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III</w:t>
      </w:r>
      <w:r w:rsidDel="00000000" w:rsidR="00000000" w:rsidRPr="00000000">
        <w:rPr>
          <w:rFonts w:ascii="Palatino Linotype" w:cs="Palatino Linotype" w:eastAsia="Palatino Linotype" w:hAnsi="Palatino Linotype"/>
          <w:i w:val="1"/>
          <w:rtl w:val="0"/>
        </w:rPr>
        <w:t xml:space="preserve">. La declaración de inexistencia de la información;</w:t>
      </w:r>
    </w:p>
    <w:p w:rsidR="00000000" w:rsidDel="00000000" w:rsidP="00000000" w:rsidRDefault="00000000" w:rsidRPr="00000000" w14:paraId="0000004E">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IV</w:t>
      </w:r>
      <w:r w:rsidDel="00000000" w:rsidR="00000000" w:rsidRPr="00000000">
        <w:rPr>
          <w:rFonts w:ascii="Palatino Linotype" w:cs="Palatino Linotype" w:eastAsia="Palatino Linotype" w:hAnsi="Palatino Linotype"/>
          <w:i w:val="1"/>
          <w:rtl w:val="0"/>
        </w:rPr>
        <w:t xml:space="preserve">. La declaración de incompetencia por el sujeto obligado;</w:t>
      </w:r>
    </w:p>
    <w:p w:rsidR="00000000" w:rsidDel="00000000" w:rsidP="00000000" w:rsidRDefault="00000000" w:rsidRPr="00000000" w14:paraId="0000004F">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w:t>
      </w:r>
      <w:r w:rsidDel="00000000" w:rsidR="00000000" w:rsidRPr="00000000">
        <w:rPr>
          <w:rFonts w:ascii="Palatino Linotype" w:cs="Palatino Linotype" w:eastAsia="Palatino Linotype" w:hAnsi="Palatino Linotype"/>
          <w:i w:val="1"/>
          <w:rtl w:val="0"/>
        </w:rPr>
        <w:t xml:space="preserve">. La entrega de información incompleta;</w:t>
      </w:r>
    </w:p>
    <w:p w:rsidR="00000000" w:rsidDel="00000000" w:rsidP="00000000" w:rsidRDefault="00000000" w:rsidRPr="00000000" w14:paraId="00000050">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w:t>
      </w:r>
      <w:r w:rsidDel="00000000" w:rsidR="00000000" w:rsidRPr="00000000">
        <w:rPr>
          <w:rFonts w:ascii="Palatino Linotype" w:cs="Palatino Linotype" w:eastAsia="Palatino Linotype" w:hAnsi="Palatino Linotype"/>
          <w:i w:val="1"/>
          <w:rtl w:val="0"/>
        </w:rPr>
        <w:t xml:space="preserve"> La entrega de información que no corresponda con lo solicitado;</w:t>
      </w:r>
    </w:p>
    <w:p w:rsidR="00000000" w:rsidDel="00000000" w:rsidP="00000000" w:rsidRDefault="00000000" w:rsidRPr="00000000" w14:paraId="00000051">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w:t>
      </w:r>
      <w:r w:rsidDel="00000000" w:rsidR="00000000" w:rsidRPr="00000000">
        <w:rPr>
          <w:rFonts w:ascii="Palatino Linotype" w:cs="Palatino Linotype" w:eastAsia="Palatino Linotype" w:hAnsi="Palatino Linotype"/>
          <w:i w:val="1"/>
          <w:rtl w:val="0"/>
        </w:rPr>
        <w:t xml:space="preserve">. La falta de respuesta a una solicitud de acceso a la información;</w:t>
      </w:r>
    </w:p>
    <w:p w:rsidR="00000000" w:rsidDel="00000000" w:rsidP="00000000" w:rsidRDefault="00000000" w:rsidRPr="00000000" w14:paraId="00000052">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VIII</w:t>
      </w:r>
      <w:r w:rsidDel="00000000" w:rsidR="00000000" w:rsidRPr="00000000">
        <w:rPr>
          <w:rFonts w:ascii="Palatino Linotype" w:cs="Palatino Linotype" w:eastAsia="Palatino Linotype" w:hAnsi="Palatino Linotype"/>
          <w:i w:val="1"/>
          <w:rtl w:val="0"/>
        </w:rPr>
        <w:t xml:space="preserve">. La notificación, entrega o puesta a disposición de información en una modalidad o formato distinto al solicitado;</w:t>
      </w:r>
    </w:p>
    <w:p w:rsidR="00000000" w:rsidDel="00000000" w:rsidP="00000000" w:rsidRDefault="00000000" w:rsidRPr="00000000" w14:paraId="00000053">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IX.</w:t>
      </w:r>
      <w:r w:rsidDel="00000000" w:rsidR="00000000" w:rsidRPr="00000000">
        <w:rPr>
          <w:rFonts w:ascii="Palatino Linotype" w:cs="Palatino Linotype" w:eastAsia="Palatino Linotype" w:hAnsi="Palatino Linotype"/>
          <w:i w:val="1"/>
          <w:rtl w:val="0"/>
        </w:rPr>
        <w:t xml:space="preserve"> La entrega o puesta a disposición de información en un formato incomprensible y/o no accesible para el solicitante;</w:t>
      </w:r>
    </w:p>
    <w:p w:rsidR="00000000" w:rsidDel="00000000" w:rsidP="00000000" w:rsidRDefault="00000000" w:rsidRPr="00000000" w14:paraId="00000054">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w:t>
      </w:r>
      <w:r w:rsidDel="00000000" w:rsidR="00000000" w:rsidRPr="00000000">
        <w:rPr>
          <w:rFonts w:ascii="Palatino Linotype" w:cs="Palatino Linotype" w:eastAsia="Palatino Linotype" w:hAnsi="Palatino Linotype"/>
          <w:i w:val="1"/>
          <w:rtl w:val="0"/>
        </w:rPr>
        <w:t xml:space="preserve"> Los costos o tiempos de entrega de la información;</w:t>
      </w:r>
    </w:p>
    <w:p w:rsidR="00000000" w:rsidDel="00000000" w:rsidP="00000000" w:rsidRDefault="00000000" w:rsidRPr="00000000" w14:paraId="00000055">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w:t>
      </w:r>
      <w:r w:rsidDel="00000000" w:rsidR="00000000" w:rsidRPr="00000000">
        <w:rPr>
          <w:rFonts w:ascii="Palatino Linotype" w:cs="Palatino Linotype" w:eastAsia="Palatino Linotype" w:hAnsi="Palatino Linotype"/>
          <w:i w:val="1"/>
          <w:rtl w:val="0"/>
        </w:rPr>
        <w:t xml:space="preserve"> La falta de trámite a una solicitud;</w:t>
      </w:r>
    </w:p>
    <w:p w:rsidR="00000000" w:rsidDel="00000000" w:rsidP="00000000" w:rsidRDefault="00000000" w:rsidRPr="00000000" w14:paraId="00000056">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w:t>
      </w:r>
      <w:r w:rsidDel="00000000" w:rsidR="00000000" w:rsidRPr="00000000">
        <w:rPr>
          <w:rFonts w:ascii="Palatino Linotype" w:cs="Palatino Linotype" w:eastAsia="Palatino Linotype" w:hAnsi="Palatino Linotype"/>
          <w:i w:val="1"/>
          <w:rtl w:val="0"/>
        </w:rPr>
        <w:t xml:space="preserve"> La negativa a permitir la consulta directa de la información;</w:t>
      </w:r>
    </w:p>
    <w:p w:rsidR="00000000" w:rsidDel="00000000" w:rsidP="00000000" w:rsidRDefault="00000000" w:rsidRPr="00000000" w14:paraId="00000057">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XIII.</w:t>
      </w:r>
      <w:r w:rsidDel="00000000" w:rsidR="00000000" w:rsidRPr="00000000">
        <w:rPr>
          <w:rFonts w:ascii="Palatino Linotype" w:cs="Palatino Linotype" w:eastAsia="Palatino Linotype" w:hAnsi="Palatino Linotype"/>
          <w:i w:val="1"/>
          <w:rtl w:val="0"/>
        </w:rPr>
        <w:t xml:space="preserve"> La falta, deficiencia o insuficiencia de la fundamentación y/o motivación en la respuesta; y</w:t>
      </w:r>
    </w:p>
    <w:p w:rsidR="00000000" w:rsidDel="00000000" w:rsidP="00000000" w:rsidRDefault="00000000" w:rsidRPr="00000000" w14:paraId="00000058">
      <w:pPr>
        <w:spacing w:after="120" w:before="120" w:lineRule="auto"/>
        <w:ind w:left="1134"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XIV</w:t>
      </w:r>
      <w:r w:rsidDel="00000000" w:rsidR="00000000" w:rsidRPr="00000000">
        <w:rPr>
          <w:rFonts w:ascii="Palatino Linotype" w:cs="Palatino Linotype" w:eastAsia="Palatino Linotype" w:hAnsi="Palatino Linotype"/>
          <w:i w:val="1"/>
          <w:rtl w:val="0"/>
        </w:rPr>
        <w:t xml:space="preserve">. La orientación a un trámite específico.</w:t>
      </w:r>
    </w:p>
    <w:p w:rsidR="00000000" w:rsidDel="00000000" w:rsidP="00000000" w:rsidRDefault="00000000" w:rsidRPr="00000000" w14:paraId="00000059">
      <w:pPr>
        <w:spacing w:after="120" w:before="120"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000000" w:rsidDel="00000000" w:rsidP="00000000" w:rsidRDefault="00000000" w:rsidRPr="00000000" w14:paraId="0000005A">
      <w:pPr>
        <w:spacing w:before="12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tal suerte que como se adelantó, a consideración de la Suscita el presente caso debió ser sobreseído por improcedente de conformidad con el artículo 192, fracción IV de la Ley de Transparencia y Acceso a la Información Pública del Estado de México y Municipios, al actualizar los supuestos de improcedencia previstos en las fracciones III y VII del artículo 191 de la misma Ley, es decir, por no actualizar alguno de los supuestos previstos en la Ley, y por haberse ampliado la solicitud en el recurso de revisión.</w:t>
      </w:r>
    </w:p>
    <w:p w:rsidR="00000000" w:rsidDel="00000000" w:rsidP="00000000" w:rsidRDefault="00000000" w:rsidRPr="00000000" w14:paraId="0000005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Es por todo lo vertido en líneas anteriores que la Suscrita no comparte el sentido de la resolución, y formula el presente Voto Disidente. </w:t>
      </w:r>
    </w:p>
    <w:p w:rsidR="00000000" w:rsidDel="00000000" w:rsidP="00000000" w:rsidRDefault="00000000" w:rsidRPr="00000000" w14:paraId="0000005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D">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E">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F">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0">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1">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2">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3">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4">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5">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6">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7">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8">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9">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A">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B">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C">
      <w:pPr>
        <w:spacing w:after="240" w:before="240" w:line="360" w:lineRule="auto"/>
        <w:ind w:right="139"/>
        <w:jc w:val="both"/>
        <w:rPr>
          <w:rFonts w:ascii="Palatino Linotype" w:cs="Palatino Linotype" w:eastAsia="Palatino Linotype" w:hAnsi="Palatino Linotype"/>
          <w:sz w:val="24"/>
          <w:szCs w:val="24"/>
        </w:rPr>
      </w:pPr>
      <w:r w:rsidDel="00000000" w:rsidR="00000000" w:rsidRPr="00000000">
        <w:rPr>
          <w:rtl w:val="0"/>
        </w:rPr>
      </w:r>
    </w:p>
    <w:sectPr>
      <w:headerReference r:id="rId7" w:type="default"/>
      <w:pgSz w:h="15840" w:w="12240" w:orient="portrait"/>
      <w:pgMar w:bottom="2836" w:top="1871" w:left="1985" w:right="1327" w:header="709" w:footer="5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-1260474</wp:posOffset>
          </wp:positionH>
          <wp:positionV relativeFrom="paragraph">
            <wp:posOffset>-452754</wp:posOffset>
          </wp:positionV>
          <wp:extent cx="7510145" cy="9883775"/>
          <wp:effectExtent b="0" l="0" r="0" t="0"/>
          <wp:wrapNone/>
          <wp:docPr id="9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10145" cy="9883775"/>
                  </a:xfrm>
                  <a:prstGeom prst="rect"/>
                  <a:ln/>
                </pic:spPr>
              </pic:pic>
            </a:graphicData>
          </a:graphic>
        </wp:anchor>
      </w:drawing>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VOTO DISIDENTE</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RECURSO DE REVISIÓN: 04006/INFOEM/IP/RR/2023</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b w:val="1"/>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y acumulado</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Palatino Linotype" w:cs="Palatino Linotype" w:eastAsia="Palatino Linotype" w:hAnsi="Palatino Linotyp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
      <w:numFmt w:val="bullet"/>
      <w:lvlText w:val="-"/>
      <w:lvlJc w:val="left"/>
      <w:pPr>
        <w:ind w:left="720" w:hanging="360"/>
      </w:pPr>
      <w:rPr>
        <w:rFonts w:ascii="Palatino Linotype" w:cs="Palatino Linotype" w:eastAsia="Palatino Linotype" w:hAnsi="Palatino Linotyp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607BA"/>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EncabezadoCar" w:customStyle="1">
    <w:name w:val="Encabezado Car"/>
    <w:basedOn w:val="Fuentedeprrafopredeter"/>
    <w:link w:val="Encabezado"/>
    <w:uiPriority w:val="99"/>
    <w:rsid w:val="000607BA"/>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607BA"/>
    <w:pPr>
      <w:tabs>
        <w:tab w:val="center" w:pos="4419"/>
        <w:tab w:val="right" w:pos="8838"/>
      </w:tabs>
      <w:spacing w:after="0" w:line="240" w:lineRule="auto"/>
    </w:pPr>
    <w:rPr>
      <w:rFonts w:ascii="Times New Roman" w:cs="Times New Roman" w:eastAsia="Times New Roman" w:hAnsi="Times New Roman"/>
      <w:sz w:val="24"/>
      <w:szCs w:val="24"/>
      <w:lang w:eastAsia="es-ES" w:val="es-ES"/>
    </w:rPr>
  </w:style>
  <w:style w:type="character" w:styleId="PiedepginaCar" w:customStyle="1">
    <w:name w:val="Pie de página Car"/>
    <w:basedOn w:val="Fuentedeprrafopredeter"/>
    <w:link w:val="Piedepgina"/>
    <w:uiPriority w:val="99"/>
    <w:rsid w:val="000607BA"/>
    <w:rPr>
      <w:rFonts w:ascii="Times New Roman" w:cs="Times New Roman" w:eastAsia="Times New Roman" w:hAnsi="Times New Roman"/>
      <w:sz w:val="24"/>
      <w:szCs w:val="24"/>
      <w:lang w:eastAsia="es-ES" w:val="es-ES"/>
    </w:rPr>
  </w:style>
  <w:style w:type="paragraph" w:styleId="NormalWeb">
    <w:name w:val="Normal (Web)"/>
    <w:basedOn w:val="Normal"/>
    <w:uiPriority w:val="99"/>
    <w:rsid w:val="000607BA"/>
    <w:pPr>
      <w:spacing w:after="100" w:afterAutospacing="1" w:before="100" w:beforeAutospacing="1" w:line="240" w:lineRule="auto"/>
    </w:pPr>
    <w:rPr>
      <w:rFonts w:ascii="Times New Roman" w:cs="Times New Roman" w:eastAsia="Times New Roman" w:hAnsi="Times New Roman"/>
      <w:sz w:val="24"/>
      <w:szCs w:val="24"/>
      <w:lang w:eastAsia="es-ES"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0607BA"/>
    <w:pPr>
      <w:spacing w:after="0" w:line="240" w:lineRule="auto"/>
      <w:ind w:left="720"/>
      <w:contextualSpacing w:val="1"/>
    </w:pPr>
    <w:rPr>
      <w:rFonts w:ascii="Times New Roman" w:cs="Times New Roman" w:hAnsi="Times New Roman"/>
      <w:sz w:val="24"/>
      <w:szCs w:val="24"/>
      <w:lang w:eastAsia="es-ES" w:val="es-ES"/>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0607BA"/>
    <w:rPr>
      <w:rFonts w:ascii="Times New Roman" w:cs="Times New Roman" w:eastAsia="Calibri" w:hAnsi="Times New Roman"/>
      <w:sz w:val="24"/>
      <w:szCs w:val="24"/>
      <w:lang w:eastAsia="es-ES" w:val="es-ES"/>
    </w:rPr>
  </w:style>
  <w:style w:type="paragraph" w:styleId="Textodeglobo">
    <w:name w:val="Balloon Text"/>
    <w:basedOn w:val="Normal"/>
    <w:link w:val="TextodegloboCar"/>
    <w:uiPriority w:val="99"/>
    <w:semiHidden w:val="1"/>
    <w:unhideWhenUsed w:val="1"/>
    <w:rsid w:val="00456467"/>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56467"/>
    <w:rPr>
      <w:rFonts w:ascii="Segoe UI" w:cs="Segoe UI" w:hAnsi="Segoe UI"/>
      <w:sz w:val="18"/>
      <w:szCs w:val="18"/>
    </w:rPr>
  </w:style>
  <w:style w:type="character" w:styleId="apple-converted-space" w:customStyle="1">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921613"/>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val="1"/>
    <w:qFormat w:val="1"/>
    <w:rsid w:val="00921613"/>
    <w:rPr>
      <w:vertAlign w:val="superscript"/>
    </w:rPr>
  </w:style>
  <w:style w:type="character" w:styleId="Hipervnculo">
    <w:name w:val="Hyperlink"/>
    <w:basedOn w:val="Fuentedeprrafopredeter"/>
    <w:uiPriority w:val="99"/>
    <w:semiHidden w:val="1"/>
    <w:unhideWhenUsed w:val="1"/>
    <w:rsid w:val="00696A57"/>
    <w:rPr>
      <w:color w:val="0000ff"/>
      <w:u w:val="single"/>
    </w:rPr>
  </w:style>
  <w:style w:type="paragraph" w:styleId="Citas" w:customStyle="1">
    <w:name w:val="Citas"/>
    <w:basedOn w:val="Normal"/>
    <w:qFormat w:val="1"/>
    <w:rsid w:val="00191E4D"/>
    <w:pPr>
      <w:spacing w:before="240" w:line="360" w:lineRule="auto"/>
      <w:ind w:left="851" w:right="851"/>
      <w:jc w:val="both"/>
    </w:pPr>
    <w:rPr>
      <w:rFonts w:ascii="Palatino Linotype" w:cs="Arial" w:hAnsi="Palatino Linotype"/>
      <w:i w:val="1"/>
    </w:rPr>
  </w:style>
  <w:style w:type="paragraph" w:styleId="Sinespaciado">
    <w:name w:val="No Spacing"/>
    <w:aliases w:val="Francesa,INAI"/>
    <w:link w:val="SinespaciadoCar"/>
    <w:qFormat w:val="1"/>
    <w:rsid w:val="00AB4878"/>
    <w:pPr>
      <w:spacing w:after="0" w:line="240" w:lineRule="auto"/>
    </w:pPr>
    <w:rPr>
      <w:rFonts w:ascii="Times New Roman" w:cs="Times New Roman" w:eastAsia="Times New Roman" w:hAnsi="Times New Roman"/>
      <w:sz w:val="24"/>
      <w:szCs w:val="24"/>
      <w:lang w:eastAsia="es-ES"/>
    </w:rPr>
  </w:style>
  <w:style w:type="character" w:styleId="SinespaciadoCar" w:customStyle="1">
    <w:name w:val="Sin espaciado Car"/>
    <w:aliases w:val="Francesa Car,INAI Car"/>
    <w:link w:val="Sinespaciado"/>
    <w:locked w:val="1"/>
    <w:rsid w:val="00AB4878"/>
    <w:rPr>
      <w:rFonts w:ascii="Times New Roman" w:cs="Times New Roman" w:eastAsia="Times New Roman" w:hAnsi="Times New Roman"/>
      <w:sz w:val="24"/>
      <w:szCs w:val="24"/>
      <w:lang w:eastAsia="es-ES"/>
    </w:rPr>
  </w:style>
  <w:style w:type="paragraph" w:styleId="INFOEM" w:customStyle="1">
    <w:name w:val="INFOEM"/>
    <w:basedOn w:val="Normal"/>
    <w:qFormat w:val="1"/>
    <w:rsid w:val="00A430B5"/>
    <w:pPr>
      <w:spacing w:before="240" w:line="360" w:lineRule="auto"/>
      <w:ind w:left="851" w:right="851"/>
      <w:jc w:val="both"/>
    </w:pPr>
    <w:rPr>
      <w:rFonts w:ascii="Palatino Linotype" w:hAnsi="Palatino Linotype"/>
      <w:i w:val="1"/>
      <w:szCs w:val="1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Fundamentos" w:customStyle="1">
    <w:name w:val="Fundamentos"/>
    <w:basedOn w:val="Normal"/>
    <w:qFormat w:val="1"/>
    <w:rsid w:val="000B7742"/>
    <w:pPr>
      <w:pBdr>
        <w:top w:space="0" w:sz="0" w:val="nil"/>
        <w:left w:space="0" w:sz="0" w:val="nil"/>
        <w:bottom w:space="0" w:sz="0" w:val="nil"/>
        <w:right w:space="0" w:sz="0" w:val="nil"/>
        <w:between w:space="0" w:sz="0" w:val="nil"/>
      </w:pBdr>
      <w:spacing w:after="0" w:line="240" w:lineRule="auto"/>
      <w:ind w:left="567" w:right="567"/>
      <w:contextualSpacing w:val="1"/>
      <w:jc w:val="both"/>
    </w:pPr>
    <w:rPr>
      <w:rFonts w:ascii="Palatino Linotype" w:cs="Palatino Linotype" w:eastAsia="Palatino Linotype" w:hAnsi="Palatino Linotype"/>
      <w:i w:val="1"/>
      <w:color w:val="000000"/>
      <w:szCs w:val="24"/>
      <w:lang w:val="es-ES_tradnl"/>
    </w:rPr>
  </w:style>
  <w:style w:type="table" w:styleId="5" w:customStyle="1">
    <w:name w:val="5"/>
    <w:basedOn w:val="Tablanormal"/>
    <w:rsid w:val="00FB76C8"/>
    <w:pPr>
      <w:spacing w:after="0" w:line="240" w:lineRule="auto"/>
    </w:pPr>
    <w:rPr>
      <w:rFonts w:ascii="Arial" w:cs="Arial" w:eastAsia="Arial" w:hAnsi="Arial"/>
    </w:rPr>
    <w:tblPr>
      <w:tblStyleRowBandSize w:val="1"/>
      <w:tblStyleColBandSize w:val="1"/>
      <w:tblCellMar>
        <w:top w:w="100.0" w:type="dxa"/>
        <w:left w:w="115.0" w:type="dxa"/>
        <w:bottom w:w="100.0" w:type="dxa"/>
        <w:right w:w="115.0" w:type="dxa"/>
      </w:tblCellMar>
    </w:tblPr>
  </w:style>
  <w:style w:type="table" w:styleId="4" w:customStyle="1">
    <w:name w:val="4"/>
    <w:basedOn w:val="Tablanormal"/>
    <w:rsid w:val="00FB76C8"/>
    <w:pPr>
      <w:spacing w:after="0" w:line="240" w:lineRule="auto"/>
    </w:pPr>
    <w:rPr>
      <w:rFonts w:ascii="Arial" w:cs="Arial" w:eastAsia="Arial" w:hAnsi="Arial"/>
    </w:rPr>
    <w:tblPr>
      <w:tblStyleRowBandSize w:val="1"/>
      <w:tblStyleColBandSize w:val="1"/>
      <w:tblCellMar>
        <w:top w:w="100.0" w:type="dxa"/>
        <w:left w:w="115.0" w:type="dxa"/>
        <w:bottom w:w="100.0" w:type="dxa"/>
        <w:right w:w="115.0" w:type="dxa"/>
      </w:tblCellMar>
    </w:tblPr>
  </w:style>
  <w:style w:type="paragraph" w:styleId="Lista2">
    <w:name w:val="List 2"/>
    <w:basedOn w:val="Normal"/>
    <w:uiPriority w:val="99"/>
    <w:unhideWhenUsed w:val="1"/>
    <w:rsid w:val="00152523"/>
    <w:pPr>
      <w:ind w:left="566" w:hanging="283"/>
      <w:contextualSpacing w:val="1"/>
    </w:pPr>
  </w:style>
  <w:style w:type="paragraph" w:styleId="Lista3">
    <w:name w:val="List 3"/>
    <w:basedOn w:val="Normal"/>
    <w:uiPriority w:val="99"/>
    <w:unhideWhenUsed w:val="1"/>
    <w:rsid w:val="00152523"/>
    <w:pPr>
      <w:ind w:left="849" w:hanging="283"/>
      <w:contextualSpacing w:val="1"/>
    </w:pPr>
  </w:style>
  <w:style w:type="paragraph" w:styleId="Descripcin">
    <w:name w:val="caption"/>
    <w:basedOn w:val="Normal"/>
    <w:next w:val="Normal"/>
    <w:uiPriority w:val="35"/>
    <w:unhideWhenUsed w:val="1"/>
    <w:qFormat w:val="1"/>
    <w:rsid w:val="00152523"/>
    <w:pPr>
      <w:spacing w:after="200" w:line="240" w:lineRule="auto"/>
    </w:pPr>
    <w:rPr>
      <w:i w:val="1"/>
      <w:iCs w:val="1"/>
      <w:color w:val="44546a" w:themeColor="text2"/>
      <w:sz w:val="18"/>
      <w:szCs w:val="18"/>
    </w:rPr>
  </w:style>
  <w:style w:type="paragraph" w:styleId="Textoindependiente">
    <w:name w:val="Body Text"/>
    <w:basedOn w:val="Normal"/>
    <w:link w:val="TextoindependienteCar"/>
    <w:uiPriority w:val="99"/>
    <w:unhideWhenUsed w:val="1"/>
    <w:rsid w:val="00152523"/>
    <w:pPr>
      <w:spacing w:after="120"/>
    </w:pPr>
  </w:style>
  <w:style w:type="character" w:styleId="TextoindependienteCar" w:customStyle="1">
    <w:name w:val="Texto independiente Car"/>
    <w:basedOn w:val="Fuentedeprrafopredeter"/>
    <w:link w:val="Textoindependiente"/>
    <w:uiPriority w:val="99"/>
    <w:rsid w:val="00152523"/>
  </w:style>
  <w:style w:type="paragraph" w:styleId="Sangradetextonormal">
    <w:name w:val="Body Text Indent"/>
    <w:basedOn w:val="Normal"/>
    <w:link w:val="SangradetextonormalCar"/>
    <w:uiPriority w:val="99"/>
    <w:semiHidden w:val="1"/>
    <w:unhideWhenUsed w:val="1"/>
    <w:rsid w:val="00152523"/>
    <w:pPr>
      <w:spacing w:after="120"/>
      <w:ind w:left="283"/>
    </w:pPr>
  </w:style>
  <w:style w:type="character" w:styleId="SangradetextonormalCar" w:customStyle="1">
    <w:name w:val="Sangría de texto normal Car"/>
    <w:basedOn w:val="Fuentedeprrafopredeter"/>
    <w:link w:val="Sangradetextonormal"/>
    <w:uiPriority w:val="99"/>
    <w:semiHidden w:val="1"/>
    <w:rsid w:val="00152523"/>
  </w:style>
  <w:style w:type="paragraph" w:styleId="Textoindependienteprimerasangra2">
    <w:name w:val="Body Text First Indent 2"/>
    <w:basedOn w:val="Sangradetextonormal"/>
    <w:link w:val="Textoindependienteprimerasangra2Car"/>
    <w:uiPriority w:val="99"/>
    <w:unhideWhenUsed w:val="1"/>
    <w:rsid w:val="00152523"/>
    <w:pPr>
      <w:spacing w:after="16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152523"/>
  </w:style>
  <w:style w:type="table" w:styleId="Tablaconcuadrcula">
    <w:name w:val="Table Grid"/>
    <w:basedOn w:val="Tablanormal"/>
    <w:uiPriority w:val="39"/>
    <w:rsid w:val="00C43E8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7G0Qg7MZwbO9na0qxaIHO33E8Q==">CgMxLjAyCWguM3pueXNoNzIIaC50eWpjd3Q4AHIhMTRVQ3J3aUpNbUFPQk9mcXBBcEI3aTU2Uk9keThoblRI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2023-09-15T04:32:00Z</dcterms:created>
  <dc:creator>USUARIO</dc:creator>
</cp:coreProperties>
</file>